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8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
        <w:spacing w:after="0"/>
        <w:rPr>
          <w:sz w:val="20"/>
          <w:szCs w:val="20"/>
          <w:color w:val="auto"/>
        </w:rPr>
      </w:pPr>
      <w:r>
        <w:rPr>
          <w:rFonts w:ascii="Arial" w:cs="Arial" w:eastAsia="Arial" w:hAnsi="Arial"/>
          <w:sz w:val="22"/>
          <w:szCs w:val="22"/>
          <w:b w:val="1"/>
          <w:bCs w:val="1"/>
          <w:color w:val="auto"/>
        </w:rPr>
        <w:t>Washington, D.C. 20549</w:t>
      </w:r>
    </w:p>
    <w:p>
      <w:pPr>
        <w:spacing w:after="0" w:line="114"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10-Q</w:t>
      </w:r>
    </w:p>
    <w:p>
      <w:pPr>
        <w:spacing w:after="0" w:line="105"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20"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Arial" w:cs="Arial" w:eastAsia="Arial" w:hAnsi="Arial"/>
          <w:sz w:val="22"/>
          <w:szCs w:val="22"/>
          <w:b w:val="1"/>
          <w:bCs w:val="1"/>
          <w:color w:val="auto"/>
        </w:rPr>
        <w:t>QUARTERLY REPORT PURSUANT TO SECTION 13 OR 15(d) OF THE SECURITIES EXCHANGE ACT OF 1934</w:t>
      </w:r>
    </w:p>
    <w:p>
      <w:pPr>
        <w:spacing w:after="0" w:line="13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For the quarterly period ended May 2, 2015</w:t>
      </w:r>
    </w:p>
    <w:p>
      <w:pPr>
        <w:spacing w:after="0" w:line="17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or</w:t>
      </w:r>
    </w:p>
    <w:p>
      <w:pPr>
        <w:spacing w:after="0" w:line="199"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Arial" w:cs="Arial" w:eastAsia="Arial" w:hAnsi="Arial"/>
          <w:sz w:val="21"/>
          <w:szCs w:val="21"/>
          <w:b w:val="1"/>
          <w:bCs w:val="1"/>
          <w:color w:val="auto"/>
        </w:rPr>
        <w:t>TRANSITION REPORT PURSUANT TO SECTION 13 or 15(d) OF THE SECURITIES EXCHANGE ACT OF 1934</w:t>
      </w:r>
    </w:p>
    <w:p>
      <w:pPr>
        <w:spacing w:after="0" w:line="190" w:lineRule="exact"/>
        <w:rPr>
          <w:sz w:val="24"/>
          <w:szCs w:val="24"/>
          <w:color w:val="auto"/>
        </w:rPr>
      </w:pPr>
    </w:p>
    <w:p>
      <w:pPr>
        <w:ind w:left="3940"/>
        <w:spacing w:after="0"/>
        <w:tabs>
          <w:tab w:leader="none" w:pos="676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4"/>
          <w:szCs w:val="14"/>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3968115</wp:posOffset>
            </wp:positionH>
            <wp:positionV relativeFrom="paragraph">
              <wp:posOffset>-10160</wp:posOffset>
            </wp:positionV>
            <wp:extent cx="78994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89940" cy="8890"/>
                    </a:xfrm>
                    <a:prstGeom prst="rect">
                      <a:avLst/>
                    </a:prstGeom>
                    <a:noFill/>
                  </pic:spPr>
                </pic:pic>
              </a:graphicData>
            </a:graphic>
          </wp:anchor>
        </w:drawing>
      </w:r>
    </w:p>
    <w:p>
      <w:pPr>
        <w:spacing w:after="0" w:line="15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Commission file number: 000-30877</w:t>
      </w: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192" w:lineRule="exact"/>
        <w:rPr>
          <w:sz w:val="24"/>
          <w:szCs w:val="24"/>
          <w:color w:val="auto"/>
        </w:rPr>
      </w:pPr>
    </w:p>
    <w:tbl>
      <w:tblPr>
        <w:tblLayout w:type="fixed"/>
        <w:tblInd w:w="2020" w:type="dxa"/>
        <w:tblCellMar>
          <w:top w:w="0" w:type="dxa"/>
          <w:left w:w="0" w:type="dxa"/>
          <w:bottom w:w="0" w:type="dxa"/>
          <w:right w:w="0" w:type="dxa"/>
        </w:tblCellMar>
      </w:tblPr>
      <w:tr>
        <w:trPr>
          <w:trHeight w:val="218"/>
        </w:trPr>
        <w:tc>
          <w:tcPr>
            <w:tcW w:w="3920" w:type="dxa"/>
            <w:vAlign w:val="bottom"/>
          </w:tcPr>
          <w:p>
            <w:pPr>
              <w:jc w:val="center"/>
              <w:ind w:right="2106"/>
              <w:spacing w:after="0"/>
              <w:rPr>
                <w:sz w:val="20"/>
                <w:szCs w:val="20"/>
                <w:color w:val="auto"/>
              </w:rPr>
            </w:pPr>
            <w:r>
              <w:rPr>
                <w:rFonts w:ascii="Arial" w:cs="Arial" w:eastAsia="Arial" w:hAnsi="Arial"/>
                <w:sz w:val="18"/>
                <w:szCs w:val="18"/>
                <w:b w:val="1"/>
                <w:bCs w:val="1"/>
                <w:color w:val="auto"/>
                <w:w w:val="89"/>
              </w:rPr>
              <w:t>Bermuda</w:t>
            </w:r>
          </w:p>
        </w:tc>
        <w:tc>
          <w:tcPr>
            <w:tcW w:w="3240" w:type="dxa"/>
            <w:vAlign w:val="bottom"/>
          </w:tcPr>
          <w:p>
            <w:pPr>
              <w:jc w:val="center"/>
              <w:ind w:left="2106"/>
              <w:spacing w:after="0"/>
              <w:rPr>
                <w:sz w:val="20"/>
                <w:szCs w:val="20"/>
                <w:color w:val="auto"/>
              </w:rPr>
            </w:pPr>
            <w:r>
              <w:rPr>
                <w:rFonts w:ascii="Arial" w:cs="Arial" w:eastAsia="Arial" w:hAnsi="Arial"/>
                <w:sz w:val="18"/>
                <w:szCs w:val="18"/>
                <w:b w:val="1"/>
                <w:bCs w:val="1"/>
                <w:color w:val="auto"/>
                <w:w w:val="89"/>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Arial" w:cs="Arial" w:eastAsia="Arial" w:hAnsi="Arial"/>
                <w:sz w:val="14"/>
                <w:szCs w:val="14"/>
                <w:b w:val="1"/>
                <w:bCs w:val="1"/>
                <w:color w:val="auto"/>
                <w:w w:val="88"/>
              </w:rPr>
              <w:t>(State or other jurisdiction of</w:t>
            </w:r>
          </w:p>
        </w:tc>
        <w:tc>
          <w:tcPr>
            <w:tcW w:w="3240" w:type="dxa"/>
            <w:vAlign w:val="bottom"/>
          </w:tcPr>
          <w:p>
            <w:pPr>
              <w:jc w:val="center"/>
              <w:ind w:left="2106"/>
              <w:spacing w:after="0" w:line="149" w:lineRule="exact"/>
              <w:rPr>
                <w:sz w:val="20"/>
                <w:szCs w:val="20"/>
                <w:color w:val="auto"/>
              </w:rPr>
            </w:pPr>
            <w:r>
              <w:rPr>
                <w:rFonts w:ascii="Arial" w:cs="Arial" w:eastAsia="Arial" w:hAnsi="Arial"/>
                <w:sz w:val="14"/>
                <w:szCs w:val="14"/>
                <w:b w:val="1"/>
                <w:bCs w:val="1"/>
                <w:color w:val="auto"/>
                <w:w w:val="91"/>
              </w:rPr>
              <w:t>(I.R.S. Employer</w:t>
            </w:r>
          </w:p>
        </w:tc>
      </w:tr>
      <w:tr>
        <w:trPr>
          <w:trHeight w:val="174"/>
        </w:trPr>
        <w:tc>
          <w:tcPr>
            <w:tcW w:w="3920" w:type="dxa"/>
            <w:vAlign w:val="bottom"/>
          </w:tcPr>
          <w:p>
            <w:pPr>
              <w:jc w:val="center"/>
              <w:ind w:right="2086"/>
              <w:spacing w:after="0"/>
              <w:rPr>
                <w:sz w:val="20"/>
                <w:szCs w:val="20"/>
                <w:color w:val="auto"/>
              </w:rPr>
            </w:pPr>
            <w:r>
              <w:rPr>
                <w:rFonts w:ascii="Arial" w:cs="Arial" w:eastAsia="Arial" w:hAnsi="Arial"/>
                <w:sz w:val="14"/>
                <w:szCs w:val="14"/>
                <w:b w:val="1"/>
                <w:bCs w:val="1"/>
                <w:color w:val="auto"/>
                <w:w w:val="88"/>
              </w:rPr>
              <w:t>incorporation or organization)</w:t>
            </w:r>
          </w:p>
        </w:tc>
        <w:tc>
          <w:tcPr>
            <w:tcW w:w="3240" w:type="dxa"/>
            <w:vAlign w:val="bottom"/>
          </w:tcPr>
          <w:p>
            <w:pPr>
              <w:jc w:val="center"/>
              <w:ind w:left="2106"/>
              <w:spacing w:after="0"/>
              <w:rPr>
                <w:sz w:val="20"/>
                <w:szCs w:val="20"/>
                <w:color w:val="auto"/>
              </w:rPr>
            </w:pPr>
            <w:r>
              <w:rPr>
                <w:rFonts w:ascii="Arial" w:cs="Arial" w:eastAsia="Arial" w:hAnsi="Arial"/>
                <w:sz w:val="14"/>
                <w:szCs w:val="14"/>
                <w:b w:val="1"/>
                <w:bCs w:val="1"/>
                <w:color w:val="auto"/>
                <w:w w:val="89"/>
              </w:rPr>
              <w:t>Identification No.)</w:t>
            </w:r>
          </w:p>
        </w:tc>
      </w:tr>
    </w:tbl>
    <w:p>
      <w:pPr>
        <w:spacing w:after="0" w:line="14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 22 Victoria Street, Hamilton HM 12, Bermuda</w:t>
      </w:r>
    </w:p>
    <w:p>
      <w:pPr>
        <w:spacing w:after="0" w:line="2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143" w:lineRule="exact"/>
        <w:rPr>
          <w:sz w:val="24"/>
          <w:szCs w:val="24"/>
          <w:color w:val="auto"/>
        </w:rPr>
      </w:pPr>
    </w:p>
    <w:p>
      <w:pPr>
        <w:ind w:right="28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jc w:val="both"/>
        <w:ind w:right="60" w:firstLine="456"/>
        <w:spacing w:after="0" w:line="225" w:lineRule="exact"/>
        <w:rPr>
          <w:sz w:val="20"/>
          <w:szCs w:val="20"/>
          <w:color w:val="auto"/>
        </w:rPr>
      </w:pPr>
      <w:r>
        <w:rPr>
          <w:rFonts w:ascii="Arial" w:cs="Arial" w:eastAsia="Arial" w:hAnsi="Arial"/>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8" w:lineRule="exact"/>
        <w:rPr>
          <w:sz w:val="24"/>
          <w:szCs w:val="24"/>
          <w:color w:val="auto"/>
        </w:rPr>
      </w:pPr>
    </w:p>
    <w:p>
      <w:pPr>
        <w:ind w:right="220" w:firstLine="456"/>
        <w:spacing w:after="0" w:line="332" w:lineRule="auto"/>
        <w:rPr>
          <w:sz w:val="20"/>
          <w:szCs w:val="20"/>
          <w:color w:val="auto"/>
        </w:rPr>
      </w:pPr>
      <w:r>
        <w:rPr>
          <w:rFonts w:ascii="Arial" w:cs="Arial" w:eastAsia="Arial" w:hAnsi="Arial"/>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ectPr>
          <w:pgSz w:w="11900" w:h="16838" w:orient="portrait"/>
          <w:cols w:equalWidth="0" w:num="1">
            <w:col w:w="11420"/>
          </w:cols>
          <w:pgMar w:left="240" w:top="230" w:right="239" w:bottom="1440" w:gutter="0" w:footer="0" w:header="0"/>
        </w:sectPr>
      </w:pPr>
    </w:p>
    <w:p>
      <w:pPr>
        <w:spacing w:after="0" w:line="126" w:lineRule="exact"/>
        <w:rPr>
          <w:sz w:val="24"/>
          <w:szCs w:val="24"/>
          <w:color w:val="auto"/>
        </w:rPr>
      </w:pPr>
    </w:p>
    <w:p>
      <w:pPr>
        <w:spacing w:after="0"/>
        <w:rPr>
          <w:sz w:val="20"/>
          <w:szCs w:val="20"/>
          <w:color w:val="auto"/>
        </w:rPr>
      </w:pPr>
      <w:r>
        <w:rPr>
          <w:rFonts w:ascii="Arial" w:cs="Arial" w:eastAsia="Arial" w:hAnsi="Arial"/>
          <w:sz w:val="15"/>
          <w:szCs w:val="15"/>
          <w:color w:val="auto"/>
        </w:rPr>
        <w:t>Large 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06" w:lineRule="exact"/>
        <w:rPr>
          <w:sz w:val="24"/>
          <w:szCs w:val="24"/>
          <w:color w:val="auto"/>
        </w:rPr>
      </w:pPr>
    </w:p>
    <w:p>
      <w:pPr>
        <w:spacing w:after="0"/>
        <w:rPr>
          <w:sz w:val="20"/>
          <w:szCs w:val="20"/>
          <w:color w:val="auto"/>
        </w:rPr>
      </w:pPr>
      <w:r>
        <w:rPr>
          <w:rFonts w:ascii="Arial" w:cs="Arial" w:eastAsia="Arial" w:hAnsi="Arial"/>
          <w:sz w:val="16"/>
          <w:szCs w:val="16"/>
          <w:color w:val="auto"/>
        </w:rPr>
        <w:t>Accelerated filer</w:t>
      </w:r>
    </w:p>
    <w:p>
      <w:pPr>
        <w:spacing w:after="0" w:line="20" w:lineRule="exact"/>
        <w:rPr>
          <w:sz w:val="24"/>
          <w:szCs w:val="24"/>
          <w:color w:val="auto"/>
        </w:rPr>
      </w:pPr>
      <w:r>
        <w:rPr>
          <w:sz w:val="24"/>
          <w:szCs w:val="24"/>
          <w:color w:val="auto"/>
        </w:rPr>
        <w:br w:type="column"/>
      </w:r>
    </w:p>
    <w:p>
      <w:pPr>
        <w:spacing w:after="0" w:line="73" w:lineRule="exact"/>
        <w:rPr>
          <w:sz w:val="24"/>
          <w:szCs w:val="24"/>
          <w:color w:val="auto"/>
        </w:rPr>
      </w:pPr>
    </w:p>
    <w:p>
      <w:pPr>
        <w:spacing w:after="0" w:line="161" w:lineRule="exact"/>
        <w:rPr>
          <w:sz w:val="20"/>
          <w:szCs w:val="20"/>
          <w:color w:val="auto"/>
        </w:rPr>
      </w:pPr>
      <w:r>
        <w:rPr>
          <w:rFonts w:ascii="MS PGothic" w:cs="MS PGothic" w:eastAsia="MS PGothic" w:hAnsi="MS PGothic"/>
          <w:sz w:val="16"/>
          <w:szCs w:val="16"/>
          <w:color w:val="auto"/>
        </w:rPr>
        <w:t>☐</w:t>
      </w:r>
    </w:p>
    <w:p>
      <w:pPr>
        <w:spacing w:after="0" w:line="164" w:lineRule="exact"/>
        <w:rPr>
          <w:sz w:val="24"/>
          <w:szCs w:val="24"/>
          <w:color w:val="auto"/>
        </w:rPr>
      </w:pPr>
    </w:p>
    <w:p>
      <w:pPr>
        <w:sectPr>
          <w:pgSz w:w="11900" w:h="16838" w:orient="portrait"/>
          <w:cols w:equalWidth="0" w:num="4">
            <w:col w:w="1580" w:space="340"/>
            <w:col w:w="6220" w:space="720"/>
            <w:col w:w="1680" w:space="720"/>
            <w:col w:w="160"/>
          </w:cols>
          <w:pgMar w:left="240" w:top="230" w:right="239" w:bottom="1440" w:gutter="0" w:footer="0" w:header="0"/>
          <w:type w:val="continuous"/>
        </w:sectPr>
      </w:pPr>
    </w:p>
    <w:p>
      <w:pPr>
        <w:spacing w:after="0" w:line="32" w:lineRule="exact"/>
        <w:rPr>
          <w:sz w:val="24"/>
          <w:szCs w:val="24"/>
          <w:color w:val="auto"/>
        </w:rPr>
      </w:pPr>
    </w:p>
    <w:p>
      <w:pPr>
        <w:spacing w:after="0"/>
        <w:rPr>
          <w:sz w:val="20"/>
          <w:szCs w:val="20"/>
          <w:color w:val="auto"/>
        </w:rPr>
      </w:pPr>
      <w:r>
        <w:rPr>
          <w:rFonts w:ascii="Arial" w:cs="Arial" w:eastAsia="Arial" w:hAnsi="Arial"/>
          <w:sz w:val="16"/>
          <w:szCs w:val="16"/>
          <w:color w:val="auto"/>
        </w:rPr>
        <w:t>Non-accelerated filer</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(Do not check if a smaller reporting company)</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Smaller reporting company</w:t>
      </w:r>
    </w:p>
    <w:p>
      <w:pPr>
        <w:spacing w:after="0" w:line="20" w:lineRule="exact"/>
        <w:rPr>
          <w:sz w:val="24"/>
          <w:szCs w:val="24"/>
          <w:color w:val="auto"/>
        </w:rPr>
      </w:pPr>
      <w:r>
        <w:rPr>
          <w:sz w:val="24"/>
          <w:szCs w:val="24"/>
          <w:color w:val="auto"/>
        </w:rPr>
        <w:br w:type="column"/>
      </w:r>
    </w:p>
    <w:p>
      <w:pPr>
        <w:spacing w:after="0" w:line="141" w:lineRule="exact"/>
        <w:rPr>
          <w:sz w:val="20"/>
          <w:szCs w:val="20"/>
          <w:color w:val="auto"/>
        </w:rPr>
      </w:pPr>
      <w:r>
        <w:rPr>
          <w:rFonts w:ascii="MS PGothic" w:cs="MS PGothic" w:eastAsia="MS PGothic" w:hAnsi="MS PGothic"/>
          <w:sz w:val="16"/>
          <w:szCs w:val="16"/>
          <w:color w:val="auto"/>
        </w:rPr>
        <w:t>☐</w:t>
      </w:r>
    </w:p>
    <w:p>
      <w:pPr>
        <w:spacing w:after="0" w:line="218" w:lineRule="exact"/>
        <w:rPr>
          <w:sz w:val="24"/>
          <w:szCs w:val="24"/>
          <w:color w:val="auto"/>
        </w:rPr>
      </w:pPr>
    </w:p>
    <w:p>
      <w:pPr>
        <w:sectPr>
          <w:pgSz w:w="11900" w:h="16838" w:orient="portrait"/>
          <w:cols w:equalWidth="0" w:num="5">
            <w:col w:w="1500" w:space="420"/>
            <w:col w:w="160" w:space="100"/>
            <w:col w:w="5960" w:space="720"/>
            <w:col w:w="1920" w:space="480"/>
            <w:col w:w="160"/>
          </w:cols>
          <w:pgMar w:left="240" w:top="230" w:right="239" w:bottom="1440" w:gutter="0" w:footer="0" w:header="0"/>
          <w:type w:val="continuous"/>
        </w:sectPr>
      </w:pPr>
    </w:p>
    <w:p>
      <w:pPr>
        <w:spacing w:after="0" w:line="32" w:lineRule="exact"/>
        <w:rPr>
          <w:sz w:val="24"/>
          <w:szCs w:val="24"/>
          <w:color w:val="auto"/>
        </w:rPr>
      </w:pPr>
    </w:p>
    <w:p>
      <w:pPr>
        <w:ind w:left="460"/>
        <w:spacing w:after="0"/>
        <w:rPr>
          <w:sz w:val="20"/>
          <w:szCs w:val="20"/>
          <w:color w:val="auto"/>
        </w:rPr>
      </w:pPr>
      <w:r>
        <w:rPr>
          <w:rFonts w:ascii="Arial" w:cs="Arial" w:eastAsia="Arial" w:hAnsi="Arial"/>
          <w:sz w:val="15"/>
          <w:szCs w:val="15"/>
          <w:color w:val="auto"/>
        </w:rPr>
        <w:t>Indicate by check mark whether the registrant is a shell company (as defined in Rule 12b-2 of the Exchange Act).</w:t>
      </w:r>
    </w:p>
    <w:p>
      <w:pPr>
        <w:spacing w:after="0" w:line="20" w:lineRule="exact"/>
        <w:rPr>
          <w:sz w:val="24"/>
          <w:szCs w:val="24"/>
          <w:color w:val="auto"/>
        </w:rPr>
      </w:pPr>
      <w:r>
        <w:rPr>
          <w:sz w:val="24"/>
          <w:szCs w:val="24"/>
          <w:color w:val="auto"/>
        </w:rPr>
        <w:br w:type="column"/>
      </w:r>
    </w:p>
    <w:p>
      <w:pPr>
        <w:jc w:val="center"/>
        <w:spacing w:after="0" w:line="164" w:lineRule="exact"/>
        <w:rPr>
          <w:sz w:val="20"/>
          <w:szCs w:val="20"/>
          <w:color w:val="auto"/>
        </w:rPr>
      </w:pPr>
      <w:r>
        <w:rPr>
          <w:rFonts w:ascii="MS PGothic" w:cs="MS PGothic" w:eastAsia="MS PGothic" w:hAnsi="MS PGothic"/>
          <w:sz w:val="16"/>
          <w:szCs w:val="16"/>
          <w:color w:val="auto"/>
        </w:rPr>
        <w:t>☐</w:t>
      </w:r>
      <w:r>
        <w:rPr>
          <w:rFonts w:ascii="Arial" w:cs="Arial" w:eastAsia="Arial" w:hAnsi="Arial"/>
          <w:sz w:val="16"/>
          <w:szCs w:val="16"/>
          <w:color w:val="auto"/>
        </w:rPr>
        <w:t xml:space="preserve"> Yes</w:t>
      </w:r>
    </w:p>
    <w:p>
      <w:pPr>
        <w:spacing w:after="0" w:line="20" w:lineRule="exact"/>
        <w:rPr>
          <w:sz w:val="24"/>
          <w:szCs w:val="24"/>
          <w:color w:val="auto"/>
        </w:rPr>
      </w:pPr>
      <w:r>
        <w:rPr>
          <w:sz w:val="24"/>
          <w:szCs w:val="24"/>
          <w:color w:val="auto"/>
        </w:rPr>
        <w:br w:type="column"/>
      </w:r>
    </w:p>
    <w:p>
      <w:pPr>
        <w:spacing w:after="0" w:line="121" w:lineRule="exact"/>
        <w:rPr>
          <w:sz w:val="20"/>
          <w:szCs w:val="20"/>
          <w:color w:val="auto"/>
        </w:rPr>
      </w:pPr>
      <w:r>
        <w:rPr>
          <w:rFonts w:ascii="MS PGothic" w:cs="MS PGothic" w:eastAsia="MS PGothic" w:hAnsi="MS PGothic"/>
          <w:sz w:val="14"/>
          <w:szCs w:val="14"/>
          <w:color w:val="auto"/>
        </w:rPr>
        <w:t>☒</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6"/>
          <w:szCs w:val="16"/>
          <w:color w:val="auto"/>
        </w:rPr>
        <w:t>No</w:t>
      </w:r>
    </w:p>
    <w:p>
      <w:pPr>
        <w:spacing w:after="0" w:line="194" w:lineRule="exact"/>
        <w:rPr>
          <w:sz w:val="24"/>
          <w:szCs w:val="24"/>
          <w:color w:val="auto"/>
        </w:rPr>
      </w:pPr>
    </w:p>
    <w:p>
      <w:pPr>
        <w:sectPr>
          <w:pgSz w:w="11900" w:h="16838" w:orient="portrait"/>
          <w:cols w:equalWidth="0" w:num="4">
            <w:col w:w="8440" w:space="180"/>
            <w:col w:w="500" w:space="180"/>
            <w:col w:w="140" w:space="100"/>
            <w:col w:w="1880"/>
          </w:cols>
          <w:pgMar w:left="240" w:top="230" w:right="239" w:bottom="1440" w:gutter="0" w:footer="0" w:header="0"/>
          <w:type w:val="continuous"/>
        </w:sectPr>
      </w:pPr>
    </w:p>
    <w:p>
      <w:pPr>
        <w:ind w:left="460"/>
        <w:spacing w:after="0"/>
        <w:rPr>
          <w:sz w:val="20"/>
          <w:szCs w:val="20"/>
          <w:color w:val="auto"/>
        </w:rPr>
      </w:pPr>
      <w:r>
        <w:rPr>
          <w:rFonts w:ascii="Arial" w:cs="Arial" w:eastAsia="Arial" w:hAnsi="Arial"/>
          <w:sz w:val="15"/>
          <w:szCs w:val="15"/>
          <w:color w:val="auto"/>
        </w:rPr>
        <w:t>The number of common shares of the registrant outstanding as of May 28, 2015 was 517.6 million shares.</w:t>
      </w:r>
    </w:p>
    <w:p>
      <w:pPr>
        <w:sectPr>
          <w:pgSz w:w="11900" w:h="16838" w:orient="portrait"/>
          <w:cols w:equalWidth="0" w:num="1">
            <w:col w:w="11420"/>
          </w:cols>
          <w:pgMar w:left="240" w:top="230" w:right="239" w:bottom="1440" w:gutter="0" w:footer="0" w:header="0"/>
          <w:type w:val="continuous"/>
        </w:sectPr>
      </w:pPr>
    </w:p>
    <w:bookmarkStart w:id="1" w:name="page2"/>
    <w:bookmarkEnd w:id="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TABLE OF CONTENTS</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00" w:type="dxa"/>
            <w:vAlign w:val="bottom"/>
            <w:gridSpan w:val="9"/>
            <w:vMerge w:val="restart"/>
          </w:tcPr>
          <w:p>
            <w:pPr>
              <w:jc w:val="center"/>
              <w:ind w:right="2320"/>
              <w:spacing w:after="0"/>
              <w:rPr>
                <w:sz w:val="20"/>
                <w:szCs w:val="20"/>
                <w:color w:val="auto"/>
              </w:rPr>
            </w:pPr>
            <w:r>
              <w:rPr>
                <w:rFonts w:ascii="Arial" w:cs="Arial" w:eastAsia="Arial" w:hAnsi="Arial"/>
                <w:sz w:val="18"/>
                <w:szCs w:val="18"/>
                <w:b w:val="1"/>
                <w:bCs w:val="1"/>
                <w:color w:val="auto"/>
                <w:w w:val="99"/>
              </w:rPr>
              <w:t>PART I. FINANCIAL INFORMATION</w:t>
            </w:r>
          </w:p>
        </w:tc>
        <w:tc>
          <w:tcPr>
            <w:tcW w:w="28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77"/>
              </w:rPr>
              <w:t>Page</w:t>
            </w:r>
          </w:p>
        </w:tc>
        <w:tc>
          <w:tcPr>
            <w:tcW w:w="0" w:type="dxa"/>
            <w:vAlign w:val="bottom"/>
          </w:tcPr>
          <w:p>
            <w:pPr>
              <w:spacing w:after="0"/>
              <w:rPr>
                <w:sz w:val="1"/>
                <w:szCs w:val="1"/>
                <w:color w:val="auto"/>
              </w:rPr>
            </w:pPr>
          </w:p>
        </w:tc>
      </w:tr>
      <w:tr>
        <w:trPr>
          <w:trHeight w:val="188"/>
        </w:trPr>
        <w:tc>
          <w:tcPr>
            <w:tcW w:w="7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300" w:type="dxa"/>
            <w:vAlign w:val="bottom"/>
            <w:gridSpan w:val="9"/>
            <w:vMerge w:val="continue"/>
          </w:tcPr>
          <w:p>
            <w:pPr>
              <w:spacing w:after="0"/>
              <w:rPr>
                <w:sz w:val="16"/>
                <w:szCs w:val="16"/>
                <w:color w:val="auto"/>
              </w:rPr>
            </w:pPr>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4"/>
        </w:trPr>
        <w:tc>
          <w:tcPr>
            <w:tcW w:w="880" w:type="dxa"/>
            <w:vAlign w:val="bottom"/>
            <w:gridSpan w:val="2"/>
          </w:tcPr>
          <w:p>
            <w:pPr>
              <w:spacing w:after="0" w:line="184" w:lineRule="exact"/>
              <w:rPr>
                <w:sz w:val="20"/>
                <w:szCs w:val="20"/>
                <w:color w:val="auto"/>
              </w:rPr>
            </w:pPr>
            <w:r>
              <w:rPr>
                <w:rFonts w:ascii="Arial" w:cs="Arial" w:eastAsia="Arial" w:hAnsi="Arial"/>
                <w:sz w:val="18"/>
                <w:szCs w:val="18"/>
                <w:color w:val="auto"/>
              </w:rPr>
              <w:t>Item 1.</w:t>
            </w:r>
          </w:p>
        </w:tc>
        <w:tc>
          <w:tcPr>
            <w:tcW w:w="10040" w:type="dxa"/>
            <w:vAlign w:val="bottom"/>
            <w:gridSpan w:val="15"/>
          </w:tcPr>
          <w:p>
            <w:pPr>
              <w:spacing w:after="0" w:line="184" w:lineRule="exact"/>
              <w:rPr>
                <w:rFonts w:ascii="Arial" w:cs="Arial" w:eastAsia="Arial" w:hAnsi="Arial"/>
                <w:sz w:val="18"/>
                <w:szCs w:val="18"/>
                <w:color w:val="0000EE"/>
              </w:rPr>
            </w:pPr>
            <w:hyperlink w:anchor="page3">
              <w:r>
                <w:rPr>
                  <w:rFonts w:ascii="Arial" w:cs="Arial" w:eastAsia="Arial" w:hAnsi="Arial"/>
                  <w:sz w:val="18"/>
                  <w:szCs w:val="18"/>
                  <w:color w:val="0000EE"/>
                </w:rPr>
                <w:t>Financial Statements:</w:t>
              </w:r>
            </w:hyperlink>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15"/>
          </w:tcPr>
          <w:p>
            <w:pPr>
              <w:spacing w:after="0" w:line="196" w:lineRule="exact"/>
              <w:rPr>
                <w:rFonts w:ascii="Arial" w:cs="Arial" w:eastAsia="Arial" w:hAnsi="Arial"/>
                <w:sz w:val="18"/>
                <w:szCs w:val="18"/>
                <w:color w:val="0000EE"/>
              </w:rPr>
            </w:pPr>
            <w:hyperlink w:anchor="page3">
              <w:r>
                <w:rPr>
                  <w:rFonts w:ascii="Arial" w:cs="Arial" w:eastAsia="Arial" w:hAnsi="Arial"/>
                  <w:sz w:val="18"/>
                  <w:szCs w:val="18"/>
                  <w:color w:val="0000EE"/>
                </w:rPr>
                <w:t>Unaudited Condensed Consolidated Balance Sheets as of May 2, 2015 and January 31, 2015</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15"/>
          </w:tcPr>
          <w:p>
            <w:pPr>
              <w:spacing w:after="0" w:line="196" w:lineRule="exact"/>
              <w:rPr>
                <w:rFonts w:ascii="Arial" w:cs="Arial" w:eastAsia="Arial" w:hAnsi="Arial"/>
                <w:sz w:val="18"/>
                <w:szCs w:val="18"/>
                <w:color w:val="0000EE"/>
              </w:rPr>
            </w:pPr>
            <w:hyperlink w:anchor="page4">
              <w:r>
                <w:rPr>
                  <w:rFonts w:ascii="Arial" w:cs="Arial" w:eastAsia="Arial" w:hAnsi="Arial"/>
                  <w:sz w:val="18"/>
                  <w:szCs w:val="18"/>
                  <w:color w:val="0000EE"/>
                </w:rPr>
                <w:t>Unaudited Condensed Consolidated Statements of Operations for the three months ended May 2, 2015 and May 3,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25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1620" w:type="dxa"/>
            <w:vAlign w:val="bottom"/>
            <w:shd w:val="clear" w:color="auto" w:fill="0000EE"/>
          </w:tcPr>
          <w:p>
            <w:pPr>
              <w:spacing w:after="0" w:line="20" w:lineRule="exact"/>
              <w:rPr>
                <w:sz w:val="1"/>
                <w:szCs w:val="1"/>
                <w:color w:val="auto"/>
              </w:rPr>
            </w:pPr>
          </w:p>
        </w:tc>
        <w:tc>
          <w:tcPr>
            <w:tcW w:w="2140" w:type="dxa"/>
            <w:vAlign w:val="bottom"/>
            <w:gridSpan w:val="2"/>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0040" w:type="dxa"/>
            <w:vAlign w:val="bottom"/>
            <w:gridSpan w:val="15"/>
          </w:tcPr>
          <w:p>
            <w:pPr>
              <w:spacing w:after="0" w:line="196" w:lineRule="exact"/>
              <w:rPr>
                <w:rFonts w:ascii="Arial" w:cs="Arial" w:eastAsia="Arial" w:hAnsi="Arial"/>
                <w:sz w:val="18"/>
                <w:szCs w:val="18"/>
                <w:color w:val="0000EE"/>
                <w:w w:val="94"/>
              </w:rPr>
            </w:pPr>
            <w:hyperlink w:anchor="page5">
              <w:r>
                <w:rPr>
                  <w:rFonts w:ascii="Arial" w:cs="Arial" w:eastAsia="Arial" w:hAnsi="Arial"/>
                  <w:sz w:val="18"/>
                  <w:szCs w:val="18"/>
                  <w:color w:val="0000EE"/>
                  <w:w w:val="94"/>
                </w:rPr>
                <w:t>Unaudited Condensed Consolidated Statements of Comprehensive Income for the three months ended May 2, 2015 and May 3, 2014</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340" w:type="dxa"/>
            <w:vAlign w:val="bottom"/>
            <w:tcBorders>
              <w:top w:val="single" w:sz="8" w:color="0000EE"/>
            </w:tcBorders>
            <w:gridSpan w:val="14"/>
          </w:tcPr>
          <w:p>
            <w:pPr>
              <w:spacing w:after="0" w:line="196" w:lineRule="exact"/>
              <w:rPr>
                <w:rFonts w:ascii="Arial" w:cs="Arial" w:eastAsia="Arial" w:hAnsi="Arial"/>
                <w:sz w:val="18"/>
                <w:szCs w:val="18"/>
                <w:color w:val="0000EE"/>
                <w:w w:val="96"/>
              </w:rPr>
            </w:pPr>
            <w:hyperlink w:anchor="page6">
              <w:r>
                <w:rPr>
                  <w:rFonts w:ascii="Arial" w:cs="Arial" w:eastAsia="Arial" w:hAnsi="Arial"/>
                  <w:sz w:val="18"/>
                  <w:szCs w:val="18"/>
                  <w:color w:val="0000EE"/>
                  <w:w w:val="96"/>
                </w:rPr>
                <w:t>Unaudited Condensed Consolidated Statements of Cash Flows for the three months ended May 2, 2015 and May 3, 2014</w:t>
              </w:r>
            </w:hyperlink>
          </w:p>
        </w:tc>
        <w:tc>
          <w:tcPr>
            <w:tcW w:w="7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4680" w:type="dxa"/>
            <w:vAlign w:val="bottom"/>
            <w:tcBorders>
              <w:top w:val="single" w:sz="8" w:color="0000EE"/>
              <w:bottom w:val="single" w:sz="8" w:color="0000EE"/>
            </w:tcBorders>
            <w:gridSpan w:val="9"/>
          </w:tcPr>
          <w:p>
            <w:pPr>
              <w:spacing w:after="0" w:line="196" w:lineRule="exact"/>
              <w:rPr>
                <w:rFonts w:ascii="Arial" w:cs="Arial" w:eastAsia="Arial" w:hAnsi="Arial"/>
                <w:sz w:val="18"/>
                <w:szCs w:val="18"/>
                <w:color w:val="0000EE"/>
                <w:w w:val="87"/>
              </w:rPr>
            </w:pPr>
            <w:hyperlink w:anchor="page7">
              <w:r>
                <w:rPr>
                  <w:rFonts w:ascii="Arial" w:cs="Arial" w:eastAsia="Arial" w:hAnsi="Arial"/>
                  <w:sz w:val="18"/>
                  <w:szCs w:val="18"/>
                  <w:color w:val="0000EE"/>
                  <w:w w:val="87"/>
                </w:rPr>
                <w:t>Notes to Unaudited Condensed Consolidated Financial Statements</w:t>
              </w:r>
            </w:hyperlink>
          </w:p>
        </w:tc>
        <w:tc>
          <w:tcPr>
            <w:tcW w:w="3820" w:type="dxa"/>
            <w:vAlign w:val="bottom"/>
            <w:tcBorders>
              <w:top w:val="single" w:sz="8" w:color="0000EE"/>
            </w:tcBorders>
            <w:gridSpan w:val="4"/>
          </w:tcPr>
          <w:p>
            <w:pPr>
              <w:spacing w:after="0"/>
              <w:rPr>
                <w:sz w:val="17"/>
                <w:szCs w:val="17"/>
                <w:color w:val="auto"/>
              </w:rPr>
            </w:pPr>
          </w:p>
        </w:tc>
        <w:tc>
          <w:tcPr>
            <w:tcW w:w="154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15"/>
          </w:tcPr>
          <w:p>
            <w:pPr>
              <w:spacing w:after="0" w:line="196" w:lineRule="exact"/>
              <w:rPr>
                <w:rFonts w:ascii="Arial" w:cs="Arial" w:eastAsia="Arial" w:hAnsi="Arial"/>
                <w:sz w:val="18"/>
                <w:szCs w:val="18"/>
                <w:color w:val="0000EE"/>
              </w:rPr>
            </w:pPr>
            <w:hyperlink w:anchor="page27">
              <w:r>
                <w:rPr>
                  <w:rFonts w:ascii="Arial" w:cs="Arial" w:eastAsia="Arial" w:hAnsi="Arial"/>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3.</w:t>
            </w:r>
          </w:p>
        </w:tc>
        <w:tc>
          <w:tcPr>
            <w:tcW w:w="4260" w:type="dxa"/>
            <w:vAlign w:val="bottom"/>
            <w:tcBorders>
              <w:top w:val="single" w:sz="8" w:color="0000EE"/>
              <w:bottom w:val="single" w:sz="8" w:color="0000EE"/>
            </w:tcBorders>
            <w:gridSpan w:val="8"/>
          </w:tcPr>
          <w:p>
            <w:pPr>
              <w:spacing w:after="0" w:line="196" w:lineRule="exact"/>
              <w:rPr>
                <w:rFonts w:ascii="Arial" w:cs="Arial" w:eastAsia="Arial" w:hAnsi="Arial"/>
                <w:sz w:val="18"/>
                <w:szCs w:val="18"/>
                <w:color w:val="0000EE"/>
                <w:w w:val="89"/>
              </w:rPr>
            </w:pPr>
            <w:hyperlink w:anchor="page36">
              <w:r>
                <w:rPr>
                  <w:rFonts w:ascii="Arial" w:cs="Arial" w:eastAsia="Arial" w:hAnsi="Arial"/>
                  <w:sz w:val="18"/>
                  <w:szCs w:val="18"/>
                  <w:color w:val="0000EE"/>
                  <w:w w:val="89"/>
                </w:rPr>
                <w:t>Quantitative and Qualitative Disclosures About Market Risk</w:t>
              </w:r>
            </w:hyperlink>
          </w:p>
        </w:tc>
        <w:tc>
          <w:tcPr>
            <w:tcW w:w="2040" w:type="dxa"/>
            <w:vAlign w:val="bottom"/>
            <w:tcBorders>
              <w:top w:val="single" w:sz="8" w:color="0000EE"/>
            </w:tcBorders>
            <w:gridSpan w:val="2"/>
          </w:tcPr>
          <w:p>
            <w:pPr>
              <w:spacing w:after="0"/>
              <w:rPr>
                <w:sz w:val="17"/>
                <w:szCs w:val="17"/>
                <w:color w:val="auto"/>
              </w:rPr>
            </w:pPr>
          </w:p>
        </w:tc>
        <w:tc>
          <w:tcPr>
            <w:tcW w:w="374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36</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4.</w:t>
            </w:r>
          </w:p>
        </w:tc>
        <w:tc>
          <w:tcPr>
            <w:tcW w:w="10040" w:type="dxa"/>
            <w:vAlign w:val="bottom"/>
            <w:gridSpan w:val="15"/>
          </w:tcPr>
          <w:p>
            <w:pPr>
              <w:spacing w:after="0" w:line="196" w:lineRule="exact"/>
              <w:rPr>
                <w:rFonts w:ascii="Arial" w:cs="Arial" w:eastAsia="Arial" w:hAnsi="Arial"/>
                <w:sz w:val="18"/>
                <w:szCs w:val="18"/>
                <w:color w:val="0000EE"/>
              </w:rPr>
            </w:pPr>
            <w:hyperlink w:anchor="page37">
              <w:r>
                <w:rPr>
                  <w:rFonts w:ascii="Arial" w:cs="Arial" w:eastAsia="Arial" w:hAnsi="Arial"/>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228"/>
        </w:trPr>
        <w:tc>
          <w:tcPr>
            <w:tcW w:w="7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80" w:type="dxa"/>
            <w:vAlign w:val="bottom"/>
            <w:tcBorders>
              <w:top w:val="single" w:sz="8" w:color="0000EE"/>
            </w:tcBorders>
          </w:tcPr>
          <w:p>
            <w:pPr>
              <w:spacing w:after="0"/>
              <w:rPr>
                <w:sz w:val="19"/>
                <w:szCs w:val="19"/>
                <w:color w:val="auto"/>
              </w:rPr>
            </w:pPr>
          </w:p>
        </w:tc>
        <w:tc>
          <w:tcPr>
            <w:tcW w:w="520" w:type="dxa"/>
            <w:vAlign w:val="bottom"/>
            <w:tcBorders>
              <w:top w:val="single" w:sz="8" w:color="0000EE"/>
            </w:tcBorders>
          </w:tcPr>
          <w:p>
            <w:pPr>
              <w:spacing w:after="0"/>
              <w:rPr>
                <w:sz w:val="19"/>
                <w:szCs w:val="19"/>
                <w:color w:val="auto"/>
              </w:rPr>
            </w:pPr>
          </w:p>
        </w:tc>
        <w:tc>
          <w:tcPr>
            <w:tcW w:w="280" w:type="dxa"/>
            <w:vAlign w:val="bottom"/>
            <w:tcBorders>
              <w:top w:val="single" w:sz="8" w:color="0000EE"/>
            </w:tcBorders>
          </w:tcPr>
          <w:p>
            <w:pPr>
              <w:spacing w:after="0"/>
              <w:rPr>
                <w:sz w:val="19"/>
                <w:szCs w:val="19"/>
                <w:color w:val="auto"/>
              </w:rPr>
            </w:pPr>
          </w:p>
        </w:tc>
        <w:tc>
          <w:tcPr>
            <w:tcW w:w="420" w:type="dxa"/>
            <w:vAlign w:val="bottom"/>
            <w:tcBorders>
              <w:top w:val="single" w:sz="8" w:color="0000EE"/>
            </w:tcBorders>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8300" w:type="dxa"/>
            <w:vAlign w:val="bottom"/>
            <w:gridSpan w:val="9"/>
          </w:tcPr>
          <w:p>
            <w:pPr>
              <w:jc w:val="center"/>
              <w:ind w:right="2320"/>
              <w:spacing w:after="0"/>
              <w:rPr>
                <w:sz w:val="20"/>
                <w:szCs w:val="20"/>
                <w:color w:val="auto"/>
              </w:rPr>
            </w:pPr>
            <w:r>
              <w:rPr>
                <w:rFonts w:ascii="Arial" w:cs="Arial" w:eastAsia="Arial" w:hAnsi="Arial"/>
                <w:sz w:val="18"/>
                <w:szCs w:val="18"/>
                <w:b w:val="1"/>
                <w:bCs w:val="1"/>
                <w:color w:val="auto"/>
              </w:rPr>
              <w:t>PART II. OTHER INFORMATION</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84"/>
        </w:trPr>
        <w:tc>
          <w:tcPr>
            <w:tcW w:w="880" w:type="dxa"/>
            <w:vAlign w:val="bottom"/>
            <w:gridSpan w:val="2"/>
          </w:tcPr>
          <w:p>
            <w:pPr>
              <w:spacing w:after="0" w:line="184" w:lineRule="exact"/>
              <w:rPr>
                <w:sz w:val="20"/>
                <w:szCs w:val="20"/>
                <w:color w:val="auto"/>
              </w:rPr>
            </w:pPr>
            <w:r>
              <w:rPr>
                <w:rFonts w:ascii="Arial" w:cs="Arial" w:eastAsia="Arial" w:hAnsi="Arial"/>
                <w:sz w:val="18"/>
                <w:szCs w:val="18"/>
                <w:color w:val="auto"/>
              </w:rPr>
              <w:t>Item 1.</w:t>
            </w:r>
          </w:p>
        </w:tc>
        <w:tc>
          <w:tcPr>
            <w:tcW w:w="10040" w:type="dxa"/>
            <w:vAlign w:val="bottom"/>
            <w:gridSpan w:val="15"/>
          </w:tcPr>
          <w:p>
            <w:pPr>
              <w:spacing w:after="0" w:line="184" w:lineRule="exact"/>
              <w:rPr>
                <w:rFonts w:ascii="Arial" w:cs="Arial" w:eastAsia="Arial" w:hAnsi="Arial"/>
                <w:sz w:val="18"/>
                <w:szCs w:val="18"/>
                <w:color w:val="0000EE"/>
              </w:rPr>
            </w:pPr>
            <w:hyperlink w:anchor="page39">
              <w:r>
                <w:rPr>
                  <w:rFonts w:ascii="Arial" w:cs="Arial" w:eastAsia="Arial" w:hAnsi="Arial"/>
                  <w:sz w:val="18"/>
                  <w:szCs w:val="18"/>
                  <w:color w:val="0000EE"/>
                </w:rPr>
                <w:t>Legal Proceedings</w:t>
              </w:r>
            </w:hyperlink>
          </w:p>
        </w:tc>
        <w:tc>
          <w:tcPr>
            <w:tcW w:w="280" w:type="dxa"/>
            <w:vAlign w:val="bottom"/>
          </w:tcPr>
          <w:p>
            <w:pPr>
              <w:jc w:val="right"/>
              <w:spacing w:after="0" w:line="184"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1A.</w:t>
            </w:r>
          </w:p>
        </w:tc>
        <w:tc>
          <w:tcPr>
            <w:tcW w:w="1300" w:type="dxa"/>
            <w:vAlign w:val="bottom"/>
            <w:tcBorders>
              <w:top w:val="single" w:sz="8" w:color="0000EE"/>
            </w:tcBorders>
            <w:gridSpan w:val="4"/>
          </w:tcPr>
          <w:p>
            <w:pPr>
              <w:spacing w:after="0" w:line="196" w:lineRule="exact"/>
              <w:rPr>
                <w:rFonts w:ascii="Arial" w:cs="Arial" w:eastAsia="Arial" w:hAnsi="Arial"/>
                <w:sz w:val="18"/>
                <w:szCs w:val="18"/>
                <w:color w:val="0000EE"/>
              </w:rPr>
            </w:pPr>
            <w:hyperlink w:anchor="page39">
              <w:r>
                <w:rPr>
                  <w:rFonts w:ascii="Arial" w:cs="Arial" w:eastAsia="Arial" w:hAnsi="Arial"/>
                  <w:sz w:val="18"/>
                  <w:szCs w:val="18"/>
                  <w:color w:val="0000EE"/>
                </w:rPr>
                <w:t>Risk Factors</w:t>
              </w:r>
            </w:hyperlink>
          </w:p>
        </w:tc>
        <w:tc>
          <w:tcPr>
            <w:tcW w:w="8740" w:type="dxa"/>
            <w:vAlign w:val="bottom"/>
            <w:gridSpan w:val="11"/>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52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4"/>
          </w:tcPr>
          <w:p>
            <w:pPr>
              <w:spacing w:after="0" w:line="20" w:lineRule="exact"/>
              <w:rPr>
                <w:sz w:val="1"/>
                <w:szCs w:val="1"/>
                <w:color w:val="auto"/>
              </w:rPr>
            </w:pPr>
          </w:p>
        </w:tc>
        <w:tc>
          <w:tcPr>
            <w:tcW w:w="580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2.</w:t>
            </w:r>
          </w:p>
        </w:tc>
        <w:tc>
          <w:tcPr>
            <w:tcW w:w="10040" w:type="dxa"/>
            <w:vAlign w:val="bottom"/>
            <w:gridSpan w:val="15"/>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sz w:val="20"/>
                <w:szCs w:val="20"/>
                <w:color w:val="auto"/>
              </w:rPr>
            </w:pPr>
            <w:r>
              <w:rPr>
                <w:rFonts w:ascii="Arial" w:cs="Arial" w:eastAsia="Arial" w:hAnsi="Arial"/>
                <w:sz w:val="18"/>
                <w:szCs w:val="18"/>
                <w:color w:val="auto"/>
              </w:rPr>
              <w:t>Item 6.</w:t>
            </w:r>
          </w:p>
        </w:tc>
        <w:tc>
          <w:tcPr>
            <w:tcW w:w="4240" w:type="dxa"/>
            <w:vAlign w:val="bottom"/>
            <w:tcBorders>
              <w:top w:val="single" w:sz="8" w:color="0000EE"/>
            </w:tcBorders>
            <w:gridSpan w:val="7"/>
          </w:tcPr>
          <w:p>
            <w:pPr>
              <w:spacing w:after="0" w:line="196" w:lineRule="exact"/>
              <w:rPr>
                <w:rFonts w:ascii="Arial" w:cs="Arial" w:eastAsia="Arial" w:hAnsi="Arial"/>
                <w:sz w:val="18"/>
                <w:szCs w:val="18"/>
                <w:color w:val="0000EE"/>
              </w:rPr>
            </w:pPr>
            <w:hyperlink w:anchor="page53">
              <w:r>
                <w:rPr>
                  <w:rFonts w:ascii="Arial" w:cs="Arial" w:eastAsia="Arial" w:hAnsi="Arial"/>
                  <w:sz w:val="18"/>
                  <w:szCs w:val="18"/>
                  <w:color w:val="0000EE"/>
                </w:rPr>
                <w:t>Exhibits</w:t>
              </w:r>
            </w:hyperlink>
          </w:p>
        </w:tc>
        <w:tc>
          <w:tcPr>
            <w:tcW w:w="5800" w:type="dxa"/>
            <w:vAlign w:val="bottom"/>
            <w:gridSpan w:val="8"/>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53</w:t>
            </w:r>
          </w:p>
        </w:tc>
        <w:tc>
          <w:tcPr>
            <w:tcW w:w="0" w:type="dxa"/>
            <w:vAlign w:val="bottom"/>
          </w:tcPr>
          <w:p>
            <w:pPr>
              <w:spacing w:after="0"/>
              <w:rPr>
                <w:sz w:val="1"/>
                <w:szCs w:val="1"/>
                <w:color w:val="auto"/>
              </w:rPr>
            </w:pPr>
          </w:p>
        </w:tc>
      </w:tr>
      <w:tr>
        <w:trPr>
          <w:trHeight w:val="196"/>
        </w:trPr>
        <w:tc>
          <w:tcPr>
            <w:tcW w:w="880" w:type="dxa"/>
            <w:vAlign w:val="bottom"/>
            <w:gridSpan w:val="2"/>
          </w:tcPr>
          <w:p>
            <w:pPr>
              <w:spacing w:after="0" w:line="196" w:lineRule="exact"/>
              <w:rPr>
                <w:rFonts w:ascii="Arial" w:cs="Arial" w:eastAsia="Arial" w:hAnsi="Arial"/>
                <w:sz w:val="18"/>
                <w:szCs w:val="18"/>
                <w:color w:val="0000EE"/>
                <w:w w:val="99"/>
              </w:rPr>
            </w:pPr>
            <w:hyperlink w:anchor="page54">
              <w:r>
                <w:rPr>
                  <w:rFonts w:ascii="Arial" w:cs="Arial" w:eastAsia="Arial" w:hAnsi="Arial"/>
                  <w:sz w:val="18"/>
                  <w:szCs w:val="18"/>
                  <w:color w:val="0000EE"/>
                  <w:w w:val="99"/>
                </w:rPr>
                <w:t>Signatures</w:t>
              </w:r>
            </w:hyperlink>
          </w:p>
        </w:tc>
        <w:tc>
          <w:tcPr>
            <w:tcW w:w="80" w:type="dxa"/>
            <w:vAlign w:val="bottom"/>
            <w:tcBorders>
              <w:top w:val="single" w:sz="8" w:color="0000EE"/>
            </w:tcBorders>
          </w:tcPr>
          <w:p>
            <w:pPr>
              <w:spacing w:after="0"/>
              <w:rPr>
                <w:sz w:val="17"/>
                <w:szCs w:val="17"/>
                <w:color w:val="auto"/>
              </w:rPr>
            </w:pPr>
          </w:p>
        </w:tc>
        <w:tc>
          <w:tcPr>
            <w:tcW w:w="52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5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194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54</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14"/>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17"/>
          </w:tcPr>
          <w:p>
            <w:pPr>
              <w:spacing w:after="0" w:line="196" w:lineRule="exact"/>
              <w:rPr>
                <w:rFonts w:ascii="Arial" w:cs="Arial" w:eastAsia="Arial" w:hAnsi="Arial"/>
                <w:sz w:val="18"/>
                <w:szCs w:val="18"/>
                <w:color w:val="0000EE"/>
              </w:rPr>
            </w:pPr>
            <w:hyperlink w:anchor="page55">
              <w:r>
                <w:rPr>
                  <w:rFonts w:ascii="Arial" w:cs="Arial" w:eastAsia="Arial" w:hAnsi="Arial"/>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Arial" w:cs="Arial" w:eastAsia="Arial" w:hAnsi="Arial"/>
                <w:sz w:val="18"/>
                <w:szCs w:val="18"/>
                <w:color w:val="auto"/>
              </w:rPr>
              <w:t>55</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220" w:type="dxa"/>
            <w:vAlign w:val="bottom"/>
            <w:gridSpan w:val="9"/>
          </w:tcPr>
          <w:p>
            <w:pPr>
              <w:jc w:val="right"/>
              <w:ind w:right="1420"/>
              <w:spacing w:after="0"/>
              <w:rPr>
                <w:sz w:val="20"/>
                <w:szCs w:val="20"/>
                <w:color w:val="auto"/>
              </w:rPr>
            </w:pPr>
            <w:r>
              <w:rPr>
                <w:rFonts w:ascii="Arial" w:cs="Arial" w:eastAsia="Arial" w:hAnsi="Arial"/>
                <w:sz w:val="18"/>
                <w:szCs w:val="18"/>
                <w:color w:val="auto"/>
              </w:rPr>
              <w:t>2</w:t>
            </w:r>
          </w:p>
        </w:tc>
        <w:tc>
          <w:tcPr>
            <w:tcW w:w="20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9" w:right="459" w:bottom="1440" w:gutter="0" w:footer="0" w:header="0"/>
        </w:sectPr>
      </w:pPr>
    </w:p>
    <w:bookmarkStart w:id="2" w:name="page3"/>
    <w:bookmarkEnd w:id="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18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88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14"/>
              <w:spacing w:after="0"/>
              <w:rPr>
                <w:sz w:val="20"/>
                <w:szCs w:val="20"/>
                <w:color w:val="auto"/>
              </w:rPr>
            </w:pPr>
            <w:r>
              <w:rPr>
                <w:rFonts w:ascii="Arial" w:cs="Arial" w:eastAsia="Arial" w:hAnsi="Arial"/>
                <w:sz w:val="14"/>
                <w:szCs w:val="14"/>
                <w:b w:val="1"/>
                <w:bCs w:val="1"/>
                <w:color w:val="auto"/>
              </w:rPr>
              <w:t>May 2,</w:t>
            </w:r>
          </w:p>
        </w:tc>
        <w:tc>
          <w:tcPr>
            <w:tcW w:w="300" w:type="dxa"/>
            <w:vAlign w:val="bottom"/>
          </w:tcPr>
          <w:p>
            <w:pPr>
              <w:spacing w:after="0"/>
              <w:rPr>
                <w:sz w:val="14"/>
                <w:szCs w:val="14"/>
                <w:color w:val="auto"/>
              </w:rPr>
            </w:pPr>
          </w:p>
        </w:tc>
        <w:tc>
          <w:tcPr>
            <w:tcW w:w="1020" w:type="dxa"/>
            <w:vAlign w:val="bottom"/>
            <w:gridSpan w:val="3"/>
          </w:tcPr>
          <w:p>
            <w:pPr>
              <w:ind w:left="6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61"/>
        </w:trPr>
        <w:tc>
          <w:tcPr>
            <w:tcW w:w="7880" w:type="dxa"/>
            <w:vAlign w:val="bottom"/>
            <w:tcBorders>
              <w:bottom w:val="single" w:sz="8" w:color="CCEEFF"/>
            </w:tcBorders>
          </w:tcPr>
          <w:p>
            <w:pPr>
              <w:spacing w:after="0"/>
              <w:rPr>
                <w:sz w:val="14"/>
                <w:szCs w:val="14"/>
                <w:color w:val="auto"/>
              </w:rPr>
            </w:pPr>
          </w:p>
        </w:tc>
        <w:tc>
          <w:tcPr>
            <w:tcW w:w="14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880" w:type="dxa"/>
            <w:vAlign w:val="bottom"/>
            <w:shd w:val="clear" w:color="auto" w:fill="CCEEFF"/>
          </w:tcPr>
          <w:p>
            <w:pPr>
              <w:ind w:left="5280"/>
              <w:spacing w:after="0" w:line="196" w:lineRule="exact"/>
              <w:rPr>
                <w:sz w:val="20"/>
                <w:szCs w:val="20"/>
                <w:color w:val="auto"/>
              </w:rPr>
            </w:pPr>
            <w:r>
              <w:rPr>
                <w:rFonts w:ascii="Arial" w:cs="Arial" w:eastAsia="Arial" w:hAnsi="Arial"/>
                <w:sz w:val="18"/>
                <w:szCs w:val="18"/>
                <w:b w:val="1"/>
                <w:bCs w:val="1"/>
                <w:color w:val="auto"/>
              </w:rPr>
              <w:t>ASSETS</w:t>
            </w:r>
          </w:p>
        </w:tc>
        <w:tc>
          <w:tcPr>
            <w:tcW w:w="1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Current assets: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Cash and cash equivalents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1,038,731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1,210,977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Short-term investments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1,462,184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Accounts receivable,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393,814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420,955</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Inventories</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339,859</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308,162</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Prepaid expenses and other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73,563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68,140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ind w:left="440"/>
              <w:spacing w:after="0"/>
              <w:rPr>
                <w:sz w:val="20"/>
                <w:szCs w:val="20"/>
                <w:color w:val="auto"/>
              </w:rPr>
            </w:pPr>
            <w:r>
              <w:rPr>
                <w:rFonts w:ascii="Arial" w:cs="Arial" w:eastAsia="Arial" w:hAnsi="Arial"/>
                <w:sz w:val="18"/>
                <w:szCs w:val="18"/>
                <w:color w:val="auto"/>
              </w:rPr>
              <w:t>Deferred income taxes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17,588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17,228</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current assets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3,325,739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3,344,040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Property and equipment, net</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325,754</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340,639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10,111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Goodwill</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2,029,945</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Acquired intangible assets, net</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27,645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30,698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122,855</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128,839</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assets</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5,842,049</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vMerge w:val="restart"/>
          </w:tcPr>
          <w:p>
            <w:pPr>
              <w:ind w:left="2640"/>
              <w:spacing w:after="0"/>
              <w:rPr>
                <w:sz w:val="20"/>
                <w:szCs w:val="20"/>
                <w:color w:val="auto"/>
              </w:rPr>
            </w:pPr>
            <w:r>
              <w:rPr>
                <w:rFonts w:ascii="Arial" w:cs="Arial" w:eastAsia="Arial" w:hAnsi="Arial"/>
                <w:sz w:val="18"/>
                <w:szCs w:val="18"/>
                <w:b w:val="1"/>
                <w:bCs w:val="1"/>
                <w:color w:val="auto"/>
              </w:rPr>
              <w:t>LIABILITIES AND SHAREHOLDERS’ EQUITY</w:t>
            </w: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880" w:type="dxa"/>
            <w:vAlign w:val="bottom"/>
            <w:vMerge w:val="continue"/>
          </w:tcPr>
          <w:p>
            <w:pPr>
              <w:spacing w:after="0"/>
              <w:rPr>
                <w:sz w:val="18"/>
                <w:szCs w:val="18"/>
                <w:color w:val="auto"/>
              </w:rPr>
            </w:pP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Current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Accounts payable</w:t>
            </w:r>
          </w:p>
        </w:tc>
        <w:tc>
          <w:tcPr>
            <w:tcW w:w="1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297,050</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282,899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Accrued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117,800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Accrued employee compensation</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140,545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154,969</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Deferred income</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61,093</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68,120</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788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1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616,488</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637,376</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Non-current income taxes payable</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66,021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68,729</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880" w:type="dxa"/>
            <w:vAlign w:val="bottom"/>
          </w:tcPr>
          <w:p>
            <w:pPr>
              <w:spacing w:after="0"/>
              <w:rPr>
                <w:sz w:val="20"/>
                <w:szCs w:val="20"/>
                <w:color w:val="auto"/>
              </w:rPr>
            </w:pPr>
            <w:r>
              <w:rPr>
                <w:rFonts w:ascii="Arial" w:cs="Arial" w:eastAsia="Arial" w:hAnsi="Arial"/>
                <w:sz w:val="18"/>
                <w:szCs w:val="18"/>
                <w:color w:val="auto"/>
              </w:rPr>
              <w:t>Other non-current liabilities</w:t>
            </w:r>
          </w:p>
        </w:tc>
        <w:tc>
          <w:tcPr>
            <w:tcW w:w="1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28,268</w:t>
            </w:r>
          </w:p>
        </w:tc>
        <w:tc>
          <w:tcPr>
            <w:tcW w:w="3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32,193</w:t>
            </w:r>
          </w:p>
        </w:tc>
        <w:tc>
          <w:tcPr>
            <w:tcW w:w="2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710,777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738,298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spacing w:after="0"/>
              <w:rPr>
                <w:sz w:val="20"/>
                <w:szCs w:val="20"/>
                <w:color w:val="auto"/>
              </w:rPr>
            </w:pPr>
            <w:r>
              <w:rPr>
                <w:rFonts w:ascii="Arial" w:cs="Arial" w:eastAsia="Arial" w:hAnsi="Arial"/>
                <w:sz w:val="18"/>
                <w:szCs w:val="18"/>
                <w:color w:val="auto"/>
              </w:rPr>
              <w:t>Commitments and contingencies (Note 10)</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spacing w:after="0"/>
              <w:rPr>
                <w:sz w:val="20"/>
                <w:szCs w:val="20"/>
                <w:color w:val="auto"/>
              </w:rPr>
            </w:pPr>
            <w:r>
              <w:rPr>
                <w:rFonts w:ascii="Arial" w:cs="Arial" w:eastAsia="Arial" w:hAnsi="Arial"/>
                <w:sz w:val="18"/>
                <w:szCs w:val="18"/>
                <w:color w:val="auto"/>
              </w:rPr>
              <w:t>Shareholders’ equity:</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Common shares, $0.002 par value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1,036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1,030</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Additional paid-in capital</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3,101,773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3,099,548</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tcPr>
          <w:p>
            <w:pPr>
              <w:ind w:left="440"/>
              <w:spacing w:after="0"/>
              <w:rPr>
                <w:sz w:val="20"/>
                <w:szCs w:val="20"/>
                <w:color w:val="auto"/>
              </w:rPr>
            </w:pPr>
            <w:r>
              <w:rPr>
                <w:rFonts w:ascii="Arial" w:cs="Arial" w:eastAsia="Arial" w:hAnsi="Arial"/>
                <w:sz w:val="18"/>
                <w:szCs w:val="18"/>
                <w:color w:val="auto"/>
              </w:rPr>
              <w:t>Accumulated other comprehensive income</w:t>
            </w:r>
          </w:p>
        </w:tc>
        <w:tc>
          <w:tcPr>
            <w:tcW w:w="1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80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308</w:t>
            </w:r>
          </w:p>
        </w:tc>
        <w:tc>
          <w:tcPr>
            <w:tcW w:w="2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Retained earnings</w:t>
            </w:r>
          </w:p>
        </w:tc>
        <w:tc>
          <w:tcPr>
            <w:tcW w:w="14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2,028,383</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2,045,203</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880" w:type="dxa"/>
            <w:vAlign w:val="bottom"/>
          </w:tcPr>
          <w:p>
            <w:pPr>
              <w:ind w:left="880"/>
              <w:spacing w:after="0"/>
              <w:rPr>
                <w:sz w:val="20"/>
                <w:szCs w:val="20"/>
                <w:color w:val="auto"/>
              </w:rPr>
            </w:pPr>
            <w:r>
              <w:rPr>
                <w:rFonts w:ascii="Arial" w:cs="Arial" w:eastAsia="Arial" w:hAnsi="Arial"/>
                <w:sz w:val="18"/>
                <w:szCs w:val="18"/>
                <w:color w:val="auto"/>
              </w:rPr>
              <w:t>Total shareholders’ equity</w:t>
            </w:r>
          </w:p>
        </w:tc>
        <w:tc>
          <w:tcPr>
            <w:tcW w:w="14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5,131,272</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4"/>
              </w:rPr>
              <w:t>5,146,089</w:t>
            </w:r>
          </w:p>
        </w:tc>
        <w:tc>
          <w:tcPr>
            <w:tcW w:w="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880" w:type="dxa"/>
            <w:vAlign w:val="bottom"/>
            <w:shd w:val="clear" w:color="auto" w:fill="CCEEFF"/>
          </w:tcPr>
          <w:p>
            <w:pPr>
              <w:ind w:left="880"/>
              <w:spacing w:after="0"/>
              <w:rPr>
                <w:sz w:val="20"/>
                <w:szCs w:val="20"/>
                <w:color w:val="auto"/>
              </w:rPr>
            </w:pPr>
            <w:r>
              <w:rPr>
                <w:rFonts w:ascii="Arial" w:cs="Arial" w:eastAsia="Arial" w:hAnsi="Arial"/>
                <w:sz w:val="18"/>
                <w:szCs w:val="18"/>
                <w:color w:val="auto"/>
              </w:rPr>
              <w:t>Total liabilities and shareholders’ equity</w:t>
            </w:r>
          </w:p>
        </w:tc>
        <w:tc>
          <w:tcPr>
            <w:tcW w:w="1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5,842,049</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5,884,387</w:t>
            </w:r>
          </w:p>
        </w:tc>
        <w:tc>
          <w:tcPr>
            <w:tcW w:w="2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88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459" w:right="239"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520"/>
        <w:spacing w:after="0" w:line="262" w:lineRule="auto"/>
        <w:rPr>
          <w:sz w:val="20"/>
          <w:szCs w:val="20"/>
          <w:color w:val="auto"/>
        </w:rPr>
      </w:pPr>
      <w:r>
        <w:rPr>
          <w:rFonts w:ascii="Arial" w:cs="Arial" w:eastAsia="Arial" w:hAnsi="Arial"/>
          <w:sz w:val="18"/>
          <w:szCs w:val="18"/>
          <w:b w:val="1"/>
          <w:bCs w:val="1"/>
          <w:color w:val="auto"/>
        </w:rPr>
        <w:t>MARVELL TECHNOLOGY GROUP LTD. UNAUDITED CONDENSED CONSOLIDATED STATEMENTS OF OPERATIONS (In thousands, except per share amounts)</w:t>
      </w:r>
    </w:p>
    <w:p>
      <w:pPr>
        <w:spacing w:after="0" w:line="17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6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80" w:type="dxa"/>
            <w:vAlign w:val="bottom"/>
            <w:gridSpan w:val="5"/>
          </w:tcPr>
          <w:p>
            <w:pPr>
              <w:jc w:val="right"/>
              <w:ind w:right="32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64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5"/>
              <w:spacing w:after="0" w:line="129" w:lineRule="exact"/>
              <w:rPr>
                <w:sz w:val="20"/>
                <w:szCs w:val="20"/>
                <w:color w:val="auto"/>
              </w:rPr>
            </w:pPr>
            <w:r>
              <w:rPr>
                <w:rFonts w:ascii="Arial" w:cs="Arial" w:eastAsia="Arial" w:hAnsi="Arial"/>
                <w:sz w:val="14"/>
                <w:szCs w:val="14"/>
                <w:b w:val="1"/>
                <w:bCs w:val="1"/>
                <w:color w:val="auto"/>
                <w:w w:val="98"/>
              </w:rPr>
              <w:t>May 2,</w:t>
            </w:r>
          </w:p>
        </w:tc>
        <w:tc>
          <w:tcPr>
            <w:tcW w:w="3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jc w:val="right"/>
              <w:ind w:right="54"/>
              <w:spacing w:after="0" w:line="129" w:lineRule="exact"/>
              <w:rPr>
                <w:sz w:val="20"/>
                <w:szCs w:val="20"/>
                <w:color w:val="auto"/>
              </w:rPr>
            </w:pPr>
            <w:r>
              <w:rPr>
                <w:rFonts w:ascii="Arial" w:cs="Arial" w:eastAsia="Arial" w:hAnsi="Arial"/>
                <w:sz w:val="14"/>
                <w:szCs w:val="14"/>
                <w:b w:val="1"/>
                <w:bCs w:val="1"/>
                <w:color w:val="auto"/>
                <w:w w:val="98"/>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6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4"/>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724,288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957,830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351,153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w w:val="86"/>
              </w:rPr>
              <w:t>493,860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280,114</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295,363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36,174</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38,358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41,027</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30,573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2,568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6,689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9640" w:type="dxa"/>
            <w:vAlign w:val="bottom"/>
          </w:tcPr>
          <w:p>
            <w:pPr>
              <w:ind w:left="860"/>
              <w:spacing w:after="0"/>
              <w:rPr>
                <w:sz w:val="20"/>
                <w:szCs w:val="20"/>
                <w:color w:val="auto"/>
              </w:rPr>
            </w:pPr>
            <w:r>
              <w:rPr>
                <w:rFonts w:ascii="Arial" w:cs="Arial" w:eastAsia="Arial" w:hAnsi="Arial"/>
                <w:sz w:val="18"/>
                <w:szCs w:val="18"/>
                <w:color w:val="auto"/>
              </w:rPr>
              <w:t>Total operating costs and expenses</w:t>
            </w: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711,036</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6"/>
              </w:rPr>
              <w:t>864,843</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13,252</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92,987</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5,167</w:t>
            </w:r>
          </w:p>
        </w:tc>
        <w:tc>
          <w:tcPr>
            <w:tcW w:w="3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1,925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18,419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94,912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4,329</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(4,567)</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96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14,090</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99,479</w:t>
            </w:r>
          </w:p>
        </w:tc>
        <w:tc>
          <w:tcPr>
            <w:tcW w:w="0" w:type="dxa"/>
            <w:vAlign w:val="bottom"/>
          </w:tcPr>
          <w:p>
            <w:pPr>
              <w:spacing w:after="0"/>
              <w:rPr>
                <w:sz w:val="1"/>
                <w:szCs w:val="1"/>
                <w:color w:val="auto"/>
              </w:rPr>
            </w:pPr>
          </w:p>
        </w:tc>
      </w:tr>
      <w:tr>
        <w:trPr>
          <w:trHeight w:val="20"/>
        </w:trPr>
        <w:tc>
          <w:tcPr>
            <w:tcW w:w="9660" w:type="dxa"/>
            <w:vAlign w:val="bottom"/>
            <w:gridSpan w:val="2"/>
            <w:vMerge w:val="restart"/>
          </w:tcPr>
          <w:p>
            <w:pPr>
              <w:spacing w:after="0"/>
              <w:rPr>
                <w:sz w:val="20"/>
                <w:szCs w:val="20"/>
                <w:color w:val="auto"/>
              </w:rPr>
            </w:pPr>
            <w:r>
              <w:rPr>
                <w:rFonts w:ascii="Arial" w:cs="Arial" w:eastAsia="Arial" w:hAnsi="Arial"/>
                <w:sz w:val="18"/>
                <w:szCs w:val="18"/>
                <w:color w:val="auto"/>
              </w:rPr>
              <w:t>Net income per share:</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gridSpan w:val="2"/>
            <w:vMerge w:val="continue"/>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Basic</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4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0.20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vMerge w:val="restart"/>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20" w:type="dxa"/>
            <w:vAlign w:val="bottom"/>
          </w:tcPr>
          <w:p>
            <w:pPr>
              <w:spacing w:after="0"/>
              <w:rPr>
                <w:sz w:val="18"/>
                <w:szCs w:val="18"/>
                <w:color w:val="auto"/>
              </w:rPr>
            </w:pPr>
          </w:p>
        </w:tc>
        <w:tc>
          <w:tcPr>
            <w:tcW w:w="9640" w:type="dxa"/>
            <w:vAlign w:val="bottom"/>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0.03</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964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shares:</w:t>
            </w: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40" w:type="dxa"/>
            <w:vAlign w:val="bottom"/>
          </w:tcPr>
          <w:p>
            <w:pPr>
              <w:ind w:left="420"/>
              <w:spacing w:after="0"/>
              <w:rPr>
                <w:sz w:val="20"/>
                <w:szCs w:val="20"/>
                <w:color w:val="auto"/>
              </w:rPr>
            </w:pPr>
            <w:r>
              <w:rPr>
                <w:rFonts w:ascii="Arial" w:cs="Arial" w:eastAsia="Arial" w:hAnsi="Arial"/>
                <w:sz w:val="18"/>
                <w:szCs w:val="18"/>
                <w:color w:val="auto"/>
              </w:rPr>
              <w:t>Basic</w:t>
            </w: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516,228</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w w:val="86"/>
              </w:rPr>
              <w:t>505,105</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96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Diluted</w:t>
            </w: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527,167</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520,751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660" w:type="dxa"/>
            <w:vAlign w:val="bottom"/>
            <w:gridSpan w:val="2"/>
            <w:vMerge w:val="restart"/>
          </w:tcPr>
          <w:p>
            <w:pPr>
              <w:spacing w:after="0"/>
              <w:rPr>
                <w:sz w:val="20"/>
                <w:szCs w:val="20"/>
                <w:color w:val="auto"/>
              </w:rPr>
            </w:pPr>
            <w:r>
              <w:rPr>
                <w:rFonts w:ascii="Arial" w:cs="Arial" w:eastAsia="Arial" w:hAnsi="Arial"/>
                <w:sz w:val="18"/>
                <w:szCs w:val="18"/>
                <w:color w:val="auto"/>
              </w:rPr>
              <w:t>Cash dividend declared per share</w:t>
            </w: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660" w:type="dxa"/>
            <w:vAlign w:val="bottom"/>
            <w:gridSpan w:val="2"/>
            <w:vMerge w:val="continue"/>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0.06</w:t>
            </w:r>
          </w:p>
        </w:tc>
        <w:tc>
          <w:tcPr>
            <w:tcW w:w="4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0.06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6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45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800" w:type="dxa"/>
            <w:vAlign w:val="bottom"/>
          </w:tcPr>
          <w:p>
            <w:pPr>
              <w:spacing w:after="0"/>
              <w:rPr>
                <w:sz w:val="14"/>
                <w:szCs w:val="14"/>
                <w:color w:val="auto"/>
              </w:rPr>
            </w:pPr>
          </w:p>
        </w:tc>
        <w:tc>
          <w:tcPr>
            <w:tcW w:w="1600" w:type="dxa"/>
            <w:vAlign w:val="bottom"/>
            <w:gridSpan w:val="4"/>
          </w:tcPr>
          <w:p>
            <w:pPr>
              <w:jc w:val="right"/>
              <w:ind w:right="240"/>
              <w:spacing w:after="0"/>
              <w:rPr>
                <w:sz w:val="20"/>
                <w:szCs w:val="20"/>
                <w:color w:val="auto"/>
              </w:rPr>
            </w:pPr>
            <w:r>
              <w:rPr>
                <w:rFonts w:ascii="Arial" w:cs="Arial" w:eastAsia="Arial" w:hAnsi="Arial"/>
                <w:sz w:val="14"/>
                <w:szCs w:val="14"/>
                <w:b w:val="1"/>
                <w:bCs w:val="1"/>
                <w:color w:val="auto"/>
                <w:w w:val="96"/>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800" w:type="dxa"/>
            <w:vAlign w:val="bottom"/>
          </w:tcPr>
          <w:p>
            <w:pPr>
              <w:spacing w:after="0"/>
              <w:rPr>
                <w:sz w:val="11"/>
                <w:szCs w:val="11"/>
                <w:color w:val="auto"/>
              </w:rPr>
            </w:pPr>
          </w:p>
        </w:tc>
        <w:tc>
          <w:tcPr>
            <w:tcW w:w="920" w:type="dxa"/>
            <w:vAlign w:val="bottom"/>
            <w:tcBorders>
              <w:top w:val="single" w:sz="8" w:color="auto"/>
            </w:tcBorders>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rPr>
              <w:t>May 2,</w:t>
            </w:r>
          </w:p>
        </w:tc>
        <w:tc>
          <w:tcPr>
            <w:tcW w:w="58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80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59"/>
              <w:spacing w:after="0"/>
              <w:rPr>
                <w:sz w:val="20"/>
                <w:szCs w:val="20"/>
                <w:color w:val="auto"/>
              </w:rPr>
            </w:pPr>
            <w:r>
              <w:rPr>
                <w:rFonts w:ascii="Arial" w:cs="Arial" w:eastAsia="Arial" w:hAnsi="Arial"/>
                <w:sz w:val="14"/>
                <w:szCs w:val="14"/>
                <w:b w:val="1"/>
                <w:bCs w:val="1"/>
                <w:color w:val="auto"/>
              </w:rPr>
              <w:t>2015</w:t>
            </w:r>
          </w:p>
        </w:tc>
        <w:tc>
          <w:tcPr>
            <w:tcW w:w="340" w:type="dxa"/>
            <w:vAlign w:val="bottom"/>
            <w:tcBorders>
              <w:bottom w:val="single" w:sz="8" w:color="CCEEFF"/>
            </w:tcBorders>
          </w:tcPr>
          <w:p>
            <w:pPr>
              <w:spacing w:after="0"/>
              <w:rPr>
                <w:sz w:val="14"/>
                <w:szCs w:val="14"/>
                <w:color w:val="auto"/>
              </w:rPr>
            </w:pPr>
          </w:p>
        </w:tc>
        <w:tc>
          <w:tcPr>
            <w:tcW w:w="58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80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income</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$14,090</w:t>
            </w:r>
          </w:p>
        </w:tc>
        <w:tc>
          <w:tcPr>
            <w:tcW w:w="3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$99,479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tcPr>
          <w:p>
            <w:pPr>
              <w:spacing w:after="0"/>
              <w:rPr>
                <w:sz w:val="20"/>
                <w:szCs w:val="20"/>
                <w:color w:val="auto"/>
              </w:rPr>
            </w:pPr>
            <w:r>
              <w:rPr>
                <w:rFonts w:ascii="Arial" w:cs="Arial" w:eastAsia="Arial" w:hAnsi="Arial"/>
                <w:sz w:val="18"/>
                <w:szCs w:val="18"/>
                <w:color w:val="auto"/>
              </w:rPr>
              <w:t>Other comprehensive income, net of tax:</w:t>
            </w: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marketable securities</w:t>
            </w: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(1,860)</w:t>
            </w:r>
          </w:p>
        </w:tc>
        <w:tc>
          <w:tcPr>
            <w:tcW w:w="68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378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tcPr>
          <w:p>
            <w:pPr>
              <w:ind w:left="420"/>
              <w:spacing w:after="0"/>
              <w:rPr>
                <w:sz w:val="20"/>
                <w:szCs w:val="20"/>
                <w:color w:val="auto"/>
              </w:rPr>
            </w:pPr>
            <w:r>
              <w:rPr>
                <w:rFonts w:ascii="Arial" w:cs="Arial" w:eastAsia="Arial" w:hAnsi="Arial"/>
                <w:sz w:val="18"/>
                <w:szCs w:val="18"/>
                <w:color w:val="auto"/>
              </w:rPr>
              <w:t>Net change in unrealized gain/loss on auction rate securities</w:t>
            </w: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(115)</w:t>
            </w:r>
          </w:p>
        </w:tc>
        <w:tc>
          <w:tcPr>
            <w:tcW w:w="680" w:type="dxa"/>
            <w:vAlign w:val="bottom"/>
            <w:gridSpan w:val="2"/>
          </w:tcPr>
          <w:p>
            <w:pPr>
              <w:jc w:val="right"/>
              <w:ind w:right="100"/>
              <w:spacing w:after="0"/>
              <w:rPr>
                <w:sz w:val="20"/>
                <w:szCs w:val="20"/>
                <w:color w:val="auto"/>
              </w:rPr>
            </w:pPr>
            <w:r>
              <w:rPr>
                <w:rFonts w:ascii="Arial" w:cs="Arial" w:eastAsia="Arial" w:hAnsi="Arial"/>
                <w:sz w:val="18"/>
                <w:szCs w:val="18"/>
                <w:color w:val="auto"/>
              </w:rPr>
              <w:t>177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ind w:left="420"/>
              <w:spacing w:after="0"/>
              <w:rPr>
                <w:sz w:val="20"/>
                <w:szCs w:val="20"/>
                <w:color w:val="auto"/>
              </w:rPr>
            </w:pPr>
            <w:r>
              <w:rPr>
                <w:rFonts w:ascii="Arial" w:cs="Arial" w:eastAsia="Arial" w:hAnsi="Arial"/>
                <w:sz w:val="18"/>
                <w:szCs w:val="18"/>
                <w:color w:val="auto"/>
              </w:rPr>
              <w:t>Net change in unrealized gain/loss on cash flow hedges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1,747</w:t>
            </w:r>
          </w:p>
        </w:tc>
        <w:tc>
          <w:tcPr>
            <w:tcW w:w="3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(743)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800" w:type="dxa"/>
            <w:vAlign w:val="bottom"/>
            <w:vMerge w:val="restart"/>
          </w:tcPr>
          <w:p>
            <w:pPr>
              <w:ind w:left="860"/>
              <w:spacing w:after="0"/>
              <w:rPr>
                <w:sz w:val="20"/>
                <w:szCs w:val="20"/>
                <w:color w:val="auto"/>
              </w:rPr>
            </w:pPr>
            <w:r>
              <w:rPr>
                <w:rFonts w:ascii="Arial" w:cs="Arial" w:eastAsia="Arial" w:hAnsi="Arial"/>
                <w:sz w:val="18"/>
                <w:szCs w:val="18"/>
                <w:color w:val="auto"/>
              </w:rPr>
              <w:t>Other comprehensive loss, net</w:t>
            </w: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20" w:type="dxa"/>
            <w:vAlign w:val="bottom"/>
          </w:tcPr>
          <w:p>
            <w:pPr>
              <w:spacing w:after="0"/>
              <w:rPr>
                <w:sz w:val="20"/>
                <w:szCs w:val="20"/>
                <w:color w:val="auto"/>
              </w:rPr>
            </w:pPr>
          </w:p>
        </w:tc>
        <w:tc>
          <w:tcPr>
            <w:tcW w:w="9800" w:type="dxa"/>
            <w:vAlign w:val="bottom"/>
            <w:vMerge w:val="continue"/>
          </w:tcPr>
          <w:p>
            <w:pPr>
              <w:spacing w:after="0"/>
              <w:rPr>
                <w:sz w:val="20"/>
                <w:szCs w:val="20"/>
                <w:color w:val="auto"/>
              </w:rPr>
            </w:pPr>
          </w:p>
        </w:tc>
        <w:tc>
          <w:tcPr>
            <w:tcW w:w="920" w:type="dxa"/>
            <w:vAlign w:val="bottom"/>
            <w:gridSpan w:val="2"/>
          </w:tcPr>
          <w:p>
            <w:pPr>
              <w:jc w:val="right"/>
              <w:ind w:right="280"/>
              <w:spacing w:after="0"/>
              <w:rPr>
                <w:sz w:val="20"/>
                <w:szCs w:val="20"/>
                <w:color w:val="auto"/>
              </w:rPr>
            </w:pPr>
            <w:r>
              <w:rPr>
                <w:rFonts w:ascii="Arial" w:cs="Arial" w:eastAsia="Arial" w:hAnsi="Arial"/>
                <w:sz w:val="18"/>
                <w:szCs w:val="18"/>
                <w:color w:val="auto"/>
              </w:rPr>
              <w:t>(228)</w:t>
            </w:r>
          </w:p>
        </w:tc>
        <w:tc>
          <w:tcPr>
            <w:tcW w:w="680" w:type="dxa"/>
            <w:vAlign w:val="bottom"/>
            <w:gridSpan w:val="2"/>
          </w:tcPr>
          <w:p>
            <w:pPr>
              <w:jc w:val="right"/>
              <w:ind w:right="40"/>
              <w:spacing w:after="0"/>
              <w:rPr>
                <w:sz w:val="20"/>
                <w:szCs w:val="20"/>
                <w:color w:val="auto"/>
              </w:rPr>
            </w:pPr>
            <w:r>
              <w:rPr>
                <w:rFonts w:ascii="Arial" w:cs="Arial" w:eastAsia="Arial" w:hAnsi="Arial"/>
                <w:sz w:val="18"/>
                <w:szCs w:val="18"/>
                <w:color w:val="auto"/>
              </w:rPr>
              <w:t>(188)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800" w:type="dxa"/>
            <w:vAlign w:val="bottom"/>
            <w:shd w:val="clear" w:color="auto" w:fill="CCEEFF"/>
          </w:tcPr>
          <w:p>
            <w:pPr>
              <w:spacing w:after="0"/>
              <w:rPr>
                <w:sz w:val="20"/>
                <w:szCs w:val="20"/>
                <w:color w:val="auto"/>
              </w:rPr>
            </w:pPr>
            <w:r>
              <w:rPr>
                <w:rFonts w:ascii="Arial" w:cs="Arial" w:eastAsia="Arial" w:hAnsi="Arial"/>
                <w:sz w:val="18"/>
                <w:szCs w:val="18"/>
                <w:color w:val="auto"/>
              </w:rPr>
              <w:t>Comprehensive income</w:t>
            </w: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13,862</w:t>
            </w:r>
          </w:p>
        </w:tc>
        <w:tc>
          <w:tcPr>
            <w:tcW w:w="340" w:type="dxa"/>
            <w:vAlign w:val="bottom"/>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99,291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8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459" w:right="23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line="270" w:lineRule="auto"/>
        <w:rPr>
          <w:sz w:val="20"/>
          <w:szCs w:val="20"/>
          <w:color w:val="auto"/>
        </w:rPr>
      </w:pPr>
      <w:r>
        <w:rPr>
          <w:rFonts w:ascii="Arial" w:cs="Arial" w:eastAsia="Arial" w:hAnsi="Arial"/>
          <w:sz w:val="18"/>
          <w:szCs w:val="18"/>
          <w:b w:val="1"/>
          <w:bCs w:val="1"/>
          <w:color w:val="auto"/>
        </w:rPr>
        <w:t>MARVELL TECHNOLOGY GROUP LTD. UNAUDITED CONDENSED CONSOLIDATED STATEMENTS OF CASH FLOWS (In thousands)</w:t>
      </w:r>
    </w:p>
    <w:p>
      <w:pPr>
        <w:spacing w:after="0" w:line="38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94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40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gridSpan w:val="2"/>
          </w:tcPr>
          <w:p>
            <w:pPr>
              <w:jc w:val="right"/>
              <w:ind w:right="520"/>
              <w:spacing w:after="0" w:line="129" w:lineRule="exact"/>
              <w:rPr>
                <w:sz w:val="20"/>
                <w:szCs w:val="20"/>
                <w:color w:val="auto"/>
              </w:rPr>
            </w:pPr>
            <w:r>
              <w:rPr>
                <w:rFonts w:ascii="Arial" w:cs="Arial" w:eastAsia="Arial" w:hAnsi="Arial"/>
                <w:sz w:val="14"/>
                <w:szCs w:val="14"/>
                <w:b w:val="1"/>
                <w:bCs w:val="1"/>
                <w:color w:val="auto"/>
              </w:rPr>
              <w:t>May 2,</w:t>
            </w:r>
          </w:p>
        </w:tc>
        <w:tc>
          <w:tcPr>
            <w:tcW w:w="8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93"/>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40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Cash flows from operating activities:</w:t>
            </w: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7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Net income</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14,090</w:t>
            </w:r>
          </w:p>
        </w:tc>
        <w:tc>
          <w:tcPr>
            <w:tcW w:w="320" w:type="dxa"/>
            <w:vAlign w:val="bottom"/>
          </w:tcPr>
          <w:p>
            <w:pPr>
              <w:spacing w:after="0"/>
              <w:rPr>
                <w:sz w:val="18"/>
                <w:szCs w:val="18"/>
                <w:color w:val="auto"/>
              </w:rPr>
            </w:pP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99,479</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Adjustments to reconcile net income to net cash provided by operating activities: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Depreciation and amortization</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26,620</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27,006</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Share-based compensation</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33,221</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29,969</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Amortization and write-off of acquired intangible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3,053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7,174</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Other expense, net</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916</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1,470</w:t>
            </w:r>
          </w:p>
        </w:tc>
        <w:tc>
          <w:tcPr>
            <w:tcW w:w="0" w:type="dxa"/>
            <w:vAlign w:val="bottom"/>
          </w:tcPr>
          <w:p>
            <w:pPr>
              <w:spacing w:after="0"/>
              <w:rPr>
                <w:sz w:val="1"/>
                <w:szCs w:val="1"/>
                <w:color w:val="auto"/>
              </w:rPr>
            </w:pPr>
          </w:p>
        </w:tc>
      </w:tr>
      <w:tr>
        <w:trPr>
          <w:trHeight w:val="216"/>
        </w:trPr>
        <w:tc>
          <w:tcPr>
            <w:tcW w:w="9400" w:type="dxa"/>
            <w:vAlign w:val="bottom"/>
          </w:tcPr>
          <w:p>
            <w:pPr>
              <w:ind w:left="88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(18)</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(44)</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880"/>
              <w:spacing w:after="0"/>
              <w:rPr>
                <w:sz w:val="20"/>
                <w:szCs w:val="20"/>
                <w:color w:val="auto"/>
              </w:rPr>
            </w:pPr>
            <w:r>
              <w:rPr>
                <w:rFonts w:ascii="Arial" w:cs="Arial" w:eastAsia="Arial" w:hAnsi="Arial"/>
                <w:sz w:val="18"/>
                <w:szCs w:val="18"/>
                <w:color w:val="auto"/>
              </w:rPr>
              <w:t>Changes in assets and liabilities:</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Accounts receivable</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27,141</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(63,578)</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Inventories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(31,318)</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(3,105)</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Prepaid expenses and other assets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1,065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(2,161)</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Accounts payable</w:t>
            </w: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17,125</w:t>
            </w:r>
          </w:p>
        </w:tc>
        <w:tc>
          <w:tcPr>
            <w:tcW w:w="3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85,128</w:t>
            </w:r>
          </w:p>
        </w:tc>
        <w:tc>
          <w:tcPr>
            <w:tcW w:w="0" w:type="dxa"/>
            <w:vAlign w:val="bottom"/>
          </w:tcPr>
          <w:p>
            <w:pPr>
              <w:spacing w:after="0"/>
              <w:rPr>
                <w:sz w:val="1"/>
                <w:szCs w:val="1"/>
                <w:color w:val="auto"/>
              </w:rPr>
            </w:pPr>
          </w:p>
        </w:tc>
      </w:tr>
      <w:tr>
        <w:trPr>
          <w:trHeight w:val="216"/>
        </w:trPr>
        <w:tc>
          <w:tcPr>
            <w:tcW w:w="9400" w:type="dxa"/>
            <w:vAlign w:val="bottom"/>
          </w:tcPr>
          <w:p>
            <w:pPr>
              <w:ind w:left="1300"/>
              <w:spacing w:after="0"/>
              <w:rPr>
                <w:sz w:val="20"/>
                <w:szCs w:val="20"/>
                <w:color w:val="auto"/>
              </w:rPr>
            </w:pPr>
            <w:r>
              <w:rPr>
                <w:rFonts w:ascii="Arial" w:cs="Arial" w:eastAsia="Arial" w:hAnsi="Arial"/>
                <w:sz w:val="18"/>
                <w:szCs w:val="18"/>
                <w:color w:val="auto"/>
              </w:rPr>
              <w:t>Accrued liabilities and other non-current liabilities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(11,576)</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(7,134)</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300"/>
              <w:spacing w:after="0"/>
              <w:rPr>
                <w:sz w:val="20"/>
                <w:szCs w:val="20"/>
                <w:color w:val="auto"/>
              </w:rPr>
            </w:pPr>
            <w:r>
              <w:rPr>
                <w:rFonts w:ascii="Arial" w:cs="Arial" w:eastAsia="Arial" w:hAnsi="Arial"/>
                <w:sz w:val="18"/>
                <w:szCs w:val="18"/>
                <w:color w:val="auto"/>
              </w:rPr>
              <w:t>Accrued employee compensation</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(14,424)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30,001</w:t>
            </w:r>
          </w:p>
        </w:tc>
        <w:tc>
          <w:tcPr>
            <w:tcW w:w="0" w:type="dxa"/>
            <w:vAlign w:val="bottom"/>
          </w:tcPr>
          <w:p>
            <w:pPr>
              <w:spacing w:after="0"/>
              <w:rPr>
                <w:sz w:val="1"/>
                <w:szCs w:val="1"/>
                <w:color w:val="auto"/>
              </w:rPr>
            </w:pPr>
          </w:p>
        </w:tc>
      </w:tr>
      <w:tr>
        <w:trPr>
          <w:trHeight w:val="223"/>
        </w:trPr>
        <w:tc>
          <w:tcPr>
            <w:tcW w:w="9400" w:type="dxa"/>
            <w:vAlign w:val="bottom"/>
          </w:tcPr>
          <w:p>
            <w:pPr>
              <w:ind w:left="1300"/>
              <w:spacing w:after="0"/>
              <w:rPr>
                <w:sz w:val="20"/>
                <w:szCs w:val="20"/>
                <w:color w:val="auto"/>
              </w:rPr>
            </w:pPr>
            <w:r>
              <w:rPr>
                <w:rFonts w:ascii="Arial" w:cs="Arial" w:eastAsia="Arial" w:hAnsi="Arial"/>
                <w:sz w:val="18"/>
                <w:szCs w:val="18"/>
                <w:color w:val="auto"/>
              </w:rPr>
              <w:t>Deferred income</w:t>
            </w: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(7,027)</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30,932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provided by operating activities</w:t>
            </w: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58,868</w:t>
            </w:r>
          </w:p>
        </w:tc>
        <w:tc>
          <w:tcPr>
            <w:tcW w:w="320" w:type="dxa"/>
            <w:vAlign w:val="bottom"/>
            <w:shd w:val="clear" w:color="auto" w:fill="CCEEFF"/>
          </w:tcPr>
          <w:p>
            <w:pPr>
              <w:spacing w:after="0"/>
              <w:rPr>
                <w:sz w:val="18"/>
                <w:szCs w:val="18"/>
                <w:color w:val="auto"/>
              </w:rPr>
            </w:pPr>
          </w:p>
        </w:tc>
        <w:tc>
          <w:tcPr>
            <w:tcW w:w="80" w:type="dxa"/>
            <w:vAlign w:val="bottom"/>
            <w:tcBorders>
              <w:top w:val="single" w:sz="8" w:color="auto"/>
              <w:bottom w:val="single" w:sz="8" w:color="auto"/>
            </w:tcBorders>
            <w:shd w:val="clear" w:color="auto" w:fill="CCEEFF"/>
          </w:tcPr>
          <w:p>
            <w:pPr>
              <w:spacing w:after="0"/>
              <w:rPr>
                <w:sz w:val="18"/>
                <w:szCs w:val="18"/>
                <w:color w:val="auto"/>
              </w:rPr>
            </w:pPr>
          </w:p>
        </w:tc>
        <w:tc>
          <w:tcPr>
            <w:tcW w:w="7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235,137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available-for-sale securities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(392,900)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8"/>
              </w:rPr>
              <w:t>(181,889)</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Sales and maturities of available-for-sale securities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247,495</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182,311</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Investments in privately-held companies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4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(441)</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Purchases of technology licenses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(3,606)</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(8,111)</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Purchases of property and equipment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(7,334)</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(16,131)</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Purchase of equipment previously leased</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(10,240)</w:t>
            </w:r>
          </w:p>
        </w:tc>
        <w:tc>
          <w:tcPr>
            <w:tcW w:w="80" w:type="dxa"/>
            <w:vAlign w:val="bottom"/>
          </w:tcPr>
          <w:p>
            <w:pPr>
              <w:spacing w:after="0"/>
              <w:rPr>
                <w:sz w:val="18"/>
                <w:szCs w:val="18"/>
                <w:color w:val="auto"/>
              </w:rPr>
            </w:pPr>
          </w:p>
        </w:tc>
        <w:tc>
          <w:tcPr>
            <w:tcW w:w="8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7"/>
        </w:trPr>
        <w:tc>
          <w:tcPr>
            <w:tcW w:w="9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investing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95"/>
              </w:rPr>
              <w:t>(166,585)</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(24,261)</w:t>
            </w: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3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Repurchase of common stock</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(20,273)</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Proceeds from employee stock plans</w:t>
            </w: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13,013</w:t>
            </w: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19,092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Minimum tax withholding paid on behalf of employees for net share settlement</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(22,310)</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(24,286)</w:t>
            </w:r>
          </w:p>
        </w:tc>
        <w:tc>
          <w:tcPr>
            <w:tcW w:w="0" w:type="dxa"/>
            <w:vAlign w:val="bottom"/>
          </w:tcPr>
          <w:p>
            <w:pPr>
              <w:spacing w:after="0"/>
              <w:rPr>
                <w:sz w:val="1"/>
                <w:szCs w:val="1"/>
                <w:color w:val="auto"/>
              </w:rPr>
            </w:pPr>
          </w:p>
        </w:tc>
      </w:tr>
      <w:tr>
        <w:trPr>
          <w:trHeight w:val="216"/>
        </w:trPr>
        <w:tc>
          <w:tcPr>
            <w:tcW w:w="9400" w:type="dxa"/>
            <w:vAlign w:val="bottom"/>
          </w:tcPr>
          <w:p>
            <w:pPr>
              <w:ind w:left="440"/>
              <w:spacing w:after="0"/>
              <w:rPr>
                <w:sz w:val="20"/>
                <w:szCs w:val="20"/>
                <w:color w:val="auto"/>
              </w:rPr>
            </w:pPr>
            <w:r>
              <w:rPr>
                <w:rFonts w:ascii="Arial" w:cs="Arial" w:eastAsia="Arial" w:hAnsi="Arial"/>
                <w:sz w:val="18"/>
                <w:szCs w:val="18"/>
                <w:color w:val="auto"/>
              </w:rPr>
              <w:t>Dividend payments to shareholders</w:t>
            </w:r>
          </w:p>
        </w:tc>
        <w:tc>
          <w:tcPr>
            <w:tcW w:w="80" w:type="dxa"/>
            <w:vAlign w:val="bottom"/>
          </w:tcPr>
          <w:p>
            <w:pPr>
              <w:spacing w:after="0"/>
              <w:rPr>
                <w:sz w:val="18"/>
                <w:szCs w:val="18"/>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rPr>
              <w:t>(30,910)</w:t>
            </w:r>
          </w:p>
        </w:tc>
        <w:tc>
          <w:tcPr>
            <w:tcW w:w="80" w:type="dxa"/>
            <w:vAlign w:val="bottom"/>
          </w:tcPr>
          <w:p>
            <w:pPr>
              <w:spacing w:after="0"/>
              <w:rPr>
                <w:sz w:val="18"/>
                <w:szCs w:val="18"/>
                <w:color w:val="auto"/>
              </w:rPr>
            </w:pPr>
          </w:p>
        </w:tc>
        <w:tc>
          <w:tcPr>
            <w:tcW w:w="820" w:type="dxa"/>
            <w:vAlign w:val="bottom"/>
            <w:gridSpan w:val="2"/>
          </w:tcPr>
          <w:p>
            <w:pPr>
              <w:jc w:val="right"/>
              <w:ind w:right="40"/>
              <w:spacing w:after="0"/>
              <w:rPr>
                <w:sz w:val="20"/>
                <w:szCs w:val="20"/>
                <w:color w:val="auto"/>
              </w:rPr>
            </w:pPr>
            <w:r>
              <w:rPr>
                <w:rFonts w:ascii="Arial" w:cs="Arial" w:eastAsia="Arial" w:hAnsi="Arial"/>
                <w:sz w:val="18"/>
                <w:szCs w:val="18"/>
                <w:color w:val="auto"/>
              </w:rPr>
              <w:t>(30,172)</w:t>
            </w: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440"/>
              <w:spacing w:after="0"/>
              <w:rPr>
                <w:sz w:val="20"/>
                <w:szCs w:val="20"/>
                <w:color w:val="auto"/>
              </w:rPr>
            </w:pPr>
            <w:r>
              <w:rPr>
                <w:rFonts w:ascii="Arial" w:cs="Arial" w:eastAsia="Arial" w:hAnsi="Arial"/>
                <w:sz w:val="18"/>
                <w:szCs w:val="18"/>
                <w:color w:val="auto"/>
              </w:rPr>
              <w:t>Payments on technology license obligations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(4,067)</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9400" w:type="dxa"/>
            <w:vAlign w:val="bottom"/>
          </w:tcPr>
          <w:p>
            <w:pPr>
              <w:ind w:left="440"/>
              <w:spacing w:after="0"/>
              <w:rPr>
                <w:sz w:val="20"/>
                <w:szCs w:val="20"/>
                <w:color w:val="auto"/>
              </w:rPr>
            </w:pPr>
            <w:r>
              <w:rPr>
                <w:rFonts w:ascii="Arial" w:cs="Arial" w:eastAsia="Arial" w:hAnsi="Arial"/>
                <w:sz w:val="18"/>
                <w:szCs w:val="18"/>
                <w:color w:val="auto"/>
              </w:rPr>
              <w:t>Excess tax benefits from share-based compensation</w:t>
            </w: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w:t>
            </w:r>
          </w:p>
        </w:tc>
        <w:tc>
          <w:tcPr>
            <w:tcW w:w="3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400" w:type="dxa"/>
            <w:vAlign w:val="bottom"/>
            <w:shd w:val="clear" w:color="auto" w:fill="CCEEFF"/>
          </w:tcPr>
          <w:p>
            <w:pPr>
              <w:ind w:left="1740"/>
              <w:spacing w:after="0"/>
              <w:rPr>
                <w:sz w:val="20"/>
                <w:szCs w:val="20"/>
                <w:color w:val="auto"/>
              </w:rPr>
            </w:pPr>
            <w:r>
              <w:rPr>
                <w:rFonts w:ascii="Arial" w:cs="Arial" w:eastAsia="Arial" w:hAnsi="Arial"/>
                <w:sz w:val="18"/>
                <w:szCs w:val="18"/>
                <w:color w:val="auto"/>
              </w:rPr>
              <w:t>Net cash used in financing activities</w:t>
            </w:r>
          </w:p>
        </w:tc>
        <w:tc>
          <w:tcPr>
            <w:tcW w:w="8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(64,529)</w:t>
            </w:r>
          </w:p>
        </w:tc>
        <w:tc>
          <w:tcPr>
            <w:tcW w:w="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(35,322)</w:t>
            </w:r>
          </w:p>
        </w:tc>
        <w:tc>
          <w:tcPr>
            <w:tcW w:w="0" w:type="dxa"/>
            <w:vAlign w:val="bottom"/>
          </w:tcPr>
          <w:p>
            <w:pPr>
              <w:spacing w:after="0"/>
              <w:rPr>
                <w:sz w:val="1"/>
                <w:szCs w:val="1"/>
                <w:color w:val="auto"/>
              </w:rPr>
            </w:pPr>
          </w:p>
        </w:tc>
      </w:tr>
      <w:tr>
        <w:trPr>
          <w:trHeight w:val="20"/>
        </w:trPr>
        <w:tc>
          <w:tcPr>
            <w:tcW w:w="9400" w:type="dxa"/>
            <w:vAlign w:val="bottom"/>
            <w:vMerge w:val="restart"/>
          </w:tcPr>
          <w:p>
            <w:pPr>
              <w:spacing w:after="0"/>
              <w:rPr>
                <w:sz w:val="20"/>
                <w:szCs w:val="20"/>
                <w:color w:val="auto"/>
              </w:rPr>
            </w:pPr>
            <w:r>
              <w:rPr>
                <w:rFonts w:ascii="Arial" w:cs="Arial" w:eastAsia="Arial" w:hAnsi="Arial"/>
                <w:sz w:val="18"/>
                <w:szCs w:val="18"/>
                <w:color w:val="auto"/>
              </w:rPr>
              <w:t>Net increase in cash and cash equivalents</w:t>
            </w: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9400" w:type="dxa"/>
            <w:vAlign w:val="bottom"/>
            <w:vMerge w:val="continue"/>
          </w:tcPr>
          <w:p>
            <w:pPr>
              <w:spacing w:after="0"/>
              <w:rPr>
                <w:sz w:val="19"/>
                <w:szCs w:val="19"/>
                <w:color w:val="auto"/>
              </w:rPr>
            </w:pPr>
          </w:p>
        </w:tc>
        <w:tc>
          <w:tcPr>
            <w:tcW w:w="80" w:type="dxa"/>
            <w:vAlign w:val="bottom"/>
          </w:tcPr>
          <w:p>
            <w:pPr>
              <w:spacing w:after="0"/>
              <w:rPr>
                <w:sz w:val="19"/>
                <w:szCs w:val="19"/>
                <w:color w:val="auto"/>
              </w:rPr>
            </w:pPr>
          </w:p>
        </w:tc>
        <w:tc>
          <w:tcPr>
            <w:tcW w:w="1040" w:type="dxa"/>
            <w:vAlign w:val="bottom"/>
            <w:gridSpan w:val="2"/>
          </w:tcPr>
          <w:p>
            <w:pPr>
              <w:jc w:val="right"/>
              <w:ind w:right="280"/>
              <w:spacing w:after="0"/>
              <w:rPr>
                <w:sz w:val="20"/>
                <w:szCs w:val="20"/>
                <w:color w:val="auto"/>
              </w:rPr>
            </w:pPr>
            <w:r>
              <w:rPr>
                <w:rFonts w:ascii="Arial" w:cs="Arial" w:eastAsia="Arial" w:hAnsi="Arial"/>
                <w:sz w:val="18"/>
                <w:szCs w:val="18"/>
                <w:color w:val="auto"/>
                <w:w w:val="95"/>
              </w:rPr>
              <w:t>(172,246)</w:t>
            </w:r>
          </w:p>
        </w:tc>
        <w:tc>
          <w:tcPr>
            <w:tcW w:w="80" w:type="dxa"/>
            <w:vAlign w:val="bottom"/>
          </w:tcPr>
          <w:p>
            <w:pPr>
              <w:spacing w:after="0"/>
              <w:rPr>
                <w:sz w:val="19"/>
                <w:szCs w:val="19"/>
                <w:color w:val="auto"/>
              </w:rPr>
            </w:pP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rPr>
              <w:t>175,554</w:t>
            </w:r>
          </w:p>
        </w:tc>
        <w:tc>
          <w:tcPr>
            <w:tcW w:w="0" w:type="dxa"/>
            <w:vAlign w:val="bottom"/>
          </w:tcPr>
          <w:p>
            <w:pPr>
              <w:spacing w:after="0"/>
              <w:rPr>
                <w:sz w:val="1"/>
                <w:szCs w:val="1"/>
                <w:color w:val="auto"/>
              </w:rPr>
            </w:pPr>
          </w:p>
        </w:tc>
      </w:tr>
      <w:tr>
        <w:trPr>
          <w:trHeight w:val="218"/>
        </w:trPr>
        <w:tc>
          <w:tcPr>
            <w:tcW w:w="9400" w:type="dxa"/>
            <w:vAlign w:val="bottom"/>
            <w:shd w:val="clear" w:color="auto" w:fill="CCEEFF"/>
          </w:tcPr>
          <w:p>
            <w:pPr>
              <w:spacing w:after="0"/>
              <w:rPr>
                <w:sz w:val="20"/>
                <w:szCs w:val="20"/>
                <w:color w:val="auto"/>
              </w:rPr>
            </w:pPr>
            <w:r>
              <w:rPr>
                <w:rFonts w:ascii="Arial" w:cs="Arial" w:eastAsia="Arial" w:hAnsi="Arial"/>
                <w:sz w:val="18"/>
                <w:szCs w:val="18"/>
                <w:color w:val="auto"/>
              </w:rPr>
              <w:t>Cash and cash equivalents at beginning of period</w:t>
            </w: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1,210,977</w:t>
            </w:r>
          </w:p>
        </w:tc>
        <w:tc>
          <w:tcPr>
            <w:tcW w:w="3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965,750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400" w:type="dxa"/>
            <w:vAlign w:val="bottom"/>
          </w:tcPr>
          <w:p>
            <w:pPr>
              <w:spacing w:after="0"/>
              <w:rPr>
                <w:sz w:val="20"/>
                <w:szCs w:val="20"/>
                <w:color w:val="auto"/>
              </w:rPr>
            </w:pPr>
            <w:r>
              <w:rPr>
                <w:rFonts w:ascii="Arial" w:cs="Arial" w:eastAsia="Arial" w:hAnsi="Arial"/>
                <w:sz w:val="18"/>
                <w:szCs w:val="18"/>
                <w:color w:val="auto"/>
              </w:rPr>
              <w:t>Cash and cash equivalents at end of period</w:t>
            </w: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1,038,731</w:t>
            </w:r>
          </w:p>
        </w:tc>
        <w:tc>
          <w:tcPr>
            <w:tcW w:w="32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Arial" w:cs="Arial" w:eastAsia="Arial" w:hAnsi="Arial"/>
                <w:sz w:val="15"/>
                <w:szCs w:val="15"/>
                <w:u w:val="single" w:color="auto"/>
                <w:color w:val="auto"/>
                <w:w w:val="71"/>
              </w:rPr>
              <w:t>$</w:t>
            </w:r>
          </w:p>
        </w:tc>
        <w:tc>
          <w:tcPr>
            <w:tcW w:w="820" w:type="dxa"/>
            <w:vAlign w:val="bottom"/>
            <w:gridSpan w:val="2"/>
          </w:tcPr>
          <w:p>
            <w:pPr>
              <w:jc w:val="right"/>
              <w:ind w:right="100"/>
              <w:spacing w:after="0"/>
              <w:rPr>
                <w:sz w:val="20"/>
                <w:szCs w:val="20"/>
                <w:color w:val="auto"/>
              </w:rPr>
            </w:pPr>
            <w:r>
              <w:rPr>
                <w:rFonts w:ascii="Arial" w:cs="Arial" w:eastAsia="Arial" w:hAnsi="Arial"/>
                <w:sz w:val="18"/>
                <w:szCs w:val="18"/>
                <w:color w:val="auto"/>
                <w:w w:val="87"/>
              </w:rPr>
              <w:t>1,141,304</w:t>
            </w:r>
          </w:p>
        </w:tc>
        <w:tc>
          <w:tcPr>
            <w:tcW w:w="0" w:type="dxa"/>
            <w:vAlign w:val="bottom"/>
          </w:tcPr>
          <w:p>
            <w:pPr>
              <w:spacing w:after="0"/>
              <w:rPr>
                <w:sz w:val="1"/>
                <w:szCs w:val="1"/>
                <w:color w:val="auto"/>
              </w:rPr>
            </w:pPr>
          </w:p>
        </w:tc>
      </w:tr>
      <w:tr>
        <w:trPr>
          <w:trHeight w:val="20"/>
        </w:trPr>
        <w:tc>
          <w:tcPr>
            <w:tcW w:w="9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86" w:lineRule="exact"/>
        <w:rPr>
          <w:sz w:val="20"/>
          <w:szCs w:val="20"/>
          <w:color w:val="auto"/>
        </w:rPr>
      </w:pPr>
    </w:p>
    <w:p>
      <w:pP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420"/>
          </w:cols>
          <w:pgMar w:left="240" w:top="45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1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The Company and Basis of Presentation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The Company</w:t>
      </w:r>
    </w:p>
    <w:p>
      <w:pPr>
        <w:spacing w:after="0" w:line="90"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Marvell Technology Group Ltd., a Bermuda company (the “Company”), is a leading global semiconductor provider of high-performance application-specific standard products. The Company’s core strength of expertise is the development of complex System-on-a-Chip and System-in-a-Package devices, leveraging its extensive technology portfolio of intellectual property in the areas of analog, mixed-signal, digital signal processing, and embedded and stand alone integrated circuits. The majority of the Company’s product portfolio leverages the ARM technology portfolio.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connectivity, Internet-of-Things devices and other consumer electronics.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Basis of Presentation</w:t>
      </w:r>
    </w:p>
    <w:p>
      <w:pPr>
        <w:spacing w:after="0" w:line="90" w:lineRule="exact"/>
        <w:rPr>
          <w:sz w:val="20"/>
          <w:szCs w:val="20"/>
          <w:color w:val="auto"/>
        </w:rPr>
      </w:pPr>
    </w:p>
    <w:p>
      <w:pPr>
        <w:ind w:right="160" w:firstLine="456"/>
        <w:spacing w:after="0" w:line="259" w:lineRule="auto"/>
        <w:rPr>
          <w:sz w:val="20"/>
          <w:szCs w:val="20"/>
          <w:color w:val="auto"/>
        </w:rPr>
      </w:pPr>
      <w:r>
        <w:rPr>
          <w:rFonts w:ascii="Arial" w:cs="Arial" w:eastAsia="Arial" w:hAnsi="Arial"/>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2016 and 2015 each have a 52-week period.</w:t>
      </w:r>
    </w:p>
    <w:p>
      <w:pPr>
        <w:spacing w:after="0" w:line="14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May 2, 2015, the results of its operations for the three months ended May 2, 2015 and May 3, 2014, its comprehensive income for the three months ended May 2, 2015 and May 3, 2014, and its cash flows for the three months ended May 2, 2015 and May 3, 2014. The January 31, 2015 condensed consolidated balance sheet data was derived from the audited consolidated financial statements included in the Company’s Annual Report on Form 10-K for the fiscal year ended January 31, 2015, but does not include all disclosures required for annual periods.</w:t>
      </w:r>
    </w:p>
    <w:p>
      <w:pPr>
        <w:spacing w:after="0" w:line="118" w:lineRule="exact"/>
        <w:rPr>
          <w:sz w:val="20"/>
          <w:szCs w:val="20"/>
          <w:color w:val="auto"/>
        </w:rPr>
      </w:pPr>
    </w:p>
    <w:p>
      <w:pPr>
        <w:jc w:val="both"/>
        <w:ind w:right="40" w:firstLine="456"/>
        <w:spacing w:after="0" w:line="256" w:lineRule="auto"/>
        <w:rPr>
          <w:sz w:val="20"/>
          <w:szCs w:val="20"/>
          <w:color w:val="auto"/>
        </w:rPr>
      </w:pPr>
      <w:r>
        <w:rPr>
          <w:rFonts w:ascii="Arial" w:cs="Arial" w:eastAsia="Arial" w:hAnsi="Arial"/>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January 31, 2015 as filed on March 26, 2015 with the Securities and Exchange Commission. The results of operations for the three months ended May 2, 2015 are not necessarily indicative of the results that may be expected for any other interim period or for the full fiscal year.</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90" w:lineRule="exact"/>
        <w:rPr>
          <w:sz w:val="20"/>
          <w:szCs w:val="20"/>
          <w:color w:val="auto"/>
        </w:rPr>
      </w:pPr>
    </w:p>
    <w:p>
      <w:pPr>
        <w:ind w:right="40" w:firstLine="456"/>
        <w:spacing w:after="0" w:line="253" w:lineRule="auto"/>
        <w:rPr>
          <w:sz w:val="20"/>
          <w:szCs w:val="20"/>
          <w:color w:val="auto"/>
        </w:rPr>
      </w:pPr>
      <w:r>
        <w:rPr>
          <w:rFonts w:ascii="Arial" w:cs="Arial" w:eastAsia="Arial" w:hAnsi="Arial"/>
          <w:sz w:val="18"/>
          <w:szCs w:val="18"/>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restructuring,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22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Principles of Consolidation</w:t>
      </w:r>
    </w:p>
    <w:p>
      <w:pPr>
        <w:spacing w:after="0" w:line="90" w:lineRule="exact"/>
        <w:rPr>
          <w:sz w:val="20"/>
          <w:szCs w:val="20"/>
          <w:color w:val="auto"/>
        </w:rPr>
      </w:pPr>
    </w:p>
    <w:p>
      <w:pPr>
        <w:ind w:right="360" w:firstLine="456"/>
        <w:spacing w:after="0" w:line="332" w:lineRule="auto"/>
        <w:rPr>
          <w:sz w:val="20"/>
          <w:szCs w:val="20"/>
          <w:color w:val="auto"/>
        </w:rPr>
      </w:pPr>
      <w:r>
        <w:rPr>
          <w:rFonts w:ascii="Arial" w:cs="Arial" w:eastAsia="Arial" w:hAnsi="Arial"/>
          <w:sz w:val="16"/>
          <w:szCs w:val="16"/>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72"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400"/>
          </w:cols>
          <w:pgMar w:left="240" w:top="459" w:right="25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Recent Accounting Pronouncements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Recently Adopted</w:t>
      </w:r>
    </w:p>
    <w:p>
      <w:pPr>
        <w:spacing w:after="0" w:line="90" w:lineRule="exact"/>
        <w:rPr>
          <w:sz w:val="20"/>
          <w:szCs w:val="20"/>
          <w:color w:val="auto"/>
        </w:rPr>
      </w:pPr>
    </w:p>
    <w:p>
      <w:pPr>
        <w:ind w:right="20" w:firstLine="456"/>
        <w:spacing w:after="0" w:line="306" w:lineRule="auto"/>
        <w:rPr>
          <w:sz w:val="20"/>
          <w:szCs w:val="20"/>
          <w:color w:val="auto"/>
        </w:rPr>
      </w:pPr>
      <w:r>
        <w:rPr>
          <w:rFonts w:ascii="Arial" w:cs="Arial" w:eastAsia="Arial" w:hAnsi="Arial"/>
          <w:sz w:val="16"/>
          <w:szCs w:val="16"/>
          <w:color w:val="auto"/>
        </w:rPr>
        <w:t>In April 2014, the Financial Accounting Standards Board (“FASB”) issued an amendment to its guidance regarding the reporting requirements of discontinued operations, which is effective for the Company beginning in the first quarter of fiscal 2016. As a result, the Company has adopted and will apply the new guidance for any future dispositions that meet the criteria of a discontinued operation under the amendment.</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Accounting Pronouncements Not Yet Effective</w:t>
      </w:r>
    </w:p>
    <w:p>
      <w:pPr>
        <w:spacing w:after="0" w:line="90"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April 2015, the FASB issued new guidance to help entities evaluate the accounting for fees paid by a customer in a cloud computing arrangement. The guidance provides a basis for evaluating whether a cloud computing arrangement includes a software license or whether the arrangement should be accounted for as a service contract. The guidance is effective for annual and interim reporting periods beginning after December 15, 2015. The Company is currently evaluating the effect this new guidance will have on its consolidated financial statements.</w:t>
      </w:r>
    </w:p>
    <w:p>
      <w:pPr>
        <w:spacing w:after="0" w:line="143"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May 2014, the FASB issued a new standard on the recognition of revenue from contracts with customers, which will supersede nearly all existing revenue recognition guidance under GAAP. Under the new standard, recognition of revenue occurs when a customer obtains control of promised goods or services in an amount that reflects the consideration to which the entity expects to be entitled in exchange for those goods or services. Additional disclosures regarding the nature, amount, timing, and uncertainty of revenue and cash flows arising from contracts with customers, and assets recognized from costs incurred to obtain or fulfill a contract will also be required. The standard is effective for the Company’s first quarter of fiscal 2018 and allows for either full retrospective or modified retrospective adoption. Early adoption is not permitted. The Company is currently evaluating the effects of the new guidance and has not yet selected a transition method nor has it determined the potential effects of adoption on its financial statements.</w:t>
      </w:r>
    </w:p>
    <w:p>
      <w:pPr>
        <w:spacing w:after="0" w:line="1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Investments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tables summarize the Company’s investments (in thousands):</w:t>
      </w:r>
    </w:p>
    <w:p>
      <w:pPr>
        <w:spacing w:after="0" w:line="20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78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24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gridSpan w:val="3"/>
          </w:tcPr>
          <w:p>
            <w:pPr>
              <w:ind w:left="400"/>
              <w:spacing w:after="0"/>
              <w:rPr>
                <w:sz w:val="20"/>
                <w:szCs w:val="20"/>
                <w:color w:val="auto"/>
              </w:rPr>
            </w:pPr>
            <w:r>
              <w:rPr>
                <w:rFonts w:ascii="Arial" w:cs="Arial" w:eastAsia="Arial" w:hAnsi="Arial"/>
                <w:sz w:val="14"/>
                <w:szCs w:val="14"/>
                <w:b w:val="1"/>
                <w:bCs w:val="1"/>
                <w:color w:val="auto"/>
                <w:w w:val="89"/>
              </w:rPr>
              <w:t>May 2, 2015</w:t>
            </w:r>
          </w:p>
        </w:tc>
        <w:tc>
          <w:tcPr>
            <w:tcW w:w="50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220" w:type="dxa"/>
            <w:vAlign w:val="bottom"/>
            <w:tcBorders>
              <w:bottom w:val="single" w:sz="8" w:color="auto"/>
            </w:tcBorders>
          </w:tcPr>
          <w:p>
            <w:pPr>
              <w:spacing w:after="0"/>
              <w:rPr>
                <w:sz w:val="14"/>
                <w:szCs w:val="14"/>
                <w:color w:val="auto"/>
              </w:rPr>
            </w:pPr>
          </w:p>
        </w:tc>
        <w:tc>
          <w:tcPr>
            <w:tcW w:w="8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120" w:type="dxa"/>
            <w:vAlign w:val="bottom"/>
          </w:tcPr>
          <w:p>
            <w:pPr>
              <w:spacing w:after="0"/>
              <w:rPr>
                <w:sz w:val="11"/>
                <w:szCs w:val="11"/>
                <w:color w:val="auto"/>
              </w:rPr>
            </w:pPr>
          </w:p>
        </w:tc>
        <w:tc>
          <w:tcPr>
            <w:tcW w:w="19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8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3"/>
              </w:rPr>
              <w:t>Gross</w:t>
            </w:r>
          </w:p>
        </w:tc>
        <w:tc>
          <w:tcPr>
            <w:tcW w:w="2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104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24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90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104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3"/>
              </w:rPr>
              <w:t>Cost</w:t>
            </w:r>
          </w:p>
        </w:tc>
        <w:tc>
          <w:tcPr>
            <w:tcW w:w="2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8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4"/>
              </w:rPr>
              <w:t>Losses</w:t>
            </w:r>
          </w:p>
        </w:tc>
        <w:tc>
          <w:tcPr>
            <w:tcW w:w="220" w:type="dxa"/>
            <w:vAlign w:val="bottom"/>
          </w:tcPr>
          <w:p>
            <w:pPr>
              <w:spacing w:after="0"/>
              <w:rPr>
                <w:sz w:val="14"/>
                <w:szCs w:val="14"/>
                <w:color w:val="auto"/>
              </w:rPr>
            </w:pPr>
          </w:p>
        </w:tc>
        <w:tc>
          <w:tcPr>
            <w:tcW w:w="900" w:type="dxa"/>
            <w:vAlign w:val="bottom"/>
            <w:gridSpan w:val="2"/>
          </w:tcPr>
          <w:p>
            <w:pPr>
              <w:ind w:left="1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$1,036,538</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2,599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(905)</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$1,038,232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2720" w:type="dxa"/>
            <w:vAlign w:val="bottom"/>
            <w:gridSpan w:val="2"/>
          </w:tcPr>
          <w:p>
            <w:pPr>
              <w:jc w:val="right"/>
              <w:spacing w:after="0"/>
              <w:rPr>
                <w:sz w:val="20"/>
                <w:szCs w:val="20"/>
                <w:color w:val="auto"/>
              </w:rPr>
            </w:pPr>
            <w:r>
              <w:rPr>
                <w:rFonts w:ascii="Arial" w:cs="Arial" w:eastAsia="Arial" w:hAnsi="Arial"/>
                <w:sz w:val="18"/>
                <w:szCs w:val="18"/>
                <w:color w:val="auto"/>
              </w:rPr>
              <w:t>269,845</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(39)</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269,985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100,422</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(13)</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100,488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2720" w:type="dxa"/>
            <w:vAlign w:val="bottom"/>
            <w:gridSpan w:val="2"/>
          </w:tcPr>
          <w:p>
            <w:pPr>
              <w:jc w:val="right"/>
              <w:spacing w:after="0"/>
              <w:rPr>
                <w:sz w:val="20"/>
                <w:szCs w:val="20"/>
                <w:color w:val="auto"/>
              </w:rPr>
            </w:pPr>
            <w:r>
              <w:rPr>
                <w:rFonts w:ascii="Arial" w:cs="Arial" w:eastAsia="Arial" w:hAnsi="Arial"/>
                <w:sz w:val="18"/>
                <w:szCs w:val="18"/>
                <w:color w:val="auto"/>
              </w:rPr>
              <w:t>16,959</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11</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(6)</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16,964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940" w:type="dxa"/>
            <w:vAlign w:val="bottom"/>
            <w:shd w:val="clear" w:color="auto" w:fill="CCEEFF"/>
          </w:tcPr>
          <w:p>
            <w:pPr>
              <w:spacing w:after="0"/>
              <w:rPr>
                <w:sz w:val="18"/>
                <w:szCs w:val="18"/>
                <w:color w:val="auto"/>
              </w:rPr>
            </w:pPr>
          </w:p>
        </w:tc>
        <w:tc>
          <w:tcPr>
            <w:tcW w:w="104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36,511</w:t>
            </w: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(27)</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36,515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14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9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140" w:type="dxa"/>
            <w:vAlign w:val="bottom"/>
            <w:gridSpan w:val="2"/>
            <w:vMerge w:val="continue"/>
          </w:tcPr>
          <w:p>
            <w:pPr>
              <w:spacing w:after="0"/>
              <w:rPr>
                <w:sz w:val="19"/>
                <w:szCs w:val="19"/>
                <w:color w:val="auto"/>
              </w:rPr>
            </w:pPr>
          </w:p>
        </w:tc>
        <w:tc>
          <w:tcPr>
            <w:tcW w:w="194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w w:val="94"/>
              </w:rPr>
              <w:t>1,460,275</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2,899</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rPr>
              <w:t>(990)</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1,462,184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940" w:type="dxa"/>
            <w:vAlign w:val="bottom"/>
            <w:shd w:val="clear" w:color="auto" w:fill="CCEEFF"/>
          </w:tcPr>
          <w:p>
            <w:pPr>
              <w:spacing w:after="0"/>
              <w:rPr>
                <w:sz w:val="18"/>
                <w:szCs w:val="18"/>
                <w:color w:val="auto"/>
              </w:rPr>
            </w:pPr>
          </w:p>
        </w:tc>
        <w:tc>
          <w:tcPr>
            <w:tcW w:w="78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Arial" w:cs="Arial" w:eastAsia="Arial" w:hAnsi="Arial"/>
                <w:sz w:val="18"/>
                <w:szCs w:val="18"/>
                <w:color w:val="auto"/>
              </w:rPr>
              <w:t>Available-for-sale:</w:t>
            </w:r>
          </w:p>
        </w:tc>
        <w:tc>
          <w:tcPr>
            <w:tcW w:w="19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940" w:type="dxa"/>
            <w:vAlign w:val="bottom"/>
            <w:shd w:val="clear" w:color="auto" w:fill="CCEEFF"/>
          </w:tcPr>
          <w:p>
            <w:pPr>
              <w:spacing w:after="0"/>
              <w:rPr>
                <w:sz w:val="18"/>
                <w:szCs w:val="18"/>
                <w:color w:val="auto"/>
              </w:rPr>
            </w:pP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26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(2,389)</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10,111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9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120" w:type="dxa"/>
            <w:vAlign w:val="bottom"/>
            <w:vMerge w:val="continue"/>
          </w:tcPr>
          <w:p>
            <w:pPr>
              <w:spacing w:after="0"/>
              <w:rPr>
                <w:sz w:val="19"/>
                <w:szCs w:val="19"/>
                <w:color w:val="auto"/>
              </w:rPr>
            </w:pPr>
          </w:p>
        </w:tc>
        <w:tc>
          <w:tcPr>
            <w:tcW w:w="1940" w:type="dxa"/>
            <w:vAlign w:val="bottom"/>
          </w:tcPr>
          <w:p>
            <w:pPr>
              <w:spacing w:after="0"/>
              <w:rPr>
                <w:sz w:val="19"/>
                <w:szCs w:val="19"/>
                <w:color w:val="auto"/>
              </w:rPr>
            </w:pPr>
          </w:p>
        </w:tc>
        <w:tc>
          <w:tcPr>
            <w:tcW w:w="780" w:type="dxa"/>
            <w:vAlign w:val="bottom"/>
          </w:tcPr>
          <w:p>
            <w:pPr>
              <w:jc w:val="right"/>
              <w:spacing w:after="0"/>
              <w:rPr>
                <w:sz w:val="20"/>
                <w:szCs w:val="20"/>
                <w:color w:val="auto"/>
              </w:rPr>
            </w:pPr>
            <w:r>
              <w:rPr>
                <w:rFonts w:ascii="Arial" w:cs="Arial" w:eastAsia="Arial" w:hAnsi="Arial"/>
                <w:sz w:val="18"/>
                <w:szCs w:val="18"/>
                <w:color w:val="auto"/>
              </w:rPr>
              <w:t>12,500</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80" w:type="dxa"/>
            <w:vAlign w:val="bottom"/>
            <w:gridSpan w:val="2"/>
          </w:tcPr>
          <w:p>
            <w:pPr>
              <w:jc w:val="right"/>
              <w:ind w:right="220"/>
              <w:spacing w:after="0"/>
              <w:rPr>
                <w:sz w:val="20"/>
                <w:szCs w:val="20"/>
                <w:color w:val="auto"/>
              </w:rPr>
            </w:pPr>
            <w:r>
              <w:rPr>
                <w:rFonts w:ascii="Arial" w:cs="Arial" w:eastAsia="Arial" w:hAnsi="Arial"/>
                <w:sz w:val="18"/>
                <w:szCs w:val="18"/>
                <w:color w:val="auto"/>
                <w:w w:val="94"/>
              </w:rPr>
              <w:t>(2,389)</w:t>
            </w:r>
          </w:p>
        </w:tc>
        <w:tc>
          <w:tcPr>
            <w:tcW w:w="1020" w:type="dxa"/>
            <w:vAlign w:val="bottom"/>
            <w:gridSpan w:val="2"/>
          </w:tcPr>
          <w:p>
            <w:pPr>
              <w:jc w:val="right"/>
              <w:spacing w:after="0"/>
              <w:rPr>
                <w:sz w:val="20"/>
                <w:szCs w:val="20"/>
                <w:color w:val="auto"/>
              </w:rPr>
            </w:pPr>
            <w:r>
              <w:rPr>
                <w:rFonts w:ascii="Arial" w:cs="Arial" w:eastAsia="Arial" w:hAnsi="Arial"/>
                <w:sz w:val="18"/>
                <w:szCs w:val="18"/>
                <w:color w:val="auto"/>
              </w:rPr>
              <w:t>10,111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78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8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2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1,472,775</w:t>
            </w:r>
          </w:p>
        </w:tc>
        <w:tc>
          <w:tcPr>
            <w:tcW w:w="26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2,899</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7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4"/>
              </w:rPr>
              <w:t>(3,379)</w:t>
            </w:r>
          </w:p>
        </w:tc>
        <w:tc>
          <w:tcPr>
            <w:tcW w:w="10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1,472,295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Arial" w:cs="Arial" w:eastAsia="Arial" w:hAnsi="Arial"/>
                <w:sz w:val="18"/>
                <w:szCs w:val="18"/>
                <w:color w:val="auto"/>
              </w:rPr>
              <w:t>8</w:t>
            </w:r>
          </w:p>
        </w:tc>
        <w:tc>
          <w:tcPr>
            <w:tcW w:w="78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7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640"/>
              <w:spacing w:after="0"/>
              <w:rPr>
                <w:sz w:val="20"/>
                <w:szCs w:val="20"/>
                <w:color w:val="auto"/>
              </w:rPr>
            </w:pPr>
            <w:r>
              <w:rPr>
                <w:rFonts w:ascii="Arial" w:cs="Arial" w:eastAsia="Arial" w:hAnsi="Arial"/>
                <w:sz w:val="14"/>
                <w:szCs w:val="14"/>
                <w:b w:val="1"/>
                <w:bCs w:val="1"/>
                <w:color w:val="auto"/>
              </w:rPr>
              <w:t>January 31, 2015</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4540" w:type="dxa"/>
            <w:vAlign w:val="bottom"/>
          </w:tcPr>
          <w:p>
            <w:pPr>
              <w:spacing w:after="0"/>
              <w:rPr>
                <w:sz w:val="11"/>
                <w:szCs w:val="11"/>
                <w:color w:val="auto"/>
              </w:rPr>
            </w:pPr>
          </w:p>
        </w:tc>
        <w:tc>
          <w:tcPr>
            <w:tcW w:w="15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00" w:type="dxa"/>
            <w:vAlign w:val="bottom"/>
          </w:tcPr>
          <w:p>
            <w:pPr>
              <w:jc w:val="right"/>
              <w:ind w:right="57"/>
              <w:spacing w:after="0" w:line="129" w:lineRule="exact"/>
              <w:rPr>
                <w:sz w:val="20"/>
                <w:szCs w:val="20"/>
                <w:color w:val="auto"/>
              </w:rPr>
            </w:pPr>
            <w:r>
              <w:rPr>
                <w:rFonts w:ascii="Arial" w:cs="Arial" w:eastAsia="Arial" w:hAnsi="Arial"/>
                <w:sz w:val="14"/>
                <w:szCs w:val="14"/>
                <w:b w:val="1"/>
                <w:bCs w:val="1"/>
                <w:color w:val="auto"/>
                <w:w w:val="83"/>
              </w:rPr>
              <w:t>Gross</w:t>
            </w:r>
          </w:p>
        </w:tc>
        <w:tc>
          <w:tcPr>
            <w:tcW w:w="5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0" w:type="dxa"/>
            <w:vAlign w:val="bottom"/>
            <w:gridSpan w:val="2"/>
          </w:tcPr>
          <w:p>
            <w:pPr>
              <w:jc w:val="right"/>
              <w:ind w:right="420"/>
              <w:spacing w:after="0" w:line="129" w:lineRule="exact"/>
              <w:rPr>
                <w:sz w:val="20"/>
                <w:szCs w:val="20"/>
                <w:color w:val="auto"/>
              </w:rPr>
            </w:pPr>
            <w:r>
              <w:rPr>
                <w:rFonts w:ascii="Arial" w:cs="Arial" w:eastAsia="Arial" w:hAnsi="Arial"/>
                <w:sz w:val="14"/>
                <w:szCs w:val="14"/>
                <w:b w:val="1"/>
                <w:bCs w:val="1"/>
                <w:color w:val="auto"/>
                <w:w w:val="88"/>
              </w:rPr>
              <w:t>Gross</w:t>
            </w:r>
          </w:p>
        </w:tc>
        <w:tc>
          <w:tcPr>
            <w:tcW w:w="2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87"/>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w w:val="84"/>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Arial" w:cs="Arial" w:eastAsia="Arial" w:hAnsi="Arial"/>
                <w:sz w:val="14"/>
                <w:szCs w:val="14"/>
                <w:b w:val="1"/>
                <w:bCs w:val="1"/>
                <w:color w:val="auto"/>
              </w:rPr>
              <w:t>Estimated</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Arial" w:cs="Arial" w:eastAsia="Arial" w:hAnsi="Arial"/>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Arial" w:cs="Arial" w:eastAsia="Arial" w:hAnsi="Arial"/>
                <w:sz w:val="14"/>
                <w:szCs w:val="14"/>
                <w:b w:val="1"/>
                <w:bCs w:val="1"/>
                <w:color w:val="auto"/>
                <w:w w:val="87"/>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Arial" w:cs="Arial" w:eastAsia="Arial" w:hAnsi="Arial"/>
                <w:sz w:val="14"/>
                <w:szCs w:val="14"/>
                <w:b w:val="1"/>
                <w:bCs w:val="1"/>
                <w:color w:val="auto"/>
                <w:w w:val="78"/>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983,008</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3,872</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(563)</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178,898</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265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(7)</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Asset backed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91,432</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(9)</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Arial" w:cs="Arial" w:eastAsia="Arial" w:hAnsi="Arial"/>
                <w:sz w:val="18"/>
                <w:szCs w:val="18"/>
                <w:color w:val="auto"/>
              </w:rPr>
              <w:t>Foreign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28,051</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61</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(2)</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Municipal debt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33,421</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560" w:type="dxa"/>
            <w:vAlign w:val="bottom"/>
            <w:gridSpan w:val="2"/>
            <w:vMerge w:val="restart"/>
          </w:tcPr>
          <w:p>
            <w:pPr>
              <w:spacing w:after="0"/>
              <w:rPr>
                <w:sz w:val="20"/>
                <w:szCs w:val="20"/>
                <w:color w:val="auto"/>
              </w:rPr>
            </w:pPr>
            <w:r>
              <w:rPr>
                <w:rFonts w:ascii="Arial" w:cs="Arial" w:eastAsia="Arial" w:hAnsi="Arial"/>
                <w:sz w:val="18"/>
                <w:szCs w:val="18"/>
                <w:color w:val="auto"/>
              </w:rPr>
              <w:t>Total short-term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560" w:type="dxa"/>
            <w:vAlign w:val="bottom"/>
            <w:gridSpan w:val="2"/>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1,314,810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4,353</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rPr>
              <w:t>(585)</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1,318,578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Arial" w:cs="Arial" w:eastAsia="Arial" w:hAnsi="Arial"/>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vMerge w:val="restart"/>
          </w:tcPr>
          <w:p>
            <w:pPr>
              <w:ind w:left="420"/>
              <w:spacing w:after="0"/>
              <w:rPr>
                <w:sz w:val="20"/>
                <w:szCs w:val="20"/>
                <w:color w:val="auto"/>
              </w:rPr>
            </w:pPr>
            <w:r>
              <w:rPr>
                <w:rFonts w:ascii="Arial" w:cs="Arial" w:eastAsia="Arial" w:hAnsi="Arial"/>
                <w:sz w:val="18"/>
                <w:szCs w:val="18"/>
                <w:color w:val="auto"/>
              </w:rPr>
              <w:t>Total long-term investments</w:t>
            </w:r>
          </w:p>
        </w:tc>
        <w:tc>
          <w:tcPr>
            <w:tcW w:w="1520" w:type="dxa"/>
            <w:vAlign w:val="bottom"/>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00" w:type="dxa"/>
            <w:vAlign w:val="bottom"/>
            <w:shd w:val="clear" w:color="auto" w:fill="000000"/>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20" w:type="dxa"/>
            <w:vAlign w:val="bottom"/>
            <w:shd w:val="clear" w:color="auto" w:fill="000000"/>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4540" w:type="dxa"/>
            <w:vAlign w:val="bottom"/>
            <w:vMerge w:val="continue"/>
          </w:tcPr>
          <w:p>
            <w:pPr>
              <w:spacing w:after="0"/>
              <w:rPr>
                <w:sz w:val="19"/>
                <w:szCs w:val="19"/>
                <w:color w:val="auto"/>
              </w:rPr>
            </w:pPr>
          </w:p>
        </w:tc>
        <w:tc>
          <w:tcPr>
            <w:tcW w:w="15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12,500</w:t>
            </w:r>
          </w:p>
        </w:tc>
        <w:tc>
          <w:tcPr>
            <w:tcW w:w="5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(2,274)</w:t>
            </w:r>
          </w:p>
        </w:tc>
        <w:tc>
          <w:tcPr>
            <w:tcW w:w="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540" w:type="dxa"/>
            <w:vAlign w:val="bottom"/>
          </w:tcPr>
          <w:p>
            <w:pPr>
              <w:spacing w:after="0"/>
              <w:rPr>
                <w:sz w:val="2"/>
                <w:szCs w:val="2"/>
                <w:color w:val="auto"/>
              </w:rPr>
            </w:pPr>
          </w:p>
        </w:tc>
        <w:tc>
          <w:tcPr>
            <w:tcW w:w="15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Arial" w:cs="Arial" w:eastAsia="Arial" w:hAnsi="Arial"/>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1,327,310</w:t>
            </w:r>
          </w:p>
        </w:tc>
        <w:tc>
          <w:tcPr>
            <w:tcW w:w="62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99"/>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4,353</w:t>
            </w:r>
          </w:p>
        </w:tc>
        <w:tc>
          <w:tcPr>
            <w:tcW w:w="600" w:type="dxa"/>
            <w:vAlign w:val="bottom"/>
            <w:gridSpan w:val="2"/>
            <w:shd w:val="clear" w:color="auto" w:fill="CCEEFF"/>
          </w:tcPr>
          <w:p>
            <w:pPr>
              <w:ind w:left="500"/>
              <w:spacing w:after="0"/>
              <w:rPr>
                <w:sz w:val="20"/>
                <w:szCs w:val="20"/>
                <w:color w:val="auto"/>
              </w:rPr>
            </w:pPr>
            <w:r>
              <w:rPr>
                <w:rFonts w:ascii="Arial" w:cs="Arial" w:eastAsia="Arial" w:hAnsi="Arial"/>
                <w:sz w:val="18"/>
                <w:szCs w:val="18"/>
                <w:color w:val="auto"/>
                <w:w w:val="79"/>
              </w:rPr>
              <w:t>$</w:t>
            </w:r>
          </w:p>
        </w:tc>
        <w:tc>
          <w:tcPr>
            <w:tcW w:w="80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(2,859)</w:t>
            </w:r>
          </w:p>
        </w:tc>
        <w:tc>
          <w:tcPr>
            <w:tcW w:w="3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1,328,804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As of May 2, 2015, the Company’s investment portfolio included auction rate securities with an aggregate par value of $12.5 million classified as long-term investments. Although these securities have continued to pay interest,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these auction rate securities as of May 2, 2015 was $2.4 million less than their par value. Based on the Company’s balance of approximately $2.5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income, a component of shareholders’ equity.</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Gross realized gains and gross realized losses on sales of available-for-sales securities are presented in the following table (in thousands):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40" w:type="dxa"/>
            <w:vAlign w:val="bottom"/>
            <w:gridSpan w:val="8"/>
          </w:tcPr>
          <w:p>
            <w:pPr>
              <w:jc w:val="right"/>
              <w:ind w:right="320"/>
              <w:spacing w:after="0"/>
              <w:rPr>
                <w:sz w:val="20"/>
                <w:szCs w:val="20"/>
                <w:color w:val="auto"/>
              </w:rPr>
            </w:pPr>
            <w:r>
              <w:rPr>
                <w:rFonts w:ascii="Arial" w:cs="Arial" w:eastAsia="Arial" w:hAnsi="Arial"/>
                <w:sz w:val="14"/>
                <w:szCs w:val="14"/>
                <w:b w:val="1"/>
                <w:bCs w:val="1"/>
                <w:color w:val="auto"/>
                <w:w w:val="93"/>
              </w:rPr>
              <w:t>Three Months Ended</w:t>
            </w: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37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00" w:type="dxa"/>
            <w:vAlign w:val="bottom"/>
            <w:tcBorders>
              <w:top w:val="single" w:sz="8" w:color="auto"/>
            </w:tcBorders>
            <w:gridSpan w:val="3"/>
          </w:tcPr>
          <w:p>
            <w:pPr>
              <w:jc w:val="right"/>
              <w:ind w:right="260"/>
              <w:spacing w:after="0" w:line="129" w:lineRule="exact"/>
              <w:rPr>
                <w:sz w:val="20"/>
                <w:szCs w:val="20"/>
                <w:color w:val="auto"/>
              </w:rPr>
            </w:pPr>
            <w:r>
              <w:rPr>
                <w:rFonts w:ascii="Arial" w:cs="Arial" w:eastAsia="Arial" w:hAnsi="Arial"/>
                <w:sz w:val="14"/>
                <w:szCs w:val="14"/>
                <w:b w:val="1"/>
                <w:bCs w:val="1"/>
                <w:color w:val="auto"/>
                <w:w w:val="98"/>
              </w:rPr>
              <w:t>May 2,</w:t>
            </w:r>
          </w:p>
        </w:tc>
        <w:tc>
          <w:tcPr>
            <w:tcW w:w="14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520" w:type="dxa"/>
            <w:vAlign w:val="bottom"/>
            <w:tcBorders>
              <w:top w:val="single" w:sz="8" w:color="auto"/>
            </w:tcBorders>
            <w:gridSpan w:val="2"/>
          </w:tcPr>
          <w:p>
            <w:pPr>
              <w:jc w:val="right"/>
              <w:spacing w:after="0" w:line="129" w:lineRule="exact"/>
              <w:rPr>
                <w:sz w:val="20"/>
                <w:szCs w:val="20"/>
                <w:color w:val="auto"/>
              </w:rPr>
            </w:pPr>
            <w:r>
              <w:rPr>
                <w:rFonts w:ascii="Arial" w:cs="Arial" w:eastAsia="Arial" w:hAnsi="Arial"/>
                <w:sz w:val="14"/>
                <w:szCs w:val="14"/>
                <w:b w:val="1"/>
                <w:bCs w:val="1"/>
                <w:color w:val="auto"/>
              </w:rPr>
              <w:t>May 3,</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3740" w:type="dxa"/>
            <w:vAlign w:val="bottom"/>
            <w:tcBorders>
              <w:bottom w:val="single" w:sz="8" w:color="CCEEFF"/>
            </w:tcBorders>
          </w:tcPr>
          <w:p>
            <w:pPr>
              <w:spacing w:after="0"/>
              <w:rPr>
                <w:sz w:val="14"/>
                <w:szCs w:val="14"/>
                <w:color w:val="auto"/>
              </w:rPr>
            </w:pPr>
          </w:p>
        </w:tc>
        <w:tc>
          <w:tcPr>
            <w:tcW w:w="226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7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200" w:type="dxa"/>
            <w:vAlign w:val="bottom"/>
            <w:tcBorders>
              <w:bottom w:val="single" w:sz="8" w:color="CCEEFF"/>
            </w:tcBorders>
          </w:tcPr>
          <w:p>
            <w:pPr>
              <w:spacing w:after="0"/>
              <w:rPr>
                <w:sz w:val="14"/>
                <w:szCs w:val="14"/>
                <w:color w:val="auto"/>
              </w:rPr>
            </w:pPr>
          </w:p>
        </w:tc>
        <w:tc>
          <w:tcPr>
            <w:tcW w:w="3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4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w w:val="83"/>
              </w:rPr>
              <w:t>2015</w:t>
            </w:r>
          </w:p>
        </w:tc>
        <w:tc>
          <w:tcPr>
            <w:tcW w:w="260" w:type="dxa"/>
            <w:vAlign w:val="bottom"/>
            <w:tcBorders>
              <w:bottom w:val="single" w:sz="8" w:color="CCEEFF"/>
            </w:tcBorders>
          </w:tcPr>
          <w:p>
            <w:pPr>
              <w:spacing w:after="0"/>
              <w:rPr>
                <w:sz w:val="14"/>
                <w:szCs w:val="14"/>
                <w:color w:val="auto"/>
              </w:rPr>
            </w:pPr>
          </w:p>
        </w:tc>
        <w:tc>
          <w:tcPr>
            <w:tcW w:w="140" w:type="dxa"/>
            <w:vAlign w:val="bottom"/>
            <w:tcBorders>
              <w:bottom w:val="single" w:sz="8" w:color="CCEEFF"/>
            </w:tcBorders>
          </w:tcPr>
          <w:p>
            <w:pPr>
              <w:spacing w:after="0"/>
              <w:rPr>
                <w:sz w:val="14"/>
                <w:szCs w:val="14"/>
                <w:color w:val="auto"/>
              </w:rPr>
            </w:pPr>
          </w:p>
        </w:tc>
        <w:tc>
          <w:tcPr>
            <w:tcW w:w="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20" w:type="dxa"/>
            <w:vAlign w:val="bottom"/>
            <w:tcBorders>
              <w:bottom w:val="single" w:sz="8" w:color="auto"/>
            </w:tcBorders>
          </w:tcPr>
          <w:p>
            <w:pPr>
              <w:jc w:val="right"/>
              <w:ind w:right="37"/>
              <w:spacing w:after="0"/>
              <w:rPr>
                <w:sz w:val="20"/>
                <w:szCs w:val="20"/>
                <w:color w:val="auto"/>
              </w:rPr>
            </w:pPr>
            <w:r>
              <w:rPr>
                <w:rFonts w:ascii="Arial" w:cs="Arial" w:eastAsia="Arial" w:hAnsi="Arial"/>
                <w:sz w:val="14"/>
                <w:szCs w:val="14"/>
                <w:b w:val="1"/>
                <w:bCs w:val="1"/>
                <w:color w:val="auto"/>
                <w:w w:val="89"/>
              </w:rPr>
              <w:t>2014</w:t>
            </w: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37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Gross realized gains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79"/>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443</w:t>
            </w:r>
          </w:p>
        </w:tc>
        <w:tc>
          <w:tcPr>
            <w:tcW w:w="260" w:type="dxa"/>
            <w:vAlign w:val="bottom"/>
            <w:tcBorders>
              <w:left w:val="single" w:sz="8" w:color="CCEEFF"/>
            </w:tcBorders>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472</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3740" w:type="dxa"/>
            <w:vAlign w:val="bottom"/>
          </w:tcPr>
          <w:p>
            <w:pPr>
              <w:spacing w:after="0"/>
              <w:rPr>
                <w:sz w:val="20"/>
                <w:szCs w:val="20"/>
                <w:color w:val="auto"/>
              </w:rPr>
            </w:pPr>
            <w:r>
              <w:rPr>
                <w:rFonts w:ascii="Arial" w:cs="Arial" w:eastAsia="Arial" w:hAnsi="Arial"/>
                <w:sz w:val="18"/>
                <w:szCs w:val="18"/>
                <w:color w:val="auto"/>
              </w:rPr>
              <w:t>Gross realized losses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gridSpan w:val="2"/>
          </w:tcPr>
          <w:p>
            <w:pPr>
              <w:jc w:val="right"/>
              <w:ind w:right="140"/>
              <w:spacing w:after="0"/>
              <w:rPr>
                <w:sz w:val="20"/>
                <w:szCs w:val="20"/>
                <w:color w:val="auto"/>
              </w:rPr>
            </w:pPr>
            <w:r>
              <w:rPr>
                <w:rFonts w:ascii="Arial" w:cs="Arial" w:eastAsia="Arial" w:hAnsi="Arial"/>
                <w:sz w:val="18"/>
                <w:szCs w:val="18"/>
                <w:color w:val="auto"/>
              </w:rPr>
              <w:t>(107)</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gridSpan w:val="3"/>
          </w:tcPr>
          <w:p>
            <w:pPr>
              <w:jc w:val="right"/>
              <w:ind w:right="40"/>
              <w:spacing w:after="0"/>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27"/>
        </w:trPr>
        <w:tc>
          <w:tcPr>
            <w:tcW w:w="460" w:type="dxa"/>
            <w:vAlign w:val="bottom"/>
            <w:vMerge w:val="restart"/>
          </w:tcPr>
          <w:p>
            <w:pPr>
              <w:spacing w:after="0"/>
              <w:rPr>
                <w:sz w:val="2"/>
                <w:szCs w:val="2"/>
                <w:color w:val="auto"/>
              </w:rPr>
            </w:pPr>
          </w:p>
        </w:tc>
        <w:tc>
          <w:tcPr>
            <w:tcW w:w="3740" w:type="dxa"/>
            <w:vAlign w:val="bottom"/>
          </w:tcPr>
          <w:p>
            <w:pPr>
              <w:spacing w:after="0"/>
              <w:rPr>
                <w:sz w:val="2"/>
                <w:szCs w:val="2"/>
                <w:color w:val="auto"/>
              </w:rPr>
            </w:pPr>
          </w:p>
        </w:tc>
        <w:tc>
          <w:tcPr>
            <w:tcW w:w="22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60" w:type="dxa"/>
            <w:vAlign w:val="bottom"/>
            <w:tcBorders>
              <w:left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60" w:type="dxa"/>
            <w:vAlign w:val="bottom"/>
            <w:vMerge w:val="continue"/>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Total net realized gains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center"/>
              <w:ind w:left="452"/>
              <w:spacing w:after="0"/>
              <w:rPr>
                <w:sz w:val="20"/>
                <w:szCs w:val="20"/>
                <w:color w:val="auto"/>
              </w:rPr>
            </w:pPr>
            <w:r>
              <w:rPr>
                <w:rFonts w:ascii="Arial" w:cs="Arial" w:eastAsia="Arial" w:hAnsi="Arial"/>
                <w:sz w:val="18"/>
                <w:szCs w:val="18"/>
                <w:color w:val="auto"/>
                <w:w w:val="79"/>
              </w:rPr>
              <w:t>$</w:t>
            </w:r>
          </w:p>
        </w:tc>
        <w:tc>
          <w:tcPr>
            <w:tcW w:w="3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260" w:type="dxa"/>
            <w:vAlign w:val="bottom"/>
            <w:tcBorders>
              <w:left w:val="single" w:sz="8" w:color="CCEEFF"/>
            </w:tcBorders>
            <w:shd w:val="clear" w:color="auto" w:fill="CCEEFF"/>
          </w:tcPr>
          <w:p>
            <w:pPr>
              <w:spacing w:after="0"/>
              <w:rPr>
                <w:sz w:val="18"/>
                <w:szCs w:val="18"/>
                <w:color w:val="auto"/>
              </w:rPr>
            </w:pPr>
          </w:p>
        </w:tc>
        <w:tc>
          <w:tcPr>
            <w:tcW w:w="52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447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660" w:type="dxa"/>
            <w:vAlign w:val="bottom"/>
            <w:gridSpan w:val="6"/>
            <w:vMerge w:val="restart"/>
          </w:tcPr>
          <w:p>
            <w:pPr>
              <w:jc w:val="right"/>
              <w:ind w:right="20"/>
              <w:spacing w:after="0"/>
              <w:rPr>
                <w:sz w:val="20"/>
                <w:szCs w:val="20"/>
                <w:color w:val="auto"/>
              </w:rPr>
            </w:pPr>
            <w:r>
              <w:rPr>
                <w:rFonts w:ascii="Arial" w:cs="Arial" w:eastAsia="Arial" w:hAnsi="Arial"/>
                <w:sz w:val="18"/>
                <w:szCs w:val="18"/>
                <w:color w:val="auto"/>
                <w:w w:val="88"/>
              </w:rPr>
              <w:t>The contractual maturities of available-for-sale securities are presented in the following table (in thousands):</w:t>
            </w: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7660" w:type="dxa"/>
            <w:vAlign w:val="bottom"/>
            <w:gridSpan w:val="6"/>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46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100" w:type="dxa"/>
            <w:vAlign w:val="bottom"/>
            <w:gridSpan w:val="5"/>
          </w:tcPr>
          <w:p>
            <w:pPr>
              <w:jc w:val="right"/>
              <w:ind w:right="840"/>
              <w:spacing w:after="0"/>
              <w:rPr>
                <w:sz w:val="20"/>
                <w:szCs w:val="20"/>
                <w:color w:val="auto"/>
              </w:rPr>
            </w:pPr>
            <w:r>
              <w:rPr>
                <w:rFonts w:ascii="Arial" w:cs="Arial" w:eastAsia="Arial" w:hAnsi="Arial"/>
                <w:sz w:val="14"/>
                <w:szCs w:val="14"/>
                <w:b w:val="1"/>
                <w:bCs w:val="1"/>
                <w:color w:val="auto"/>
              </w:rPr>
              <w:t>May 2, 2015</w:t>
            </w: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20" w:type="dxa"/>
            <w:vAlign w:val="bottom"/>
            <w:gridSpan w:val="5"/>
          </w:tcPr>
          <w:p>
            <w:pPr>
              <w:jc w:val="right"/>
              <w:ind w:right="8"/>
              <w:spacing w:after="0"/>
              <w:rPr>
                <w:sz w:val="20"/>
                <w:szCs w:val="20"/>
                <w:color w:val="auto"/>
              </w:rPr>
            </w:pPr>
            <w:r>
              <w:rPr>
                <w:rFonts w:ascii="Arial" w:cs="Arial" w:eastAsia="Arial" w:hAnsi="Arial"/>
                <w:sz w:val="14"/>
                <w:szCs w:val="14"/>
                <w:b w:val="1"/>
                <w:bCs w:val="1"/>
                <w:color w:val="auto"/>
                <w:w w:val="90"/>
              </w:rPr>
              <w:t>January 31, 2015</w:t>
            </w: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460" w:type="dxa"/>
            <w:vAlign w:val="bottom"/>
          </w:tcPr>
          <w:p>
            <w:pPr>
              <w:spacing w:after="0"/>
              <w:rPr>
                <w:sz w:val="11"/>
                <w:szCs w:val="11"/>
                <w:color w:val="auto"/>
              </w:rPr>
            </w:pPr>
          </w:p>
        </w:tc>
        <w:tc>
          <w:tcPr>
            <w:tcW w:w="374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right"/>
              <w:ind w:right="500"/>
              <w:spacing w:after="0" w:line="129" w:lineRule="exact"/>
              <w:rPr>
                <w:sz w:val="20"/>
                <w:szCs w:val="20"/>
                <w:color w:val="auto"/>
              </w:rPr>
            </w:pPr>
            <w:r>
              <w:rPr>
                <w:rFonts w:ascii="Arial" w:cs="Arial" w:eastAsia="Arial" w:hAnsi="Arial"/>
                <w:sz w:val="14"/>
                <w:szCs w:val="14"/>
                <w:b w:val="1"/>
                <w:bCs w:val="1"/>
                <w:color w:val="auto"/>
                <w:w w:val="84"/>
              </w:rPr>
              <w:t>Amortized</w:t>
            </w:r>
          </w:p>
        </w:tc>
        <w:tc>
          <w:tcPr>
            <w:tcW w:w="10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right"/>
              <w:ind w:right="19"/>
              <w:spacing w:after="0" w:line="129" w:lineRule="exact"/>
              <w:rPr>
                <w:sz w:val="20"/>
                <w:szCs w:val="20"/>
                <w:color w:val="auto"/>
              </w:rPr>
            </w:pPr>
            <w:r>
              <w:rPr>
                <w:rFonts w:ascii="Arial" w:cs="Arial" w:eastAsia="Arial" w:hAnsi="Arial"/>
                <w:sz w:val="14"/>
                <w:szCs w:val="14"/>
                <w:b w:val="1"/>
                <w:bCs w:val="1"/>
                <w:color w:val="auto"/>
                <w:w w:val="86"/>
              </w:rPr>
              <w:t>Estimated</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060" w:type="dxa"/>
            <w:vAlign w:val="bottom"/>
            <w:tcBorders>
              <w:top w:val="single" w:sz="8" w:color="auto"/>
            </w:tcBorders>
            <w:gridSpan w:val="4"/>
          </w:tcPr>
          <w:p>
            <w:pPr>
              <w:jc w:val="center"/>
              <w:ind w:right="240"/>
              <w:spacing w:after="0" w:line="129" w:lineRule="exact"/>
              <w:rPr>
                <w:sz w:val="20"/>
                <w:szCs w:val="20"/>
                <w:color w:val="auto"/>
              </w:rPr>
            </w:pPr>
            <w:r>
              <w:rPr>
                <w:rFonts w:ascii="Arial" w:cs="Arial" w:eastAsia="Arial" w:hAnsi="Arial"/>
                <w:sz w:val="14"/>
                <w:szCs w:val="14"/>
                <w:b w:val="1"/>
                <w:bCs w:val="1"/>
                <w:color w:val="auto"/>
                <w:w w:val="90"/>
              </w:rPr>
              <w:t>Amortized</w:t>
            </w:r>
          </w:p>
        </w:tc>
        <w:tc>
          <w:tcPr>
            <w:tcW w:w="140" w:type="dxa"/>
            <w:vAlign w:val="bottom"/>
            <w:tcBorders>
              <w:top w:val="single" w:sz="8" w:color="auto"/>
            </w:tcBorders>
          </w:tcPr>
          <w:p>
            <w:pPr>
              <w:spacing w:after="0"/>
              <w:rPr>
                <w:sz w:val="11"/>
                <w:szCs w:val="11"/>
                <w:color w:val="auto"/>
              </w:rPr>
            </w:pPr>
          </w:p>
        </w:tc>
        <w:tc>
          <w:tcPr>
            <w:tcW w:w="820" w:type="dxa"/>
            <w:vAlign w:val="bottom"/>
            <w:tcBorders>
              <w:top w:val="single" w:sz="8" w:color="auto"/>
            </w:tcBorders>
            <w:gridSpan w:val="4"/>
          </w:tcPr>
          <w:p>
            <w:pPr>
              <w:jc w:val="right"/>
              <w:ind w:right="120"/>
              <w:spacing w:after="0" w:line="129" w:lineRule="exact"/>
              <w:rPr>
                <w:sz w:val="20"/>
                <w:szCs w:val="20"/>
                <w:color w:val="auto"/>
              </w:rPr>
            </w:pPr>
            <w:r>
              <w:rPr>
                <w:rFonts w:ascii="Arial" w:cs="Arial" w:eastAsia="Arial" w:hAnsi="Arial"/>
                <w:sz w:val="14"/>
                <w:szCs w:val="14"/>
                <w:b w:val="1"/>
                <w:bCs w:val="1"/>
                <w:color w:val="auto"/>
              </w:rPr>
              <w:t>Estimated</w:t>
            </w:r>
          </w:p>
        </w:tc>
        <w:tc>
          <w:tcPr>
            <w:tcW w:w="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60" w:type="dxa"/>
            <w:vAlign w:val="bottom"/>
          </w:tcPr>
          <w:p>
            <w:pPr>
              <w:spacing w:after="0"/>
              <w:rPr>
                <w:sz w:val="14"/>
                <w:szCs w:val="14"/>
                <w:color w:val="auto"/>
              </w:rPr>
            </w:pPr>
          </w:p>
        </w:tc>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660"/>
              <w:spacing w:after="0"/>
              <w:rPr>
                <w:sz w:val="20"/>
                <w:szCs w:val="20"/>
                <w:color w:val="auto"/>
              </w:rPr>
            </w:pPr>
            <w:r>
              <w:rPr>
                <w:rFonts w:ascii="Arial" w:cs="Arial" w:eastAsia="Arial" w:hAnsi="Arial"/>
                <w:sz w:val="14"/>
                <w:szCs w:val="14"/>
                <w:b w:val="1"/>
                <w:bCs w:val="1"/>
                <w:color w:val="auto"/>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6"/>
              </w:rPr>
              <w:t>Fair Value</w:t>
            </w:r>
          </w:p>
        </w:tc>
        <w:tc>
          <w:tcPr>
            <w:tcW w:w="200" w:type="dxa"/>
            <w:vAlign w:val="bottom"/>
          </w:tcPr>
          <w:p>
            <w:pPr>
              <w:spacing w:after="0"/>
              <w:rPr>
                <w:sz w:val="14"/>
                <w:szCs w:val="14"/>
                <w:color w:val="auto"/>
              </w:rPr>
            </w:pPr>
          </w:p>
        </w:tc>
        <w:tc>
          <w:tcPr>
            <w:tcW w:w="106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83"/>
              </w:rPr>
              <w:t>Cost</w:t>
            </w:r>
          </w:p>
        </w:tc>
        <w:tc>
          <w:tcPr>
            <w:tcW w:w="140" w:type="dxa"/>
            <w:vAlign w:val="bottom"/>
          </w:tcPr>
          <w:p>
            <w:pPr>
              <w:spacing w:after="0"/>
              <w:rPr>
                <w:sz w:val="14"/>
                <w:szCs w:val="14"/>
                <w:color w:val="auto"/>
              </w:rPr>
            </w:pPr>
          </w:p>
        </w:tc>
        <w:tc>
          <w:tcPr>
            <w:tcW w:w="900" w:type="dxa"/>
            <w:vAlign w:val="bottom"/>
            <w:gridSpan w:val="5"/>
          </w:tcPr>
          <w:p>
            <w:pPr>
              <w:jc w:val="right"/>
              <w:ind w:right="200"/>
              <w:spacing w:after="0"/>
              <w:rPr>
                <w:sz w:val="20"/>
                <w:szCs w:val="20"/>
                <w:color w:val="auto"/>
              </w:rPr>
            </w:pPr>
            <w:r>
              <w:rPr>
                <w:rFonts w:ascii="Arial" w:cs="Arial" w:eastAsia="Arial" w:hAnsi="Arial"/>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460" w:type="dxa"/>
            <w:vAlign w:val="bottom"/>
          </w:tcPr>
          <w:p>
            <w:pPr>
              <w:spacing w:after="0"/>
              <w:rPr>
                <w:sz w:val="18"/>
                <w:szCs w:val="18"/>
                <w:color w:val="auto"/>
              </w:rPr>
            </w:pPr>
          </w:p>
        </w:tc>
        <w:tc>
          <w:tcPr>
            <w:tcW w:w="37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Due in one year or less</w:t>
            </w:r>
          </w:p>
        </w:tc>
        <w:tc>
          <w:tcPr>
            <w:tcW w:w="2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372,927</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373,005</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80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91"/>
              </w:rPr>
              <w:t>$  361,108</w:t>
            </w:r>
          </w:p>
        </w:tc>
        <w:tc>
          <w:tcPr>
            <w:tcW w:w="260" w:type="dxa"/>
            <w:vAlign w:val="bottom"/>
            <w:tcBorders>
              <w:top w:val="single" w:sz="8" w:color="CCEEFF"/>
              <w:left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gridSpan w:val="4"/>
            <w:shd w:val="clear" w:color="auto" w:fill="CCEEFF"/>
          </w:tcPr>
          <w:p>
            <w:pPr>
              <w:jc w:val="right"/>
              <w:ind w:right="20"/>
              <w:spacing w:after="0"/>
              <w:rPr>
                <w:sz w:val="20"/>
                <w:szCs w:val="20"/>
                <w:color w:val="auto"/>
              </w:rPr>
            </w:pPr>
            <w:r>
              <w:rPr>
                <w:rFonts w:ascii="Arial" w:cs="Arial" w:eastAsia="Arial" w:hAnsi="Arial"/>
                <w:sz w:val="18"/>
                <w:szCs w:val="18"/>
                <w:color w:val="auto"/>
                <w:w w:val="91"/>
              </w:rPr>
              <w:t>$  361,396</w:t>
            </w:r>
          </w:p>
        </w:tc>
        <w:tc>
          <w:tcPr>
            <w:tcW w:w="8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3740" w:type="dxa"/>
            <w:vAlign w:val="bottom"/>
          </w:tcPr>
          <w:p>
            <w:pPr>
              <w:spacing w:after="0"/>
              <w:rPr>
                <w:sz w:val="20"/>
                <w:szCs w:val="20"/>
                <w:color w:val="auto"/>
              </w:rPr>
            </w:pPr>
            <w:r>
              <w:rPr>
                <w:rFonts w:ascii="Arial" w:cs="Arial" w:eastAsia="Arial" w:hAnsi="Arial"/>
                <w:sz w:val="18"/>
                <w:szCs w:val="18"/>
                <w:color w:val="auto"/>
              </w:rPr>
              <w:t>Due between one and five years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1,078,275</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1,080,123</w:t>
            </w:r>
          </w:p>
        </w:tc>
        <w:tc>
          <w:tcPr>
            <w:tcW w:w="1000" w:type="dxa"/>
            <w:vAlign w:val="bottom"/>
            <w:gridSpan w:val="4"/>
          </w:tcPr>
          <w:p>
            <w:pPr>
              <w:jc w:val="right"/>
              <w:spacing w:after="0"/>
              <w:rPr>
                <w:sz w:val="20"/>
                <w:szCs w:val="20"/>
                <w:color w:val="auto"/>
              </w:rPr>
            </w:pPr>
            <w:r>
              <w:rPr>
                <w:rFonts w:ascii="Arial" w:cs="Arial" w:eastAsia="Arial" w:hAnsi="Arial"/>
                <w:sz w:val="18"/>
                <w:szCs w:val="18"/>
                <w:color w:val="auto"/>
              </w:rPr>
              <w:t>950,702</w:t>
            </w:r>
          </w:p>
        </w:tc>
        <w:tc>
          <w:tcPr>
            <w:tcW w:w="260" w:type="dxa"/>
            <w:vAlign w:val="bottom"/>
          </w:tcPr>
          <w:p>
            <w:pPr>
              <w:spacing w:after="0"/>
              <w:rPr>
                <w:sz w:val="18"/>
                <w:szCs w:val="18"/>
                <w:color w:val="auto"/>
              </w:rPr>
            </w:pPr>
          </w:p>
        </w:tc>
        <w:tc>
          <w:tcPr>
            <w:tcW w:w="960" w:type="dxa"/>
            <w:vAlign w:val="bottom"/>
            <w:gridSpan w:val="5"/>
          </w:tcPr>
          <w:p>
            <w:pPr>
              <w:jc w:val="right"/>
              <w:ind w:right="20"/>
              <w:spacing w:after="0"/>
              <w:rPr>
                <w:sz w:val="20"/>
                <w:szCs w:val="20"/>
                <w:color w:val="auto"/>
              </w:rPr>
            </w:pPr>
            <w:r>
              <w:rPr>
                <w:rFonts w:ascii="Arial" w:cs="Arial" w:eastAsia="Arial" w:hAnsi="Arial"/>
                <w:sz w:val="18"/>
                <w:szCs w:val="18"/>
                <w:color w:val="auto"/>
              </w:rPr>
              <w:t>954,151</w:t>
            </w:r>
          </w:p>
        </w:tc>
        <w:tc>
          <w:tcPr>
            <w:tcW w:w="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3740" w:type="dxa"/>
            <w:vAlign w:val="bottom"/>
            <w:shd w:val="clear" w:color="auto" w:fill="CCEEFF"/>
          </w:tcPr>
          <w:p>
            <w:pPr>
              <w:spacing w:after="0"/>
              <w:rPr>
                <w:sz w:val="20"/>
                <w:szCs w:val="20"/>
                <w:color w:val="auto"/>
              </w:rPr>
            </w:pPr>
            <w:r>
              <w:rPr>
                <w:rFonts w:ascii="Arial" w:cs="Arial" w:eastAsia="Arial" w:hAnsi="Arial"/>
                <w:sz w:val="18"/>
                <w:szCs w:val="18"/>
                <w:color w:val="auto"/>
              </w:rPr>
              <w:t>Due over five years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Arial" w:cs="Arial" w:eastAsia="Arial" w:hAnsi="Arial"/>
                <w:sz w:val="18"/>
                <w:szCs w:val="18"/>
                <w:color w:val="auto"/>
              </w:rPr>
              <w:t>21,573</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19,167</w:t>
            </w:r>
          </w:p>
        </w:tc>
        <w:tc>
          <w:tcPr>
            <w:tcW w:w="10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15,500</w:t>
            </w:r>
          </w:p>
        </w:tc>
        <w:tc>
          <w:tcPr>
            <w:tcW w:w="260" w:type="dxa"/>
            <w:vAlign w:val="bottom"/>
            <w:tcBorders>
              <w:left w:val="single" w:sz="8" w:color="CCEEFF"/>
            </w:tcBorders>
            <w:shd w:val="clear" w:color="auto" w:fill="CCEEFF"/>
          </w:tcPr>
          <w:p>
            <w:pPr>
              <w:spacing w:after="0"/>
              <w:rPr>
                <w:sz w:val="18"/>
                <w:szCs w:val="18"/>
                <w:color w:val="auto"/>
              </w:rPr>
            </w:pPr>
          </w:p>
        </w:tc>
        <w:tc>
          <w:tcPr>
            <w:tcW w:w="960" w:type="dxa"/>
            <w:vAlign w:val="bottom"/>
            <w:gridSpan w:val="5"/>
            <w:shd w:val="clear" w:color="auto" w:fill="CCEEFF"/>
          </w:tcPr>
          <w:p>
            <w:pPr>
              <w:jc w:val="right"/>
              <w:ind w:right="20"/>
              <w:spacing w:after="0"/>
              <w:rPr>
                <w:sz w:val="20"/>
                <w:szCs w:val="20"/>
                <w:color w:val="auto"/>
              </w:rPr>
            </w:pPr>
            <w:r>
              <w:rPr>
                <w:rFonts w:ascii="Arial" w:cs="Arial" w:eastAsia="Arial" w:hAnsi="Arial"/>
                <w:sz w:val="18"/>
                <w:szCs w:val="18"/>
                <w:color w:val="auto"/>
              </w:rPr>
              <w:t>13,257</w:t>
            </w:r>
          </w:p>
        </w:tc>
        <w:tc>
          <w:tcPr>
            <w:tcW w:w="8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2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0" w:type="dxa"/>
            <w:vAlign w:val="bottom"/>
            <w:gridSpan w:val="3"/>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20" w:type="dxa"/>
            <w:vAlign w:val="bottom"/>
            <w:gridSpan w:val="4"/>
            <w:shd w:val="clear" w:color="auto" w:fill="000000"/>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460" w:type="dxa"/>
            <w:vAlign w:val="bottom"/>
          </w:tcPr>
          <w:p>
            <w:pPr>
              <w:spacing w:after="0"/>
              <w:rPr>
                <w:sz w:val="19"/>
                <w:szCs w:val="19"/>
                <w:color w:val="auto"/>
              </w:rPr>
            </w:pPr>
          </w:p>
        </w:tc>
        <w:tc>
          <w:tcPr>
            <w:tcW w:w="37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4"/>
              </w:rPr>
              <w:t>1,472,775</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w w:val="84"/>
              </w:rPr>
              <w:t>1,472,295</w:t>
            </w:r>
          </w:p>
        </w:tc>
        <w:tc>
          <w:tcPr>
            <w:tcW w:w="100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1,327,310</w:t>
            </w:r>
          </w:p>
        </w:tc>
        <w:tc>
          <w:tcPr>
            <w:tcW w:w="260" w:type="dxa"/>
            <w:vAlign w:val="bottom"/>
          </w:tcPr>
          <w:p>
            <w:pPr>
              <w:spacing w:after="0"/>
              <w:rPr>
                <w:sz w:val="19"/>
                <w:szCs w:val="19"/>
                <w:color w:val="auto"/>
              </w:rPr>
            </w:pPr>
          </w:p>
        </w:tc>
        <w:tc>
          <w:tcPr>
            <w:tcW w:w="960" w:type="dxa"/>
            <w:vAlign w:val="bottom"/>
            <w:gridSpan w:val="5"/>
          </w:tcPr>
          <w:p>
            <w:pPr>
              <w:jc w:val="right"/>
              <w:ind w:right="2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1,328,804</w:t>
            </w:r>
          </w:p>
        </w:tc>
        <w:tc>
          <w:tcPr>
            <w:tcW w:w="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3740" w:type="dxa"/>
            <w:vAlign w:val="bottom"/>
          </w:tcPr>
          <w:p>
            <w:pPr>
              <w:spacing w:after="0" w:line="20" w:lineRule="exact"/>
              <w:rPr>
                <w:sz w:val="1"/>
                <w:szCs w:val="1"/>
                <w:color w:val="auto"/>
              </w:rPr>
            </w:pPr>
          </w:p>
        </w:tc>
        <w:tc>
          <w:tcPr>
            <w:tcW w:w="2260" w:type="dxa"/>
            <w:vAlign w:val="bottom"/>
            <w:vMerge w:val="restart"/>
          </w:tcPr>
          <w:p>
            <w:pPr>
              <w:jc w:val="right"/>
              <w:ind w:right="612"/>
              <w:spacing w:after="0"/>
              <w:rPr>
                <w:sz w:val="20"/>
                <w:szCs w:val="20"/>
                <w:color w:val="auto"/>
              </w:rPr>
            </w:pPr>
            <w:r>
              <w:rPr>
                <w:rFonts w:ascii="Arial" w:cs="Arial" w:eastAsia="Arial" w:hAnsi="Arial"/>
                <w:sz w:val="18"/>
                <w:szCs w:val="18"/>
                <w:color w:val="auto"/>
              </w:rPr>
              <w:t>9</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460" w:type="dxa"/>
            <w:vAlign w:val="bottom"/>
          </w:tcPr>
          <w:p>
            <w:pPr>
              <w:spacing w:after="0"/>
              <w:rPr>
                <w:sz w:val="24"/>
                <w:szCs w:val="24"/>
                <w:color w:val="auto"/>
              </w:rPr>
            </w:pPr>
          </w:p>
        </w:tc>
        <w:tc>
          <w:tcPr>
            <w:tcW w:w="374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80"/>
          </w:cols>
          <w:pgMar w:left="240" w:top="459" w:right="279" w:bottom="1440" w:gutter="0" w:footer="0" w:header="0"/>
        </w:sectPr>
      </w:pPr>
    </w:p>
    <w:bookmarkStart w:id="9" w:name="page10"/>
    <w:bookmarkEnd w:id="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For individual securities that have been in a continuous unrealized loss position, the fair value and gross unrealized loss for these securities aggregated by investment category and length of time in an unrealized position are presented in the following tables (in thousands):</w:t>
      </w:r>
    </w:p>
    <w:p>
      <w:pPr>
        <w:spacing w:after="0" w:line="1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7"/>
          </w:tcPr>
          <w:p>
            <w:pPr>
              <w:jc w:val="center"/>
              <w:ind w:right="320"/>
              <w:spacing w:after="0"/>
              <w:rPr>
                <w:sz w:val="20"/>
                <w:szCs w:val="20"/>
                <w:color w:val="auto"/>
              </w:rPr>
            </w:pPr>
            <w:r>
              <w:rPr>
                <w:rFonts w:ascii="Arial" w:cs="Arial" w:eastAsia="Arial" w:hAnsi="Arial"/>
                <w:sz w:val="14"/>
                <w:szCs w:val="14"/>
                <w:b w:val="1"/>
                <w:bCs w:val="1"/>
                <w:color w:val="auto"/>
                <w:w w:val="89"/>
              </w:rPr>
              <w:t>May 2, 2015</w:t>
            </w:r>
          </w:p>
        </w:tc>
        <w:tc>
          <w:tcPr>
            <w:tcW w:w="240" w:type="dxa"/>
            <w:vAlign w:val="bottom"/>
            <w:tcBorders>
              <w:bottom w:val="single" w:sz="8" w:color="auto"/>
            </w:tcBorders>
          </w:tcPr>
          <w:p>
            <w:pPr>
              <w:spacing w:after="0"/>
              <w:rPr>
                <w:sz w:val="14"/>
                <w:szCs w:val="14"/>
                <w:color w:val="auto"/>
              </w:rPr>
            </w:pPr>
          </w:p>
        </w:tc>
        <w:tc>
          <w:tcPr>
            <w:tcW w:w="26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32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480" w:type="dxa"/>
            <w:vAlign w:val="bottom"/>
            <w:gridSpan w:val="8"/>
          </w:tcPr>
          <w:p>
            <w:pPr>
              <w:jc w:val="center"/>
              <w:ind w:right="1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2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6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rPr>
              <w:t>Fair</w:t>
            </w: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1"/>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820" w:type="dxa"/>
            <w:vAlign w:val="bottom"/>
            <w:gridSpan w:val="2"/>
          </w:tcPr>
          <w:p>
            <w:pPr>
              <w:ind w:left="180"/>
              <w:spacing w:after="0"/>
              <w:rPr>
                <w:sz w:val="20"/>
                <w:szCs w:val="20"/>
                <w:color w:val="auto"/>
              </w:rPr>
            </w:pPr>
            <w:r>
              <w:rPr>
                <w:rFonts w:ascii="Arial" w:cs="Arial" w:eastAsia="Arial" w:hAnsi="Arial"/>
                <w:sz w:val="14"/>
                <w:szCs w:val="14"/>
                <w:b w:val="1"/>
                <w:bCs w:val="1"/>
                <w:color w:val="auto"/>
              </w:rPr>
              <w:t>Value</w:t>
            </w: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8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Pr>
          <w:p>
            <w:pPr>
              <w:spacing w:after="0"/>
              <w:rPr>
                <w:sz w:val="14"/>
                <w:szCs w:val="14"/>
                <w:color w:val="auto"/>
              </w:rPr>
            </w:pPr>
          </w:p>
        </w:tc>
        <w:tc>
          <w:tcPr>
            <w:tcW w:w="720" w:type="dxa"/>
            <w:vAlign w:val="bottom"/>
            <w:gridSpan w:val="3"/>
          </w:tcPr>
          <w:p>
            <w:pPr>
              <w:jc w:val="center"/>
              <w:ind w:right="340"/>
              <w:spacing w:after="0"/>
              <w:rPr>
                <w:sz w:val="20"/>
                <w:szCs w:val="20"/>
                <w:color w:val="auto"/>
              </w:rPr>
            </w:pPr>
            <w:r>
              <w:rPr>
                <w:rFonts w:ascii="Arial" w:cs="Arial" w:eastAsia="Arial" w:hAnsi="Arial"/>
                <w:sz w:val="14"/>
                <w:szCs w:val="14"/>
                <w:b w:val="1"/>
                <w:bCs w:val="1"/>
                <w:color w:val="auto"/>
                <w:w w:val="90"/>
              </w:rPr>
              <w:t>Value</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60" w:type="dxa"/>
            <w:vAlign w:val="bottom"/>
            <w:gridSpan w:val="3"/>
          </w:tcPr>
          <w:p>
            <w:pPr>
              <w:jc w:val="right"/>
              <w:ind w:right="260"/>
              <w:spacing w:after="0"/>
              <w:rPr>
                <w:sz w:val="20"/>
                <w:szCs w:val="20"/>
                <w:color w:val="auto"/>
              </w:rPr>
            </w:pPr>
            <w:r>
              <w:rPr>
                <w:rFonts w:ascii="Arial" w:cs="Arial" w:eastAsia="Arial" w:hAnsi="Arial"/>
                <w:sz w:val="14"/>
                <w:szCs w:val="14"/>
                <w:b w:val="1"/>
                <w:bCs w:val="1"/>
                <w:color w:val="auto"/>
                <w:w w:val="85"/>
              </w:rPr>
              <w:t>Loss</w:t>
            </w:r>
          </w:p>
        </w:tc>
        <w:tc>
          <w:tcPr>
            <w:tcW w:w="240" w:type="dxa"/>
            <w:vAlign w:val="bottom"/>
          </w:tcPr>
          <w:p>
            <w:pPr>
              <w:spacing w:after="0"/>
              <w:rPr>
                <w:sz w:val="14"/>
                <w:szCs w:val="14"/>
                <w:color w:val="auto"/>
              </w:rPr>
            </w:pPr>
          </w:p>
        </w:tc>
        <w:tc>
          <w:tcPr>
            <w:tcW w:w="980" w:type="dxa"/>
            <w:vAlign w:val="bottom"/>
            <w:gridSpan w:val="4"/>
          </w:tcPr>
          <w:p>
            <w:pPr>
              <w:jc w:val="center"/>
              <w:ind w:right="300"/>
              <w:spacing w:after="0"/>
              <w:rPr>
                <w:sz w:val="20"/>
                <w:szCs w:val="20"/>
                <w:color w:val="auto"/>
              </w:rPr>
            </w:pPr>
            <w:r>
              <w:rPr>
                <w:rFonts w:ascii="Arial" w:cs="Arial" w:eastAsia="Arial" w:hAnsi="Arial"/>
                <w:sz w:val="14"/>
                <w:szCs w:val="14"/>
                <w:b w:val="1"/>
                <w:bCs w:val="1"/>
                <w:color w:val="auto"/>
                <w:w w:val="85"/>
              </w:rPr>
              <w:t>Value</w:t>
            </w:r>
          </w:p>
        </w:tc>
        <w:tc>
          <w:tcPr>
            <w:tcW w:w="140" w:type="dxa"/>
            <w:vAlign w:val="bottom"/>
          </w:tcPr>
          <w:p>
            <w:pPr>
              <w:spacing w:after="0"/>
              <w:rPr>
                <w:sz w:val="14"/>
                <w:szCs w:val="14"/>
                <w:color w:val="auto"/>
              </w:rPr>
            </w:pPr>
          </w:p>
        </w:tc>
        <w:tc>
          <w:tcPr>
            <w:tcW w:w="600" w:type="dxa"/>
            <w:vAlign w:val="bottom"/>
            <w:gridSpan w:val="2"/>
          </w:tcPr>
          <w:p>
            <w:pPr>
              <w:jc w:val="right"/>
              <w:ind w:right="300"/>
              <w:spacing w:after="0"/>
              <w:rPr>
                <w:sz w:val="20"/>
                <w:szCs w:val="20"/>
                <w:color w:val="auto"/>
              </w:rPr>
            </w:pPr>
            <w:r>
              <w:rPr>
                <w:rFonts w:ascii="Arial" w:cs="Arial" w:eastAsia="Arial" w:hAnsi="Arial"/>
                <w:sz w:val="14"/>
                <w:szCs w:val="14"/>
                <w:b w:val="1"/>
                <w:bCs w:val="1"/>
                <w:color w:val="auto"/>
                <w:w w:val="85"/>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tcBorders>
              <w:top w:val="single" w:sz="8" w:color="CCEEFF"/>
            </w:tcBorders>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9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$368,427</w:t>
            </w:r>
          </w:p>
        </w:tc>
        <w:tc>
          <w:tcPr>
            <w:tcW w:w="14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(875)</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4,959</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right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0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(30)</w:t>
            </w:r>
          </w:p>
        </w:tc>
        <w:tc>
          <w:tcPr>
            <w:tcW w:w="60" w:type="dxa"/>
            <w:vAlign w:val="bottom"/>
            <w:tcBorders>
              <w:top w:val="single" w:sz="8" w:color="CCEEFF"/>
            </w:tcBorders>
            <w:shd w:val="clear" w:color="auto" w:fill="CCEEFF"/>
          </w:tcPr>
          <w:p>
            <w:pPr>
              <w:spacing w:after="0"/>
              <w:rPr>
                <w:sz w:val="18"/>
                <w:szCs w:val="18"/>
                <w:color w:val="auto"/>
              </w:rPr>
            </w:pPr>
          </w:p>
        </w:tc>
        <w:tc>
          <w:tcPr>
            <w:tcW w:w="2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gridSpan w:val="3"/>
            <w:shd w:val="clear" w:color="auto" w:fill="CCEEFF"/>
          </w:tcPr>
          <w:p>
            <w:pPr>
              <w:jc w:val="right"/>
              <w:spacing w:after="0"/>
              <w:rPr>
                <w:sz w:val="20"/>
                <w:szCs w:val="20"/>
                <w:color w:val="auto"/>
              </w:rPr>
            </w:pPr>
            <w:r>
              <w:rPr>
                <w:rFonts w:ascii="Arial" w:cs="Arial" w:eastAsia="Arial" w:hAnsi="Arial"/>
                <w:sz w:val="18"/>
                <w:szCs w:val="18"/>
                <w:color w:val="auto"/>
                <w:w w:val="87"/>
              </w:rPr>
              <w:t>$373,386</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(905)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760" w:type="dxa"/>
            <w:vAlign w:val="bottom"/>
            <w:gridSpan w:val="3"/>
          </w:tcPr>
          <w:p>
            <w:pPr>
              <w:jc w:val="right"/>
              <w:ind w:right="140"/>
              <w:spacing w:after="0"/>
              <w:rPr>
                <w:sz w:val="20"/>
                <w:szCs w:val="20"/>
                <w:color w:val="auto"/>
              </w:rPr>
            </w:pPr>
            <w:r>
              <w:rPr>
                <w:rFonts w:ascii="Arial" w:cs="Arial" w:eastAsia="Arial" w:hAnsi="Arial"/>
                <w:sz w:val="18"/>
                <w:szCs w:val="18"/>
                <w:color w:val="auto"/>
              </w:rPr>
              <w:t>80,502</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(39)</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80,502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(39)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7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27,098</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27,098</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760" w:type="dxa"/>
            <w:vAlign w:val="bottom"/>
            <w:gridSpan w:val="3"/>
          </w:tcPr>
          <w:p>
            <w:pPr>
              <w:jc w:val="right"/>
              <w:ind w:right="140"/>
              <w:spacing w:after="0"/>
              <w:rPr>
                <w:sz w:val="20"/>
                <w:szCs w:val="20"/>
                <w:color w:val="auto"/>
              </w:rPr>
            </w:pPr>
            <w:r>
              <w:rPr>
                <w:rFonts w:ascii="Arial" w:cs="Arial" w:eastAsia="Arial" w:hAnsi="Arial"/>
                <w:sz w:val="18"/>
                <w:szCs w:val="18"/>
                <w:color w:val="auto"/>
              </w:rPr>
              <w:t>11,922</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(6)</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11,922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7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12,341</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(27)</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12,341</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94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240"/>
              <w:spacing w:after="0"/>
              <w:rPr>
                <w:sz w:val="20"/>
                <w:szCs w:val="20"/>
                <w:color w:val="auto"/>
              </w:rPr>
            </w:pPr>
            <w:r>
              <w:rPr>
                <w:rFonts w:ascii="Arial" w:cs="Arial" w:eastAsia="Arial" w:hAnsi="Arial"/>
                <w:sz w:val="18"/>
                <w:szCs w:val="18"/>
                <w:color w:val="auto"/>
                <w:w w:val="83"/>
              </w:rPr>
              <w:t>10,111</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4"/>
              </w:rPr>
              <w:t>(2,389)</w:t>
            </w:r>
          </w:p>
        </w:tc>
        <w:tc>
          <w:tcPr>
            <w:tcW w:w="1220" w:type="dxa"/>
            <w:vAlign w:val="bottom"/>
            <w:gridSpan w:val="5"/>
          </w:tcPr>
          <w:p>
            <w:pPr>
              <w:jc w:val="right"/>
              <w:ind w:right="300"/>
              <w:spacing w:after="0"/>
              <w:rPr>
                <w:sz w:val="20"/>
                <w:szCs w:val="20"/>
                <w:color w:val="auto"/>
              </w:rPr>
            </w:pPr>
            <w:r>
              <w:rPr>
                <w:rFonts w:ascii="Arial" w:cs="Arial" w:eastAsia="Arial" w:hAnsi="Arial"/>
                <w:sz w:val="18"/>
                <w:szCs w:val="18"/>
                <w:color w:val="auto"/>
              </w:rPr>
              <w:t>10,111</w:t>
            </w: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(2,389)</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640" w:type="dxa"/>
            <w:vAlign w:val="bottom"/>
          </w:tcPr>
          <w:p>
            <w:pPr>
              <w:spacing w:after="0"/>
              <w:rPr>
                <w:sz w:val="2"/>
                <w:szCs w:val="2"/>
                <w:color w:val="auto"/>
              </w:rPr>
            </w:pPr>
          </w:p>
        </w:tc>
        <w:tc>
          <w:tcPr>
            <w:tcW w:w="9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9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500,290</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(960)</w:t>
            </w:r>
          </w:p>
        </w:tc>
        <w:tc>
          <w:tcPr>
            <w:tcW w:w="82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15,070</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(2,419)</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515,360</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(3,379)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64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8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5"/>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gridSpan w:val="7"/>
          </w:tcPr>
          <w:p>
            <w:pPr>
              <w:jc w:val="center"/>
              <w:ind w:right="300"/>
              <w:spacing w:after="0"/>
              <w:rPr>
                <w:sz w:val="20"/>
                <w:szCs w:val="20"/>
                <w:color w:val="auto"/>
              </w:rPr>
            </w:pPr>
            <w:r>
              <w:rPr>
                <w:rFonts w:ascii="Arial" w:cs="Arial" w:eastAsia="Arial" w:hAnsi="Arial"/>
                <w:sz w:val="14"/>
                <w:szCs w:val="14"/>
                <w:b w:val="1"/>
                <w:bCs w:val="1"/>
                <w:color w:val="auto"/>
                <w:w w:val="89"/>
              </w:rPr>
              <w:t>January 31, 2015</w:t>
            </w:r>
          </w:p>
        </w:tc>
        <w:tc>
          <w:tcPr>
            <w:tcW w:w="240" w:type="dxa"/>
            <w:vAlign w:val="bottom"/>
            <w:tcBorders>
              <w:bottom w:val="single" w:sz="8" w:color="auto"/>
            </w:tcBorders>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1360" w:type="dxa"/>
            <w:vAlign w:val="bottom"/>
          </w:tcPr>
          <w:p>
            <w:pPr>
              <w:spacing w:after="0"/>
              <w:rPr>
                <w:sz w:val="12"/>
                <w:szCs w:val="12"/>
                <w:color w:val="auto"/>
              </w:rPr>
            </w:pPr>
          </w:p>
        </w:tc>
        <w:tc>
          <w:tcPr>
            <w:tcW w:w="364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920" w:type="dxa"/>
            <w:vAlign w:val="bottom"/>
            <w:gridSpan w:val="6"/>
          </w:tcPr>
          <w:p>
            <w:pPr>
              <w:ind w:left="220"/>
              <w:spacing w:after="0" w:line="142" w:lineRule="exact"/>
              <w:rPr>
                <w:sz w:val="20"/>
                <w:szCs w:val="20"/>
                <w:color w:val="auto"/>
              </w:rPr>
            </w:pPr>
            <w:r>
              <w:rPr>
                <w:rFonts w:ascii="Arial" w:cs="Arial" w:eastAsia="Arial" w:hAnsi="Arial"/>
                <w:sz w:val="14"/>
                <w:szCs w:val="14"/>
                <w:b w:val="1"/>
                <w:bCs w:val="1"/>
                <w:color w:val="auto"/>
              </w:rPr>
              <w:t>Less than 12 months</w:t>
            </w:r>
          </w:p>
        </w:tc>
        <w:tc>
          <w:tcPr>
            <w:tcW w:w="100" w:type="dxa"/>
            <w:vAlign w:val="bottom"/>
          </w:tcPr>
          <w:p>
            <w:pPr>
              <w:spacing w:after="0"/>
              <w:rPr>
                <w:sz w:val="12"/>
                <w:szCs w:val="12"/>
                <w:color w:val="auto"/>
              </w:rPr>
            </w:pPr>
          </w:p>
        </w:tc>
        <w:tc>
          <w:tcPr>
            <w:tcW w:w="1480" w:type="dxa"/>
            <w:vAlign w:val="bottom"/>
            <w:gridSpan w:val="8"/>
          </w:tcPr>
          <w:p>
            <w:pPr>
              <w:jc w:val="center"/>
              <w:ind w:right="160"/>
              <w:spacing w:after="0" w:line="142" w:lineRule="exact"/>
              <w:rPr>
                <w:sz w:val="20"/>
                <w:szCs w:val="20"/>
                <w:color w:val="auto"/>
              </w:rPr>
            </w:pPr>
            <w:r>
              <w:rPr>
                <w:rFonts w:ascii="Arial" w:cs="Arial" w:eastAsia="Arial" w:hAnsi="Arial"/>
                <w:sz w:val="14"/>
                <w:szCs w:val="14"/>
                <w:b w:val="1"/>
                <w:bCs w:val="1"/>
                <w:color w:val="auto"/>
                <w:w w:val="85"/>
              </w:rPr>
              <w:t>12 months or more</w:t>
            </w: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gridSpan w:val="2"/>
          </w:tcPr>
          <w:p>
            <w:pPr>
              <w:jc w:val="right"/>
              <w:ind w:right="20"/>
              <w:spacing w:after="0" w:line="142" w:lineRule="exact"/>
              <w:rPr>
                <w:sz w:val="20"/>
                <w:szCs w:val="20"/>
                <w:color w:val="auto"/>
              </w:rPr>
            </w:pPr>
            <w:r>
              <w:rPr>
                <w:rFonts w:ascii="Arial" w:cs="Arial" w:eastAsia="Arial" w:hAnsi="Arial"/>
                <w:sz w:val="14"/>
                <w:szCs w:val="14"/>
                <w:b w:val="1"/>
                <w:bCs w:val="1"/>
                <w:color w:val="auto"/>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1360" w:type="dxa"/>
            <w:vAlign w:val="bottom"/>
          </w:tcPr>
          <w:p>
            <w:pPr>
              <w:spacing w:after="0"/>
              <w:rPr>
                <w:sz w:val="11"/>
                <w:szCs w:val="11"/>
                <w:color w:val="auto"/>
              </w:rPr>
            </w:pPr>
          </w:p>
        </w:tc>
        <w:tc>
          <w:tcPr>
            <w:tcW w:w="364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Borders>
              <w:top w:val="single" w:sz="8" w:color="auto"/>
            </w:tcBorders>
            <w:gridSpan w:val="2"/>
          </w:tcPr>
          <w:p>
            <w:pPr>
              <w:ind w:left="220"/>
              <w:spacing w:after="0" w:line="129" w:lineRule="exact"/>
              <w:rPr>
                <w:sz w:val="20"/>
                <w:szCs w:val="20"/>
                <w:color w:val="auto"/>
              </w:rPr>
            </w:pPr>
            <w:r>
              <w:rPr>
                <w:rFonts w:ascii="Arial" w:cs="Arial" w:eastAsia="Arial" w:hAnsi="Arial"/>
                <w:sz w:val="14"/>
                <w:szCs w:val="14"/>
                <w:b w:val="1"/>
                <w:bCs w:val="1"/>
                <w:color w:val="auto"/>
              </w:rPr>
              <w:t>Fair</w:t>
            </w:r>
          </w:p>
        </w:tc>
        <w:tc>
          <w:tcPr>
            <w:tcW w:w="160" w:type="dxa"/>
            <w:vAlign w:val="bottom"/>
            <w:tcBorders>
              <w:top w:val="single" w:sz="8" w:color="auto"/>
            </w:tcBorders>
          </w:tcPr>
          <w:p>
            <w:pPr>
              <w:spacing w:after="0"/>
              <w:rPr>
                <w:sz w:val="11"/>
                <w:szCs w:val="11"/>
                <w:color w:val="auto"/>
              </w:rPr>
            </w:pP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3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gridSpan w:val="3"/>
          </w:tcPr>
          <w:p>
            <w:pPr>
              <w:jc w:val="center"/>
              <w:ind w:right="340"/>
              <w:spacing w:after="0" w:line="129" w:lineRule="exact"/>
              <w:rPr>
                <w:sz w:val="20"/>
                <w:szCs w:val="20"/>
                <w:color w:val="auto"/>
              </w:rPr>
            </w:pPr>
            <w:r>
              <w:rPr>
                <w:rFonts w:ascii="Arial" w:cs="Arial" w:eastAsia="Arial" w:hAnsi="Arial"/>
                <w:sz w:val="14"/>
                <w:szCs w:val="14"/>
                <w:b w:val="1"/>
                <w:bCs w:val="1"/>
                <w:color w:val="auto"/>
              </w:rPr>
              <w:t>Fair</w:t>
            </w:r>
          </w:p>
        </w:tc>
        <w:tc>
          <w:tcPr>
            <w:tcW w:w="100" w:type="dxa"/>
            <w:vAlign w:val="bottom"/>
            <w:tcBorders>
              <w:top w:val="single" w:sz="8" w:color="auto"/>
            </w:tcBorders>
          </w:tcPr>
          <w:p>
            <w:pPr>
              <w:spacing w:after="0"/>
              <w:rPr>
                <w:sz w:val="11"/>
                <w:szCs w:val="11"/>
                <w:color w:val="auto"/>
              </w:rPr>
            </w:pPr>
          </w:p>
        </w:tc>
        <w:tc>
          <w:tcPr>
            <w:tcW w:w="60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w w:val="81"/>
              </w:rPr>
              <w:t>Unrealized</w:t>
            </w:r>
          </w:p>
        </w:tc>
        <w:tc>
          <w:tcPr>
            <w:tcW w:w="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Borders>
              <w:top w:val="single" w:sz="8" w:color="auto"/>
            </w:tcBorders>
            <w:gridSpan w:val="4"/>
          </w:tcPr>
          <w:p>
            <w:pPr>
              <w:jc w:val="center"/>
              <w:ind w:right="300"/>
              <w:spacing w:after="0" w:line="129" w:lineRule="exact"/>
              <w:rPr>
                <w:sz w:val="20"/>
                <w:szCs w:val="20"/>
                <w:color w:val="auto"/>
              </w:rPr>
            </w:pPr>
            <w:r>
              <w:rPr>
                <w:rFonts w:ascii="Arial" w:cs="Arial" w:eastAsia="Arial" w:hAnsi="Arial"/>
                <w:sz w:val="14"/>
                <w:szCs w:val="14"/>
                <w:b w:val="1"/>
                <w:bCs w:val="1"/>
                <w:color w:val="auto"/>
                <w:w w:val="93"/>
              </w:rPr>
              <w:t>Fair</w:t>
            </w:r>
          </w:p>
        </w:tc>
        <w:tc>
          <w:tcPr>
            <w:tcW w:w="640" w:type="dxa"/>
            <w:vAlign w:val="bottom"/>
            <w:tcBorders>
              <w:top w:val="single" w:sz="8" w:color="auto"/>
            </w:tcBorders>
            <w:gridSpan w:val="2"/>
          </w:tcPr>
          <w:p>
            <w:pPr>
              <w:spacing w:after="0" w:line="129" w:lineRule="exact"/>
              <w:rPr>
                <w:sz w:val="20"/>
                <w:szCs w:val="20"/>
                <w:color w:val="auto"/>
              </w:rPr>
            </w:pPr>
            <w:r>
              <w:rPr>
                <w:rFonts w:ascii="Arial" w:cs="Arial" w:eastAsia="Arial" w:hAnsi="Arial"/>
                <w:sz w:val="14"/>
                <w:szCs w:val="14"/>
                <w:b w:val="1"/>
                <w:bCs w:val="1"/>
                <w:color w:val="auto"/>
                <w:w w:val="87"/>
              </w:rPr>
              <w:t>Unrealized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Borders>
              <w:bottom w:val="single" w:sz="8" w:color="CCEEFF"/>
            </w:tcBorders>
          </w:tcPr>
          <w:p>
            <w:pPr>
              <w:spacing w:after="0"/>
              <w:rPr>
                <w:sz w:val="14"/>
                <w:szCs w:val="14"/>
                <w:color w:val="auto"/>
              </w:rPr>
            </w:pPr>
          </w:p>
        </w:tc>
        <w:tc>
          <w:tcPr>
            <w:tcW w:w="3640" w:type="dxa"/>
            <w:vAlign w:val="bottom"/>
            <w:tcBorders>
              <w:bottom w:val="single" w:sz="8" w:color="CCEEFF"/>
            </w:tcBorders>
          </w:tcPr>
          <w:p>
            <w:pPr>
              <w:spacing w:after="0"/>
              <w:rPr>
                <w:sz w:val="14"/>
                <w:szCs w:val="14"/>
                <w:color w:val="auto"/>
              </w:rPr>
            </w:pPr>
          </w:p>
        </w:tc>
        <w:tc>
          <w:tcPr>
            <w:tcW w:w="9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tcPr>
          <w:p>
            <w:pPr>
              <w:ind w:left="180"/>
              <w:spacing w:after="0"/>
              <w:rPr>
                <w:sz w:val="20"/>
                <w:szCs w:val="20"/>
                <w:color w:val="auto"/>
              </w:rPr>
            </w:pPr>
            <w:r>
              <w:rPr>
                <w:rFonts w:ascii="Arial" w:cs="Arial" w:eastAsia="Arial" w:hAnsi="Arial"/>
                <w:sz w:val="14"/>
                <w:szCs w:val="14"/>
                <w:b w:val="1"/>
                <w:bCs w:val="1"/>
                <w:color w:val="auto"/>
              </w:rPr>
              <w:t>Value</w:t>
            </w:r>
          </w:p>
        </w:tc>
        <w:tc>
          <w:tcPr>
            <w:tcW w:w="140" w:type="dxa"/>
            <w:vAlign w:val="bottom"/>
            <w:tcBorders>
              <w:bottom w:val="single" w:sz="8" w:color="CCEEFF"/>
            </w:tcBorders>
          </w:tcPr>
          <w:p>
            <w:pPr>
              <w:spacing w:after="0"/>
              <w:rPr>
                <w:sz w:val="14"/>
                <w:szCs w:val="14"/>
                <w:color w:val="auto"/>
              </w:rPr>
            </w:pPr>
          </w:p>
        </w:tc>
        <w:tc>
          <w:tcPr>
            <w:tcW w:w="16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gridSpan w:val="2"/>
          </w:tcPr>
          <w:p>
            <w:pPr>
              <w:jc w:val="center"/>
              <w:ind w:right="17"/>
              <w:spacing w:after="0"/>
              <w:rPr>
                <w:sz w:val="20"/>
                <w:szCs w:val="20"/>
                <w:color w:val="auto"/>
              </w:rPr>
            </w:pPr>
            <w:r>
              <w:rPr>
                <w:rFonts w:ascii="Arial" w:cs="Arial" w:eastAsia="Arial" w:hAnsi="Arial"/>
                <w:sz w:val="14"/>
                <w:szCs w:val="14"/>
                <w:b w:val="1"/>
                <w:bCs w:val="1"/>
                <w:color w:val="auto"/>
                <w:w w:val="90"/>
              </w:rPr>
              <w:t>Value</w:t>
            </w: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gridSpan w:val="2"/>
          </w:tcPr>
          <w:p>
            <w:pPr>
              <w:jc w:val="right"/>
              <w:ind w:right="112"/>
              <w:spacing w:after="0"/>
              <w:rPr>
                <w:sz w:val="20"/>
                <w:szCs w:val="20"/>
                <w:color w:val="auto"/>
              </w:rPr>
            </w:pPr>
            <w:r>
              <w:rPr>
                <w:rFonts w:ascii="Arial" w:cs="Arial" w:eastAsia="Arial" w:hAnsi="Arial"/>
                <w:sz w:val="14"/>
                <w:szCs w:val="14"/>
                <w:b w:val="1"/>
                <w:bCs w:val="1"/>
                <w:color w:val="auto"/>
                <w:w w:val="85"/>
              </w:rPr>
              <w:t>Loss</w:t>
            </w:r>
          </w:p>
        </w:tc>
        <w:tc>
          <w:tcPr>
            <w:tcW w:w="6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680" w:type="dxa"/>
            <w:vAlign w:val="bottom"/>
            <w:tcBorders>
              <w:bottom w:val="single" w:sz="8" w:color="auto"/>
            </w:tcBorders>
            <w:gridSpan w:val="3"/>
          </w:tcPr>
          <w:p>
            <w:pPr>
              <w:jc w:val="center"/>
              <w:spacing w:after="0"/>
              <w:rPr>
                <w:sz w:val="20"/>
                <w:szCs w:val="20"/>
                <w:color w:val="auto"/>
              </w:rPr>
            </w:pPr>
            <w:r>
              <w:rPr>
                <w:rFonts w:ascii="Arial" w:cs="Arial" w:eastAsia="Arial" w:hAnsi="Arial"/>
                <w:sz w:val="14"/>
                <w:szCs w:val="14"/>
                <w:b w:val="1"/>
                <w:bCs w:val="1"/>
                <w:color w:val="auto"/>
                <w:w w:val="85"/>
              </w:rPr>
              <w:t>Value</w:t>
            </w:r>
          </w:p>
        </w:tc>
        <w:tc>
          <w:tcPr>
            <w:tcW w:w="3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115"/>
              <w:spacing w:after="0"/>
              <w:rPr>
                <w:sz w:val="20"/>
                <w:szCs w:val="20"/>
                <w:color w:val="auto"/>
              </w:rPr>
            </w:pPr>
            <w:r>
              <w:rPr>
                <w:rFonts w:ascii="Arial" w:cs="Arial" w:eastAsia="Arial" w:hAnsi="Arial"/>
                <w:sz w:val="14"/>
                <w:szCs w:val="14"/>
                <w:b w:val="1"/>
                <w:bCs w:val="1"/>
                <w:color w:val="auto"/>
                <w:w w:val="85"/>
              </w:rPr>
              <w:t>Loss</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00" w:type="dxa"/>
            <w:vAlign w:val="bottom"/>
            <w:gridSpan w:val="2"/>
            <w:shd w:val="clear" w:color="auto" w:fill="CCEEFF"/>
          </w:tcPr>
          <w:p>
            <w:pPr>
              <w:spacing w:after="0" w:line="202" w:lineRule="exact"/>
              <w:rPr>
                <w:sz w:val="20"/>
                <w:szCs w:val="20"/>
                <w:color w:val="auto"/>
              </w:rPr>
            </w:pPr>
            <w:r>
              <w:rPr>
                <w:rFonts w:ascii="Arial" w:cs="Arial" w:eastAsia="Arial" w:hAnsi="Arial"/>
                <w:sz w:val="18"/>
                <w:szCs w:val="18"/>
                <w:color w:val="auto"/>
              </w:rPr>
              <w:t>Corporate debt securities</w:t>
            </w:r>
          </w:p>
        </w:tc>
        <w:tc>
          <w:tcPr>
            <w:tcW w:w="9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$243,699</w:t>
            </w: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2,005</w:t>
            </w:r>
          </w:p>
        </w:tc>
        <w:tc>
          <w:tcPr>
            <w:tcW w:w="240" w:type="dxa"/>
            <w:vAlign w:val="bottom"/>
            <w:shd w:val="clear" w:color="auto" w:fill="CCEEFF"/>
          </w:tcPr>
          <w:p>
            <w:pPr>
              <w:spacing w:after="0"/>
              <w:rPr>
                <w:sz w:val="18"/>
                <w:szCs w:val="18"/>
                <w:color w:val="auto"/>
              </w:rPr>
            </w:pP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(5)</w:t>
            </w:r>
          </w:p>
        </w:tc>
        <w:tc>
          <w:tcPr>
            <w:tcW w:w="240" w:type="dxa"/>
            <w:vAlign w:val="bottom"/>
            <w:shd w:val="clear" w:color="auto" w:fill="CCEEFF"/>
          </w:tcPr>
          <w:p>
            <w:pPr>
              <w:spacing w:after="0"/>
              <w:rPr>
                <w:sz w:val="18"/>
                <w:szCs w:val="18"/>
                <w:color w:val="auto"/>
              </w:rPr>
            </w:pPr>
          </w:p>
        </w:tc>
        <w:tc>
          <w:tcPr>
            <w:tcW w:w="68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87"/>
              </w:rPr>
              <w:t>$245,704</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U.S. government and agency debt</w:t>
            </w:r>
          </w:p>
        </w:tc>
        <w:tc>
          <w:tcPr>
            <w:tcW w:w="1760" w:type="dxa"/>
            <w:vAlign w:val="bottom"/>
            <w:gridSpan w:val="3"/>
          </w:tcPr>
          <w:p>
            <w:pPr>
              <w:jc w:val="right"/>
              <w:ind w:right="140"/>
              <w:spacing w:after="0"/>
              <w:rPr>
                <w:sz w:val="20"/>
                <w:szCs w:val="20"/>
                <w:color w:val="auto"/>
              </w:rPr>
            </w:pPr>
            <w:r>
              <w:rPr>
                <w:rFonts w:ascii="Arial" w:cs="Arial" w:eastAsia="Arial" w:hAnsi="Arial"/>
                <w:sz w:val="18"/>
                <w:szCs w:val="18"/>
                <w:color w:val="auto"/>
              </w:rPr>
              <w:t>32,165</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(7)</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32,165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Asset backed securities</w:t>
            </w:r>
          </w:p>
        </w:tc>
        <w:tc>
          <w:tcPr>
            <w:tcW w:w="17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25,053</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(9)</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25,053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Foreign government and agency debt</w:t>
            </w:r>
          </w:p>
        </w:tc>
        <w:tc>
          <w:tcPr>
            <w:tcW w:w="1760" w:type="dxa"/>
            <w:vAlign w:val="bottom"/>
            <w:gridSpan w:val="3"/>
          </w:tcPr>
          <w:p>
            <w:pPr>
              <w:jc w:val="right"/>
              <w:ind w:right="140"/>
              <w:spacing w:after="0"/>
              <w:rPr>
                <w:sz w:val="20"/>
                <w:szCs w:val="20"/>
                <w:color w:val="auto"/>
              </w:rPr>
            </w:pPr>
            <w:r>
              <w:rPr>
                <w:rFonts w:ascii="Arial" w:cs="Arial" w:eastAsia="Arial" w:hAnsi="Arial"/>
                <w:sz w:val="18"/>
                <w:szCs w:val="18"/>
                <w:color w:val="auto"/>
              </w:rPr>
              <w:t>2,999</w:t>
            </w: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800" w:type="dxa"/>
            <w:vAlign w:val="bottom"/>
            <w:gridSpan w:val="2"/>
          </w:tcPr>
          <w:p>
            <w:pPr>
              <w:jc w:val="right"/>
              <w:ind w:right="260"/>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2,999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Municipal debt securities</w:t>
            </w:r>
          </w:p>
        </w:tc>
        <w:tc>
          <w:tcPr>
            <w:tcW w:w="1760" w:type="dxa"/>
            <w:vAlign w:val="bottom"/>
            <w:gridSpan w:val="3"/>
            <w:shd w:val="clear" w:color="auto" w:fill="CCEEFF"/>
          </w:tcPr>
          <w:p>
            <w:pPr>
              <w:jc w:val="right"/>
              <w:ind w:right="140"/>
              <w:spacing w:after="0"/>
              <w:rPr>
                <w:sz w:val="20"/>
                <w:szCs w:val="20"/>
                <w:color w:val="auto"/>
              </w:rPr>
            </w:pPr>
            <w:r>
              <w:rPr>
                <w:rFonts w:ascii="Arial" w:cs="Arial" w:eastAsia="Arial" w:hAnsi="Arial"/>
                <w:sz w:val="18"/>
                <w:szCs w:val="18"/>
                <w:color w:val="auto"/>
              </w:rPr>
              <w:t>2,845</w:t>
            </w: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(4)</w:t>
            </w: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00" w:type="dxa"/>
            <w:vAlign w:val="bottom"/>
            <w:tcBorders>
              <w:right w:val="single" w:sz="8" w:color="CCEEFF"/>
            </w:tcBorders>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gridSpan w:val="3"/>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2,845</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00" w:type="dxa"/>
            <w:vAlign w:val="bottom"/>
            <w:gridSpan w:val="2"/>
          </w:tcPr>
          <w:p>
            <w:pPr>
              <w:spacing w:after="0"/>
              <w:rPr>
                <w:sz w:val="20"/>
                <w:szCs w:val="20"/>
                <w:color w:val="auto"/>
              </w:rPr>
            </w:pPr>
            <w:r>
              <w:rPr>
                <w:rFonts w:ascii="Arial" w:cs="Arial" w:eastAsia="Arial" w:hAnsi="Arial"/>
                <w:sz w:val="18"/>
                <w:szCs w:val="18"/>
                <w:color w:val="auto"/>
              </w:rPr>
              <w:t>Auction rate securities</w:t>
            </w:r>
          </w:p>
        </w:tc>
        <w:tc>
          <w:tcPr>
            <w:tcW w:w="940" w:type="dxa"/>
            <w:vAlign w:val="bottom"/>
          </w:tcPr>
          <w:p>
            <w:pPr>
              <w:spacing w:after="0"/>
              <w:rPr>
                <w:sz w:val="18"/>
                <w:szCs w:val="18"/>
                <w:color w:val="auto"/>
              </w:rPr>
            </w:pPr>
          </w:p>
        </w:tc>
        <w:tc>
          <w:tcPr>
            <w:tcW w:w="680" w:type="dxa"/>
            <w:vAlign w:val="bottom"/>
          </w:tcPr>
          <w:p>
            <w:pPr>
              <w:jc w:val="right"/>
              <w:ind w:right="2"/>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ind w:right="15"/>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gridSpan w:val="3"/>
          </w:tcPr>
          <w:p>
            <w:pPr>
              <w:jc w:val="right"/>
              <w:ind w:right="240"/>
              <w:spacing w:after="0"/>
              <w:rPr>
                <w:sz w:val="20"/>
                <w:szCs w:val="20"/>
                <w:color w:val="auto"/>
              </w:rPr>
            </w:pPr>
            <w:r>
              <w:rPr>
                <w:rFonts w:ascii="Arial" w:cs="Arial" w:eastAsia="Arial" w:hAnsi="Arial"/>
                <w:sz w:val="18"/>
                <w:szCs w:val="18"/>
                <w:color w:val="auto"/>
                <w:w w:val="83"/>
              </w:rPr>
              <w:t>10,226</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auto"/>
                <w:w w:val="94"/>
              </w:rPr>
              <w:t>(2,274)</w:t>
            </w:r>
          </w:p>
        </w:tc>
        <w:tc>
          <w:tcPr>
            <w:tcW w:w="920" w:type="dxa"/>
            <w:vAlign w:val="bottom"/>
            <w:gridSpan w:val="4"/>
          </w:tcPr>
          <w:p>
            <w:pPr>
              <w:jc w:val="right"/>
              <w:spacing w:after="0"/>
              <w:rPr>
                <w:sz w:val="20"/>
                <w:szCs w:val="20"/>
                <w:color w:val="auto"/>
              </w:rPr>
            </w:pPr>
            <w:r>
              <w:rPr>
                <w:rFonts w:ascii="Arial" w:cs="Arial" w:eastAsia="Arial" w:hAnsi="Arial"/>
                <w:sz w:val="18"/>
                <w:szCs w:val="18"/>
                <w:color w:val="auto"/>
              </w:rPr>
              <w:t>10,226</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ind w:right="40"/>
              <w:spacing w:after="0"/>
              <w:rPr>
                <w:sz w:val="20"/>
                <w:szCs w:val="20"/>
                <w:color w:val="auto"/>
              </w:rPr>
            </w:pPr>
            <w:r>
              <w:rPr>
                <w:rFonts w:ascii="Arial" w:cs="Arial" w:eastAsia="Arial" w:hAnsi="Arial"/>
                <w:sz w:val="18"/>
                <w:szCs w:val="18"/>
                <w:color w:val="auto"/>
                <w:w w:val="94"/>
              </w:rPr>
              <w:t>(2,274)</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1360" w:type="dxa"/>
            <w:vAlign w:val="bottom"/>
          </w:tcPr>
          <w:p>
            <w:pPr>
              <w:spacing w:after="0"/>
              <w:rPr>
                <w:sz w:val="2"/>
                <w:szCs w:val="2"/>
                <w:color w:val="auto"/>
              </w:rPr>
            </w:pPr>
          </w:p>
        </w:tc>
        <w:tc>
          <w:tcPr>
            <w:tcW w:w="3640" w:type="dxa"/>
            <w:vAlign w:val="bottom"/>
          </w:tcPr>
          <w:p>
            <w:pPr>
              <w:spacing w:after="0"/>
              <w:rPr>
                <w:sz w:val="2"/>
                <w:szCs w:val="2"/>
                <w:color w:val="auto"/>
              </w:rPr>
            </w:pPr>
          </w:p>
        </w:tc>
        <w:tc>
          <w:tcPr>
            <w:tcW w:w="94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4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tcBorders>
              <w:right w:val="single" w:sz="8" w:color="auto"/>
            </w:tcBorders>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240" w:type="dxa"/>
            <w:vAlign w:val="bottom"/>
          </w:tcPr>
          <w:p>
            <w:pPr>
              <w:spacing w:after="0"/>
              <w:rPr>
                <w:sz w:val="2"/>
                <w:szCs w:val="2"/>
                <w:color w:val="auto"/>
              </w:rPr>
            </w:pPr>
          </w:p>
        </w:tc>
        <w:tc>
          <w:tcPr>
            <w:tcW w:w="260" w:type="dxa"/>
            <w:vAlign w:val="bottom"/>
            <w:shd w:val="clear" w:color="auto" w:fill="000000"/>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0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securities</w:t>
            </w:r>
          </w:p>
        </w:tc>
        <w:tc>
          <w:tcPr>
            <w:tcW w:w="9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306,761</w:t>
            </w:r>
          </w:p>
        </w:tc>
        <w:tc>
          <w:tcPr>
            <w:tcW w:w="140" w:type="dxa"/>
            <w:vAlign w:val="bottom"/>
            <w:shd w:val="clear" w:color="auto" w:fill="CCEEFF"/>
          </w:tcPr>
          <w:p>
            <w:pPr>
              <w:spacing w:after="0"/>
              <w:rPr>
                <w:sz w:val="18"/>
                <w:szCs w:val="18"/>
                <w:color w:val="auto"/>
              </w:rPr>
            </w:pPr>
          </w:p>
        </w:tc>
        <w:tc>
          <w:tcPr>
            <w:tcW w:w="300" w:type="dxa"/>
            <w:vAlign w:val="bottom"/>
            <w:gridSpan w:val="2"/>
            <w:shd w:val="clear" w:color="auto" w:fill="CCEEFF"/>
          </w:tcPr>
          <w:p>
            <w:pPr>
              <w:ind w:left="160"/>
              <w:spacing w:after="0"/>
              <w:rPr>
                <w:sz w:val="20"/>
                <w:szCs w:val="20"/>
                <w:color w:val="auto"/>
              </w:rPr>
            </w:pPr>
            <w:r>
              <w:rPr>
                <w:rFonts w:ascii="Arial" w:cs="Arial" w:eastAsia="Arial" w:hAnsi="Arial"/>
                <w:sz w:val="18"/>
                <w:szCs w:val="18"/>
                <w:color w:val="auto"/>
              </w:rPr>
              <w:t>$</w:t>
            </w:r>
          </w:p>
        </w:tc>
        <w:tc>
          <w:tcPr>
            <w:tcW w:w="8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(580)</w:t>
            </w:r>
          </w:p>
        </w:tc>
        <w:tc>
          <w:tcPr>
            <w:tcW w:w="820" w:type="dxa"/>
            <w:vAlign w:val="bottom"/>
            <w:gridSpan w:val="4"/>
            <w:shd w:val="clear" w:color="auto" w:fill="CCEEFF"/>
          </w:tcPr>
          <w:p>
            <w:pPr>
              <w:jc w:val="right"/>
              <w:ind w:right="240"/>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12,231</w:t>
            </w:r>
          </w:p>
        </w:tc>
        <w:tc>
          <w:tcPr>
            <w:tcW w:w="200" w:type="dxa"/>
            <w:vAlign w:val="bottom"/>
            <w:gridSpan w:val="2"/>
            <w:shd w:val="clear" w:color="auto" w:fill="CCEEFF"/>
          </w:tcPr>
          <w:p>
            <w:pPr>
              <w:ind w:left="60"/>
              <w:spacing w:after="0"/>
              <w:rPr>
                <w:sz w:val="20"/>
                <w:szCs w:val="20"/>
                <w:color w:val="auto"/>
              </w:rPr>
            </w:pPr>
            <w:r>
              <w:rPr>
                <w:rFonts w:ascii="Arial" w:cs="Arial" w:eastAsia="Arial" w:hAnsi="Arial"/>
                <w:sz w:val="18"/>
                <w:szCs w:val="18"/>
                <w:color w:val="auto"/>
              </w:rPr>
              <w:t>$</w:t>
            </w:r>
          </w:p>
        </w:tc>
        <w:tc>
          <w:tcPr>
            <w:tcW w:w="5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4"/>
              </w:rPr>
              <w:t>(2,279)</w:t>
            </w:r>
          </w:p>
        </w:tc>
        <w:tc>
          <w:tcPr>
            <w:tcW w:w="920" w:type="dxa"/>
            <w:vAlign w:val="bottom"/>
            <w:gridSpan w:val="4"/>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318,992</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w w:val="94"/>
              </w:rPr>
              <w:t>(2,859)</w:t>
            </w:r>
          </w:p>
        </w:tc>
        <w:tc>
          <w:tcPr>
            <w:tcW w:w="0" w:type="dxa"/>
            <w:vAlign w:val="bottom"/>
          </w:tcPr>
          <w:p>
            <w:pPr>
              <w:spacing w:after="0"/>
              <w:rPr>
                <w:sz w:val="1"/>
                <w:szCs w:val="1"/>
                <w:color w:val="auto"/>
              </w:rPr>
            </w:pPr>
          </w:p>
        </w:tc>
      </w:tr>
      <w:tr>
        <w:trPr>
          <w:trHeight w:val="20"/>
        </w:trPr>
        <w:tc>
          <w:tcPr>
            <w:tcW w:w="5020" w:type="dxa"/>
            <w:vAlign w:val="bottom"/>
            <w:gridSpan w:val="3"/>
            <w:vMerge w:val="restart"/>
          </w:tcPr>
          <w:p>
            <w:pPr>
              <w:spacing w:after="0"/>
              <w:rPr>
                <w:sz w:val="20"/>
                <w:szCs w:val="20"/>
                <w:color w:val="auto"/>
              </w:rPr>
            </w:pPr>
            <w:r>
              <w:rPr>
                <w:rFonts w:ascii="Arial" w:cs="Arial" w:eastAsia="Arial" w:hAnsi="Arial"/>
                <w:sz w:val="18"/>
                <w:szCs w:val="18"/>
                <w:b w:val="1"/>
                <w:bCs w:val="1"/>
                <w:color w:val="auto"/>
              </w:rPr>
              <w:t>Note 4. Supplemental Financial Information (in thousands)</w:t>
            </w:r>
          </w:p>
        </w:tc>
        <w:tc>
          <w:tcPr>
            <w:tcW w:w="9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51"/>
        </w:trPr>
        <w:tc>
          <w:tcPr>
            <w:tcW w:w="5020" w:type="dxa"/>
            <w:vAlign w:val="bottom"/>
            <w:gridSpan w:val="3"/>
            <w:vMerge w:val="continue"/>
          </w:tcPr>
          <w:p>
            <w:pPr>
              <w:spacing w:after="0"/>
              <w:rPr>
                <w:sz w:val="24"/>
                <w:szCs w:val="24"/>
                <w:color w:val="auto"/>
              </w:rPr>
            </w:pPr>
          </w:p>
        </w:tc>
        <w:tc>
          <w:tcPr>
            <w:tcW w:w="9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20" w:type="dxa"/>
            <w:vAlign w:val="bottom"/>
          </w:tcPr>
          <w:p>
            <w:pPr>
              <w:spacing w:after="0"/>
              <w:rPr>
                <w:sz w:val="24"/>
                <w:szCs w:val="24"/>
                <w:color w:val="auto"/>
              </w:rPr>
            </w:pPr>
          </w:p>
        </w:tc>
        <w:tc>
          <w:tcPr>
            <w:tcW w:w="5000" w:type="dxa"/>
            <w:vAlign w:val="bottom"/>
            <w:gridSpan w:val="2"/>
          </w:tcPr>
          <w:p>
            <w:pPr>
              <w:ind w:left="220"/>
              <w:spacing w:after="0"/>
              <w:rPr>
                <w:sz w:val="20"/>
                <w:szCs w:val="20"/>
                <w:color w:val="auto"/>
              </w:rPr>
            </w:pPr>
            <w:r>
              <w:rPr>
                <w:rFonts w:ascii="Arial" w:cs="Arial" w:eastAsia="Arial" w:hAnsi="Arial"/>
                <w:sz w:val="18"/>
                <w:szCs w:val="18"/>
                <w:b w:val="1"/>
                <w:bCs w:val="1"/>
                <w:i w:val="1"/>
                <w:iCs w:val="1"/>
                <w:color w:val="auto"/>
              </w:rPr>
              <w:t>Consolidated Balance Sheets</w:t>
            </w:r>
          </w:p>
        </w:tc>
        <w:tc>
          <w:tcPr>
            <w:tcW w:w="9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0"/>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80" w:type="dxa"/>
            <w:vAlign w:val="bottom"/>
            <w:gridSpan w:val="2"/>
          </w:tcPr>
          <w:p>
            <w:pPr>
              <w:jc w:val="right"/>
              <w:ind w:right="40"/>
              <w:spacing w:after="0"/>
              <w:rPr>
                <w:sz w:val="20"/>
                <w:szCs w:val="20"/>
                <w:color w:val="auto"/>
              </w:rPr>
            </w:pPr>
            <w:r>
              <w:rPr>
                <w:rFonts w:ascii="Arial" w:cs="Arial" w:eastAsia="Arial" w:hAnsi="Arial"/>
                <w:sz w:val="14"/>
                <w:szCs w:val="14"/>
                <w:b w:val="1"/>
                <w:bCs w:val="1"/>
                <w:color w:val="auto"/>
              </w:rPr>
              <w:t>May 2,</w:t>
            </w: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780" w:type="dxa"/>
            <w:vAlign w:val="bottom"/>
            <w:gridSpan w:val="8"/>
          </w:tcPr>
          <w:p>
            <w:pPr>
              <w:jc w:val="right"/>
              <w:ind w:right="720"/>
              <w:spacing w:after="0"/>
              <w:rPr>
                <w:sz w:val="20"/>
                <w:szCs w:val="20"/>
                <w:color w:val="auto"/>
              </w:rPr>
            </w:pPr>
            <w:r>
              <w:rPr>
                <w:rFonts w:ascii="Arial" w:cs="Arial" w:eastAsia="Arial" w:hAnsi="Arial"/>
                <w:sz w:val="14"/>
                <w:szCs w:val="14"/>
                <w:b w:val="1"/>
                <w:bCs w:val="1"/>
                <w:color w:val="auto"/>
              </w:rPr>
              <w:t>January 31,</w:t>
            </w: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364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00" w:type="dxa"/>
            <w:vAlign w:val="bottom"/>
            <w:gridSpan w:val="2"/>
          </w:tcPr>
          <w:p>
            <w:pPr>
              <w:jc w:val="right"/>
              <w:ind w:right="146"/>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36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Inventories:</w:t>
            </w:r>
          </w:p>
        </w:tc>
        <w:tc>
          <w:tcPr>
            <w:tcW w:w="94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auto"/>
              <w:right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3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640" w:type="dxa"/>
            <w:vAlign w:val="bottom"/>
          </w:tcPr>
          <w:p>
            <w:pPr>
              <w:spacing w:after="0"/>
              <w:rPr>
                <w:sz w:val="20"/>
                <w:szCs w:val="20"/>
                <w:color w:val="auto"/>
              </w:rPr>
            </w:pPr>
            <w:r>
              <w:rPr>
                <w:rFonts w:ascii="Arial" w:cs="Arial" w:eastAsia="Arial" w:hAnsi="Arial"/>
                <w:sz w:val="18"/>
                <w:szCs w:val="18"/>
                <w:color w:val="auto"/>
              </w:rPr>
              <w:t>Work-in-process</w:t>
            </w:r>
          </w:p>
        </w:tc>
        <w:tc>
          <w:tcPr>
            <w:tcW w:w="9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20" w:type="dxa"/>
            <w:vAlign w:val="bottom"/>
            <w:gridSpan w:val="4"/>
          </w:tcPr>
          <w:p>
            <w:pPr>
              <w:jc w:val="right"/>
              <w:spacing w:after="0"/>
              <w:rPr>
                <w:sz w:val="20"/>
                <w:szCs w:val="20"/>
                <w:color w:val="auto"/>
              </w:rPr>
            </w:pPr>
            <w:r>
              <w:rPr>
                <w:rFonts w:ascii="Arial" w:cs="Arial" w:eastAsia="Arial" w:hAnsi="Arial"/>
                <w:sz w:val="18"/>
                <w:szCs w:val="18"/>
                <w:color w:val="auto"/>
              </w:rPr>
              <w:t>$187,249</w:t>
            </w:r>
          </w:p>
        </w:tc>
        <w:tc>
          <w:tcPr>
            <w:tcW w:w="100" w:type="dxa"/>
            <w:vAlign w:val="bottom"/>
          </w:tcPr>
          <w:p>
            <w:pPr>
              <w:spacing w:after="0"/>
              <w:rPr>
                <w:sz w:val="18"/>
                <w:szCs w:val="18"/>
                <w:color w:val="auto"/>
              </w:rPr>
            </w:pPr>
          </w:p>
        </w:tc>
        <w:tc>
          <w:tcPr>
            <w:tcW w:w="1060" w:type="dxa"/>
            <w:vAlign w:val="bottom"/>
            <w:gridSpan w:val="5"/>
          </w:tcPr>
          <w:p>
            <w:pPr>
              <w:jc w:val="right"/>
              <w:spacing w:after="0"/>
              <w:rPr>
                <w:sz w:val="20"/>
                <w:szCs w:val="20"/>
                <w:color w:val="auto"/>
              </w:rPr>
            </w:pPr>
            <w:r>
              <w:rPr>
                <w:rFonts w:ascii="Arial" w:cs="Arial" w:eastAsia="Arial" w:hAnsi="Arial"/>
                <w:sz w:val="18"/>
                <w:szCs w:val="18"/>
                <w:color w:val="auto"/>
              </w:rPr>
              <w:t>$ 183,869</w:t>
            </w:r>
          </w:p>
        </w:tc>
        <w:tc>
          <w:tcPr>
            <w:tcW w:w="1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3640" w:type="dxa"/>
            <w:vAlign w:val="bottom"/>
            <w:shd w:val="clear" w:color="auto" w:fill="CCEEFF"/>
          </w:tcPr>
          <w:p>
            <w:pPr>
              <w:spacing w:after="0"/>
              <w:rPr>
                <w:sz w:val="20"/>
                <w:szCs w:val="20"/>
                <w:color w:val="auto"/>
              </w:rPr>
            </w:pPr>
            <w:r>
              <w:rPr>
                <w:rFonts w:ascii="Arial" w:cs="Arial" w:eastAsia="Arial" w:hAnsi="Arial"/>
                <w:sz w:val="18"/>
                <w:szCs w:val="18"/>
                <w:color w:val="auto"/>
              </w:rPr>
              <w:t>Finished goods</w:t>
            </w:r>
          </w:p>
        </w:tc>
        <w:tc>
          <w:tcPr>
            <w:tcW w:w="9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tcBorders>
              <w:bottom w:val="single" w:sz="8" w:color="auto"/>
              <w:right w:val="single" w:sz="8" w:color="CCEEFF"/>
            </w:tcBorders>
            <w:gridSpan w:val="3"/>
            <w:shd w:val="clear" w:color="auto" w:fill="CCEEFF"/>
          </w:tcPr>
          <w:p>
            <w:pPr>
              <w:jc w:val="right"/>
              <w:spacing w:after="0"/>
              <w:rPr>
                <w:sz w:val="20"/>
                <w:szCs w:val="20"/>
                <w:color w:val="auto"/>
              </w:rPr>
            </w:pPr>
            <w:r>
              <w:rPr>
                <w:rFonts w:ascii="Arial" w:cs="Arial" w:eastAsia="Arial" w:hAnsi="Arial"/>
                <w:sz w:val="18"/>
                <w:szCs w:val="18"/>
                <w:color w:val="auto"/>
              </w:rPr>
              <w:t>152,610</w:t>
            </w:r>
          </w:p>
        </w:tc>
        <w:tc>
          <w:tcPr>
            <w:tcW w:w="1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680" w:type="dxa"/>
            <w:vAlign w:val="bottom"/>
            <w:tcBorders>
              <w:bottom w:val="single" w:sz="8" w:color="auto"/>
            </w:tcBorders>
            <w:gridSpan w:val="4"/>
            <w:shd w:val="clear" w:color="auto" w:fill="CCEEFF"/>
          </w:tcPr>
          <w:p>
            <w:pPr>
              <w:jc w:val="right"/>
              <w:spacing w:after="0"/>
              <w:rPr>
                <w:sz w:val="20"/>
                <w:szCs w:val="20"/>
                <w:color w:val="auto"/>
              </w:rPr>
            </w:pPr>
            <w:r>
              <w:rPr>
                <w:rFonts w:ascii="Arial" w:cs="Arial" w:eastAsia="Arial" w:hAnsi="Arial"/>
                <w:sz w:val="18"/>
                <w:szCs w:val="18"/>
                <w:color w:val="auto"/>
              </w:rPr>
              <w:t>124,293</w:t>
            </w:r>
          </w:p>
        </w:tc>
        <w:tc>
          <w:tcPr>
            <w:tcW w:w="100" w:type="dxa"/>
            <w:vAlign w:val="bottom"/>
            <w:shd w:val="clear" w:color="auto" w:fill="CCEEFF"/>
          </w:tcPr>
          <w:p>
            <w:pPr>
              <w:spacing w:after="0"/>
              <w:rPr>
                <w:sz w:val="18"/>
                <w:szCs w:val="18"/>
                <w:color w:val="auto"/>
              </w:rPr>
            </w:pPr>
          </w:p>
        </w:tc>
        <w:tc>
          <w:tcPr>
            <w:tcW w:w="3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5000" w:type="dxa"/>
            <w:vAlign w:val="bottom"/>
            <w:gridSpan w:val="2"/>
          </w:tcPr>
          <w:p>
            <w:pPr>
              <w:ind w:left="1360"/>
              <w:spacing w:after="0"/>
              <w:rPr>
                <w:sz w:val="20"/>
                <w:szCs w:val="20"/>
                <w:color w:val="auto"/>
              </w:rPr>
            </w:pPr>
            <w:r>
              <w:rPr>
                <w:rFonts w:ascii="Arial" w:cs="Arial" w:eastAsia="Arial" w:hAnsi="Arial"/>
                <w:sz w:val="18"/>
                <w:szCs w:val="18"/>
                <w:color w:val="auto"/>
              </w:rPr>
              <w:t>Total inventories</w:t>
            </w:r>
          </w:p>
        </w:tc>
        <w:tc>
          <w:tcPr>
            <w:tcW w:w="9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20" w:type="dxa"/>
            <w:vAlign w:val="bottom"/>
            <w:gridSpan w:val="4"/>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339,859</w:t>
            </w:r>
          </w:p>
        </w:tc>
        <w:tc>
          <w:tcPr>
            <w:tcW w:w="100" w:type="dxa"/>
            <w:vAlign w:val="bottom"/>
          </w:tcPr>
          <w:p>
            <w:pPr>
              <w:spacing w:after="0"/>
              <w:rPr>
                <w:sz w:val="19"/>
                <w:szCs w:val="19"/>
                <w:color w:val="auto"/>
              </w:rPr>
            </w:pPr>
          </w:p>
        </w:tc>
        <w:tc>
          <w:tcPr>
            <w:tcW w:w="1060" w:type="dxa"/>
            <w:vAlign w:val="bottom"/>
            <w:gridSpan w:val="5"/>
          </w:tcPr>
          <w:p>
            <w:pPr>
              <w:jc w:val="right"/>
              <w:spacing w:after="0"/>
              <w:rPr>
                <w:sz w:val="20"/>
                <w:szCs w:val="20"/>
                <w:color w:val="auto"/>
              </w:rPr>
            </w:pPr>
            <w:r>
              <w:rPr>
                <w:rFonts w:ascii="Arial" w:cs="Arial" w:eastAsia="Arial" w:hAnsi="Arial"/>
                <w:sz w:val="18"/>
                <w:szCs w:val="18"/>
                <w:color w:val="auto"/>
              </w:rPr>
              <w:t>$ 308,162</w:t>
            </w: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3640" w:type="dxa"/>
            <w:vAlign w:val="bottom"/>
          </w:tcPr>
          <w:p>
            <w:pPr>
              <w:spacing w:after="0" w:line="20" w:lineRule="exact"/>
              <w:rPr>
                <w:sz w:val="1"/>
                <w:szCs w:val="1"/>
                <w:color w:val="auto"/>
              </w:rPr>
            </w:pPr>
          </w:p>
        </w:tc>
        <w:tc>
          <w:tcPr>
            <w:tcW w:w="940" w:type="dxa"/>
            <w:vAlign w:val="bottom"/>
            <w:vMerge w:val="restart"/>
          </w:tcPr>
          <w:p>
            <w:pPr>
              <w:jc w:val="right"/>
              <w:ind w:right="72"/>
              <w:spacing w:after="0"/>
              <w:rPr>
                <w:sz w:val="20"/>
                <w:szCs w:val="20"/>
                <w:color w:val="auto"/>
              </w:rPr>
            </w:pPr>
            <w:r>
              <w:rPr>
                <w:rFonts w:ascii="Arial" w:cs="Arial" w:eastAsia="Arial" w:hAnsi="Arial"/>
                <w:sz w:val="18"/>
                <w:szCs w:val="18"/>
                <w:color w:val="auto"/>
              </w:rPr>
              <w:t>10</w:t>
            </w:r>
          </w:p>
        </w:tc>
        <w:tc>
          <w:tcPr>
            <w:tcW w:w="6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3640" w:type="dxa"/>
            <w:vAlign w:val="bottom"/>
          </w:tcPr>
          <w:p>
            <w:pPr>
              <w:spacing w:after="0"/>
              <w:rPr>
                <w:sz w:val="24"/>
                <w:szCs w:val="24"/>
                <w:color w:val="auto"/>
              </w:rPr>
            </w:pPr>
          </w:p>
        </w:tc>
        <w:tc>
          <w:tcPr>
            <w:tcW w:w="940" w:type="dxa"/>
            <w:vAlign w:val="bottom"/>
            <w:vMerge w:val="continue"/>
          </w:tcPr>
          <w:p>
            <w:pPr>
              <w:spacing w:after="0"/>
              <w:rPr>
                <w:sz w:val="24"/>
                <w:szCs w:val="24"/>
                <w:color w:val="auto"/>
              </w:rPr>
            </w:pPr>
          </w:p>
        </w:tc>
        <w:tc>
          <w:tcPr>
            <w:tcW w:w="6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200"/>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34"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840" w:type="dxa"/>
            <w:vAlign w:val="bottom"/>
          </w:tcPr>
          <w:p>
            <w:pPr>
              <w:spacing w:after="0"/>
              <w:rPr>
                <w:sz w:val="14"/>
                <w:szCs w:val="14"/>
                <w:color w:val="auto"/>
              </w:rPr>
            </w:pPr>
          </w:p>
        </w:tc>
        <w:tc>
          <w:tcPr>
            <w:tcW w:w="27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May 2,</w:t>
            </w:r>
          </w:p>
        </w:tc>
        <w:tc>
          <w:tcPr>
            <w:tcW w:w="80" w:type="dxa"/>
            <w:vAlign w:val="bottom"/>
          </w:tcPr>
          <w:p>
            <w:pPr>
              <w:spacing w:after="0"/>
              <w:rPr>
                <w:sz w:val="14"/>
                <w:szCs w:val="14"/>
                <w:color w:val="auto"/>
              </w:rPr>
            </w:pPr>
          </w:p>
        </w:tc>
        <w:tc>
          <w:tcPr>
            <w:tcW w:w="9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2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Property and equipment, net:</w:t>
            </w:r>
          </w:p>
        </w:tc>
        <w:tc>
          <w:tcPr>
            <w:tcW w:w="27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Machinery and equipment</w:t>
            </w: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610,076</w:t>
            </w:r>
          </w:p>
        </w:tc>
        <w:tc>
          <w:tcPr>
            <w:tcW w:w="12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601,961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Buildings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Computer software</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101,304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99,312</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Land</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53,373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Building improvements</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49,800</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49,753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Leasehold improvements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51,496</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51,434</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Furniture and fixtures</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28,007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27,883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Construction in progress</w:t>
            </w:r>
          </w:p>
        </w:tc>
        <w:tc>
          <w:tcPr>
            <w:tcW w:w="27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2,323</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6,167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3840" w:type="dxa"/>
            <w:vAlign w:val="bottom"/>
          </w:tcPr>
          <w:p>
            <w:pPr>
              <w:spacing w:after="0"/>
              <w:rPr>
                <w:sz w:val="19"/>
                <w:szCs w:val="19"/>
                <w:color w:val="auto"/>
              </w:rPr>
            </w:pPr>
          </w:p>
        </w:tc>
        <w:tc>
          <w:tcPr>
            <w:tcW w:w="2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w w:val="92"/>
              </w:rPr>
              <w:t>1,040,699</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w w:val="89"/>
              </w:rPr>
              <w:t>1,034,203</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w w:val="97"/>
              </w:rPr>
              <w:t>Less: Accumulated depreciation and amortization</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(714,945)</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(693,564)</w:t>
            </w:r>
          </w:p>
        </w:tc>
        <w:tc>
          <w:tcPr>
            <w:tcW w:w="0" w:type="dxa"/>
            <w:vAlign w:val="bottom"/>
          </w:tcPr>
          <w:p>
            <w:pPr>
              <w:spacing w:after="0"/>
              <w:rPr>
                <w:sz w:val="1"/>
                <w:szCs w:val="1"/>
                <w:color w:val="auto"/>
              </w:rPr>
            </w:pPr>
          </w:p>
        </w:tc>
      </w:tr>
      <w:tr>
        <w:trPr>
          <w:trHeight w:val="20"/>
        </w:trPr>
        <w:tc>
          <w:tcPr>
            <w:tcW w:w="3860" w:type="dxa"/>
            <w:vAlign w:val="bottom"/>
            <w:gridSpan w:val="2"/>
            <w:vMerge w:val="restart"/>
          </w:tcPr>
          <w:p>
            <w:pPr>
              <w:spacing w:after="0"/>
              <w:rPr>
                <w:sz w:val="20"/>
                <w:szCs w:val="20"/>
                <w:color w:val="auto"/>
              </w:rPr>
            </w:pPr>
            <w:r>
              <w:rPr>
                <w:rFonts w:ascii="Arial" w:cs="Arial" w:eastAsia="Arial" w:hAnsi="Arial"/>
                <w:sz w:val="18"/>
                <w:szCs w:val="18"/>
                <w:color w:val="auto"/>
              </w:rPr>
              <w:t>Total property and equipment, net</w:t>
            </w:r>
          </w:p>
        </w:tc>
        <w:tc>
          <w:tcPr>
            <w:tcW w:w="27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3860" w:type="dxa"/>
            <w:vAlign w:val="bottom"/>
            <w:gridSpan w:val="2"/>
            <w:vMerge w:val="continue"/>
          </w:tcPr>
          <w:p>
            <w:pPr>
              <w:spacing w:after="0"/>
              <w:rPr>
                <w:sz w:val="19"/>
                <w:szCs w:val="19"/>
                <w:color w:val="auto"/>
              </w:rPr>
            </w:pP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325,754</w:t>
            </w:r>
          </w:p>
        </w:tc>
        <w:tc>
          <w:tcPr>
            <w:tcW w:w="120" w:type="dxa"/>
            <w:vAlign w:val="bottom"/>
          </w:tcPr>
          <w:p>
            <w:pPr>
              <w:spacing w:after="0"/>
              <w:rPr>
                <w:sz w:val="19"/>
                <w:szCs w:val="19"/>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340,639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May 2,</w:t>
            </w:r>
          </w:p>
        </w:tc>
        <w:tc>
          <w:tcPr>
            <w:tcW w:w="80" w:type="dxa"/>
            <w:vAlign w:val="bottom"/>
          </w:tcPr>
          <w:p>
            <w:pPr>
              <w:spacing w:after="0"/>
              <w:rPr>
                <w:sz w:val="24"/>
                <w:szCs w:val="24"/>
                <w:color w:val="auto"/>
              </w:rPr>
            </w:pPr>
          </w:p>
        </w:tc>
        <w:tc>
          <w:tcPr>
            <w:tcW w:w="9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2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assets:</w:t>
            </w:r>
          </w:p>
        </w:tc>
        <w:tc>
          <w:tcPr>
            <w:tcW w:w="27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Technology and other licenses</w:t>
            </w: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55,445</w:t>
            </w:r>
          </w:p>
        </w:tc>
        <w:tc>
          <w:tcPr>
            <w:tcW w:w="12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61,217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Deferred tax assets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22,297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22,273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Investments in privately-held companies</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9,267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9,267</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Prepaid land use rights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13,355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13,432</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Deposits</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8,144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7,903</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Other</w:t>
            </w:r>
          </w:p>
        </w:tc>
        <w:tc>
          <w:tcPr>
            <w:tcW w:w="2780" w:type="dxa"/>
            <w:vAlign w:val="bottom"/>
            <w:shd w:val="clear" w:color="auto" w:fill="CCEEFF"/>
          </w:tcPr>
          <w:p>
            <w:pPr>
              <w:spacing w:after="0"/>
              <w:rPr>
                <w:sz w:val="18"/>
                <w:szCs w:val="18"/>
                <w:color w:val="auto"/>
              </w:rPr>
            </w:pPr>
          </w:p>
        </w:tc>
        <w:tc>
          <w:tcPr>
            <w:tcW w:w="120" w:type="dxa"/>
            <w:vAlign w:val="bottom"/>
            <w:tcBorders>
              <w:bottom w:val="single" w:sz="8" w:color="auto"/>
            </w:tcBorders>
            <w:shd w:val="clear" w:color="auto" w:fill="CCEEFF"/>
          </w:tcPr>
          <w:p>
            <w:pPr>
              <w:spacing w:after="0"/>
              <w:rPr>
                <w:sz w:val="18"/>
                <w:szCs w:val="18"/>
                <w:color w:val="auto"/>
              </w:rPr>
            </w:pPr>
          </w:p>
        </w:tc>
        <w:tc>
          <w:tcPr>
            <w:tcW w:w="7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14,347</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860" w:type="dxa"/>
            <w:vAlign w:val="bottom"/>
            <w:gridSpan w:val="2"/>
          </w:tcPr>
          <w:p>
            <w:pPr>
              <w:spacing w:after="0"/>
              <w:rPr>
                <w:sz w:val="20"/>
                <w:szCs w:val="20"/>
                <w:color w:val="auto"/>
              </w:rPr>
            </w:pPr>
            <w:r>
              <w:rPr>
                <w:rFonts w:ascii="Arial" w:cs="Arial" w:eastAsia="Arial" w:hAnsi="Arial"/>
                <w:sz w:val="18"/>
                <w:szCs w:val="18"/>
                <w:color w:val="auto"/>
              </w:rPr>
              <w:t>Total other non-current assets</w:t>
            </w: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122,855</w:t>
            </w:r>
          </w:p>
        </w:tc>
        <w:tc>
          <w:tcPr>
            <w:tcW w:w="120" w:type="dxa"/>
            <w:vAlign w:val="bottom"/>
          </w:tcPr>
          <w:p>
            <w:pPr>
              <w:spacing w:after="0"/>
              <w:rPr>
                <w:sz w:val="19"/>
                <w:szCs w:val="19"/>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128,839</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7"/>
        </w:trPr>
        <w:tc>
          <w:tcPr>
            <w:tcW w:w="2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May 2,</w:t>
            </w:r>
          </w:p>
        </w:tc>
        <w:tc>
          <w:tcPr>
            <w:tcW w:w="80" w:type="dxa"/>
            <w:vAlign w:val="bottom"/>
          </w:tcPr>
          <w:p>
            <w:pPr>
              <w:spacing w:after="0"/>
              <w:rPr>
                <w:sz w:val="24"/>
                <w:szCs w:val="24"/>
                <w:color w:val="auto"/>
              </w:rPr>
            </w:pPr>
          </w:p>
        </w:tc>
        <w:tc>
          <w:tcPr>
            <w:tcW w:w="9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2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Accrued liabilities:</w:t>
            </w:r>
          </w:p>
        </w:tc>
        <w:tc>
          <w:tcPr>
            <w:tcW w:w="27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Accrued rebates</w:t>
            </w: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31,685</w:t>
            </w:r>
          </w:p>
        </w:tc>
        <w:tc>
          <w:tcPr>
            <w:tcW w:w="12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39,105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Accrued royalties</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22,675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24,680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7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tcPr>
          <w:p>
            <w:pPr>
              <w:jc w:val="right"/>
              <w:spacing w:after="0"/>
              <w:rPr>
                <w:sz w:val="20"/>
                <w:szCs w:val="20"/>
                <w:color w:val="auto"/>
              </w:rPr>
            </w:pPr>
            <w:r>
              <w:rPr>
                <w:rFonts w:ascii="Arial" w:cs="Arial" w:eastAsia="Arial" w:hAnsi="Arial"/>
                <w:sz w:val="18"/>
                <w:szCs w:val="18"/>
                <w:color w:val="auto"/>
              </w:rPr>
              <w:t>13,677</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Arial" w:cs="Arial" w:eastAsia="Arial" w:hAnsi="Arial"/>
                <w:sz w:val="18"/>
                <w:szCs w:val="18"/>
                <w:color w:val="auto"/>
              </w:rPr>
              <w:t>14,428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Accrued legal expense</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6,951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10,027</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Other</w:t>
            </w:r>
          </w:p>
        </w:tc>
        <w:tc>
          <w:tcPr>
            <w:tcW w:w="27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42,812</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43,148</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Total accrued liabilities</w:t>
            </w:r>
          </w:p>
        </w:tc>
        <w:tc>
          <w:tcPr>
            <w:tcW w:w="2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117,800</w:t>
            </w: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131,388</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27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6"/>
        </w:trPr>
        <w:tc>
          <w:tcPr>
            <w:tcW w:w="2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27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80" w:type="dxa"/>
            <w:vAlign w:val="bottom"/>
            <w:gridSpan w:val="2"/>
          </w:tcPr>
          <w:p>
            <w:pPr>
              <w:jc w:val="center"/>
              <w:ind w:right="240"/>
              <w:spacing w:after="0"/>
              <w:rPr>
                <w:sz w:val="20"/>
                <w:szCs w:val="20"/>
                <w:color w:val="auto"/>
              </w:rPr>
            </w:pPr>
            <w:r>
              <w:rPr>
                <w:rFonts w:ascii="Arial" w:cs="Arial" w:eastAsia="Arial" w:hAnsi="Arial"/>
                <w:sz w:val="14"/>
                <w:szCs w:val="14"/>
                <w:b w:val="1"/>
                <w:bCs w:val="1"/>
                <w:color w:val="auto"/>
                <w:w w:val="93"/>
              </w:rPr>
              <w:t>May 2,</w:t>
            </w:r>
          </w:p>
        </w:tc>
        <w:tc>
          <w:tcPr>
            <w:tcW w:w="80" w:type="dxa"/>
            <w:vAlign w:val="bottom"/>
          </w:tcPr>
          <w:p>
            <w:pPr>
              <w:spacing w:after="0"/>
              <w:rPr>
                <w:sz w:val="24"/>
                <w:szCs w:val="24"/>
                <w:color w:val="auto"/>
              </w:rPr>
            </w:pPr>
          </w:p>
        </w:tc>
        <w:tc>
          <w:tcPr>
            <w:tcW w:w="960" w:type="dxa"/>
            <w:vAlign w:val="bottom"/>
            <w:gridSpan w:val="3"/>
          </w:tcPr>
          <w:p>
            <w:pPr>
              <w:jc w:val="center"/>
              <w:ind w:right="1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840" w:type="dxa"/>
            <w:vAlign w:val="bottom"/>
            <w:tcBorders>
              <w:bottom w:val="single" w:sz="8" w:color="CCEEFF"/>
            </w:tcBorders>
          </w:tcPr>
          <w:p>
            <w:pPr>
              <w:spacing w:after="0"/>
              <w:rPr>
                <w:sz w:val="14"/>
                <w:szCs w:val="14"/>
                <w:color w:val="auto"/>
              </w:rPr>
            </w:pPr>
          </w:p>
        </w:tc>
        <w:tc>
          <w:tcPr>
            <w:tcW w:w="2780" w:type="dxa"/>
            <w:vAlign w:val="bottom"/>
            <w:tcBorders>
              <w:bottom w:val="single" w:sz="8" w:color="CCEEFF"/>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760" w:type="dxa"/>
            <w:vAlign w:val="bottom"/>
            <w:tcBorders>
              <w:bottom w:val="single" w:sz="8" w:color="auto"/>
            </w:tcBorders>
          </w:tcPr>
          <w:p>
            <w:pPr>
              <w:jc w:val="center"/>
              <w:ind w:right="37"/>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center"/>
              <w:ind w:right="15"/>
              <w:spacing w:after="0"/>
              <w:rPr>
                <w:sz w:val="20"/>
                <w:szCs w:val="20"/>
                <w:color w:val="auto"/>
              </w:rPr>
            </w:pPr>
            <w:r>
              <w:rPr>
                <w:rFonts w:ascii="Arial" w:cs="Arial" w:eastAsia="Arial" w:hAnsi="Arial"/>
                <w:sz w:val="14"/>
                <w:szCs w:val="14"/>
                <w:b w:val="1"/>
                <w:bCs w:val="1"/>
                <w:color w:val="auto"/>
                <w:w w:val="89"/>
              </w:rPr>
              <w:t>2015</w:t>
            </w:r>
          </w:p>
        </w:tc>
        <w:tc>
          <w:tcPr>
            <w:tcW w:w="12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3840" w:type="dxa"/>
            <w:vAlign w:val="bottom"/>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Other non-current liabilities:</w:t>
            </w:r>
          </w:p>
        </w:tc>
        <w:tc>
          <w:tcPr>
            <w:tcW w:w="27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7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4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Technology license obligations</w:t>
            </w:r>
          </w:p>
        </w:tc>
        <w:tc>
          <w:tcPr>
            <w:tcW w:w="29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tcPr>
          <w:p>
            <w:pPr>
              <w:jc w:val="right"/>
              <w:spacing w:after="0"/>
              <w:rPr>
                <w:sz w:val="20"/>
                <w:szCs w:val="20"/>
                <w:color w:val="auto"/>
              </w:rPr>
            </w:pPr>
            <w:r>
              <w:rPr>
                <w:rFonts w:ascii="Arial" w:cs="Arial" w:eastAsia="Arial" w:hAnsi="Arial"/>
                <w:sz w:val="18"/>
                <w:szCs w:val="18"/>
                <w:color w:val="auto"/>
              </w:rPr>
              <w:t>14,625</w:t>
            </w:r>
          </w:p>
        </w:tc>
        <w:tc>
          <w:tcPr>
            <w:tcW w:w="120" w:type="dxa"/>
            <w:vAlign w:val="bottom"/>
          </w:tcPr>
          <w:p>
            <w:pPr>
              <w:spacing w:after="0"/>
              <w:rPr>
                <w:sz w:val="18"/>
                <w:szCs w:val="18"/>
                <w:color w:val="auto"/>
              </w:rPr>
            </w:pPr>
          </w:p>
        </w:tc>
        <w:tc>
          <w:tcPr>
            <w:tcW w:w="1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40" w:type="dxa"/>
            <w:vAlign w:val="bottom"/>
          </w:tcPr>
          <w:p>
            <w:pPr>
              <w:jc w:val="right"/>
              <w:spacing w:after="0"/>
              <w:rPr>
                <w:sz w:val="20"/>
                <w:szCs w:val="20"/>
                <w:color w:val="auto"/>
              </w:rPr>
            </w:pPr>
            <w:r>
              <w:rPr>
                <w:rFonts w:ascii="Arial" w:cs="Arial" w:eastAsia="Arial" w:hAnsi="Arial"/>
                <w:sz w:val="18"/>
                <w:szCs w:val="18"/>
                <w:color w:val="auto"/>
              </w:rPr>
              <w:t>16,468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Long-term accrued employee compensation</w:t>
            </w:r>
          </w:p>
        </w:tc>
        <w:tc>
          <w:tcPr>
            <w:tcW w:w="27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4,890</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840" w:type="dxa"/>
            <w:vAlign w:val="bottom"/>
          </w:tcPr>
          <w:p>
            <w:pPr>
              <w:spacing w:after="0"/>
              <w:rPr>
                <w:sz w:val="20"/>
                <w:szCs w:val="20"/>
                <w:color w:val="auto"/>
              </w:rPr>
            </w:pPr>
            <w:r>
              <w:rPr>
                <w:rFonts w:ascii="Arial" w:cs="Arial" w:eastAsia="Arial" w:hAnsi="Arial"/>
                <w:sz w:val="18"/>
                <w:szCs w:val="18"/>
                <w:color w:val="auto"/>
              </w:rPr>
              <w:t>Other</w:t>
            </w:r>
          </w:p>
        </w:tc>
        <w:tc>
          <w:tcPr>
            <w:tcW w:w="2780" w:type="dxa"/>
            <w:vAlign w:val="bottom"/>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8,753</w:t>
            </w:r>
          </w:p>
        </w:tc>
        <w:tc>
          <w:tcPr>
            <w:tcW w:w="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11,115</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840" w:type="dxa"/>
            <w:vAlign w:val="bottom"/>
            <w:shd w:val="clear" w:color="auto" w:fill="CCEEFF"/>
          </w:tcPr>
          <w:p>
            <w:pPr>
              <w:spacing w:after="0"/>
              <w:rPr>
                <w:sz w:val="20"/>
                <w:szCs w:val="20"/>
                <w:color w:val="auto"/>
              </w:rPr>
            </w:pPr>
            <w:r>
              <w:rPr>
                <w:rFonts w:ascii="Arial" w:cs="Arial" w:eastAsia="Arial" w:hAnsi="Arial"/>
                <w:sz w:val="18"/>
                <w:szCs w:val="18"/>
                <w:color w:val="auto"/>
              </w:rPr>
              <w:t>Other non-current liabilities</w:t>
            </w:r>
          </w:p>
        </w:tc>
        <w:tc>
          <w:tcPr>
            <w:tcW w:w="29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28,268</w:t>
            </w:r>
          </w:p>
        </w:tc>
        <w:tc>
          <w:tcPr>
            <w:tcW w:w="120" w:type="dxa"/>
            <w:vAlign w:val="bottom"/>
            <w:shd w:val="clear" w:color="auto" w:fill="CCEEFF"/>
          </w:tcPr>
          <w:p>
            <w:pPr>
              <w:spacing w:after="0"/>
              <w:rPr>
                <w:sz w:val="18"/>
                <w:szCs w:val="18"/>
                <w:color w:val="auto"/>
              </w:rPr>
            </w:pPr>
          </w:p>
        </w:tc>
        <w:tc>
          <w:tcPr>
            <w:tcW w:w="1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32,193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2780" w:type="dxa"/>
            <w:vAlign w:val="bottom"/>
            <w:vMerge w:val="restart"/>
          </w:tcPr>
          <w:p>
            <w:pPr>
              <w:jc w:val="right"/>
              <w:ind w:right="2132"/>
              <w:spacing w:after="0"/>
              <w:rPr>
                <w:sz w:val="20"/>
                <w:szCs w:val="20"/>
                <w:color w:val="auto"/>
              </w:rPr>
            </w:pPr>
            <w:r>
              <w:rPr>
                <w:rFonts w:ascii="Arial" w:cs="Arial" w:eastAsia="Arial" w:hAnsi="Arial"/>
                <w:sz w:val="18"/>
                <w:szCs w:val="18"/>
                <w:color w:val="auto"/>
              </w:rPr>
              <w:t>11</w:t>
            </w:r>
          </w:p>
        </w:tc>
        <w:tc>
          <w:tcPr>
            <w:tcW w:w="120" w:type="dxa"/>
            <w:vAlign w:val="bottom"/>
            <w:tcBorders>
              <w:top w:val="single" w:sz="8" w:color="auto"/>
              <w:bottom w:val="single" w:sz="8" w:color="auto"/>
            </w:tcBorders>
          </w:tcPr>
          <w:p>
            <w:pPr>
              <w:spacing w:after="0" w:line="20" w:lineRule="exact"/>
              <w:rPr>
                <w:sz w:val="1"/>
                <w:szCs w:val="1"/>
                <w:color w:val="auto"/>
              </w:rPr>
            </w:pPr>
          </w:p>
        </w:tc>
        <w:tc>
          <w:tcPr>
            <w:tcW w:w="7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840" w:type="dxa"/>
            <w:vAlign w:val="bottom"/>
          </w:tcPr>
          <w:p>
            <w:pPr>
              <w:spacing w:after="0"/>
              <w:rPr>
                <w:sz w:val="24"/>
                <w:szCs w:val="24"/>
                <w:color w:val="auto"/>
              </w:rPr>
            </w:pPr>
          </w:p>
        </w:tc>
        <w:tc>
          <w:tcPr>
            <w:tcW w:w="2780" w:type="dxa"/>
            <w:vAlign w:val="bottom"/>
            <w:vMerge w:val="continue"/>
          </w:tcPr>
          <w:p>
            <w:pPr>
              <w:spacing w:after="0"/>
              <w:rPr>
                <w:sz w:val="24"/>
                <w:szCs w:val="24"/>
                <w:color w:val="auto"/>
              </w:rPr>
            </w:pPr>
          </w:p>
        </w:tc>
        <w:tc>
          <w:tcPr>
            <w:tcW w:w="12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219"/>
          </w:cols>
          <w:pgMar w:left="240" w:top="459" w:right="1440" w:bottom="1440" w:gutter="0" w:footer="0" w:header="0"/>
        </w:sectPr>
      </w:pPr>
    </w:p>
    <w:bookmarkStart w:id="11" w:name="page12"/>
    <w:bookmarkEnd w:id="1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59"/>
        <w:spacing w:after="0"/>
        <w:rPr>
          <w:sz w:val="20"/>
          <w:szCs w:val="20"/>
          <w:color w:val="auto"/>
        </w:rPr>
      </w:pPr>
      <w:r>
        <w:rPr>
          <w:rFonts w:ascii="Arial" w:cs="Arial" w:eastAsia="Arial" w:hAnsi="Arial"/>
          <w:sz w:val="16"/>
          <w:szCs w:val="16"/>
          <w:b w:val="1"/>
          <w:bCs w:val="1"/>
          <w:color w:val="auto"/>
        </w:rPr>
        <w:t>NOTES TO UNAUDITED CONDENSED CONSOLIDATED FINANCIAL STATEMENTS – (Continued)</w:t>
      </w:r>
    </w:p>
    <w:p>
      <w:pPr>
        <w:spacing w:after="0" w:line="174"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Accumulated other comprehensive income (loss)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changes in accumulated other comprehensive income by component are presented in the following tables (in thousands):</w:t>
      </w:r>
    </w:p>
    <w:p>
      <w:pPr>
        <w:sectPr>
          <w:pgSz w:w="11900" w:h="16838" w:orient="portrait"/>
          <w:cols w:equalWidth="0" w:num="1">
            <w:col w:w="10960"/>
          </w:cols>
          <w:pgMar w:left="240" w:top="459" w:right="6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January 31, 2015</w:t>
      </w:r>
    </w:p>
    <w:p>
      <w:pPr>
        <w:spacing w:after="0" w:line="23" w:lineRule="exact"/>
        <w:rPr>
          <w:sz w:val="20"/>
          <w:szCs w:val="20"/>
          <w:color w:val="auto"/>
        </w:rPr>
      </w:pPr>
    </w:p>
    <w:p>
      <w:pPr>
        <w:ind w:left="900" w:right="50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00" w:type="dxa"/>
            <w:vAlign w:val="bottom"/>
            <w:gridSpan w:val="3"/>
          </w:tcPr>
          <w:p>
            <w:pPr>
              <w:jc w:val="center"/>
              <w:ind w:right="580"/>
              <w:spacing w:after="0"/>
              <w:rPr>
                <w:sz w:val="20"/>
                <w:szCs w:val="20"/>
                <w:color w:val="auto"/>
              </w:rPr>
            </w:pPr>
            <w:r>
              <w:rPr>
                <w:rFonts w:ascii="Arial" w:cs="Arial" w:eastAsia="Arial" w:hAnsi="Arial"/>
                <w:sz w:val="14"/>
                <w:szCs w:val="14"/>
                <w:b w:val="1"/>
                <w:bCs w:val="1"/>
                <w:color w:val="auto"/>
                <w:w w:val="86"/>
              </w:rPr>
              <w:t>Unrealized Gain</w:t>
            </w:r>
          </w:p>
        </w:tc>
        <w:tc>
          <w:tcPr>
            <w:tcW w:w="1520" w:type="dxa"/>
            <w:vAlign w:val="bottom"/>
            <w:gridSpan w:val="3"/>
          </w:tcPr>
          <w:p>
            <w:pPr>
              <w:jc w:val="center"/>
              <w:ind w:right="56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42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2"/>
              </w:rPr>
              <w:t>(Loss) on</w:t>
            </w:r>
          </w:p>
        </w:tc>
        <w:tc>
          <w:tcPr>
            <w:tcW w:w="128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8"/>
              </w:rPr>
              <w:t>Unrealized Gain</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0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42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280" w:type="dxa"/>
            <w:vAlign w:val="bottom"/>
            <w:gridSpan w:val="3"/>
          </w:tcPr>
          <w:p>
            <w:pPr>
              <w:jc w:val="center"/>
              <w:ind w:right="300"/>
              <w:spacing w:after="0" w:line="149" w:lineRule="exact"/>
              <w:rPr>
                <w:sz w:val="20"/>
                <w:szCs w:val="20"/>
                <w:color w:val="auto"/>
              </w:rPr>
            </w:pPr>
            <w:r>
              <w:rPr>
                <w:rFonts w:ascii="Arial" w:cs="Arial" w:eastAsia="Arial" w:hAnsi="Arial"/>
                <w:sz w:val="14"/>
                <w:szCs w:val="14"/>
                <w:b w:val="1"/>
                <w:bCs w:val="1"/>
                <w:color w:val="auto"/>
                <w:w w:val="84"/>
              </w:rPr>
              <w:t>(Loss) on Cash</w:t>
            </w:r>
          </w:p>
        </w:tc>
        <w:tc>
          <w:tcPr>
            <w:tcW w:w="26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0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2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18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85"/>
              </w:rPr>
              <w:t>Flow Hedges</w:t>
            </w:r>
          </w:p>
        </w:tc>
        <w:tc>
          <w:tcPr>
            <w:tcW w:w="260" w:type="dxa"/>
            <w:vAlign w:val="bottom"/>
          </w:tcPr>
          <w:p>
            <w:pPr>
              <w:spacing w:after="0"/>
              <w:rPr>
                <w:sz w:val="14"/>
                <w:szCs w:val="14"/>
                <w:color w:val="auto"/>
              </w:rPr>
            </w:pPr>
          </w:p>
        </w:tc>
        <w:tc>
          <w:tcPr>
            <w:tcW w:w="48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3,768</w:t>
            </w:r>
          </w:p>
        </w:tc>
        <w:tc>
          <w:tcPr>
            <w:tcW w:w="56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(2,274)</w:t>
            </w:r>
          </w:p>
        </w:tc>
        <w:tc>
          <w:tcPr>
            <w:tcW w:w="560" w:type="dxa"/>
            <w:vAlign w:val="bottom"/>
          </w:tcPr>
          <w:p>
            <w:pPr>
              <w:spacing w:after="0"/>
              <w:rPr>
                <w:sz w:val="17"/>
                <w:szCs w:val="17"/>
                <w:color w:val="auto"/>
              </w:rPr>
            </w:pPr>
          </w:p>
        </w:tc>
        <w:tc>
          <w:tcPr>
            <w:tcW w:w="10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79"/>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(1,186)</w:t>
            </w: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42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88"/>
              </w:rPr>
              <w:t>$ 308</w:t>
            </w:r>
          </w:p>
        </w:tc>
        <w:tc>
          <w:tcPr>
            <w:tcW w:w="60" w:type="dxa"/>
            <w:vAlign w:val="bottom"/>
          </w:tcPr>
          <w:p>
            <w:pPr>
              <w:spacing w:after="0"/>
              <w:rPr>
                <w:sz w:val="17"/>
                <w:szCs w:val="17"/>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2"/>
          </w:tcPr>
          <w:p>
            <w:pPr>
              <w:jc w:val="right"/>
              <w:ind w:right="500"/>
              <w:spacing w:after="0"/>
              <w:rPr>
                <w:sz w:val="20"/>
                <w:szCs w:val="20"/>
                <w:color w:val="auto"/>
              </w:rPr>
            </w:pPr>
            <w:r>
              <w:rPr>
                <w:rFonts w:ascii="Arial" w:cs="Arial" w:eastAsia="Arial" w:hAnsi="Arial"/>
                <w:sz w:val="18"/>
                <w:szCs w:val="18"/>
                <w:color w:val="auto"/>
              </w:rPr>
              <w:t>(1,528)</w:t>
            </w:r>
          </w:p>
        </w:tc>
        <w:tc>
          <w:tcPr>
            <w:tcW w:w="100" w:type="dxa"/>
            <w:vAlign w:val="bottom"/>
          </w:tcPr>
          <w:p>
            <w:pPr>
              <w:spacing w:after="0"/>
              <w:rPr>
                <w:sz w:val="19"/>
                <w:szCs w:val="19"/>
                <w:color w:val="auto"/>
              </w:rPr>
            </w:pPr>
          </w:p>
        </w:tc>
        <w:tc>
          <w:tcPr>
            <w:tcW w:w="1420" w:type="dxa"/>
            <w:vAlign w:val="bottom"/>
            <w:gridSpan w:val="2"/>
          </w:tcPr>
          <w:p>
            <w:pPr>
              <w:jc w:val="right"/>
              <w:ind w:right="500"/>
              <w:spacing w:after="0"/>
              <w:rPr>
                <w:sz w:val="20"/>
                <w:szCs w:val="20"/>
                <w:color w:val="auto"/>
              </w:rPr>
            </w:pPr>
            <w:r>
              <w:rPr>
                <w:rFonts w:ascii="Arial" w:cs="Arial" w:eastAsia="Arial" w:hAnsi="Arial"/>
                <w:sz w:val="18"/>
                <w:szCs w:val="18"/>
                <w:color w:val="auto"/>
              </w:rPr>
              <w:t>(115)</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803</w:t>
            </w:r>
          </w:p>
        </w:tc>
        <w:tc>
          <w:tcPr>
            <w:tcW w:w="320" w:type="dxa"/>
            <w:vAlign w:val="bottom"/>
          </w:tcPr>
          <w:p>
            <w:pPr>
              <w:spacing w:after="0"/>
              <w:rPr>
                <w:sz w:val="19"/>
                <w:szCs w:val="19"/>
                <w:color w:val="auto"/>
              </w:rPr>
            </w:pPr>
          </w:p>
        </w:tc>
        <w:tc>
          <w:tcPr>
            <w:tcW w:w="740" w:type="dxa"/>
            <w:vAlign w:val="bottom"/>
            <w:gridSpan w:val="3"/>
          </w:tcPr>
          <w:p>
            <w:pPr>
              <w:jc w:val="right"/>
              <w:spacing w:after="0"/>
              <w:rPr>
                <w:sz w:val="20"/>
                <w:szCs w:val="20"/>
                <w:color w:val="auto"/>
              </w:rPr>
            </w:pPr>
            <w:r>
              <w:rPr>
                <w:rFonts w:ascii="Arial" w:cs="Arial" w:eastAsia="Arial" w:hAnsi="Arial"/>
                <w:sz w:val="18"/>
                <w:szCs w:val="18"/>
                <w:color w:val="auto"/>
              </w:rPr>
              <w:t>(840)</w:t>
            </w:r>
          </w:p>
        </w:tc>
      </w:tr>
      <w:tr>
        <w:trPr>
          <w:trHeight w:val="43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0" w:type="dxa"/>
            <w:vAlign w:val="bottom"/>
            <w:gridSpan w:val="2"/>
          </w:tcPr>
          <w:p>
            <w:pPr>
              <w:jc w:val="right"/>
              <w:ind w:right="500"/>
              <w:spacing w:after="0"/>
              <w:rPr>
                <w:sz w:val="20"/>
                <w:szCs w:val="20"/>
                <w:color w:val="auto"/>
              </w:rPr>
            </w:pPr>
            <w:r>
              <w:rPr>
                <w:rFonts w:ascii="Arial" w:cs="Arial" w:eastAsia="Arial" w:hAnsi="Arial"/>
                <w:sz w:val="18"/>
                <w:szCs w:val="18"/>
                <w:color w:val="auto"/>
              </w:rPr>
              <w:t>(332)</w:t>
            </w:r>
          </w:p>
        </w:tc>
        <w:tc>
          <w:tcPr>
            <w:tcW w:w="100" w:type="dxa"/>
            <w:vAlign w:val="bottom"/>
          </w:tcPr>
          <w:p>
            <w:pPr>
              <w:spacing w:after="0"/>
              <w:rPr>
                <w:sz w:val="24"/>
                <w:szCs w:val="24"/>
                <w:color w:val="auto"/>
              </w:rPr>
            </w:pPr>
          </w:p>
        </w:tc>
        <w:tc>
          <w:tcPr>
            <w:tcW w:w="1420" w:type="dxa"/>
            <w:vAlign w:val="bottom"/>
            <w:gridSpan w:val="2"/>
          </w:tcPr>
          <w:p>
            <w:pPr>
              <w:jc w:val="right"/>
              <w:ind w:right="64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944</w:t>
            </w:r>
          </w:p>
        </w:tc>
        <w:tc>
          <w:tcPr>
            <w:tcW w:w="320" w:type="dxa"/>
            <w:vAlign w:val="bottom"/>
          </w:tcPr>
          <w:p>
            <w:pPr>
              <w:spacing w:after="0"/>
              <w:rPr>
                <w:sz w:val="24"/>
                <w:szCs w:val="24"/>
                <w:color w:val="auto"/>
              </w:rPr>
            </w:pPr>
          </w:p>
        </w:tc>
        <w:tc>
          <w:tcPr>
            <w:tcW w:w="740" w:type="dxa"/>
            <w:vAlign w:val="bottom"/>
            <w:gridSpan w:val="3"/>
          </w:tcPr>
          <w:p>
            <w:pPr>
              <w:jc w:val="right"/>
              <w:ind w:right="60"/>
              <w:spacing w:after="0"/>
              <w:rPr>
                <w:sz w:val="20"/>
                <w:szCs w:val="20"/>
                <w:color w:val="auto"/>
              </w:rPr>
            </w:pPr>
            <w:r>
              <w:rPr>
                <w:rFonts w:ascii="Arial" w:cs="Arial" w:eastAsia="Arial" w:hAnsi="Arial"/>
                <w:sz w:val="18"/>
                <w:szCs w:val="18"/>
                <w:color w:val="auto"/>
              </w:rPr>
              <w:t>612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-3423920</wp:posOffset>
            </wp:positionH>
            <wp:positionV relativeFrom="paragraph">
              <wp:posOffset>-555625</wp:posOffset>
            </wp:positionV>
            <wp:extent cx="6663690" cy="146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-3423920</wp:posOffset>
            </wp:positionH>
            <wp:positionV relativeFrom="paragraph">
              <wp:posOffset>-272415</wp:posOffset>
            </wp:positionV>
            <wp:extent cx="6663690" cy="2743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5140" w:space="720"/>
            <w:col w:w="510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36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10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960" w:type="dxa"/>
            <w:vAlign w:val="bottom"/>
            <w:gridSpan w:val="2"/>
          </w:tcPr>
          <w:p>
            <w:pPr>
              <w:jc w:val="right"/>
              <w:ind w:right="240"/>
              <w:spacing w:after="0" w:line="204" w:lineRule="exact"/>
              <w:rPr>
                <w:sz w:val="20"/>
                <w:szCs w:val="20"/>
                <w:color w:val="auto"/>
              </w:rPr>
            </w:pPr>
            <w:r>
              <w:rPr>
                <w:rFonts w:ascii="Arial" w:cs="Arial" w:eastAsia="Arial" w:hAnsi="Arial"/>
                <w:sz w:val="18"/>
                <w:szCs w:val="18"/>
                <w:color w:val="auto"/>
              </w:rPr>
              <w:t>(1,860)</w:t>
            </w:r>
          </w:p>
        </w:tc>
        <w:tc>
          <w:tcPr>
            <w:tcW w:w="2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20" w:type="dxa"/>
            <w:vAlign w:val="bottom"/>
            <w:gridSpan w:val="2"/>
          </w:tcPr>
          <w:p>
            <w:pPr>
              <w:jc w:val="right"/>
              <w:ind w:right="500"/>
              <w:spacing w:after="0" w:line="204" w:lineRule="exact"/>
              <w:rPr>
                <w:sz w:val="20"/>
                <w:szCs w:val="20"/>
                <w:color w:val="auto"/>
              </w:rPr>
            </w:pPr>
            <w:r>
              <w:rPr>
                <w:rFonts w:ascii="Arial" w:cs="Arial" w:eastAsia="Arial" w:hAnsi="Arial"/>
                <w:sz w:val="18"/>
                <w:szCs w:val="18"/>
                <w:color w:val="auto"/>
              </w:rPr>
              <w:t>(115)</w:t>
            </w:r>
          </w:p>
        </w:tc>
        <w:tc>
          <w:tcPr>
            <w:tcW w:w="340" w:type="dxa"/>
            <w:vAlign w:val="bottom"/>
          </w:tcPr>
          <w:p>
            <w:pPr>
              <w:spacing w:after="0"/>
              <w:rPr>
                <w:sz w:val="17"/>
                <w:szCs w:val="17"/>
                <w:color w:val="auto"/>
              </w:rPr>
            </w:pPr>
          </w:p>
        </w:tc>
        <w:tc>
          <w:tcPr>
            <w:tcW w:w="620" w:type="dxa"/>
            <w:vAlign w:val="bottom"/>
          </w:tcPr>
          <w:p>
            <w:pPr>
              <w:jc w:val="right"/>
              <w:spacing w:after="0" w:line="204" w:lineRule="exact"/>
              <w:rPr>
                <w:sz w:val="20"/>
                <w:szCs w:val="20"/>
                <w:color w:val="auto"/>
              </w:rPr>
            </w:pPr>
            <w:r>
              <w:rPr>
                <w:rFonts w:ascii="Arial" w:cs="Arial" w:eastAsia="Arial" w:hAnsi="Arial"/>
                <w:sz w:val="18"/>
                <w:szCs w:val="18"/>
                <w:color w:val="auto"/>
              </w:rPr>
              <w:t>1,747</w:t>
            </w:r>
          </w:p>
        </w:tc>
        <w:tc>
          <w:tcPr>
            <w:tcW w:w="110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(228)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3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6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56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2015</w:t>
            </w:r>
          </w:p>
        </w:tc>
        <w:tc>
          <w:tcPr>
            <w:tcW w:w="132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1,908</w:t>
            </w:r>
          </w:p>
        </w:tc>
        <w:tc>
          <w:tcPr>
            <w:tcW w:w="3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1220" w:type="dxa"/>
            <w:vAlign w:val="bottom"/>
            <w:gridSpan w:val="2"/>
            <w:shd w:val="clear" w:color="auto" w:fill="CCEEFF"/>
          </w:tcPr>
          <w:p>
            <w:pPr>
              <w:jc w:val="right"/>
              <w:ind w:right="500"/>
              <w:spacing w:after="0"/>
              <w:rPr>
                <w:sz w:val="20"/>
                <w:szCs w:val="20"/>
                <w:color w:val="auto"/>
              </w:rPr>
            </w:pPr>
            <w:r>
              <w:rPr>
                <w:rFonts w:ascii="Arial" w:cs="Arial" w:eastAsia="Arial" w:hAnsi="Arial"/>
                <w:sz w:val="18"/>
                <w:szCs w:val="18"/>
                <w:color w:val="auto"/>
              </w:rPr>
              <w:t>(2,389)</w:t>
            </w:r>
          </w:p>
        </w:tc>
        <w:tc>
          <w:tcPr>
            <w:tcW w:w="340" w:type="dxa"/>
            <w:vAlign w:val="bottom"/>
            <w:shd w:val="clear" w:color="auto" w:fill="CCEEFF"/>
          </w:tcPr>
          <w:p>
            <w:pPr>
              <w:jc w:val="right"/>
              <w:ind w:right="152"/>
              <w:spacing w:after="0"/>
              <w:rPr>
                <w:sz w:val="20"/>
                <w:szCs w:val="20"/>
                <w:color w:val="auto"/>
              </w:rPr>
            </w:pPr>
            <w:r>
              <w:rPr>
                <w:rFonts w:ascii="Arial" w:cs="Arial" w:eastAsia="Arial" w:hAnsi="Arial"/>
                <w:sz w:val="18"/>
                <w:szCs w:val="18"/>
                <w:color w:val="auto"/>
                <w:w w:val="79"/>
              </w:rPr>
              <w:t>$</w:t>
            </w: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561</w:t>
            </w:r>
          </w:p>
        </w:tc>
        <w:tc>
          <w:tcPr>
            <w:tcW w:w="110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80</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36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91" w:lineRule="exact"/>
        <w:rPr>
          <w:sz w:val="20"/>
          <w:szCs w:val="20"/>
          <w:color w:val="auto"/>
        </w:rPr>
      </w:pPr>
    </w:p>
    <w:p>
      <w:pPr>
        <w:sectPr>
          <w:pgSz w:w="11900" w:h="16838" w:orient="portrait"/>
          <w:cols w:equalWidth="0" w:num="1">
            <w:col w:w="10960"/>
          </w:cols>
          <w:pgMar w:left="240" w:top="459" w:right="6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Balance at February 1, 2014</w:t>
      </w:r>
    </w:p>
    <w:p>
      <w:pPr>
        <w:spacing w:after="0" w:line="23" w:lineRule="exact"/>
        <w:rPr>
          <w:sz w:val="20"/>
          <w:szCs w:val="20"/>
          <w:color w:val="auto"/>
        </w:rPr>
      </w:pPr>
    </w:p>
    <w:p>
      <w:pPr>
        <w:ind w:left="900" w:right="320"/>
        <w:spacing w:after="0" w:line="305" w:lineRule="auto"/>
        <w:rPr>
          <w:sz w:val="20"/>
          <w:szCs w:val="20"/>
          <w:color w:val="auto"/>
        </w:rPr>
      </w:pPr>
      <w:r>
        <w:rPr>
          <w:rFonts w:ascii="Arial" w:cs="Arial" w:eastAsia="Arial" w:hAnsi="Arial"/>
          <w:sz w:val="15"/>
          <w:szCs w:val="15"/>
          <w:color w:val="auto"/>
        </w:rPr>
        <w:t>Other comprehensive income before reclassifications Amounts reclassified from accumulated other</w:t>
      </w:r>
    </w:p>
    <w:p>
      <w:pPr>
        <w:ind w:left="1120"/>
        <w:spacing w:after="0"/>
        <w:rPr>
          <w:sz w:val="20"/>
          <w:szCs w:val="20"/>
          <w:color w:val="auto"/>
        </w:rPr>
      </w:pPr>
      <w:r>
        <w:rPr>
          <w:rFonts w:ascii="Arial" w:cs="Arial" w:eastAsia="Arial" w:hAnsi="Arial"/>
          <w:sz w:val="18"/>
          <w:szCs w:val="18"/>
          <w:color w:val="auto"/>
        </w:rPr>
        <w:t>comprehensive income</w:t>
      </w:r>
    </w:p>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1520" w:type="dxa"/>
            <w:vAlign w:val="bottom"/>
            <w:gridSpan w:val="3"/>
          </w:tcPr>
          <w:p>
            <w:pPr>
              <w:jc w:val="center"/>
              <w:ind w:right="580"/>
              <w:spacing w:after="0"/>
              <w:rPr>
                <w:sz w:val="20"/>
                <w:szCs w:val="20"/>
                <w:color w:val="auto"/>
              </w:rPr>
            </w:pPr>
            <w:r>
              <w:rPr>
                <w:rFonts w:ascii="Arial" w:cs="Arial" w:eastAsia="Arial" w:hAnsi="Arial"/>
                <w:sz w:val="14"/>
                <w:szCs w:val="14"/>
                <w:b w:val="1"/>
                <w:bCs w:val="1"/>
                <w:color w:val="auto"/>
                <w:w w:val="88"/>
              </w:rPr>
              <w:t>Unrealized Gain</w:t>
            </w:r>
          </w:p>
        </w:tc>
        <w:tc>
          <w:tcPr>
            <w:tcW w:w="1540" w:type="dxa"/>
            <w:vAlign w:val="bottom"/>
            <w:gridSpan w:val="3"/>
          </w:tcPr>
          <w:p>
            <w:pPr>
              <w:jc w:val="center"/>
              <w:ind w:right="580"/>
              <w:spacing w:after="0"/>
              <w:rPr>
                <w:sz w:val="20"/>
                <w:szCs w:val="20"/>
                <w:color w:val="auto"/>
              </w:rPr>
            </w:pPr>
            <w:r>
              <w:rPr>
                <w:rFonts w:ascii="Arial" w:cs="Arial" w:eastAsia="Arial" w:hAnsi="Arial"/>
                <w:sz w:val="14"/>
                <w:szCs w:val="14"/>
                <w:b w:val="1"/>
                <w:bCs w:val="1"/>
                <w:color w:val="auto"/>
                <w:w w:val="90"/>
              </w:rPr>
              <w:t>Unrealized Gain</w:t>
            </w:r>
          </w:p>
        </w:tc>
        <w:tc>
          <w:tcPr>
            <w:tcW w:w="1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82"/>
              </w:rPr>
              <w:t>(Loss) on</w:t>
            </w:r>
          </w:p>
        </w:tc>
        <w:tc>
          <w:tcPr>
            <w:tcW w:w="100" w:type="dxa"/>
            <w:vAlign w:val="bottom"/>
          </w:tcPr>
          <w:p>
            <w:pPr>
              <w:spacing w:after="0"/>
              <w:rPr>
                <w:sz w:val="12"/>
                <w:szCs w:val="12"/>
                <w:color w:val="auto"/>
              </w:rPr>
            </w:pPr>
          </w:p>
        </w:tc>
        <w:tc>
          <w:tcPr>
            <w:tcW w:w="14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2"/>
              </w:rPr>
              <w:t>(Loss) on</w:t>
            </w:r>
          </w:p>
        </w:tc>
        <w:tc>
          <w:tcPr>
            <w:tcW w:w="128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90"/>
              </w:rPr>
              <w:t>Unrealized Gain</w:t>
            </w:r>
          </w:p>
        </w:tc>
        <w:tc>
          <w:tcPr>
            <w:tcW w:w="2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gridSpan w:val="2"/>
          </w:tcPr>
          <w:p>
            <w:pPr>
              <w:jc w:val="center"/>
              <w:ind w:right="700"/>
              <w:spacing w:after="0" w:line="149" w:lineRule="exact"/>
              <w:rPr>
                <w:sz w:val="20"/>
                <w:szCs w:val="20"/>
                <w:color w:val="auto"/>
              </w:rPr>
            </w:pPr>
            <w:r>
              <w:rPr>
                <w:rFonts w:ascii="Arial" w:cs="Arial" w:eastAsia="Arial" w:hAnsi="Arial"/>
                <w:sz w:val="14"/>
                <w:szCs w:val="14"/>
                <w:b w:val="1"/>
                <w:bCs w:val="1"/>
                <w:color w:val="auto"/>
                <w:w w:val="92"/>
              </w:rPr>
              <w:t>Marketable</w:t>
            </w:r>
          </w:p>
        </w:tc>
        <w:tc>
          <w:tcPr>
            <w:tcW w:w="100" w:type="dxa"/>
            <w:vAlign w:val="bottom"/>
          </w:tcPr>
          <w:p>
            <w:pPr>
              <w:spacing w:after="0"/>
              <w:rPr>
                <w:sz w:val="12"/>
                <w:szCs w:val="12"/>
                <w:color w:val="auto"/>
              </w:rPr>
            </w:pPr>
          </w:p>
        </w:tc>
        <w:tc>
          <w:tcPr>
            <w:tcW w:w="144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7"/>
              </w:rPr>
              <w:t>Auction Rate</w:t>
            </w:r>
          </w:p>
        </w:tc>
        <w:tc>
          <w:tcPr>
            <w:tcW w:w="1280" w:type="dxa"/>
            <w:vAlign w:val="bottom"/>
            <w:gridSpan w:val="3"/>
          </w:tcPr>
          <w:p>
            <w:pPr>
              <w:jc w:val="center"/>
              <w:ind w:right="320"/>
              <w:spacing w:after="0" w:line="149" w:lineRule="exact"/>
              <w:rPr>
                <w:sz w:val="20"/>
                <w:szCs w:val="20"/>
                <w:color w:val="auto"/>
              </w:rPr>
            </w:pPr>
            <w:r>
              <w:rPr>
                <w:rFonts w:ascii="Arial" w:cs="Arial" w:eastAsia="Arial" w:hAnsi="Arial"/>
                <w:sz w:val="14"/>
                <w:szCs w:val="14"/>
                <w:b w:val="1"/>
                <w:bCs w:val="1"/>
                <w:color w:val="auto"/>
                <w:w w:val="83"/>
              </w:rPr>
              <w:t>(Loss) on Cash</w:t>
            </w:r>
          </w:p>
        </w:tc>
        <w:tc>
          <w:tcPr>
            <w:tcW w:w="2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20" w:type="dxa"/>
            <w:vAlign w:val="bottom"/>
            <w:gridSpan w:val="2"/>
          </w:tcPr>
          <w:p>
            <w:pPr>
              <w:jc w:val="center"/>
              <w:ind w:right="70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440" w:type="dxa"/>
            <w:vAlign w:val="bottom"/>
            <w:gridSpan w:val="2"/>
          </w:tcPr>
          <w:p>
            <w:pPr>
              <w:jc w:val="center"/>
              <w:ind w:right="680"/>
              <w:spacing w:after="0"/>
              <w:rPr>
                <w:sz w:val="20"/>
                <w:szCs w:val="20"/>
                <w:color w:val="auto"/>
              </w:rPr>
            </w:pPr>
            <w:r>
              <w:rPr>
                <w:rFonts w:ascii="Arial" w:cs="Arial" w:eastAsia="Arial" w:hAnsi="Arial"/>
                <w:sz w:val="14"/>
                <w:szCs w:val="14"/>
                <w:b w:val="1"/>
                <w:bCs w:val="1"/>
                <w:color w:val="auto"/>
                <w:w w:val="83"/>
              </w:rPr>
              <w:t>Securities</w:t>
            </w:r>
          </w:p>
        </w:tc>
        <w:tc>
          <w:tcPr>
            <w:tcW w:w="100" w:type="dxa"/>
            <w:vAlign w:val="bottom"/>
          </w:tcPr>
          <w:p>
            <w:pPr>
              <w:spacing w:after="0"/>
              <w:rPr>
                <w:sz w:val="14"/>
                <w:szCs w:val="14"/>
                <w:color w:val="auto"/>
              </w:rPr>
            </w:pPr>
          </w:p>
        </w:tc>
        <w:tc>
          <w:tcPr>
            <w:tcW w:w="1180" w:type="dxa"/>
            <w:vAlign w:val="bottom"/>
            <w:gridSpan w:val="2"/>
          </w:tcPr>
          <w:p>
            <w:pPr>
              <w:jc w:val="center"/>
              <w:ind w:right="440"/>
              <w:spacing w:after="0"/>
              <w:rPr>
                <w:sz w:val="20"/>
                <w:szCs w:val="20"/>
                <w:color w:val="auto"/>
              </w:rPr>
            </w:pPr>
            <w:r>
              <w:rPr>
                <w:rFonts w:ascii="Arial" w:cs="Arial" w:eastAsia="Arial" w:hAnsi="Arial"/>
                <w:sz w:val="14"/>
                <w:szCs w:val="14"/>
                <w:b w:val="1"/>
                <w:bCs w:val="1"/>
                <w:color w:val="auto"/>
                <w:w w:val="85"/>
              </w:rPr>
              <w:t>Flow Hedges</w:t>
            </w:r>
          </w:p>
        </w:tc>
        <w:tc>
          <w:tcPr>
            <w:tcW w:w="26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Arial" w:cs="Arial" w:eastAsia="Arial" w:hAnsi="Arial"/>
                <w:sz w:val="14"/>
                <w:szCs w:val="14"/>
                <w:b w:val="1"/>
                <w:bCs w:val="1"/>
                <w:color w:val="auto"/>
              </w:rPr>
              <w:t>Total</w:t>
            </w:r>
          </w:p>
        </w:tc>
      </w:tr>
      <w:tr>
        <w:trPr>
          <w:trHeight w:val="201"/>
        </w:trPr>
        <w:tc>
          <w:tcPr>
            <w:tcW w:w="2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0"/>
                <w:szCs w:val="10"/>
                <w:color w:val="auto"/>
                <w:w w:val="71"/>
              </w:rPr>
              <w:t>$</w:t>
            </w:r>
          </w:p>
        </w:tc>
        <w:tc>
          <w:tcPr>
            <w:tcW w:w="84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2,534</w:t>
            </w:r>
          </w:p>
        </w:tc>
        <w:tc>
          <w:tcPr>
            <w:tcW w:w="58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(2,871)</w:t>
            </w:r>
          </w:p>
        </w:tc>
        <w:tc>
          <w:tcPr>
            <w:tcW w:w="580" w:type="dxa"/>
            <w:vAlign w:val="bottom"/>
          </w:tcPr>
          <w:p>
            <w:pPr>
              <w:spacing w:after="0"/>
              <w:rPr>
                <w:sz w:val="17"/>
                <w:szCs w:val="17"/>
                <w:color w:val="auto"/>
              </w:rPr>
            </w:pPr>
          </w:p>
        </w:tc>
        <w:tc>
          <w:tcPr>
            <w:tcW w:w="100" w:type="dxa"/>
            <w:vAlign w:val="bottom"/>
            <w:tcBorders>
              <w:top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8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rPr>
              <w:t>934</w:t>
            </w: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560" w:type="dxa"/>
            <w:vAlign w:val="bottom"/>
            <w:tcBorders>
              <w:top w:val="single" w:sz="8" w:color="auto"/>
            </w:tcBorders>
          </w:tcPr>
          <w:p>
            <w:pPr>
              <w:jc w:val="right"/>
              <w:spacing w:after="0" w:line="201" w:lineRule="exact"/>
              <w:rPr>
                <w:sz w:val="20"/>
                <w:szCs w:val="20"/>
                <w:color w:val="auto"/>
              </w:rPr>
            </w:pPr>
            <w:r>
              <w:rPr>
                <w:rFonts w:ascii="Arial" w:cs="Arial" w:eastAsia="Arial" w:hAnsi="Arial"/>
                <w:sz w:val="18"/>
                <w:szCs w:val="18"/>
                <w:color w:val="auto"/>
                <w:w w:val="98"/>
              </w:rPr>
              <w:t>$   597</w:t>
            </w:r>
          </w:p>
        </w:tc>
        <w:tc>
          <w:tcPr>
            <w:tcW w:w="60" w:type="dxa"/>
            <w:vAlign w:val="bottom"/>
          </w:tcPr>
          <w:p>
            <w:pPr>
              <w:spacing w:after="0"/>
              <w:rPr>
                <w:sz w:val="17"/>
                <w:szCs w:val="17"/>
                <w:color w:val="auto"/>
              </w:rPr>
            </w:pPr>
          </w:p>
        </w:tc>
      </w:tr>
      <w:tr>
        <w:trPr>
          <w:trHeight w:val="222"/>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gridSpan w:val="2"/>
          </w:tcPr>
          <w:p>
            <w:pPr>
              <w:jc w:val="right"/>
              <w:ind w:right="580"/>
              <w:spacing w:after="0"/>
              <w:rPr>
                <w:sz w:val="20"/>
                <w:szCs w:val="20"/>
                <w:color w:val="auto"/>
              </w:rPr>
            </w:pPr>
            <w:r>
              <w:rPr>
                <w:rFonts w:ascii="Arial" w:cs="Arial" w:eastAsia="Arial" w:hAnsi="Arial"/>
                <w:sz w:val="18"/>
                <w:szCs w:val="18"/>
                <w:color w:val="auto"/>
              </w:rPr>
              <w:t>798</w:t>
            </w:r>
          </w:p>
        </w:tc>
        <w:tc>
          <w:tcPr>
            <w:tcW w:w="100" w:type="dxa"/>
            <w:vAlign w:val="bottom"/>
          </w:tcPr>
          <w:p>
            <w:pPr>
              <w:spacing w:after="0"/>
              <w:rPr>
                <w:sz w:val="19"/>
                <w:szCs w:val="19"/>
                <w:color w:val="auto"/>
              </w:rPr>
            </w:pPr>
          </w:p>
        </w:tc>
        <w:tc>
          <w:tcPr>
            <w:tcW w:w="1440" w:type="dxa"/>
            <w:vAlign w:val="bottom"/>
            <w:gridSpan w:val="2"/>
          </w:tcPr>
          <w:p>
            <w:pPr>
              <w:jc w:val="right"/>
              <w:ind w:right="580"/>
              <w:spacing w:after="0"/>
              <w:rPr>
                <w:sz w:val="20"/>
                <w:szCs w:val="20"/>
                <w:color w:val="auto"/>
              </w:rPr>
            </w:pPr>
            <w:r>
              <w:rPr>
                <w:rFonts w:ascii="Arial" w:cs="Arial" w:eastAsia="Arial" w:hAnsi="Arial"/>
                <w:sz w:val="18"/>
                <w:szCs w:val="18"/>
                <w:color w:val="auto"/>
              </w:rPr>
              <w:t>177</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42</w:t>
            </w:r>
          </w:p>
        </w:tc>
        <w:tc>
          <w:tcPr>
            <w:tcW w:w="320" w:type="dxa"/>
            <w:vAlign w:val="bottom"/>
          </w:tcPr>
          <w:p>
            <w:pPr>
              <w:spacing w:after="0"/>
              <w:rPr>
                <w:sz w:val="19"/>
                <w:szCs w:val="19"/>
                <w:color w:val="auto"/>
              </w:rPr>
            </w:pPr>
          </w:p>
        </w:tc>
        <w:tc>
          <w:tcPr>
            <w:tcW w:w="880" w:type="dxa"/>
            <w:vAlign w:val="bottom"/>
            <w:gridSpan w:val="3"/>
          </w:tcPr>
          <w:p>
            <w:pPr>
              <w:jc w:val="right"/>
              <w:ind w:right="60"/>
              <w:spacing w:after="0"/>
              <w:rPr>
                <w:sz w:val="20"/>
                <w:szCs w:val="20"/>
                <w:color w:val="auto"/>
              </w:rPr>
            </w:pPr>
            <w:r>
              <w:rPr>
                <w:rFonts w:ascii="Arial" w:cs="Arial" w:eastAsia="Arial" w:hAnsi="Arial"/>
                <w:sz w:val="18"/>
                <w:szCs w:val="18"/>
                <w:color w:val="auto"/>
              </w:rPr>
              <w:t>1,017</w:t>
            </w:r>
          </w:p>
        </w:tc>
      </w:tr>
      <w:tr>
        <w:trPr>
          <w:trHeight w:val="432"/>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gridSpan w:val="2"/>
          </w:tcPr>
          <w:p>
            <w:pPr>
              <w:jc w:val="right"/>
              <w:ind w:right="520"/>
              <w:spacing w:after="0"/>
              <w:rPr>
                <w:sz w:val="20"/>
                <w:szCs w:val="20"/>
                <w:color w:val="auto"/>
              </w:rPr>
            </w:pPr>
            <w:r>
              <w:rPr>
                <w:rFonts w:ascii="Arial" w:cs="Arial" w:eastAsia="Arial" w:hAnsi="Arial"/>
                <w:sz w:val="18"/>
                <w:szCs w:val="18"/>
                <w:color w:val="auto"/>
              </w:rPr>
              <w:t>(420)</w:t>
            </w:r>
          </w:p>
        </w:tc>
        <w:tc>
          <w:tcPr>
            <w:tcW w:w="100" w:type="dxa"/>
            <w:vAlign w:val="bottom"/>
          </w:tcPr>
          <w:p>
            <w:pPr>
              <w:spacing w:after="0"/>
              <w:rPr>
                <w:sz w:val="24"/>
                <w:szCs w:val="24"/>
                <w:color w:val="auto"/>
              </w:rPr>
            </w:pPr>
          </w:p>
        </w:tc>
        <w:tc>
          <w:tcPr>
            <w:tcW w:w="1440" w:type="dxa"/>
            <w:vAlign w:val="bottom"/>
            <w:gridSpan w:val="2"/>
          </w:tcPr>
          <w:p>
            <w:pPr>
              <w:ind w:left="6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24"/>
                <w:szCs w:val="24"/>
                <w:color w:val="auto"/>
              </w:rPr>
            </w:pPr>
          </w:p>
        </w:tc>
        <w:tc>
          <w:tcPr>
            <w:tcW w:w="1180" w:type="dxa"/>
            <w:vAlign w:val="bottom"/>
            <w:gridSpan w:val="2"/>
          </w:tcPr>
          <w:p>
            <w:pPr>
              <w:jc w:val="right"/>
              <w:ind w:right="260"/>
              <w:spacing w:after="0"/>
              <w:rPr>
                <w:sz w:val="20"/>
                <w:szCs w:val="20"/>
                <w:color w:val="auto"/>
              </w:rPr>
            </w:pPr>
            <w:r>
              <w:rPr>
                <w:rFonts w:ascii="Arial" w:cs="Arial" w:eastAsia="Arial" w:hAnsi="Arial"/>
                <w:sz w:val="18"/>
                <w:szCs w:val="18"/>
                <w:color w:val="auto"/>
              </w:rPr>
              <w:t>(785)</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(1,205)</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-3309620</wp:posOffset>
            </wp:positionH>
            <wp:positionV relativeFrom="paragraph">
              <wp:posOffset>-555625</wp:posOffset>
            </wp:positionV>
            <wp:extent cx="6663690" cy="1460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-3309620</wp:posOffset>
            </wp:positionH>
            <wp:positionV relativeFrom="paragraph">
              <wp:posOffset>-272415</wp:posOffset>
            </wp:positionV>
            <wp:extent cx="6663690" cy="27432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960" w:space="720"/>
            <w:col w:w="5280"/>
          </w:cols>
          <w:pgMar w:left="240" w:top="459" w:right="6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4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4"/>
        </w:trPr>
        <w:tc>
          <w:tcPr>
            <w:tcW w:w="20" w:type="dxa"/>
            <w:vAlign w:val="bottom"/>
          </w:tcPr>
          <w:p>
            <w:pPr>
              <w:spacing w:after="0"/>
              <w:rPr>
                <w:sz w:val="17"/>
                <w:szCs w:val="17"/>
                <w:color w:val="auto"/>
              </w:rPr>
            </w:pPr>
          </w:p>
        </w:tc>
        <w:tc>
          <w:tcPr>
            <w:tcW w:w="4280" w:type="dxa"/>
            <w:vAlign w:val="bottom"/>
          </w:tcPr>
          <w:p>
            <w:pPr>
              <w:ind w:left="860"/>
              <w:spacing w:after="0" w:line="204" w:lineRule="exact"/>
              <w:rPr>
                <w:sz w:val="20"/>
                <w:szCs w:val="20"/>
                <w:color w:val="auto"/>
              </w:rPr>
            </w:pPr>
            <w:r>
              <w:rPr>
                <w:rFonts w:ascii="Arial" w:cs="Arial" w:eastAsia="Arial" w:hAnsi="Arial"/>
                <w:sz w:val="18"/>
                <w:szCs w:val="18"/>
                <w:color w:val="auto"/>
              </w:rPr>
              <w:t>Other comprehensive income (loss)</w:t>
            </w:r>
          </w:p>
        </w:tc>
        <w:tc>
          <w:tcPr>
            <w:tcW w:w="92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640" w:type="dxa"/>
            <w:vAlign w:val="bottom"/>
          </w:tcPr>
          <w:p>
            <w:pPr>
              <w:jc w:val="right"/>
              <w:spacing w:after="0" w:line="204" w:lineRule="exact"/>
              <w:rPr>
                <w:sz w:val="20"/>
                <w:szCs w:val="20"/>
                <w:color w:val="auto"/>
              </w:rPr>
            </w:pPr>
            <w:r>
              <w:rPr>
                <w:rFonts w:ascii="Arial" w:cs="Arial" w:eastAsia="Arial" w:hAnsi="Arial"/>
                <w:sz w:val="18"/>
                <w:szCs w:val="18"/>
                <w:color w:val="auto"/>
              </w:rPr>
              <w:t>378</w:t>
            </w:r>
          </w:p>
        </w:tc>
        <w:tc>
          <w:tcPr>
            <w:tcW w:w="5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60" w:type="dxa"/>
            <w:vAlign w:val="bottom"/>
          </w:tcPr>
          <w:p>
            <w:pPr>
              <w:jc w:val="right"/>
              <w:spacing w:after="0" w:line="204" w:lineRule="exact"/>
              <w:rPr>
                <w:sz w:val="20"/>
                <w:szCs w:val="20"/>
                <w:color w:val="auto"/>
              </w:rPr>
            </w:pPr>
            <w:r>
              <w:rPr>
                <w:rFonts w:ascii="Arial" w:cs="Arial" w:eastAsia="Arial" w:hAnsi="Arial"/>
                <w:sz w:val="18"/>
                <w:szCs w:val="18"/>
                <w:color w:val="auto"/>
              </w:rPr>
              <w:t>177</w:t>
            </w:r>
          </w:p>
        </w:tc>
        <w:tc>
          <w:tcPr>
            <w:tcW w:w="3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920" w:type="dxa"/>
            <w:vAlign w:val="bottom"/>
            <w:gridSpan w:val="2"/>
          </w:tcPr>
          <w:p>
            <w:pPr>
              <w:jc w:val="right"/>
              <w:ind w:right="260"/>
              <w:spacing w:after="0" w:line="204" w:lineRule="exact"/>
              <w:rPr>
                <w:sz w:val="20"/>
                <w:szCs w:val="20"/>
                <w:color w:val="auto"/>
              </w:rPr>
            </w:pPr>
            <w:r>
              <w:rPr>
                <w:rFonts w:ascii="Arial" w:cs="Arial" w:eastAsia="Arial" w:hAnsi="Arial"/>
                <w:sz w:val="18"/>
                <w:szCs w:val="18"/>
                <w:color w:val="auto"/>
              </w:rPr>
              <w:t>(743)</w:t>
            </w:r>
          </w:p>
        </w:tc>
        <w:tc>
          <w:tcPr>
            <w:tcW w:w="920" w:type="dxa"/>
            <w:vAlign w:val="bottom"/>
            <w:gridSpan w:val="3"/>
          </w:tcPr>
          <w:p>
            <w:pPr>
              <w:jc w:val="right"/>
              <w:ind w:right="40"/>
              <w:spacing w:after="0" w:line="204" w:lineRule="exact"/>
              <w:rPr>
                <w:sz w:val="20"/>
                <w:szCs w:val="20"/>
                <w:color w:val="auto"/>
              </w:rPr>
            </w:pPr>
            <w:r>
              <w:rPr>
                <w:rFonts w:ascii="Arial" w:cs="Arial" w:eastAsia="Arial" w:hAnsi="Arial"/>
                <w:sz w:val="18"/>
                <w:szCs w:val="18"/>
                <w:color w:val="auto"/>
              </w:rPr>
              <w:t>(188)</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4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3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5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36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8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3, 2014</w:t>
            </w:r>
          </w:p>
        </w:tc>
        <w:tc>
          <w:tcPr>
            <w:tcW w:w="920" w:type="dxa"/>
            <w:vAlign w:val="bottom"/>
            <w:shd w:val="clear" w:color="auto" w:fill="CCEEFF"/>
          </w:tcPr>
          <w:p>
            <w:pPr>
              <w:spacing w:after="0"/>
              <w:rPr>
                <w:sz w:val="18"/>
                <w:szCs w:val="18"/>
                <w:color w:val="auto"/>
              </w:rPr>
            </w:pPr>
          </w:p>
        </w:tc>
        <w:tc>
          <w:tcPr>
            <w:tcW w:w="320" w:type="dxa"/>
            <w:vAlign w:val="bottom"/>
            <w:shd w:val="clear" w:color="auto" w:fill="CCEEFF"/>
          </w:tcPr>
          <w:p>
            <w:pPr>
              <w:jc w:val="right"/>
              <w:ind w:right="163"/>
              <w:spacing w:after="0"/>
              <w:rPr>
                <w:sz w:val="20"/>
                <w:szCs w:val="20"/>
                <w:color w:val="auto"/>
              </w:rPr>
            </w:pPr>
            <w:r>
              <w:rPr>
                <w:rFonts w:ascii="Arial" w:cs="Arial" w:eastAsia="Arial" w:hAnsi="Arial"/>
                <w:sz w:val="15"/>
                <w:szCs w:val="15"/>
                <w:color w:val="auto"/>
                <w:w w:val="71"/>
              </w:rPr>
              <w:t>$</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2,912</w:t>
            </w:r>
          </w:p>
        </w:tc>
        <w:tc>
          <w:tcPr>
            <w:tcW w:w="88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w:t>
            </w:r>
          </w:p>
        </w:tc>
        <w:tc>
          <w:tcPr>
            <w:tcW w:w="98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(2,694)</w:t>
            </w:r>
          </w:p>
        </w:tc>
        <w:tc>
          <w:tcPr>
            <w:tcW w:w="6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191</w:t>
            </w:r>
          </w:p>
        </w:tc>
        <w:tc>
          <w:tcPr>
            <w:tcW w:w="320" w:type="dxa"/>
            <w:vAlign w:val="bottom"/>
            <w:shd w:val="clear" w:color="auto" w:fill="CCEEFF"/>
          </w:tcPr>
          <w:p>
            <w:pPr>
              <w:spacing w:after="0"/>
              <w:rPr>
                <w:sz w:val="18"/>
                <w:szCs w:val="18"/>
                <w:color w:val="auto"/>
              </w:rPr>
            </w:pPr>
          </w:p>
        </w:tc>
        <w:tc>
          <w:tcPr>
            <w:tcW w:w="920" w:type="dxa"/>
            <w:vAlign w:val="bottom"/>
            <w:gridSpan w:val="3"/>
            <w:shd w:val="clear" w:color="auto" w:fill="CCEEFF"/>
          </w:tcPr>
          <w:p>
            <w:pPr>
              <w:jc w:val="right"/>
              <w:ind w:right="100"/>
              <w:spacing w:after="0"/>
              <w:rPr>
                <w:sz w:val="20"/>
                <w:szCs w:val="20"/>
                <w:color w:val="auto"/>
              </w:rPr>
            </w:pPr>
            <w:r>
              <w:rPr>
                <w:rFonts w:ascii="Arial" w:cs="Arial" w:eastAsia="Arial" w:hAnsi="Arial"/>
                <w:sz w:val="18"/>
                <w:szCs w:val="18"/>
                <w:color w:val="auto"/>
              </w:rPr>
              <w:t>$   409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28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6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amounts reclassified from accumulated other comprehensive income by component are presented in the following table (in thousands):</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340" w:type="dxa"/>
            <w:vAlign w:val="bottom"/>
            <w:gridSpan w:val="2"/>
            <w:vMerge w:val="restart"/>
          </w:tcPr>
          <w:p>
            <w:pPr>
              <w:spacing w:after="0"/>
              <w:rPr>
                <w:sz w:val="20"/>
                <w:szCs w:val="20"/>
                <w:color w:val="auto"/>
              </w:rPr>
            </w:pPr>
            <w:r>
              <w:rPr>
                <w:rFonts w:ascii="Arial" w:cs="Arial" w:eastAsia="Arial" w:hAnsi="Arial"/>
                <w:sz w:val="14"/>
                <w:szCs w:val="14"/>
                <w:b w:val="1"/>
                <w:bCs w:val="1"/>
                <w:color w:val="auto"/>
              </w:rPr>
              <w:t>Affected Line Item in the</w:t>
            </w:r>
          </w:p>
        </w:tc>
        <w:tc>
          <w:tcPr>
            <w:tcW w:w="33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80" w:type="dxa"/>
            <w:vAlign w:val="bottom"/>
            <w:gridSpan w:val="6"/>
          </w:tcPr>
          <w:p>
            <w:pPr>
              <w:ind w:left="22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16"/>
        </w:trPr>
        <w:tc>
          <w:tcPr>
            <w:tcW w:w="3340" w:type="dxa"/>
            <w:vAlign w:val="bottom"/>
            <w:gridSpan w:val="2"/>
            <w:vMerge w:val="continue"/>
          </w:tcPr>
          <w:p>
            <w:pPr>
              <w:spacing w:after="0"/>
              <w:rPr>
                <w:sz w:val="10"/>
                <w:szCs w:val="10"/>
                <w:color w:val="auto"/>
              </w:rPr>
            </w:pPr>
          </w:p>
        </w:tc>
        <w:tc>
          <w:tcPr>
            <w:tcW w:w="3360" w:type="dxa"/>
            <w:vAlign w:val="bottom"/>
          </w:tcPr>
          <w:p>
            <w:pPr>
              <w:spacing w:after="0"/>
              <w:rPr>
                <w:sz w:val="10"/>
                <w:szCs w:val="10"/>
                <w:color w:val="auto"/>
              </w:rPr>
            </w:pPr>
          </w:p>
        </w:tc>
        <w:tc>
          <w:tcPr>
            <w:tcW w:w="900" w:type="dxa"/>
            <w:vAlign w:val="bottom"/>
            <w:tcBorders>
              <w:top w:val="single" w:sz="8" w:color="auto"/>
            </w:tcBorders>
            <w:gridSpan w:val="3"/>
          </w:tcPr>
          <w:p>
            <w:pPr>
              <w:jc w:val="right"/>
              <w:ind w:right="440"/>
              <w:spacing w:after="0" w:line="116" w:lineRule="exact"/>
              <w:rPr>
                <w:sz w:val="20"/>
                <w:szCs w:val="20"/>
                <w:color w:val="auto"/>
              </w:rPr>
            </w:pPr>
            <w:r>
              <w:rPr>
                <w:rFonts w:ascii="Arial" w:cs="Arial" w:eastAsia="Arial" w:hAnsi="Arial"/>
                <w:sz w:val="12"/>
                <w:szCs w:val="12"/>
                <w:b w:val="1"/>
                <w:bCs w:val="1"/>
                <w:color w:val="auto"/>
              </w:rPr>
              <w:t>May 2,</w:t>
            </w:r>
          </w:p>
        </w:tc>
        <w:tc>
          <w:tcPr>
            <w:tcW w:w="28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ind w:right="79"/>
              <w:spacing w:after="0" w:line="116" w:lineRule="exact"/>
              <w:rPr>
                <w:sz w:val="20"/>
                <w:szCs w:val="20"/>
                <w:color w:val="auto"/>
              </w:rPr>
            </w:pPr>
            <w:r>
              <w:rPr>
                <w:rFonts w:ascii="Arial" w:cs="Arial" w:eastAsia="Arial" w:hAnsi="Arial"/>
                <w:sz w:val="12"/>
                <w:szCs w:val="12"/>
                <w:b w:val="1"/>
                <w:bCs w:val="1"/>
                <w:color w:val="auto"/>
              </w:rPr>
              <w:t>May 3,</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1"/>
        </w:trPr>
        <w:tc>
          <w:tcPr>
            <w:tcW w:w="15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w w:val="93"/>
              </w:rPr>
              <w:t>Statement of Operations</w:t>
            </w:r>
          </w:p>
        </w:tc>
        <w:tc>
          <w:tcPr>
            <w:tcW w:w="1800" w:type="dxa"/>
            <w:vAlign w:val="bottom"/>
          </w:tcPr>
          <w:p>
            <w:pPr>
              <w:spacing w:after="0"/>
              <w:rPr>
                <w:sz w:val="15"/>
                <w:szCs w:val="15"/>
                <w:color w:val="auto"/>
              </w:rPr>
            </w:pPr>
          </w:p>
        </w:tc>
        <w:tc>
          <w:tcPr>
            <w:tcW w:w="33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60" w:type="dxa"/>
            <w:vAlign w:val="bottom"/>
          </w:tcPr>
          <w:p>
            <w:pPr>
              <w:jc w:val="right"/>
              <w:ind w:right="78"/>
              <w:spacing w:after="0"/>
              <w:rPr>
                <w:sz w:val="20"/>
                <w:szCs w:val="20"/>
                <w:color w:val="auto"/>
              </w:rPr>
            </w:pPr>
            <w:r>
              <w:rPr>
                <w:rFonts w:ascii="Arial" w:cs="Arial" w:eastAsia="Arial" w:hAnsi="Arial"/>
                <w:sz w:val="14"/>
                <w:szCs w:val="14"/>
                <w:b w:val="1"/>
                <w:bCs w:val="1"/>
                <w:color w:val="auto"/>
                <w:w w:val="89"/>
              </w:rPr>
              <w:t>2015</w:t>
            </w:r>
          </w:p>
        </w:tc>
        <w:tc>
          <w:tcPr>
            <w:tcW w:w="3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80" w:type="dxa"/>
            <w:vAlign w:val="bottom"/>
          </w:tcPr>
          <w:p>
            <w:pPr>
              <w:jc w:val="right"/>
              <w:ind w:right="139"/>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3340" w:type="dxa"/>
            <w:vAlign w:val="bottom"/>
            <w:tcBorders>
              <w:top w:val="single" w:sz="8" w:color="CCEEFF"/>
            </w:tcBorders>
            <w:gridSpan w:val="2"/>
            <w:shd w:val="clear" w:color="auto" w:fill="CCEEFF"/>
          </w:tcPr>
          <w:p>
            <w:pPr>
              <w:spacing w:after="0" w:line="189" w:lineRule="exact"/>
              <w:rPr>
                <w:sz w:val="20"/>
                <w:szCs w:val="20"/>
                <w:color w:val="auto"/>
              </w:rPr>
            </w:pPr>
            <w:r>
              <w:rPr>
                <w:rFonts w:ascii="Arial" w:cs="Arial" w:eastAsia="Arial" w:hAnsi="Arial"/>
                <w:sz w:val="18"/>
                <w:szCs w:val="18"/>
                <w:color w:val="auto"/>
              </w:rPr>
              <w:t>Interest and other income, net:</w:t>
            </w:r>
          </w:p>
        </w:tc>
        <w:tc>
          <w:tcPr>
            <w:tcW w:w="336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460" w:type="dxa"/>
            <w:vAlign w:val="bottom"/>
            <w:tcBorders>
              <w:top w:val="single" w:sz="8" w:color="auto"/>
            </w:tcBorders>
            <w:shd w:val="clear" w:color="auto" w:fill="CCEEFF"/>
          </w:tcPr>
          <w:p>
            <w:pPr>
              <w:spacing w:after="0"/>
              <w:rPr>
                <w:sz w:val="16"/>
                <w:szCs w:val="16"/>
                <w:color w:val="auto"/>
              </w:rPr>
            </w:pPr>
          </w:p>
        </w:tc>
        <w:tc>
          <w:tcPr>
            <w:tcW w:w="340" w:type="dxa"/>
            <w:vAlign w:val="bottom"/>
            <w:tcBorders>
              <w:top w:val="single" w:sz="8" w:color="CCEEFF"/>
            </w:tcBorders>
            <w:shd w:val="clear" w:color="auto" w:fill="CCEEFF"/>
          </w:tcPr>
          <w:p>
            <w:pPr>
              <w:spacing w:after="0"/>
              <w:rPr>
                <w:sz w:val="16"/>
                <w:szCs w:val="16"/>
                <w:color w:val="auto"/>
              </w:rPr>
            </w:pPr>
          </w:p>
        </w:tc>
        <w:tc>
          <w:tcPr>
            <w:tcW w:w="280" w:type="dxa"/>
            <w:vAlign w:val="bottom"/>
            <w:tcBorders>
              <w:top w:val="single" w:sz="8" w:color="CCEEFF"/>
            </w:tcBorders>
            <w:shd w:val="clear" w:color="auto" w:fill="CCEEFF"/>
          </w:tcPr>
          <w:p>
            <w:pPr>
              <w:spacing w:after="0"/>
              <w:rPr>
                <w:sz w:val="16"/>
                <w:szCs w:val="16"/>
                <w:color w:val="auto"/>
              </w:rPr>
            </w:pPr>
          </w:p>
        </w:tc>
        <w:tc>
          <w:tcPr>
            <w:tcW w:w="120" w:type="dxa"/>
            <w:vAlign w:val="bottom"/>
            <w:tcBorders>
              <w:top w:val="single" w:sz="8" w:color="auto"/>
            </w:tcBorders>
            <w:shd w:val="clear" w:color="auto" w:fill="CCEEFF"/>
          </w:tcPr>
          <w:p>
            <w:pPr>
              <w:spacing w:after="0"/>
              <w:rPr>
                <w:sz w:val="16"/>
                <w:szCs w:val="16"/>
                <w:color w:val="auto"/>
              </w:rPr>
            </w:pPr>
          </w:p>
        </w:tc>
        <w:tc>
          <w:tcPr>
            <w:tcW w:w="58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3340" w:type="dxa"/>
            <w:vAlign w:val="bottom"/>
            <w:gridSpan w:val="2"/>
          </w:tcPr>
          <w:p>
            <w:pPr>
              <w:ind w:left="440"/>
              <w:spacing w:after="0"/>
              <w:rPr>
                <w:sz w:val="20"/>
                <w:szCs w:val="20"/>
                <w:color w:val="auto"/>
              </w:rPr>
            </w:pPr>
            <w:r>
              <w:rPr>
                <w:rFonts w:ascii="Arial" w:cs="Arial" w:eastAsia="Arial" w:hAnsi="Arial"/>
                <w:sz w:val="18"/>
                <w:szCs w:val="18"/>
                <w:color w:val="auto"/>
              </w:rPr>
              <w:t>Available-for-sale securities:</w:t>
            </w: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Marketable securities</w:t>
            </w:r>
          </w:p>
        </w:tc>
        <w:tc>
          <w:tcPr>
            <w:tcW w:w="34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332</w:t>
            </w:r>
          </w:p>
        </w:tc>
        <w:tc>
          <w:tcPr>
            <w:tcW w:w="340" w:type="dxa"/>
            <w:vAlign w:val="bottom"/>
            <w:shd w:val="clear" w:color="auto" w:fill="CCEEFF"/>
          </w:tcPr>
          <w:p>
            <w:pPr>
              <w:spacing w:after="0"/>
              <w:rPr>
                <w:sz w:val="18"/>
                <w:szCs w:val="18"/>
                <w:color w:val="auto"/>
              </w:rPr>
            </w:pPr>
          </w:p>
        </w:tc>
        <w:tc>
          <w:tcPr>
            <w:tcW w:w="40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tcPr>
          <w:p>
            <w:pPr>
              <w:spacing w:after="0"/>
              <w:rPr>
                <w:sz w:val="20"/>
                <w:szCs w:val="20"/>
                <w:color w:val="auto"/>
              </w:rPr>
            </w:pPr>
            <w:r>
              <w:rPr>
                <w:rFonts w:ascii="Arial" w:cs="Arial" w:eastAsia="Arial" w:hAnsi="Arial"/>
                <w:sz w:val="18"/>
                <w:szCs w:val="18"/>
                <w:color w:val="auto"/>
              </w:rPr>
              <w:t>Cash flow hedges:</w:t>
            </w: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Research and development</w:t>
            </w:r>
          </w:p>
        </w:tc>
        <w:tc>
          <w:tcPr>
            <w:tcW w:w="3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(864)</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tcPr>
          <w:p>
            <w:pPr>
              <w:ind w:left="440"/>
              <w:spacing w:after="0"/>
              <w:rPr>
                <w:sz w:val="20"/>
                <w:szCs w:val="20"/>
                <w:color w:val="auto"/>
              </w:rPr>
            </w:pPr>
            <w:r>
              <w:rPr>
                <w:rFonts w:ascii="Arial" w:cs="Arial" w:eastAsia="Arial" w:hAnsi="Arial"/>
                <w:sz w:val="18"/>
                <w:szCs w:val="18"/>
                <w:color w:val="auto"/>
              </w:rPr>
              <w:t>Selling and marketing</w:t>
            </w:r>
          </w:p>
        </w:tc>
        <w:tc>
          <w:tcPr>
            <w:tcW w:w="33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(67)</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340" w:type="dxa"/>
            <w:vAlign w:val="bottom"/>
            <w:gridSpan w:val="2"/>
            <w:shd w:val="clear" w:color="auto" w:fill="CCEEFF"/>
          </w:tcPr>
          <w:p>
            <w:pPr>
              <w:ind w:left="440"/>
              <w:spacing w:after="0"/>
              <w:rPr>
                <w:sz w:val="20"/>
                <w:szCs w:val="20"/>
                <w:color w:val="auto"/>
              </w:rPr>
            </w:pPr>
            <w:r>
              <w:rPr>
                <w:rFonts w:ascii="Arial" w:cs="Arial" w:eastAsia="Arial" w:hAnsi="Arial"/>
                <w:sz w:val="18"/>
                <w:szCs w:val="18"/>
                <w:color w:val="auto"/>
              </w:rPr>
              <w:t>General and administrative</w:t>
            </w:r>
          </w:p>
        </w:tc>
        <w:tc>
          <w:tcPr>
            <w:tcW w:w="3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(13)</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3340" w:type="dxa"/>
            <w:vAlign w:val="bottom"/>
            <w:gridSpan w:val="2"/>
            <w:vMerge w:val="restart"/>
          </w:tcPr>
          <w:p>
            <w:pPr>
              <w:spacing w:after="0"/>
              <w:rPr>
                <w:sz w:val="20"/>
                <w:szCs w:val="20"/>
                <w:color w:val="auto"/>
              </w:rPr>
            </w:pPr>
            <w:r>
              <w:rPr>
                <w:rFonts w:ascii="Arial" w:cs="Arial" w:eastAsia="Arial" w:hAnsi="Arial"/>
                <w:sz w:val="18"/>
                <w:szCs w:val="18"/>
                <w:color w:val="auto"/>
              </w:rPr>
              <w:t>Total</w:t>
            </w:r>
          </w:p>
        </w:tc>
        <w:tc>
          <w:tcPr>
            <w:tcW w:w="336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4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1"/>
        </w:trPr>
        <w:tc>
          <w:tcPr>
            <w:tcW w:w="3340" w:type="dxa"/>
            <w:vAlign w:val="bottom"/>
            <w:gridSpan w:val="2"/>
            <w:vMerge w:val="continue"/>
          </w:tcPr>
          <w:p>
            <w:pPr>
              <w:spacing w:after="0"/>
              <w:rPr>
                <w:sz w:val="19"/>
                <w:szCs w:val="19"/>
                <w:color w:val="auto"/>
              </w:rPr>
            </w:pPr>
          </w:p>
        </w:tc>
        <w:tc>
          <w:tcPr>
            <w:tcW w:w="34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0" w:type="dxa"/>
            <w:vAlign w:val="bottom"/>
            <w:gridSpan w:val="2"/>
          </w:tcPr>
          <w:p>
            <w:pPr>
              <w:jc w:val="right"/>
              <w:ind w:right="300"/>
              <w:spacing w:after="0"/>
              <w:rPr>
                <w:sz w:val="20"/>
                <w:szCs w:val="20"/>
                <w:color w:val="auto"/>
              </w:rPr>
            </w:pPr>
            <w:r>
              <w:rPr>
                <w:rFonts w:ascii="Arial" w:cs="Arial" w:eastAsia="Arial" w:hAnsi="Arial"/>
                <w:sz w:val="18"/>
                <w:szCs w:val="18"/>
                <w:color w:val="auto"/>
              </w:rPr>
              <w:t>(612)</w:t>
            </w:r>
          </w:p>
        </w:tc>
        <w:tc>
          <w:tcPr>
            <w:tcW w:w="40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1,205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540" w:type="dxa"/>
            <w:vAlign w:val="bottom"/>
          </w:tcPr>
          <w:p>
            <w:pPr>
              <w:spacing w:after="0" w:line="20" w:lineRule="exact"/>
              <w:rPr>
                <w:sz w:val="1"/>
                <w:szCs w:val="1"/>
                <w:color w:val="auto"/>
              </w:rPr>
            </w:pPr>
          </w:p>
        </w:tc>
        <w:tc>
          <w:tcPr>
            <w:tcW w:w="1800" w:type="dxa"/>
            <w:vAlign w:val="bottom"/>
          </w:tcPr>
          <w:p>
            <w:pPr>
              <w:spacing w:after="0" w:line="20" w:lineRule="exact"/>
              <w:rPr>
                <w:sz w:val="1"/>
                <w:szCs w:val="1"/>
                <w:color w:val="auto"/>
              </w:rPr>
            </w:pPr>
          </w:p>
        </w:tc>
        <w:tc>
          <w:tcPr>
            <w:tcW w:w="3360" w:type="dxa"/>
            <w:vAlign w:val="bottom"/>
            <w:vMerge w:val="restart"/>
          </w:tcPr>
          <w:p>
            <w:pPr>
              <w:jc w:val="right"/>
              <w:ind w:right="2192"/>
              <w:spacing w:after="0"/>
              <w:rPr>
                <w:sz w:val="20"/>
                <w:szCs w:val="20"/>
                <w:color w:val="auto"/>
              </w:rPr>
            </w:pPr>
            <w:r>
              <w:rPr>
                <w:rFonts w:ascii="Arial" w:cs="Arial" w:eastAsia="Arial" w:hAnsi="Arial"/>
                <w:sz w:val="18"/>
                <w:szCs w:val="18"/>
                <w:color w:val="auto"/>
              </w:rPr>
              <w:t>12</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154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33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9" w:right="699" w:bottom="1440"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Consolidated Statement of Operations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640" w:type="dxa"/>
            <w:vAlign w:val="bottom"/>
          </w:tcPr>
          <w:p>
            <w:pPr>
              <w:spacing w:after="0"/>
              <w:rPr>
                <w:sz w:val="14"/>
                <w:szCs w:val="14"/>
                <w:color w:val="auto"/>
              </w:rPr>
            </w:pPr>
          </w:p>
        </w:tc>
        <w:tc>
          <w:tcPr>
            <w:tcW w:w="2340" w:type="dxa"/>
            <w:vAlign w:val="bottom"/>
          </w:tcPr>
          <w:p>
            <w:pPr>
              <w:spacing w:after="0"/>
              <w:rPr>
                <w:sz w:val="14"/>
                <w:szCs w:val="14"/>
                <w:color w:val="auto"/>
              </w:rPr>
            </w:pPr>
          </w:p>
        </w:tc>
        <w:tc>
          <w:tcPr>
            <w:tcW w:w="1700" w:type="dxa"/>
            <w:vAlign w:val="bottom"/>
            <w:gridSpan w:val="5"/>
          </w:tcPr>
          <w:p>
            <w:pPr>
              <w:jc w:val="right"/>
              <w:ind w:right="300"/>
              <w:spacing w:after="0"/>
              <w:rPr>
                <w:sz w:val="20"/>
                <w:szCs w:val="20"/>
                <w:color w:val="auto"/>
              </w:rPr>
            </w:pPr>
            <w:r>
              <w:rPr>
                <w:rFonts w:ascii="Arial" w:cs="Arial" w:eastAsia="Arial" w:hAnsi="Arial"/>
                <w:sz w:val="14"/>
                <w:szCs w:val="14"/>
                <w:b w:val="1"/>
                <w:bCs w:val="1"/>
                <w:color w:val="auto"/>
                <w:w w:val="99"/>
              </w:rPr>
              <w:t>Three Months Ended</w:t>
            </w:r>
          </w:p>
        </w:tc>
      </w:tr>
      <w:tr>
        <w:trPr>
          <w:trHeight w:val="129"/>
        </w:trPr>
        <w:tc>
          <w:tcPr>
            <w:tcW w:w="4640" w:type="dxa"/>
            <w:vAlign w:val="bottom"/>
          </w:tcPr>
          <w:p>
            <w:pPr>
              <w:spacing w:after="0"/>
              <w:rPr>
                <w:sz w:val="11"/>
                <w:szCs w:val="11"/>
                <w:color w:val="auto"/>
              </w:rPr>
            </w:pPr>
          </w:p>
        </w:tc>
        <w:tc>
          <w:tcPr>
            <w:tcW w:w="2340" w:type="dxa"/>
            <w:vAlign w:val="bottom"/>
          </w:tcPr>
          <w:p>
            <w:pPr>
              <w:spacing w:after="0"/>
              <w:rPr>
                <w:sz w:val="11"/>
                <w:szCs w:val="11"/>
                <w:color w:val="auto"/>
              </w:rPr>
            </w:pPr>
          </w:p>
        </w:tc>
        <w:tc>
          <w:tcPr>
            <w:tcW w:w="800" w:type="dxa"/>
            <w:vAlign w:val="bottom"/>
            <w:tcBorders>
              <w:top w:val="single" w:sz="8" w:color="auto"/>
            </w:tcBorders>
            <w:gridSpan w:val="2"/>
          </w:tcPr>
          <w:p>
            <w:pPr>
              <w:jc w:val="right"/>
              <w:ind w:right="360"/>
              <w:spacing w:after="0" w:line="129" w:lineRule="exact"/>
              <w:rPr>
                <w:sz w:val="20"/>
                <w:szCs w:val="20"/>
                <w:color w:val="auto"/>
              </w:rPr>
            </w:pPr>
            <w:r>
              <w:rPr>
                <w:rFonts w:ascii="Arial" w:cs="Arial" w:eastAsia="Arial" w:hAnsi="Arial"/>
                <w:sz w:val="14"/>
                <w:szCs w:val="14"/>
                <w:b w:val="1"/>
                <w:bCs w:val="1"/>
                <w:color w:val="auto"/>
                <w:w w:val="98"/>
              </w:rPr>
              <w:t>May 2,</w:t>
            </w:r>
          </w:p>
        </w:tc>
        <w:tc>
          <w:tcPr>
            <w:tcW w:w="24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right"/>
              <w:ind w:right="12"/>
              <w:spacing w:after="0" w:line="129" w:lineRule="exact"/>
              <w:rPr>
                <w:sz w:val="20"/>
                <w:szCs w:val="20"/>
                <w:color w:val="auto"/>
              </w:rPr>
            </w:pPr>
            <w:r>
              <w:rPr>
                <w:rFonts w:ascii="Arial" w:cs="Arial" w:eastAsia="Arial" w:hAnsi="Arial"/>
                <w:sz w:val="14"/>
                <w:szCs w:val="14"/>
                <w:b w:val="1"/>
                <w:bCs w:val="1"/>
                <w:color w:val="auto"/>
              </w:rPr>
              <w:t>May 3,</w:t>
            </w:r>
          </w:p>
        </w:tc>
        <w:tc>
          <w:tcPr>
            <w:tcW w:w="120" w:type="dxa"/>
            <w:vAlign w:val="bottom"/>
          </w:tcPr>
          <w:p>
            <w:pPr>
              <w:spacing w:after="0"/>
              <w:rPr>
                <w:sz w:val="11"/>
                <w:szCs w:val="11"/>
                <w:color w:val="auto"/>
              </w:rPr>
            </w:pPr>
          </w:p>
        </w:tc>
      </w:tr>
      <w:tr>
        <w:trPr>
          <w:trHeight w:val="161"/>
        </w:trPr>
        <w:tc>
          <w:tcPr>
            <w:tcW w:w="4640" w:type="dxa"/>
            <w:vAlign w:val="bottom"/>
          </w:tcPr>
          <w:p>
            <w:pPr>
              <w:spacing w:after="0"/>
              <w:rPr>
                <w:sz w:val="14"/>
                <w:szCs w:val="14"/>
                <w:color w:val="auto"/>
              </w:rPr>
            </w:pPr>
          </w:p>
        </w:tc>
        <w:tc>
          <w:tcPr>
            <w:tcW w:w="2840" w:type="dxa"/>
            <w:vAlign w:val="bottom"/>
            <w:gridSpan w:val="2"/>
          </w:tcPr>
          <w:p>
            <w:pPr>
              <w:jc w:val="right"/>
              <w:ind w:right="42"/>
              <w:spacing w:after="0"/>
              <w:rPr>
                <w:sz w:val="20"/>
                <w:szCs w:val="20"/>
                <w:color w:val="auto"/>
              </w:rPr>
            </w:pPr>
            <w:r>
              <w:rPr>
                <w:rFonts w:ascii="Arial" w:cs="Arial" w:eastAsia="Arial" w:hAnsi="Arial"/>
                <w:sz w:val="14"/>
                <w:szCs w:val="14"/>
                <w:b w:val="1"/>
                <w:bCs w:val="1"/>
                <w:color w:val="auto"/>
              </w:rPr>
              <w:t>2015</w:t>
            </w:r>
          </w:p>
        </w:tc>
        <w:tc>
          <w:tcPr>
            <w:tcW w:w="300" w:type="dxa"/>
            <w:vAlign w:val="bottom"/>
          </w:tcPr>
          <w:p>
            <w:pPr>
              <w:spacing w:after="0"/>
              <w:rPr>
                <w:sz w:val="14"/>
                <w:szCs w:val="14"/>
                <w:color w:val="auto"/>
              </w:rPr>
            </w:pPr>
          </w:p>
        </w:tc>
        <w:tc>
          <w:tcPr>
            <w:tcW w:w="780" w:type="dxa"/>
            <w:vAlign w:val="bottom"/>
            <w:gridSpan w:val="2"/>
          </w:tcPr>
          <w:p>
            <w:pPr>
              <w:jc w:val="right"/>
              <w:ind w:right="72"/>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r>
      <w:tr>
        <w:trPr>
          <w:trHeight w:val="196"/>
        </w:trPr>
        <w:tc>
          <w:tcPr>
            <w:tcW w:w="464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Interest and other income, net:</w:t>
            </w:r>
          </w:p>
        </w:tc>
        <w:tc>
          <w:tcPr>
            <w:tcW w:w="234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Interest income</w:t>
            </w:r>
          </w:p>
        </w:tc>
        <w:tc>
          <w:tcPr>
            <w:tcW w:w="2840" w:type="dxa"/>
            <w:vAlign w:val="bottom"/>
            <w:gridSpan w:val="2"/>
          </w:tcPr>
          <w:p>
            <w:pPr>
              <w:jc w:val="right"/>
              <w:spacing w:after="0"/>
              <w:rPr>
                <w:sz w:val="20"/>
                <w:szCs w:val="20"/>
                <w:color w:val="auto"/>
              </w:rPr>
            </w:pPr>
            <w:r>
              <w:rPr>
                <w:rFonts w:ascii="Arial" w:cs="Arial" w:eastAsia="Arial" w:hAnsi="Arial"/>
                <w:sz w:val="18"/>
                <w:szCs w:val="18"/>
                <w:color w:val="auto"/>
              </w:rPr>
              <w:t>$4,077</w:t>
            </w:r>
          </w:p>
        </w:tc>
        <w:tc>
          <w:tcPr>
            <w:tcW w:w="300" w:type="dxa"/>
            <w:vAlign w:val="bottom"/>
          </w:tcPr>
          <w:p>
            <w:pPr>
              <w:spacing w:after="0"/>
              <w:rPr>
                <w:sz w:val="18"/>
                <w:szCs w:val="18"/>
                <w:color w:val="auto"/>
              </w:rPr>
            </w:pPr>
          </w:p>
        </w:tc>
        <w:tc>
          <w:tcPr>
            <w:tcW w:w="780" w:type="dxa"/>
            <w:vAlign w:val="bottom"/>
            <w:gridSpan w:val="2"/>
          </w:tcPr>
          <w:p>
            <w:pPr>
              <w:jc w:val="right"/>
              <w:spacing w:after="0"/>
              <w:rPr>
                <w:sz w:val="20"/>
                <w:szCs w:val="20"/>
                <w:color w:val="auto"/>
              </w:rPr>
            </w:pPr>
            <w:r>
              <w:rPr>
                <w:rFonts w:ascii="Arial" w:cs="Arial" w:eastAsia="Arial" w:hAnsi="Arial"/>
                <w:sz w:val="18"/>
                <w:szCs w:val="18"/>
                <w:color w:val="auto"/>
              </w:rPr>
              <w:t>$ 2,609</w:t>
            </w:r>
          </w:p>
        </w:tc>
        <w:tc>
          <w:tcPr>
            <w:tcW w:w="120" w:type="dxa"/>
            <w:vAlign w:val="bottom"/>
          </w:tcPr>
          <w:p>
            <w:pPr>
              <w:spacing w:after="0"/>
              <w:rPr>
                <w:sz w:val="18"/>
                <w:szCs w:val="18"/>
                <w:color w:val="auto"/>
              </w:rPr>
            </w:pP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Realized gain on investments</w:t>
            </w:r>
          </w:p>
        </w:tc>
        <w:tc>
          <w:tcPr>
            <w:tcW w:w="2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336</w:t>
            </w:r>
          </w:p>
        </w:tc>
        <w:tc>
          <w:tcPr>
            <w:tcW w:w="3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447</w:t>
            </w:r>
          </w:p>
        </w:tc>
        <w:tc>
          <w:tcPr>
            <w:tcW w:w="120" w:type="dxa"/>
            <w:vAlign w:val="bottom"/>
            <w:shd w:val="clear" w:color="auto" w:fill="CCEEFF"/>
          </w:tcPr>
          <w:p>
            <w:pPr>
              <w:spacing w:after="0"/>
              <w:rPr>
                <w:sz w:val="18"/>
                <w:szCs w:val="18"/>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Currency translation gain (loss)</w:t>
            </w:r>
          </w:p>
        </w:tc>
        <w:tc>
          <w:tcPr>
            <w:tcW w:w="2840" w:type="dxa"/>
            <w:vAlign w:val="bottom"/>
            <w:gridSpan w:val="2"/>
          </w:tcPr>
          <w:p>
            <w:pPr>
              <w:jc w:val="right"/>
              <w:spacing w:after="0"/>
              <w:rPr>
                <w:sz w:val="20"/>
                <w:szCs w:val="20"/>
                <w:color w:val="auto"/>
              </w:rPr>
            </w:pPr>
            <w:r>
              <w:rPr>
                <w:rFonts w:ascii="Arial" w:cs="Arial" w:eastAsia="Arial" w:hAnsi="Arial"/>
                <w:sz w:val="18"/>
                <w:szCs w:val="18"/>
                <w:color w:val="auto"/>
              </w:rPr>
              <w:t>407</w:t>
            </w:r>
          </w:p>
        </w:tc>
        <w:tc>
          <w:tcPr>
            <w:tcW w:w="300" w:type="dxa"/>
            <w:vAlign w:val="bottom"/>
          </w:tcPr>
          <w:p>
            <w:pPr>
              <w:spacing w:after="0"/>
              <w:rPr>
                <w:sz w:val="18"/>
                <w:szCs w:val="18"/>
                <w:color w:val="auto"/>
              </w:rPr>
            </w:pP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(1,025)</w:t>
            </w:r>
          </w:p>
        </w:tc>
      </w:tr>
      <w:tr>
        <w:trPr>
          <w:trHeight w:val="216"/>
        </w:trPr>
        <w:tc>
          <w:tcPr>
            <w:tcW w:w="4640" w:type="dxa"/>
            <w:vAlign w:val="bottom"/>
            <w:shd w:val="clear" w:color="auto" w:fill="CCEEFF"/>
          </w:tcPr>
          <w:p>
            <w:pPr>
              <w:spacing w:after="0"/>
              <w:rPr>
                <w:sz w:val="20"/>
                <w:szCs w:val="20"/>
                <w:color w:val="auto"/>
              </w:rPr>
            </w:pPr>
            <w:r>
              <w:rPr>
                <w:rFonts w:ascii="Arial" w:cs="Arial" w:eastAsia="Arial" w:hAnsi="Arial"/>
                <w:sz w:val="18"/>
                <w:szCs w:val="18"/>
                <w:color w:val="auto"/>
              </w:rPr>
              <w:t>Other income</w:t>
            </w:r>
          </w:p>
        </w:tc>
        <w:tc>
          <w:tcPr>
            <w:tcW w:w="28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567</w:t>
            </w:r>
          </w:p>
        </w:tc>
        <w:tc>
          <w:tcPr>
            <w:tcW w:w="3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219</w:t>
            </w:r>
          </w:p>
        </w:tc>
        <w:tc>
          <w:tcPr>
            <w:tcW w:w="120" w:type="dxa"/>
            <w:vAlign w:val="bottom"/>
            <w:shd w:val="clear" w:color="auto" w:fill="CCEEFF"/>
          </w:tcPr>
          <w:p>
            <w:pPr>
              <w:spacing w:after="0"/>
              <w:rPr>
                <w:sz w:val="18"/>
                <w:szCs w:val="18"/>
                <w:color w:val="auto"/>
              </w:rPr>
            </w:pPr>
          </w:p>
        </w:tc>
      </w:tr>
      <w:tr>
        <w:trPr>
          <w:trHeight w:val="216"/>
        </w:trPr>
        <w:tc>
          <w:tcPr>
            <w:tcW w:w="4640" w:type="dxa"/>
            <w:vAlign w:val="bottom"/>
          </w:tcPr>
          <w:p>
            <w:pPr>
              <w:spacing w:after="0"/>
              <w:rPr>
                <w:sz w:val="20"/>
                <w:szCs w:val="20"/>
                <w:color w:val="auto"/>
              </w:rPr>
            </w:pPr>
            <w:r>
              <w:rPr>
                <w:rFonts w:ascii="Arial" w:cs="Arial" w:eastAsia="Arial" w:hAnsi="Arial"/>
                <w:sz w:val="18"/>
                <w:szCs w:val="18"/>
                <w:color w:val="auto"/>
              </w:rPr>
              <w:t>Interest expense</w:t>
            </w:r>
          </w:p>
        </w:tc>
        <w:tc>
          <w:tcPr>
            <w:tcW w:w="2340" w:type="dxa"/>
            <w:vAlign w:val="bottom"/>
          </w:tcPr>
          <w:p>
            <w:pPr>
              <w:spacing w:after="0"/>
              <w:rPr>
                <w:sz w:val="18"/>
                <w:szCs w:val="18"/>
                <w:color w:val="auto"/>
              </w:rPr>
            </w:pPr>
          </w:p>
        </w:tc>
        <w:tc>
          <w:tcPr>
            <w:tcW w:w="800" w:type="dxa"/>
            <w:vAlign w:val="bottom"/>
            <w:gridSpan w:val="2"/>
          </w:tcPr>
          <w:p>
            <w:pPr>
              <w:jc w:val="right"/>
              <w:ind w:right="240"/>
              <w:spacing w:after="0"/>
              <w:rPr>
                <w:sz w:val="20"/>
                <w:szCs w:val="20"/>
                <w:color w:val="auto"/>
              </w:rPr>
            </w:pPr>
            <w:r>
              <w:rPr>
                <w:rFonts w:ascii="Arial" w:cs="Arial" w:eastAsia="Arial" w:hAnsi="Arial"/>
                <w:sz w:val="18"/>
                <w:szCs w:val="18"/>
                <w:color w:val="auto"/>
              </w:rPr>
              <w:t>(220)</w:t>
            </w:r>
          </w:p>
        </w:tc>
        <w:tc>
          <w:tcPr>
            <w:tcW w:w="900" w:type="dxa"/>
            <w:vAlign w:val="bottom"/>
            <w:gridSpan w:val="3"/>
          </w:tcPr>
          <w:p>
            <w:pPr>
              <w:jc w:val="right"/>
              <w:ind w:right="60"/>
              <w:spacing w:after="0"/>
              <w:rPr>
                <w:sz w:val="20"/>
                <w:szCs w:val="20"/>
                <w:color w:val="auto"/>
              </w:rPr>
            </w:pPr>
            <w:r>
              <w:rPr>
                <w:rFonts w:ascii="Arial" w:cs="Arial" w:eastAsia="Arial" w:hAnsi="Arial"/>
                <w:sz w:val="18"/>
                <w:szCs w:val="18"/>
                <w:color w:val="auto"/>
              </w:rPr>
              <w:t>(325)</w:t>
            </w:r>
          </w:p>
        </w:tc>
      </w:tr>
      <w:tr>
        <w:trPr>
          <w:trHeight w:val="27"/>
        </w:trPr>
        <w:tc>
          <w:tcPr>
            <w:tcW w:w="4640" w:type="dxa"/>
            <w:vAlign w:val="bottom"/>
          </w:tcPr>
          <w:p>
            <w:pPr>
              <w:spacing w:after="0"/>
              <w:rPr>
                <w:sz w:val="2"/>
                <w:szCs w:val="2"/>
                <w:color w:val="auto"/>
              </w:rPr>
            </w:pPr>
          </w:p>
        </w:tc>
        <w:tc>
          <w:tcPr>
            <w:tcW w:w="234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240" w:type="dxa"/>
            <w:vAlign w:val="bottom"/>
          </w:tcPr>
          <w:p>
            <w:pPr>
              <w:spacing w:after="0"/>
              <w:rPr>
                <w:sz w:val="2"/>
                <w:szCs w:val="2"/>
                <w:color w:val="auto"/>
              </w:rPr>
            </w:pPr>
          </w:p>
        </w:tc>
        <w:tc>
          <w:tcPr>
            <w:tcW w:w="5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r>
      <w:tr>
        <w:trPr>
          <w:trHeight w:val="216"/>
        </w:trPr>
        <w:tc>
          <w:tcPr>
            <w:tcW w:w="4640" w:type="dxa"/>
            <w:vAlign w:val="bottom"/>
            <w:shd w:val="clear" w:color="auto" w:fill="CCEEFF"/>
          </w:tcPr>
          <w:p>
            <w:pPr>
              <w:spacing w:after="0"/>
              <w:rPr>
                <w:sz w:val="18"/>
                <w:szCs w:val="18"/>
                <w:color w:val="auto"/>
              </w:rPr>
            </w:pPr>
          </w:p>
        </w:tc>
        <w:tc>
          <w:tcPr>
            <w:tcW w:w="234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7"/>
              </w:rPr>
              <w:t>$</w:t>
            </w:r>
            <w:r>
              <w:rPr>
                <w:rFonts w:ascii="Arial" w:cs="Arial" w:eastAsia="Arial" w:hAnsi="Arial"/>
                <w:sz w:val="18"/>
                <w:szCs w:val="18"/>
                <w:color w:val="auto"/>
                <w:w w:val="87"/>
              </w:rPr>
              <w:t>5,167</w:t>
            </w:r>
          </w:p>
        </w:tc>
        <w:tc>
          <w:tcPr>
            <w:tcW w:w="3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$ 1,925</w:t>
            </w:r>
          </w:p>
        </w:tc>
        <w:tc>
          <w:tcPr>
            <w:tcW w:w="120" w:type="dxa"/>
            <w:vAlign w:val="bottom"/>
            <w:shd w:val="clear" w:color="auto" w:fill="CCEEFF"/>
          </w:tcPr>
          <w:p>
            <w:pPr>
              <w:spacing w:after="0"/>
              <w:rPr>
                <w:sz w:val="18"/>
                <w:szCs w:val="18"/>
                <w:color w:val="auto"/>
              </w:rPr>
            </w:pPr>
          </w:p>
        </w:tc>
      </w:tr>
      <w:tr>
        <w:trPr>
          <w:trHeight w:val="20"/>
        </w:trPr>
        <w:tc>
          <w:tcPr>
            <w:tcW w:w="46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bl>
    <w:p>
      <w:pPr>
        <w:spacing w:after="0" w:line="248"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income per share</w:t>
      </w:r>
    </w:p>
    <w:p>
      <w:pPr>
        <w:spacing w:after="0" w:line="90" w:lineRule="exact"/>
        <w:rPr>
          <w:sz w:val="20"/>
          <w:szCs w:val="20"/>
          <w:color w:val="auto"/>
        </w:rPr>
      </w:pPr>
    </w:p>
    <w:p>
      <w:pPr>
        <w:ind w:right="160" w:firstLine="456"/>
        <w:spacing w:after="0" w:line="306" w:lineRule="auto"/>
        <w:rPr>
          <w:sz w:val="20"/>
          <w:szCs w:val="20"/>
          <w:color w:val="auto"/>
        </w:rPr>
      </w:pPr>
      <w:r>
        <w:rPr>
          <w:rFonts w:ascii="Arial" w:cs="Arial" w:eastAsia="Arial" w:hAnsi="Arial"/>
          <w:sz w:val="16"/>
          <w:szCs w:val="16"/>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920" w:type="dxa"/>
            <w:vAlign w:val="bottom"/>
          </w:tcPr>
          <w:p>
            <w:pPr>
              <w:spacing w:after="0"/>
              <w:rPr>
                <w:sz w:val="14"/>
                <w:szCs w:val="14"/>
                <w:color w:val="auto"/>
              </w:rPr>
            </w:pPr>
          </w:p>
        </w:tc>
        <w:tc>
          <w:tcPr>
            <w:tcW w:w="5380" w:type="dxa"/>
            <w:vAlign w:val="bottom"/>
          </w:tcPr>
          <w:p>
            <w:pPr>
              <w:spacing w:after="0"/>
              <w:rPr>
                <w:sz w:val="14"/>
                <w:szCs w:val="14"/>
                <w:color w:val="auto"/>
              </w:rPr>
            </w:pPr>
          </w:p>
        </w:tc>
        <w:tc>
          <w:tcPr>
            <w:tcW w:w="14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700" w:type="dxa"/>
            <w:vAlign w:val="bottom"/>
            <w:gridSpan w:val="7"/>
          </w:tcPr>
          <w:p>
            <w:pPr>
              <w:ind w:left="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3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3"/>
          </w:tcPr>
          <w:p>
            <w:pPr>
              <w:spacing w:after="0" w:line="129" w:lineRule="exact"/>
              <w:rPr>
                <w:sz w:val="20"/>
                <w:szCs w:val="20"/>
                <w:color w:val="auto"/>
              </w:rPr>
            </w:pPr>
            <w:r>
              <w:rPr>
                <w:rFonts w:ascii="Arial" w:cs="Arial" w:eastAsia="Arial" w:hAnsi="Arial"/>
                <w:sz w:val="14"/>
                <w:szCs w:val="14"/>
                <w:b w:val="1"/>
                <w:bCs w:val="1"/>
                <w:color w:val="auto"/>
              </w:rPr>
              <w:t>May 2,</w:t>
            </w: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ind w:right="57"/>
              <w:spacing w:after="0" w:line="129" w:lineRule="exact"/>
              <w:rPr>
                <w:sz w:val="20"/>
                <w:szCs w:val="20"/>
                <w:color w:val="auto"/>
              </w:rPr>
            </w:pPr>
            <w:r>
              <w:rPr>
                <w:rFonts w:ascii="Arial" w:cs="Arial" w:eastAsia="Arial" w:hAnsi="Arial"/>
                <w:sz w:val="14"/>
                <w:szCs w:val="14"/>
                <w:b w:val="1"/>
                <w:bCs w:val="1"/>
                <w:color w:val="auto"/>
                <w:w w:val="98"/>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380" w:type="dxa"/>
            <w:vAlign w:val="bottom"/>
          </w:tcPr>
          <w:p>
            <w:pPr>
              <w:spacing w:after="0"/>
              <w:rPr>
                <w:sz w:val="14"/>
                <w:szCs w:val="14"/>
                <w:color w:val="auto"/>
              </w:rPr>
            </w:pPr>
          </w:p>
        </w:tc>
        <w:tc>
          <w:tcPr>
            <w:tcW w:w="2060" w:type="dxa"/>
            <w:vAlign w:val="bottom"/>
            <w:gridSpan w:val="4"/>
          </w:tcPr>
          <w:p>
            <w:pPr>
              <w:jc w:val="right"/>
              <w:ind w:right="119"/>
              <w:spacing w:after="0"/>
              <w:rPr>
                <w:sz w:val="20"/>
                <w:szCs w:val="20"/>
                <w:color w:val="auto"/>
              </w:rPr>
            </w:pPr>
            <w:r>
              <w:rPr>
                <w:rFonts w:ascii="Arial" w:cs="Arial" w:eastAsia="Arial" w:hAnsi="Arial"/>
                <w:sz w:val="14"/>
                <w:szCs w:val="14"/>
                <w:b w:val="1"/>
                <w:bCs w:val="1"/>
                <w:color w:val="auto"/>
              </w:rPr>
              <w:t>2015</w:t>
            </w:r>
          </w:p>
        </w:tc>
        <w:tc>
          <w:tcPr>
            <w:tcW w:w="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right"/>
              <w:ind w:right="117"/>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3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Numerator:</w:t>
            </w:r>
          </w:p>
        </w:tc>
        <w:tc>
          <w:tcPr>
            <w:tcW w:w="14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4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tcPr>
          <w:p>
            <w:pPr>
              <w:ind w:left="860"/>
              <w:spacing w:after="0"/>
              <w:rPr>
                <w:sz w:val="20"/>
                <w:szCs w:val="20"/>
                <w:color w:val="auto"/>
              </w:rPr>
            </w:pPr>
            <w:r>
              <w:rPr>
                <w:rFonts w:ascii="Arial" w:cs="Arial" w:eastAsia="Arial" w:hAnsi="Arial"/>
                <w:sz w:val="18"/>
                <w:szCs w:val="18"/>
                <w:color w:val="auto"/>
              </w:rPr>
              <w:t>Net income</w:t>
            </w:r>
          </w:p>
        </w:tc>
        <w:tc>
          <w:tcPr>
            <w:tcW w:w="2060" w:type="dxa"/>
            <w:vAlign w:val="bottom"/>
            <w:gridSpan w:val="4"/>
          </w:tcPr>
          <w:p>
            <w:pPr>
              <w:jc w:val="right"/>
              <w:spacing w:after="0"/>
              <w:rPr>
                <w:sz w:val="20"/>
                <w:szCs w:val="20"/>
                <w:color w:val="auto"/>
              </w:rPr>
            </w:pPr>
            <w:r>
              <w:rPr>
                <w:rFonts w:ascii="Arial" w:cs="Arial" w:eastAsia="Arial" w:hAnsi="Arial"/>
                <w:sz w:val="18"/>
                <w:szCs w:val="18"/>
                <w:color w:val="auto"/>
              </w:rPr>
              <w:t>$ 14,090</w:t>
            </w:r>
          </w:p>
        </w:tc>
        <w:tc>
          <w:tcPr>
            <w:tcW w:w="40" w:type="dxa"/>
            <w:vAlign w:val="bottom"/>
          </w:tcPr>
          <w:p>
            <w:pPr>
              <w:spacing w:after="0"/>
              <w:rPr>
                <w:sz w:val="18"/>
                <w:szCs w:val="18"/>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99,479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Denominator:</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tcPr>
          <w:p>
            <w:pPr>
              <w:ind w:left="440"/>
              <w:spacing w:after="0"/>
              <w:rPr>
                <w:sz w:val="20"/>
                <w:szCs w:val="20"/>
                <w:color w:val="auto"/>
              </w:rPr>
            </w:pPr>
            <w:r>
              <w:rPr>
                <w:rFonts w:ascii="Arial" w:cs="Arial" w:eastAsia="Arial" w:hAnsi="Arial"/>
                <w:sz w:val="18"/>
                <w:szCs w:val="18"/>
                <w:color w:val="auto"/>
              </w:rPr>
              <w:t>Weighted average shares — basic</w:t>
            </w:r>
          </w:p>
        </w:tc>
        <w:tc>
          <w:tcPr>
            <w:tcW w:w="2060" w:type="dxa"/>
            <w:vAlign w:val="bottom"/>
            <w:gridSpan w:val="4"/>
          </w:tcPr>
          <w:p>
            <w:pPr>
              <w:jc w:val="right"/>
              <w:spacing w:after="0"/>
              <w:rPr>
                <w:sz w:val="20"/>
                <w:szCs w:val="20"/>
                <w:color w:val="auto"/>
              </w:rPr>
            </w:pPr>
            <w:r>
              <w:rPr>
                <w:rFonts w:ascii="Arial" w:cs="Arial" w:eastAsia="Arial" w:hAnsi="Arial"/>
                <w:sz w:val="18"/>
                <w:szCs w:val="18"/>
                <w:color w:val="auto"/>
              </w:rPr>
              <w:t>516,228</w:t>
            </w:r>
          </w:p>
        </w:tc>
        <w:tc>
          <w:tcPr>
            <w:tcW w:w="40" w:type="dxa"/>
            <w:vAlign w:val="bottom"/>
          </w:tcPr>
          <w:p>
            <w:pPr>
              <w:spacing w:after="0"/>
              <w:rPr>
                <w:sz w:val="18"/>
                <w:szCs w:val="18"/>
                <w:color w:val="auto"/>
              </w:rPr>
            </w:pPr>
          </w:p>
        </w:tc>
        <w:tc>
          <w:tcPr>
            <w:tcW w:w="1100" w:type="dxa"/>
            <w:vAlign w:val="bottom"/>
            <w:gridSpan w:val="4"/>
          </w:tcPr>
          <w:p>
            <w:pPr>
              <w:jc w:val="right"/>
              <w:spacing w:after="0"/>
              <w:rPr>
                <w:sz w:val="20"/>
                <w:szCs w:val="20"/>
                <w:color w:val="auto"/>
              </w:rPr>
            </w:pPr>
            <w:r>
              <w:rPr>
                <w:rFonts w:ascii="Arial" w:cs="Arial" w:eastAsia="Arial" w:hAnsi="Arial"/>
                <w:sz w:val="18"/>
                <w:szCs w:val="18"/>
                <w:color w:val="auto"/>
              </w:rPr>
              <w:t>505,105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Effect of dilutive securities:</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920" w:type="dxa"/>
            <w:vAlign w:val="bottom"/>
          </w:tcPr>
          <w:p>
            <w:pPr>
              <w:spacing w:after="0"/>
              <w:rPr>
                <w:sz w:val="19"/>
                <w:szCs w:val="19"/>
                <w:color w:val="auto"/>
              </w:rPr>
            </w:pPr>
          </w:p>
        </w:tc>
        <w:tc>
          <w:tcPr>
            <w:tcW w:w="5380" w:type="dxa"/>
            <w:vAlign w:val="bottom"/>
          </w:tcPr>
          <w:p>
            <w:pPr>
              <w:ind w:left="440"/>
              <w:spacing w:after="0"/>
              <w:rPr>
                <w:sz w:val="20"/>
                <w:szCs w:val="20"/>
                <w:color w:val="auto"/>
              </w:rPr>
            </w:pPr>
            <w:r>
              <w:rPr>
                <w:rFonts w:ascii="Arial" w:cs="Arial" w:eastAsia="Arial" w:hAnsi="Arial"/>
                <w:sz w:val="18"/>
                <w:szCs w:val="18"/>
                <w:color w:val="auto"/>
              </w:rPr>
              <w:t>Share-based awards</w:t>
            </w:r>
          </w:p>
        </w:tc>
        <w:tc>
          <w:tcPr>
            <w:tcW w:w="1400" w:type="dxa"/>
            <w:vAlign w:val="bottom"/>
          </w:tcPr>
          <w:p>
            <w:pPr>
              <w:spacing w:after="0"/>
              <w:rPr>
                <w:sz w:val="19"/>
                <w:szCs w:val="19"/>
                <w:color w:val="auto"/>
              </w:rPr>
            </w:pPr>
          </w:p>
        </w:tc>
        <w:tc>
          <w:tcPr>
            <w:tcW w:w="6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10,939</w:t>
            </w:r>
          </w:p>
        </w:tc>
        <w:tc>
          <w:tcPr>
            <w:tcW w:w="4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15,646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Weighted average shares — diluted</w:t>
            </w:r>
          </w:p>
        </w:tc>
        <w:tc>
          <w:tcPr>
            <w:tcW w:w="206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527,167</w:t>
            </w:r>
          </w:p>
        </w:tc>
        <w:tc>
          <w:tcPr>
            <w:tcW w:w="40" w:type="dxa"/>
            <w:vAlign w:val="bottom"/>
            <w:shd w:val="clear" w:color="auto" w:fill="CCEEFF"/>
          </w:tcPr>
          <w:p>
            <w:pPr>
              <w:spacing w:after="0"/>
              <w:rPr>
                <w:sz w:val="18"/>
                <w:szCs w:val="18"/>
                <w:color w:val="auto"/>
              </w:rPr>
            </w:pPr>
          </w:p>
        </w:tc>
        <w:tc>
          <w:tcPr>
            <w:tcW w:w="1100" w:type="dxa"/>
            <w:vAlign w:val="bottom"/>
            <w:gridSpan w:val="4"/>
            <w:shd w:val="clear" w:color="auto" w:fill="CCEEFF"/>
          </w:tcPr>
          <w:p>
            <w:pPr>
              <w:jc w:val="right"/>
              <w:spacing w:after="0"/>
              <w:rPr>
                <w:sz w:val="20"/>
                <w:szCs w:val="20"/>
                <w:color w:val="auto"/>
              </w:rPr>
            </w:pPr>
            <w:r>
              <w:rPr>
                <w:rFonts w:ascii="Arial" w:cs="Arial" w:eastAsia="Arial" w:hAnsi="Arial"/>
                <w:sz w:val="18"/>
                <w:szCs w:val="18"/>
                <w:color w:val="auto"/>
              </w:rPr>
              <w:t>520,751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00" w:type="dxa"/>
            <w:vAlign w:val="bottom"/>
            <w:gridSpan w:val="2"/>
            <w:vMerge w:val="restart"/>
          </w:tcPr>
          <w:p>
            <w:pPr>
              <w:ind w:left="920"/>
              <w:spacing w:after="0"/>
              <w:rPr>
                <w:sz w:val="20"/>
                <w:szCs w:val="20"/>
                <w:color w:val="auto"/>
              </w:rPr>
            </w:pPr>
            <w:r>
              <w:rPr>
                <w:rFonts w:ascii="Arial" w:cs="Arial" w:eastAsia="Arial" w:hAnsi="Arial"/>
                <w:sz w:val="18"/>
                <w:szCs w:val="18"/>
                <w:color w:val="auto"/>
              </w:rPr>
              <w:t>Net income per share:</w:t>
            </w:r>
          </w:p>
        </w:tc>
        <w:tc>
          <w:tcPr>
            <w:tcW w:w="14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300" w:type="dxa"/>
            <w:vAlign w:val="bottom"/>
            <w:gridSpan w:val="2"/>
            <w:vMerge w:val="continue"/>
          </w:tcPr>
          <w:p>
            <w:pPr>
              <w:spacing w:after="0"/>
              <w:rPr>
                <w:sz w:val="18"/>
                <w:szCs w:val="18"/>
                <w:color w:val="auto"/>
              </w:rPr>
            </w:pP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920" w:type="dxa"/>
            <w:vAlign w:val="bottom"/>
          </w:tcPr>
          <w:p>
            <w:pPr>
              <w:spacing w:after="0"/>
              <w:rPr>
                <w:sz w:val="18"/>
                <w:szCs w:val="18"/>
                <w:color w:val="auto"/>
              </w:rPr>
            </w:pPr>
          </w:p>
        </w:tc>
        <w:tc>
          <w:tcPr>
            <w:tcW w:w="5380" w:type="dxa"/>
            <w:vAlign w:val="bottom"/>
            <w:shd w:val="clear" w:color="auto" w:fill="CCEEFF"/>
          </w:tcPr>
          <w:p>
            <w:pPr>
              <w:ind w:left="860"/>
              <w:spacing w:after="0"/>
              <w:rPr>
                <w:sz w:val="20"/>
                <w:szCs w:val="20"/>
                <w:color w:val="auto"/>
              </w:rPr>
            </w:pPr>
            <w:r>
              <w:rPr>
                <w:rFonts w:ascii="Arial" w:cs="Arial" w:eastAsia="Arial" w:hAnsi="Arial"/>
                <w:sz w:val="18"/>
                <w:szCs w:val="18"/>
                <w:color w:val="auto"/>
              </w:rPr>
              <w:t>Basic</w:t>
            </w: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0.03</w:t>
            </w:r>
          </w:p>
        </w:tc>
        <w:tc>
          <w:tcPr>
            <w:tcW w:w="40" w:type="dxa"/>
            <w:vAlign w:val="bottom"/>
            <w:shd w:val="clear" w:color="auto" w:fill="CCEEFF"/>
          </w:tcPr>
          <w:p>
            <w:pPr>
              <w:spacing w:after="0"/>
              <w:rPr>
                <w:sz w:val="18"/>
                <w:szCs w:val="18"/>
                <w:color w:val="auto"/>
              </w:rPr>
            </w:pPr>
          </w:p>
        </w:tc>
        <w:tc>
          <w:tcPr>
            <w:tcW w:w="5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5380" w:type="dxa"/>
            <w:vAlign w:val="bottom"/>
          </w:tcPr>
          <w:p>
            <w:pPr>
              <w:ind w:left="860"/>
              <w:spacing w:after="0"/>
              <w:rPr>
                <w:sz w:val="20"/>
                <w:szCs w:val="20"/>
                <w:color w:val="auto"/>
              </w:rPr>
            </w:pPr>
            <w:r>
              <w:rPr>
                <w:rFonts w:ascii="Arial" w:cs="Arial" w:eastAsia="Arial" w:hAnsi="Arial"/>
                <w:sz w:val="18"/>
                <w:szCs w:val="18"/>
                <w:color w:val="auto"/>
              </w:rPr>
              <w:t>Diluted</w:t>
            </w:r>
          </w:p>
        </w:tc>
        <w:tc>
          <w:tcPr>
            <w:tcW w:w="15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460" w:type="dxa"/>
            <w:vAlign w:val="bottom"/>
          </w:tcPr>
          <w:p>
            <w:pPr>
              <w:jc w:val="right"/>
              <w:spacing w:after="0"/>
              <w:rPr>
                <w:sz w:val="20"/>
                <w:szCs w:val="20"/>
                <w:color w:val="auto"/>
              </w:rPr>
            </w:pPr>
            <w:r>
              <w:rPr>
                <w:rFonts w:ascii="Arial" w:cs="Arial" w:eastAsia="Arial" w:hAnsi="Arial"/>
                <w:sz w:val="18"/>
                <w:szCs w:val="18"/>
                <w:color w:val="auto"/>
              </w:rPr>
              <w:t>0.03</w:t>
            </w:r>
          </w:p>
        </w:tc>
        <w:tc>
          <w:tcPr>
            <w:tcW w:w="40" w:type="dxa"/>
            <w:vAlign w:val="bottom"/>
          </w:tcPr>
          <w:p>
            <w:pPr>
              <w:spacing w:after="0"/>
              <w:rPr>
                <w:sz w:val="19"/>
                <w:szCs w:val="19"/>
                <w:color w:val="auto"/>
              </w:rPr>
            </w:pPr>
          </w:p>
        </w:tc>
        <w:tc>
          <w:tcPr>
            <w:tcW w:w="52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8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0.19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70"/>
        </w:trPr>
        <w:tc>
          <w:tcPr>
            <w:tcW w:w="6300" w:type="dxa"/>
            <w:vAlign w:val="bottom"/>
            <w:gridSpan w:val="2"/>
          </w:tcPr>
          <w:p>
            <w:pPr>
              <w:spacing w:after="0"/>
              <w:rPr>
                <w:sz w:val="20"/>
                <w:szCs w:val="20"/>
                <w:color w:val="auto"/>
              </w:rPr>
            </w:pPr>
            <w:r>
              <w:rPr>
                <w:rFonts w:ascii="Arial" w:cs="Arial" w:eastAsia="Arial" w:hAnsi="Arial"/>
                <w:sz w:val="18"/>
                <w:szCs w:val="18"/>
                <w:color w:val="auto"/>
              </w:rPr>
              <w:t>Anti-dilutive potential shares are presented in the following table:</w:t>
            </w: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920" w:type="dxa"/>
            <w:vAlign w:val="bottom"/>
          </w:tcPr>
          <w:p>
            <w:pPr>
              <w:spacing w:after="0"/>
              <w:rPr>
                <w:sz w:val="24"/>
                <w:szCs w:val="24"/>
                <w:color w:val="auto"/>
              </w:rPr>
            </w:pPr>
          </w:p>
        </w:tc>
        <w:tc>
          <w:tcPr>
            <w:tcW w:w="53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700" w:type="dxa"/>
            <w:vAlign w:val="bottom"/>
            <w:gridSpan w:val="7"/>
          </w:tcPr>
          <w:p>
            <w:pPr>
              <w:ind w:left="14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920" w:type="dxa"/>
            <w:vAlign w:val="bottom"/>
          </w:tcPr>
          <w:p>
            <w:pPr>
              <w:spacing w:after="0"/>
              <w:rPr>
                <w:sz w:val="11"/>
                <w:szCs w:val="11"/>
                <w:color w:val="auto"/>
              </w:rPr>
            </w:pPr>
          </w:p>
        </w:tc>
        <w:tc>
          <w:tcPr>
            <w:tcW w:w="538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w w:val="88"/>
              </w:rPr>
              <w:t>May 2,</w:t>
            </w:r>
          </w:p>
        </w:tc>
        <w:tc>
          <w:tcPr>
            <w:tcW w:w="42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920" w:type="dxa"/>
            <w:vAlign w:val="bottom"/>
          </w:tcPr>
          <w:p>
            <w:pPr>
              <w:spacing w:after="0"/>
              <w:rPr>
                <w:sz w:val="14"/>
                <w:szCs w:val="14"/>
                <w:color w:val="auto"/>
              </w:rPr>
            </w:pPr>
          </w:p>
        </w:tc>
        <w:tc>
          <w:tcPr>
            <w:tcW w:w="5380" w:type="dxa"/>
            <w:vAlign w:val="bottom"/>
            <w:tcBorders>
              <w:bottom w:val="single" w:sz="8" w:color="CCEEFF"/>
            </w:tcBorders>
          </w:tcPr>
          <w:p>
            <w:pPr>
              <w:spacing w:after="0"/>
              <w:rPr>
                <w:sz w:val="14"/>
                <w:szCs w:val="14"/>
                <w:color w:val="auto"/>
              </w:rPr>
            </w:pPr>
          </w:p>
        </w:tc>
        <w:tc>
          <w:tcPr>
            <w:tcW w:w="14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60" w:type="dxa"/>
            <w:vAlign w:val="bottom"/>
            <w:tcBorders>
              <w:bottom w:val="single" w:sz="8" w:color="auto"/>
            </w:tcBorders>
          </w:tcPr>
          <w:p>
            <w:pPr>
              <w:ind w:left="80"/>
              <w:spacing w:after="0"/>
              <w:rPr>
                <w:sz w:val="20"/>
                <w:szCs w:val="20"/>
                <w:color w:val="auto"/>
              </w:rPr>
            </w:pPr>
            <w:r>
              <w:rPr>
                <w:rFonts w:ascii="Arial" w:cs="Arial" w:eastAsia="Arial" w:hAnsi="Arial"/>
                <w:sz w:val="14"/>
                <w:szCs w:val="14"/>
                <w:b w:val="1"/>
                <w:bCs w:val="1"/>
                <w:color w:val="auto"/>
              </w:rPr>
              <w:t>2015</w:t>
            </w:r>
          </w:p>
        </w:tc>
        <w:tc>
          <w:tcPr>
            <w:tcW w:w="40" w:type="dxa"/>
            <w:vAlign w:val="bottom"/>
            <w:tcBorders>
              <w:bottom w:val="single" w:sz="8" w:color="auto"/>
            </w:tcBorders>
          </w:tcPr>
          <w:p>
            <w:pPr>
              <w:spacing w:after="0"/>
              <w:rPr>
                <w:sz w:val="14"/>
                <w:szCs w:val="14"/>
                <w:color w:val="auto"/>
              </w:rPr>
            </w:pPr>
          </w:p>
        </w:tc>
        <w:tc>
          <w:tcPr>
            <w:tcW w:w="420" w:type="dxa"/>
            <w:vAlign w:val="bottom"/>
            <w:tcBorders>
              <w:bottom w:val="single" w:sz="8" w:color="CCEEFF"/>
            </w:tcBorders>
          </w:tcPr>
          <w:p>
            <w:pPr>
              <w:spacing w:after="0"/>
              <w:rPr>
                <w:sz w:val="14"/>
                <w:szCs w:val="14"/>
                <w:color w:val="auto"/>
              </w:rPr>
            </w:pPr>
          </w:p>
        </w:tc>
        <w:tc>
          <w:tcPr>
            <w:tcW w:w="1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920" w:type="dxa"/>
            <w:vAlign w:val="bottom"/>
          </w:tcPr>
          <w:p>
            <w:pPr>
              <w:spacing w:after="0"/>
              <w:rPr>
                <w:sz w:val="17"/>
                <w:szCs w:val="17"/>
                <w:color w:val="auto"/>
              </w:rPr>
            </w:pPr>
          </w:p>
        </w:tc>
        <w:tc>
          <w:tcPr>
            <w:tcW w:w="53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Weighted average shares outstanding from stock options:</w:t>
            </w:r>
          </w:p>
        </w:tc>
        <w:tc>
          <w:tcPr>
            <w:tcW w:w="14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tcPr>
          <w:p>
            <w:pPr>
              <w:ind w:left="440"/>
              <w:spacing w:after="0"/>
              <w:rPr>
                <w:sz w:val="20"/>
                <w:szCs w:val="20"/>
                <w:color w:val="auto"/>
              </w:rPr>
            </w:pPr>
            <w:r>
              <w:rPr>
                <w:rFonts w:ascii="Arial" w:cs="Arial" w:eastAsia="Arial" w:hAnsi="Arial"/>
                <w:sz w:val="18"/>
                <w:szCs w:val="18"/>
                <w:color w:val="auto"/>
              </w:rPr>
              <w:t>Time-based options</w:t>
            </w: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gridSpan w:val="2"/>
          </w:tcPr>
          <w:p>
            <w:pPr>
              <w:jc w:val="right"/>
              <w:spacing w:after="0"/>
              <w:rPr>
                <w:sz w:val="20"/>
                <w:szCs w:val="20"/>
                <w:color w:val="auto"/>
              </w:rPr>
            </w:pPr>
            <w:r>
              <w:rPr>
                <w:rFonts w:ascii="Arial" w:cs="Arial" w:eastAsia="Arial" w:hAnsi="Arial"/>
                <w:sz w:val="18"/>
                <w:szCs w:val="18"/>
                <w:color w:val="auto"/>
                <w:w w:val="87"/>
              </w:rPr>
              <w:t>19,615</w:t>
            </w:r>
          </w:p>
        </w:tc>
        <w:tc>
          <w:tcPr>
            <w:tcW w:w="4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19,069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Market-based options</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920" w:type="dxa"/>
            <w:vAlign w:val="bottom"/>
          </w:tcPr>
          <w:p>
            <w:pPr>
              <w:spacing w:after="0"/>
              <w:rPr>
                <w:sz w:val="19"/>
                <w:szCs w:val="19"/>
                <w:color w:val="auto"/>
              </w:rPr>
            </w:pPr>
          </w:p>
        </w:tc>
        <w:tc>
          <w:tcPr>
            <w:tcW w:w="538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gridSpan w:val="2"/>
          </w:tcPr>
          <w:p>
            <w:pPr>
              <w:jc w:val="right"/>
              <w:spacing w:after="0"/>
              <w:rPr>
                <w:sz w:val="20"/>
                <w:szCs w:val="20"/>
                <w:color w:val="auto"/>
              </w:rPr>
            </w:pPr>
            <w:r>
              <w:rPr>
                <w:rFonts w:ascii="Arial" w:cs="Arial" w:eastAsia="Arial" w:hAnsi="Arial"/>
                <w:sz w:val="18"/>
                <w:szCs w:val="18"/>
                <w:color w:val="auto"/>
                <w:w w:val="87"/>
              </w:rPr>
              <w:t>21,847</w:t>
            </w:r>
          </w:p>
        </w:tc>
        <w:tc>
          <w:tcPr>
            <w:tcW w:w="4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87"/>
              </w:rPr>
              <w:t>21,453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40" w:type="dxa"/>
            <w:vAlign w:val="bottom"/>
            <w:tcBorders>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920" w:type="dxa"/>
            <w:vAlign w:val="bottom"/>
          </w:tcPr>
          <w:p>
            <w:pPr>
              <w:spacing w:after="0"/>
              <w:rPr>
                <w:sz w:val="18"/>
                <w:szCs w:val="18"/>
                <w:color w:val="auto"/>
              </w:rPr>
            </w:pPr>
          </w:p>
        </w:tc>
        <w:tc>
          <w:tcPr>
            <w:tcW w:w="5380" w:type="dxa"/>
            <w:vAlign w:val="bottom"/>
            <w:shd w:val="clear" w:color="auto" w:fill="CCEEFF"/>
          </w:tcPr>
          <w:p>
            <w:pPr>
              <w:spacing w:after="0"/>
              <w:rPr>
                <w:sz w:val="20"/>
                <w:szCs w:val="20"/>
                <w:color w:val="auto"/>
              </w:rPr>
            </w:pPr>
            <w:r>
              <w:rPr>
                <w:rFonts w:ascii="Arial" w:cs="Arial" w:eastAsia="Arial" w:hAnsi="Arial"/>
                <w:sz w:val="18"/>
                <w:szCs w:val="18"/>
                <w:color w:val="auto"/>
              </w:rPr>
              <w:t>Weighted average exercise price:</w:t>
            </w: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920" w:type="dxa"/>
            <w:vAlign w:val="bottom"/>
          </w:tcPr>
          <w:p>
            <w:pPr>
              <w:spacing w:after="0"/>
              <w:rPr>
                <w:sz w:val="18"/>
                <w:szCs w:val="18"/>
                <w:color w:val="auto"/>
              </w:rPr>
            </w:pPr>
          </w:p>
        </w:tc>
        <w:tc>
          <w:tcPr>
            <w:tcW w:w="5380" w:type="dxa"/>
            <w:vAlign w:val="bottom"/>
          </w:tcPr>
          <w:p>
            <w:pPr>
              <w:ind w:left="440"/>
              <w:spacing w:after="0"/>
              <w:rPr>
                <w:sz w:val="20"/>
                <w:szCs w:val="20"/>
                <w:color w:val="auto"/>
              </w:rPr>
            </w:pPr>
            <w:r>
              <w:rPr>
                <w:rFonts w:ascii="Arial" w:cs="Arial" w:eastAsia="Arial" w:hAnsi="Arial"/>
                <w:sz w:val="18"/>
                <w:szCs w:val="18"/>
                <w:color w:val="auto"/>
              </w:rPr>
              <w:t>Time-based options</w:t>
            </w:r>
          </w:p>
        </w:tc>
        <w:tc>
          <w:tcPr>
            <w:tcW w:w="1600" w:type="dxa"/>
            <w:vAlign w:val="bottom"/>
            <w:gridSpan w:val="3"/>
          </w:tcPr>
          <w:p>
            <w:pPr>
              <w:ind w:left="1520"/>
              <w:spacing w:after="0"/>
              <w:rPr>
                <w:sz w:val="20"/>
                <w:szCs w:val="20"/>
                <w:color w:val="auto"/>
              </w:rPr>
            </w:pPr>
            <w:r>
              <w:rPr>
                <w:rFonts w:ascii="Arial" w:cs="Arial" w:eastAsia="Arial" w:hAnsi="Arial"/>
                <w:sz w:val="15"/>
                <w:szCs w:val="15"/>
                <w:color w:val="auto"/>
                <w:w w:val="71"/>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17.64</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18.17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53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Market-based options</w:t>
            </w:r>
          </w:p>
        </w:tc>
        <w:tc>
          <w:tcPr>
            <w:tcW w:w="1520" w:type="dxa"/>
            <w:vAlign w:val="bottom"/>
            <w:gridSpan w:val="2"/>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5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60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80" w:type="dxa"/>
            <w:vAlign w:val="bottom"/>
            <w:vMerge w:val="restart"/>
          </w:tcPr>
          <w:p>
            <w:pPr>
              <w:ind w:left="440"/>
              <w:spacing w:after="0"/>
              <w:rPr>
                <w:sz w:val="20"/>
                <w:szCs w:val="20"/>
                <w:color w:val="auto"/>
              </w:rPr>
            </w:pPr>
            <w:r>
              <w:rPr>
                <w:rFonts w:ascii="Arial" w:cs="Arial" w:eastAsia="Arial" w:hAnsi="Arial"/>
                <w:sz w:val="18"/>
                <w:szCs w:val="18"/>
                <w:color w:val="auto"/>
              </w:rPr>
              <w:t>Total</w:t>
            </w:r>
          </w:p>
        </w:tc>
        <w:tc>
          <w:tcPr>
            <w:tcW w:w="1520" w:type="dxa"/>
            <w:vAlign w:val="bottom"/>
            <w:gridSpan w:val="2"/>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gridSpan w:val="2"/>
          </w:tcPr>
          <w:p>
            <w:pPr>
              <w:spacing w:after="0" w:line="20" w:lineRule="exact"/>
              <w:rPr>
                <w:sz w:val="1"/>
                <w:szCs w:val="1"/>
                <w:color w:val="auto"/>
              </w:rPr>
            </w:pPr>
          </w:p>
        </w:tc>
        <w:tc>
          <w:tcPr>
            <w:tcW w:w="520" w:type="dxa"/>
            <w:vAlign w:val="bottom"/>
            <w:gridSpan w:val="2"/>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5380" w:type="dxa"/>
            <w:vAlign w:val="bottom"/>
            <w:vMerge w:val="continue"/>
          </w:tcPr>
          <w:p>
            <w:pPr>
              <w:spacing w:after="0"/>
              <w:rPr>
                <w:sz w:val="18"/>
                <w:szCs w:val="18"/>
                <w:color w:val="auto"/>
              </w:rPr>
            </w:pPr>
          </w:p>
        </w:tc>
        <w:tc>
          <w:tcPr>
            <w:tcW w:w="1600" w:type="dxa"/>
            <w:vAlign w:val="bottom"/>
            <w:gridSpan w:val="3"/>
          </w:tcPr>
          <w:p>
            <w:pPr>
              <w:ind w:left="1520"/>
              <w:spacing w:after="0"/>
              <w:rPr>
                <w:sz w:val="20"/>
                <w:szCs w:val="20"/>
                <w:color w:val="auto"/>
              </w:rPr>
            </w:pPr>
            <w:r>
              <w:rPr>
                <w:rFonts w:ascii="Arial" w:cs="Arial" w:eastAsia="Arial" w:hAnsi="Arial"/>
                <w:sz w:val="15"/>
                <w:szCs w:val="15"/>
                <w:color w:val="auto"/>
                <w:w w:val="71"/>
              </w:rPr>
              <w:t>$</w:t>
            </w:r>
          </w:p>
        </w:tc>
        <w:tc>
          <w:tcPr>
            <w:tcW w:w="500" w:type="dxa"/>
            <w:vAlign w:val="bottom"/>
            <w:gridSpan w:val="2"/>
          </w:tcPr>
          <w:p>
            <w:pPr>
              <w:jc w:val="right"/>
              <w:spacing w:after="0"/>
              <w:rPr>
                <w:sz w:val="20"/>
                <w:szCs w:val="20"/>
                <w:color w:val="auto"/>
              </w:rPr>
            </w:pPr>
            <w:r>
              <w:rPr>
                <w:rFonts w:ascii="Arial" w:cs="Arial" w:eastAsia="Arial" w:hAnsi="Arial"/>
                <w:sz w:val="18"/>
                <w:szCs w:val="18"/>
                <w:color w:val="auto"/>
              </w:rPr>
              <w:t>17.41</w:t>
            </w:r>
          </w:p>
        </w:tc>
        <w:tc>
          <w:tcPr>
            <w:tcW w:w="6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17.86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Anti-dilutive potential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w:t>
      </w:r>
    </w:p>
    <w:p>
      <w:pPr>
        <w:spacing w:after="0" w:line="127"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380"/>
          </w:cols>
          <w:pgMar w:left="240" w:top="459" w:right="27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Derivative Financial Instruments</w:t>
      </w:r>
    </w:p>
    <w:p>
      <w:pPr>
        <w:spacing w:after="0" w:line="96"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1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notional amounts of outstanding forward contracts were as follows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1880" w:type="dxa"/>
            <w:vAlign w:val="bottom"/>
            <w:gridSpan w:val="4"/>
          </w:tcPr>
          <w:p>
            <w:pPr>
              <w:ind w:left="460"/>
              <w:spacing w:after="0"/>
              <w:rPr>
                <w:sz w:val="20"/>
                <w:szCs w:val="20"/>
                <w:color w:val="auto"/>
              </w:rPr>
            </w:pPr>
            <w:r>
              <w:rPr>
                <w:rFonts w:ascii="Arial" w:cs="Arial" w:eastAsia="Arial" w:hAnsi="Arial"/>
                <w:sz w:val="14"/>
                <w:szCs w:val="14"/>
                <w:b w:val="1"/>
                <w:bCs w:val="1"/>
                <w:color w:val="auto"/>
              </w:rPr>
              <w:t>Buy Contracts</w:t>
            </w:r>
          </w:p>
        </w:tc>
      </w:tr>
      <w:tr>
        <w:trPr>
          <w:trHeight w:val="129"/>
        </w:trPr>
        <w:tc>
          <w:tcPr>
            <w:tcW w:w="3860" w:type="dxa"/>
            <w:vAlign w:val="bottom"/>
          </w:tcPr>
          <w:p>
            <w:pPr>
              <w:spacing w:after="0"/>
              <w:rPr>
                <w:sz w:val="11"/>
                <w:szCs w:val="11"/>
                <w:color w:val="auto"/>
              </w:rPr>
            </w:pPr>
          </w:p>
        </w:tc>
        <w:tc>
          <w:tcPr>
            <w:tcW w:w="2940" w:type="dxa"/>
            <w:vAlign w:val="bottom"/>
          </w:tcPr>
          <w:p>
            <w:pPr>
              <w:spacing w:after="0"/>
              <w:rPr>
                <w:sz w:val="11"/>
                <w:szCs w:val="11"/>
                <w:color w:val="auto"/>
              </w:rPr>
            </w:pPr>
          </w:p>
        </w:tc>
        <w:tc>
          <w:tcPr>
            <w:tcW w:w="58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1200" w:type="dxa"/>
            <w:vAlign w:val="bottom"/>
            <w:tcBorders>
              <w:top w:val="single" w:sz="8" w:color="auto"/>
            </w:tcBorders>
            <w:gridSpan w:val="2"/>
          </w:tcPr>
          <w:p>
            <w:pPr>
              <w:jc w:val="center"/>
              <w:ind w:left="432"/>
              <w:spacing w:after="0" w:line="129" w:lineRule="exact"/>
              <w:rPr>
                <w:sz w:val="20"/>
                <w:szCs w:val="20"/>
                <w:color w:val="auto"/>
              </w:rPr>
            </w:pPr>
            <w:r>
              <w:rPr>
                <w:rFonts w:ascii="Arial" w:cs="Arial" w:eastAsia="Arial" w:hAnsi="Arial"/>
                <w:sz w:val="14"/>
                <w:szCs w:val="14"/>
                <w:b w:val="1"/>
                <w:bCs w:val="1"/>
                <w:color w:val="auto"/>
                <w:w w:val="90"/>
              </w:rPr>
              <w:t>January 31,</w:t>
            </w:r>
          </w:p>
        </w:tc>
        <w:tc>
          <w:tcPr>
            <w:tcW w:w="100" w:type="dxa"/>
            <w:vAlign w:val="bottom"/>
          </w:tcPr>
          <w:p>
            <w:pPr>
              <w:spacing w:after="0"/>
              <w:rPr>
                <w:sz w:val="11"/>
                <w:szCs w:val="11"/>
                <w:color w:val="auto"/>
              </w:rPr>
            </w:pPr>
          </w:p>
        </w:tc>
      </w:tr>
      <w:tr>
        <w:trPr>
          <w:trHeight w:val="161"/>
        </w:trPr>
        <w:tc>
          <w:tcPr>
            <w:tcW w:w="3860" w:type="dxa"/>
            <w:vAlign w:val="bottom"/>
          </w:tcPr>
          <w:p>
            <w:pPr>
              <w:spacing w:after="0"/>
              <w:rPr>
                <w:sz w:val="14"/>
                <w:szCs w:val="14"/>
                <w:color w:val="auto"/>
              </w:rPr>
            </w:pPr>
          </w:p>
        </w:tc>
        <w:tc>
          <w:tcPr>
            <w:tcW w:w="3520" w:type="dxa"/>
            <w:vAlign w:val="bottom"/>
            <w:gridSpan w:val="2"/>
          </w:tcPr>
          <w:p>
            <w:pPr>
              <w:jc w:val="center"/>
              <w:ind w:left="2852"/>
              <w:spacing w:after="0"/>
              <w:rPr>
                <w:sz w:val="20"/>
                <w:szCs w:val="20"/>
                <w:color w:val="auto"/>
              </w:rPr>
            </w:pPr>
            <w:r>
              <w:rPr>
                <w:rFonts w:ascii="Arial" w:cs="Arial" w:eastAsia="Arial" w:hAnsi="Arial"/>
                <w:sz w:val="14"/>
                <w:szCs w:val="14"/>
                <w:b w:val="1"/>
                <w:bCs w:val="1"/>
                <w:color w:val="auto"/>
                <w:w w:val="89"/>
              </w:rPr>
              <w:t>2015</w:t>
            </w:r>
          </w:p>
        </w:tc>
        <w:tc>
          <w:tcPr>
            <w:tcW w:w="1200" w:type="dxa"/>
            <w:vAlign w:val="bottom"/>
            <w:gridSpan w:val="2"/>
          </w:tcPr>
          <w:p>
            <w:pPr>
              <w:jc w:val="center"/>
              <w:ind w:left="432"/>
              <w:spacing w:after="0"/>
              <w:rPr>
                <w:sz w:val="20"/>
                <w:szCs w:val="20"/>
                <w:color w:val="auto"/>
              </w:rPr>
            </w:pPr>
            <w:r>
              <w:rPr>
                <w:rFonts w:ascii="Arial" w:cs="Arial" w:eastAsia="Arial" w:hAnsi="Arial"/>
                <w:sz w:val="14"/>
                <w:szCs w:val="14"/>
                <w:b w:val="1"/>
                <w:bCs w:val="1"/>
                <w:color w:val="auto"/>
                <w:w w:val="83"/>
              </w:rPr>
              <w:t>2015</w:t>
            </w:r>
          </w:p>
        </w:tc>
        <w:tc>
          <w:tcPr>
            <w:tcW w:w="100" w:type="dxa"/>
            <w:vAlign w:val="bottom"/>
          </w:tcPr>
          <w:p>
            <w:pPr>
              <w:spacing w:after="0"/>
              <w:rPr>
                <w:sz w:val="14"/>
                <w:szCs w:val="14"/>
                <w:color w:val="auto"/>
              </w:rPr>
            </w:pPr>
          </w:p>
        </w:tc>
      </w:tr>
      <w:tr>
        <w:trPr>
          <w:trHeight w:val="210"/>
        </w:trPr>
        <w:tc>
          <w:tcPr>
            <w:tcW w:w="386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Israeli shekel</w:t>
            </w:r>
          </w:p>
        </w:tc>
        <w:tc>
          <w:tcPr>
            <w:tcW w:w="29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u w:val="single" w:color="auto"/>
                <w:color w:val="auto"/>
                <w:w w:val="89"/>
              </w:rPr>
              <w:t>$</w:t>
            </w:r>
            <w:r>
              <w:rPr>
                <w:rFonts w:ascii="Arial" w:cs="Arial" w:eastAsia="Arial" w:hAnsi="Arial"/>
                <w:sz w:val="18"/>
                <w:szCs w:val="18"/>
                <w:color w:val="auto"/>
                <w:w w:val="89"/>
              </w:rPr>
              <w:t>34,984</w:t>
            </w:r>
          </w:p>
        </w:tc>
        <w:tc>
          <w:tcPr>
            <w:tcW w:w="52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bottom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0"/>
              </w:rPr>
              <w:t>$  51,326</w:t>
            </w:r>
          </w:p>
        </w:tc>
        <w:tc>
          <w:tcPr>
            <w:tcW w:w="100" w:type="dxa"/>
            <w:vAlign w:val="bottom"/>
            <w:tcBorders>
              <w:top w:val="single" w:sz="8" w:color="CCEEFF"/>
            </w:tcBorders>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0" w:firstLine="456"/>
        <w:spacing w:after="0" w:line="256" w:lineRule="auto"/>
        <w:rPr>
          <w:sz w:val="20"/>
          <w:szCs w:val="20"/>
          <w:color w:val="auto"/>
        </w:rPr>
      </w:pPr>
      <w:r>
        <w:rPr>
          <w:rFonts w:ascii="Arial" w:cs="Arial" w:eastAsia="Arial" w:hAnsi="Arial"/>
          <w:sz w:val="18"/>
          <w:szCs w:val="18"/>
          <w:i w:val="1"/>
          <w:iCs w:val="1"/>
          <w:color w:val="auto"/>
        </w:rPr>
        <w:t xml:space="preserve">Cash Flow Hedges. </w:t>
      </w:r>
      <w:r>
        <w:rPr>
          <w:rFonts w:ascii="Arial" w:cs="Arial" w:eastAsia="Arial" w:hAnsi="Arial"/>
          <w:sz w:val="18"/>
          <w:szCs w:val="18"/>
          <w:color w:val="auto"/>
        </w:rPr>
        <w:t>The Company designates and documents its foreign currency forward exchange contracts as cash flow hedges for certain operating</w:t>
      </w:r>
      <w:r>
        <w:rPr>
          <w:rFonts w:ascii="Arial" w:cs="Arial" w:eastAsia="Arial" w:hAnsi="Arial"/>
          <w:sz w:val="18"/>
          <w:szCs w:val="18"/>
          <w:i w:val="1"/>
          <w:iCs w:val="1"/>
          <w:color w:val="auto"/>
        </w:rPr>
        <w:t xml:space="preserve"> </w:t>
      </w:r>
      <w:r>
        <w:rPr>
          <w:rFonts w:ascii="Arial" w:cs="Arial" w:eastAsia="Arial" w:hAnsi="Arial"/>
          <w:sz w:val="18"/>
          <w:szCs w:val="18"/>
          <w:color w:val="auto"/>
        </w:rPr>
        <w:t>expenses.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43" w:lineRule="exact"/>
        <w:rPr>
          <w:sz w:val="20"/>
          <w:szCs w:val="20"/>
          <w:color w:val="auto"/>
        </w:rPr>
      </w:pPr>
    </w:p>
    <w:p>
      <w:pPr>
        <w:jc w:val="both"/>
        <w:ind w:right="160" w:firstLine="456"/>
        <w:spacing w:after="0" w:line="306" w:lineRule="auto"/>
        <w:rPr>
          <w:sz w:val="20"/>
          <w:szCs w:val="20"/>
          <w:color w:val="auto"/>
        </w:rPr>
      </w:pPr>
      <w:r>
        <w:rPr>
          <w:rFonts w:ascii="Arial" w:cs="Arial" w:eastAsia="Arial" w:hAnsi="Arial"/>
          <w:sz w:val="16"/>
          <w:szCs w:val="16"/>
          <w:i w:val="1"/>
          <w:iCs w:val="1"/>
          <w:color w:val="auto"/>
        </w:rPr>
        <w:t xml:space="preserve">Other Foreign Currency Forward Contracts. </w:t>
      </w:r>
      <w:r>
        <w:rPr>
          <w:rFonts w:ascii="Arial" w:cs="Arial" w:eastAsia="Arial" w:hAnsi="Arial"/>
          <w:sz w:val="16"/>
          <w:szCs w:val="16"/>
          <w:color w:val="auto"/>
        </w:rPr>
        <w:t>The Company enters into foreign currency forward exchange contracts to hedge certain assets and liabilities</w:t>
      </w:r>
      <w:r>
        <w:rPr>
          <w:rFonts w:ascii="Arial" w:cs="Arial" w:eastAsia="Arial" w:hAnsi="Arial"/>
          <w:sz w:val="16"/>
          <w:szCs w:val="16"/>
          <w:i w:val="1"/>
          <w:iCs w:val="1"/>
          <w:color w:val="auto"/>
        </w:rPr>
        <w:t xml:space="preserve"> </w:t>
      </w:r>
      <w:r>
        <w:rPr>
          <w:rFonts w:ascii="Arial" w:cs="Arial" w:eastAsia="Arial" w:hAnsi="Arial"/>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10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fair value of foreign currency exchange contracts was not significant as of any period presented.</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provides information about gains (losses) associated with the Company’s derivative financial instruments (in thousands):</w:t>
      </w:r>
    </w:p>
    <w:p>
      <w:pPr>
        <w:spacing w:after="0" w:line="218"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720" w:type="dxa"/>
            <w:vAlign w:val="bottom"/>
          </w:tcPr>
          <w:p>
            <w:pPr>
              <w:spacing w:after="0"/>
              <w:rPr>
                <w:sz w:val="14"/>
                <w:szCs w:val="14"/>
                <w:color w:val="auto"/>
              </w:rPr>
            </w:pPr>
          </w:p>
        </w:tc>
        <w:tc>
          <w:tcPr>
            <w:tcW w:w="2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80" w:type="dxa"/>
            <w:vAlign w:val="bottom"/>
            <w:gridSpan w:val="6"/>
          </w:tcPr>
          <w:p>
            <w:pPr>
              <w:ind w:left="100"/>
              <w:spacing w:after="0"/>
              <w:rPr>
                <w:sz w:val="20"/>
                <w:szCs w:val="20"/>
                <w:color w:val="auto"/>
              </w:rPr>
            </w:pPr>
            <w:r>
              <w:rPr>
                <w:rFonts w:ascii="Arial" w:cs="Arial" w:eastAsia="Arial" w:hAnsi="Arial"/>
                <w:sz w:val="14"/>
                <w:szCs w:val="14"/>
                <w:b w:val="1"/>
                <w:bCs w:val="1"/>
                <w:color w:val="auto"/>
              </w:rPr>
              <w:t>Amount of Gains (Losses)</w:t>
            </w:r>
          </w:p>
        </w:tc>
        <w:tc>
          <w:tcPr>
            <w:tcW w:w="0" w:type="dxa"/>
            <w:vAlign w:val="bottom"/>
          </w:tcPr>
          <w:p>
            <w:pPr>
              <w:spacing w:after="0"/>
              <w:rPr>
                <w:sz w:val="1"/>
                <w:szCs w:val="1"/>
                <w:color w:val="auto"/>
              </w:rPr>
            </w:pPr>
          </w:p>
        </w:tc>
      </w:tr>
      <w:tr>
        <w:trPr>
          <w:trHeight w:val="149"/>
        </w:trPr>
        <w:tc>
          <w:tcPr>
            <w:tcW w:w="4720" w:type="dxa"/>
            <w:vAlign w:val="bottom"/>
          </w:tcPr>
          <w:p>
            <w:pPr>
              <w:spacing w:after="0"/>
              <w:rPr>
                <w:sz w:val="12"/>
                <w:szCs w:val="12"/>
                <w:color w:val="auto"/>
              </w:rPr>
            </w:pPr>
          </w:p>
        </w:tc>
        <w:tc>
          <w:tcPr>
            <w:tcW w:w="24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880" w:type="dxa"/>
            <w:vAlign w:val="bottom"/>
            <w:gridSpan w:val="6"/>
          </w:tcPr>
          <w:p>
            <w:pPr>
              <w:ind w:left="60"/>
              <w:spacing w:after="0" w:line="149" w:lineRule="exact"/>
              <w:rPr>
                <w:sz w:val="20"/>
                <w:szCs w:val="20"/>
                <w:color w:val="auto"/>
              </w:rPr>
            </w:pPr>
            <w:r>
              <w:rPr>
                <w:rFonts w:ascii="Arial" w:cs="Arial" w:eastAsia="Arial" w:hAnsi="Arial"/>
                <w:sz w:val="14"/>
                <w:szCs w:val="14"/>
                <w:b w:val="1"/>
                <w:bCs w:val="1"/>
                <w:color w:val="auto"/>
              </w:rPr>
              <w:t>in Statement of Operations</w:t>
            </w:r>
          </w:p>
        </w:tc>
        <w:tc>
          <w:tcPr>
            <w:tcW w:w="0" w:type="dxa"/>
            <w:vAlign w:val="bottom"/>
          </w:tcPr>
          <w:p>
            <w:pPr>
              <w:spacing w:after="0"/>
              <w:rPr>
                <w:sz w:val="1"/>
                <w:szCs w:val="1"/>
                <w:color w:val="auto"/>
              </w:rPr>
            </w:pPr>
          </w:p>
        </w:tc>
      </w:tr>
      <w:tr>
        <w:trPr>
          <w:trHeight w:val="161"/>
        </w:trPr>
        <w:tc>
          <w:tcPr>
            <w:tcW w:w="4720" w:type="dxa"/>
            <w:vAlign w:val="bottom"/>
          </w:tcPr>
          <w:p>
            <w:pPr>
              <w:spacing w:after="0"/>
              <w:rPr>
                <w:sz w:val="14"/>
                <w:szCs w:val="14"/>
                <w:color w:val="auto"/>
              </w:rPr>
            </w:pPr>
          </w:p>
        </w:tc>
        <w:tc>
          <w:tcPr>
            <w:tcW w:w="2440" w:type="dxa"/>
            <w:vAlign w:val="bottom"/>
            <w:vMerge w:val="restart"/>
          </w:tcPr>
          <w:p>
            <w:pPr>
              <w:ind w:left="460"/>
              <w:spacing w:after="0"/>
              <w:rPr>
                <w:sz w:val="20"/>
                <w:szCs w:val="20"/>
                <w:color w:val="auto"/>
              </w:rPr>
            </w:pPr>
            <w:r>
              <w:rPr>
                <w:rFonts w:ascii="Arial" w:cs="Arial" w:eastAsia="Arial" w:hAnsi="Arial"/>
                <w:sz w:val="14"/>
                <w:szCs w:val="14"/>
                <w:b w:val="1"/>
                <w:bCs w:val="1"/>
                <w:color w:val="auto"/>
              </w:rPr>
              <w:t>Location of Gains (Losses)</w:t>
            </w: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880" w:type="dxa"/>
            <w:vAlign w:val="bottom"/>
            <w:gridSpan w:val="6"/>
          </w:tcPr>
          <w:p>
            <w:pPr>
              <w:ind w:left="40"/>
              <w:spacing w:after="0"/>
              <w:rPr>
                <w:sz w:val="20"/>
                <w:szCs w:val="20"/>
                <w:color w:val="auto"/>
              </w:rPr>
            </w:pPr>
            <w:r>
              <w:rPr>
                <w:rFonts w:ascii="Arial" w:cs="Arial" w:eastAsia="Arial" w:hAnsi="Arial"/>
                <w:sz w:val="14"/>
                <w:szCs w:val="14"/>
                <w:b w:val="1"/>
                <w:bCs w:val="1"/>
                <w:color w:val="auto"/>
              </w:rPr>
              <w:t>for the three months ended</w:t>
            </w:r>
          </w:p>
        </w:tc>
        <w:tc>
          <w:tcPr>
            <w:tcW w:w="0" w:type="dxa"/>
            <w:vAlign w:val="bottom"/>
          </w:tcPr>
          <w:p>
            <w:pPr>
              <w:spacing w:after="0"/>
              <w:rPr>
                <w:sz w:val="1"/>
                <w:szCs w:val="1"/>
                <w:color w:val="auto"/>
              </w:rPr>
            </w:pPr>
          </w:p>
        </w:tc>
      </w:tr>
      <w:tr>
        <w:trPr>
          <w:trHeight w:val="116"/>
        </w:trPr>
        <w:tc>
          <w:tcPr>
            <w:tcW w:w="4720" w:type="dxa"/>
            <w:vAlign w:val="bottom"/>
          </w:tcPr>
          <w:p>
            <w:pPr>
              <w:spacing w:after="0"/>
              <w:rPr>
                <w:sz w:val="10"/>
                <w:szCs w:val="10"/>
                <w:color w:val="auto"/>
              </w:rPr>
            </w:pPr>
          </w:p>
        </w:tc>
        <w:tc>
          <w:tcPr>
            <w:tcW w:w="2440" w:type="dxa"/>
            <w:vAlign w:val="bottom"/>
            <w:vMerge w:val="continue"/>
          </w:tcPr>
          <w:p>
            <w:pPr>
              <w:spacing w:after="0"/>
              <w:rPr>
                <w:sz w:val="10"/>
                <w:szCs w:val="10"/>
                <w:color w:val="auto"/>
              </w:rPr>
            </w:pPr>
          </w:p>
        </w:tc>
        <w:tc>
          <w:tcPr>
            <w:tcW w:w="420" w:type="dxa"/>
            <w:vAlign w:val="bottom"/>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60" w:type="dxa"/>
            <w:vAlign w:val="bottom"/>
            <w:tcBorders>
              <w:top w:val="single" w:sz="8" w:color="auto"/>
            </w:tcBorders>
            <w:gridSpan w:val="2"/>
          </w:tcPr>
          <w:p>
            <w:pPr>
              <w:ind w:left="60"/>
              <w:spacing w:after="0" w:line="116" w:lineRule="exact"/>
              <w:rPr>
                <w:sz w:val="20"/>
                <w:szCs w:val="20"/>
                <w:color w:val="auto"/>
              </w:rPr>
            </w:pPr>
            <w:r>
              <w:rPr>
                <w:rFonts w:ascii="Arial" w:cs="Arial" w:eastAsia="Arial" w:hAnsi="Arial"/>
                <w:sz w:val="12"/>
                <w:szCs w:val="12"/>
                <w:b w:val="1"/>
                <w:bCs w:val="1"/>
                <w:color w:val="auto"/>
              </w:rPr>
              <w:t>May 2,</w:t>
            </w:r>
          </w:p>
        </w:tc>
        <w:tc>
          <w:tcPr>
            <w:tcW w:w="260" w:type="dxa"/>
            <w:vAlign w:val="bottom"/>
            <w:tcBorders>
              <w:top w:val="single" w:sz="8" w:color="auto"/>
            </w:tcBorders>
          </w:tcPr>
          <w:p>
            <w:pPr>
              <w:spacing w:after="0"/>
              <w:rPr>
                <w:sz w:val="10"/>
                <w:szCs w:val="10"/>
                <w:color w:val="auto"/>
              </w:rPr>
            </w:pPr>
          </w:p>
        </w:tc>
        <w:tc>
          <w:tcPr>
            <w:tcW w:w="560" w:type="dxa"/>
            <w:vAlign w:val="bottom"/>
            <w:tcBorders>
              <w:top w:val="single" w:sz="8" w:color="auto"/>
            </w:tcBorders>
            <w:gridSpan w:val="2"/>
          </w:tcPr>
          <w:p>
            <w:pPr>
              <w:jc w:val="right"/>
              <w:spacing w:after="0" w:line="116" w:lineRule="exact"/>
              <w:rPr>
                <w:sz w:val="20"/>
                <w:szCs w:val="20"/>
                <w:color w:val="auto"/>
              </w:rPr>
            </w:pPr>
            <w:r>
              <w:rPr>
                <w:rFonts w:ascii="Arial" w:cs="Arial" w:eastAsia="Arial" w:hAnsi="Arial"/>
                <w:sz w:val="12"/>
                <w:szCs w:val="12"/>
                <w:b w:val="1"/>
                <w:bCs w:val="1"/>
                <w:color w:val="auto"/>
              </w:rPr>
              <w:t>May 3,</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5"/>
        </w:trPr>
        <w:tc>
          <w:tcPr>
            <w:tcW w:w="4720" w:type="dxa"/>
            <w:vAlign w:val="bottom"/>
            <w:tcBorders>
              <w:bottom w:val="single" w:sz="8" w:color="CCEEFF"/>
            </w:tcBorders>
          </w:tcPr>
          <w:p>
            <w:pPr>
              <w:spacing w:after="0"/>
              <w:rPr>
                <w:sz w:val="15"/>
                <w:szCs w:val="15"/>
                <w:color w:val="auto"/>
              </w:rPr>
            </w:pPr>
          </w:p>
        </w:tc>
        <w:tc>
          <w:tcPr>
            <w:tcW w:w="24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in Statement of Operations</w:t>
            </w:r>
          </w:p>
        </w:tc>
        <w:tc>
          <w:tcPr>
            <w:tcW w:w="42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640" w:type="dxa"/>
            <w:vAlign w:val="bottom"/>
            <w:tcBorders>
              <w:bottom w:val="single" w:sz="8" w:color="auto"/>
            </w:tcBorders>
          </w:tcPr>
          <w:p>
            <w:pPr>
              <w:jc w:val="right"/>
              <w:ind w:right="164"/>
              <w:spacing w:after="0"/>
              <w:rPr>
                <w:sz w:val="20"/>
                <w:szCs w:val="20"/>
                <w:color w:val="auto"/>
              </w:rPr>
            </w:pPr>
            <w:r>
              <w:rPr>
                <w:rFonts w:ascii="Arial" w:cs="Arial" w:eastAsia="Arial" w:hAnsi="Arial"/>
                <w:sz w:val="14"/>
                <w:szCs w:val="14"/>
                <w:b w:val="1"/>
                <w:bCs w:val="1"/>
                <w:color w:val="auto"/>
              </w:rPr>
              <w:t>2015</w:t>
            </w:r>
          </w:p>
        </w:tc>
        <w:tc>
          <w:tcPr>
            <w:tcW w:w="320" w:type="dxa"/>
            <w:vAlign w:val="bottom"/>
            <w:tcBorders>
              <w:bottom w:val="single" w:sz="8" w:color="CCEEFF"/>
            </w:tcBorders>
          </w:tcPr>
          <w:p>
            <w:pPr>
              <w:spacing w:after="0"/>
              <w:rPr>
                <w:sz w:val="15"/>
                <w:szCs w:val="15"/>
                <w:color w:val="auto"/>
              </w:rPr>
            </w:pPr>
          </w:p>
        </w:tc>
        <w:tc>
          <w:tcPr>
            <w:tcW w:w="260" w:type="dxa"/>
            <w:vAlign w:val="bottom"/>
            <w:tcBorders>
              <w:bottom w:val="single" w:sz="8" w:color="CCEEFF"/>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40" w:type="dxa"/>
            <w:vAlign w:val="bottom"/>
            <w:tcBorders>
              <w:bottom w:val="single" w:sz="8" w:color="auto"/>
            </w:tcBorders>
          </w:tcPr>
          <w:p>
            <w:pPr>
              <w:jc w:val="right"/>
              <w:ind w:right="56"/>
              <w:spacing w:after="0"/>
              <w:rPr>
                <w:sz w:val="20"/>
                <w:szCs w:val="20"/>
                <w:color w:val="auto"/>
              </w:rPr>
            </w:pPr>
            <w:r>
              <w:rPr>
                <w:rFonts w:ascii="Arial" w:cs="Arial" w:eastAsia="Arial" w:hAnsi="Arial"/>
                <w:sz w:val="14"/>
                <w:szCs w:val="14"/>
                <w:b w:val="1"/>
                <w:bCs w:val="1"/>
                <w:color w:val="auto"/>
                <w:w w:val="89"/>
              </w:rPr>
              <w:t>2014</w:t>
            </w:r>
          </w:p>
        </w:tc>
        <w:tc>
          <w:tcPr>
            <w:tcW w:w="100" w:type="dxa"/>
            <w:vAlign w:val="bottom"/>
            <w:tcBorders>
              <w:bottom w:val="single" w:sz="8" w:color="CCEEFF"/>
            </w:tcBorders>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472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Derivatives designated as cash flow hedges:</w:t>
            </w:r>
          </w:p>
        </w:tc>
        <w:tc>
          <w:tcPr>
            <w:tcW w:w="244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640" w:type="dxa"/>
            <w:vAlign w:val="bottom"/>
            <w:shd w:val="clear" w:color="auto" w:fill="CCEEFF"/>
          </w:tcPr>
          <w:p>
            <w:pPr>
              <w:spacing w:after="0"/>
              <w:rPr>
                <w:sz w:val="17"/>
                <w:szCs w:val="17"/>
                <w:color w:val="auto"/>
              </w:rPr>
            </w:pPr>
          </w:p>
        </w:tc>
        <w:tc>
          <w:tcPr>
            <w:tcW w:w="32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720" w:type="dxa"/>
            <w:vAlign w:val="bottom"/>
          </w:tcPr>
          <w:p>
            <w:pPr>
              <w:ind w:left="440"/>
              <w:spacing w:after="0"/>
              <w:rPr>
                <w:sz w:val="20"/>
                <w:szCs w:val="20"/>
                <w:color w:val="auto"/>
              </w:rPr>
            </w:pPr>
            <w:r>
              <w:rPr>
                <w:rFonts w:ascii="Arial" w:cs="Arial" w:eastAsia="Arial" w:hAnsi="Arial"/>
                <w:sz w:val="18"/>
                <w:szCs w:val="18"/>
                <w:color w:val="auto"/>
              </w:rPr>
              <w:t>Forward contracts:</w:t>
            </w:r>
          </w:p>
        </w:tc>
        <w:tc>
          <w:tcPr>
            <w:tcW w:w="24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(991)</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598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shd w:val="clear" w:color="auto" w:fill="CCEEFF"/>
          </w:tcPr>
          <w:p>
            <w:pPr>
              <w:spacing w:after="0"/>
              <w:rPr>
                <w:sz w:val="18"/>
                <w:szCs w:val="18"/>
                <w:color w:val="auto"/>
              </w:rPr>
            </w:pPr>
          </w:p>
        </w:tc>
        <w:tc>
          <w:tcPr>
            <w:tcW w:w="244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(77)</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720" w:type="dxa"/>
            <w:vAlign w:val="bottom"/>
          </w:tcPr>
          <w:p>
            <w:pPr>
              <w:spacing w:after="0"/>
              <w:rPr>
                <w:sz w:val="18"/>
                <w:szCs w:val="18"/>
                <w:color w:val="auto"/>
              </w:rPr>
            </w:pPr>
          </w:p>
        </w:tc>
        <w:tc>
          <w:tcPr>
            <w:tcW w:w="24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4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60" w:type="dxa"/>
            <w:vAlign w:val="bottom"/>
            <w:gridSpan w:val="2"/>
          </w:tcPr>
          <w:p>
            <w:pPr>
              <w:jc w:val="right"/>
              <w:ind w:right="260"/>
              <w:spacing w:after="0"/>
              <w:rPr>
                <w:sz w:val="20"/>
                <w:szCs w:val="20"/>
                <w:color w:val="auto"/>
              </w:rPr>
            </w:pPr>
            <w:r>
              <w:rPr>
                <w:rFonts w:ascii="Arial" w:cs="Arial" w:eastAsia="Arial" w:hAnsi="Arial"/>
                <w:sz w:val="18"/>
                <w:szCs w:val="18"/>
                <w:color w:val="auto"/>
              </w:rPr>
              <w:t>(14)</w:t>
            </w: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440" w:type="dxa"/>
            <w:vAlign w:val="bottom"/>
          </w:tcPr>
          <w:p>
            <w:pPr>
              <w:jc w:val="right"/>
              <w:spacing w:after="0"/>
              <w:rPr>
                <w:sz w:val="20"/>
                <w:szCs w:val="20"/>
                <w:color w:val="auto"/>
              </w:rPr>
            </w:pPr>
            <w:r>
              <w:rPr>
                <w:rFonts w:ascii="Arial" w:cs="Arial" w:eastAsia="Arial" w:hAnsi="Arial"/>
                <w:sz w:val="18"/>
                <w:szCs w:val="18"/>
                <w:color w:val="auto"/>
              </w:rPr>
              <w:t>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4720" w:type="dxa"/>
            <w:vAlign w:val="bottom"/>
          </w:tcPr>
          <w:p>
            <w:pPr>
              <w:spacing w:after="0"/>
              <w:rPr>
                <w:sz w:val="2"/>
                <w:szCs w:val="2"/>
                <w:color w:val="auto"/>
              </w:rPr>
            </w:pPr>
          </w:p>
        </w:tc>
        <w:tc>
          <w:tcPr>
            <w:tcW w:w="2440" w:type="dxa"/>
            <w:vAlign w:val="bottom"/>
          </w:tcPr>
          <w:p>
            <w:pPr>
              <w:spacing w:after="0"/>
              <w:rPr>
                <w:sz w:val="2"/>
                <w:szCs w:val="2"/>
                <w:color w:val="auto"/>
              </w:rPr>
            </w:pPr>
          </w:p>
        </w:tc>
        <w:tc>
          <w:tcPr>
            <w:tcW w:w="42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26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4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4720" w:type="dxa"/>
            <w:vAlign w:val="bottom"/>
            <w:shd w:val="clear" w:color="auto" w:fill="CCEEFF"/>
          </w:tcPr>
          <w:p>
            <w:pPr>
              <w:spacing w:after="0"/>
              <w:rPr>
                <w:sz w:val="18"/>
                <w:szCs w:val="18"/>
                <w:color w:val="auto"/>
              </w:rPr>
            </w:pPr>
          </w:p>
        </w:tc>
        <w:tc>
          <w:tcPr>
            <w:tcW w:w="244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(1,082)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720" w:type="dxa"/>
            <w:vAlign w:val="bottom"/>
          </w:tcPr>
          <w:p>
            <w:pPr>
              <w:spacing w:after="0" w:line="20" w:lineRule="exact"/>
              <w:rPr>
                <w:sz w:val="1"/>
                <w:szCs w:val="1"/>
                <w:color w:val="auto"/>
              </w:rPr>
            </w:pPr>
          </w:p>
        </w:tc>
        <w:tc>
          <w:tcPr>
            <w:tcW w:w="244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portion of gains excluded from the assessment of hedge effectiveness are included in interest and other income, net, and these amounts were not material in the three months ended May 2, 2015 and May 3, 2014. In addition, realized losses from forward contracts that are not designated as hedging instruments that are included in interest and other income, net, were not material in the three months ended May 2, 2015 and May 3, 2014. The Company also reports hedge ineffectiveness from derivative financial instruments in current earnings, which was not material in the three months ended May 2, 2015 and May 3, 2014. No cash flow hedges were terminated as a result of forecasted transactions that did not occur.</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420"/>
          </w:cols>
          <w:pgMar w:left="240" w:top="45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9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1—Observable inputs that reflect quoted prices for identical assets or liabilities in active markets.</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2—Include other inputs that are directly or indirectly observable in the marketplace.</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fair value hierarchy also requires an entity to maximize the use of observable inputs and minimize the use of unobservable inputs when measuring fair</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value.</w:t>
      </w:r>
    </w:p>
    <w:p>
      <w:pPr>
        <w:spacing w:after="0" w:line="165"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Company’s Level 3 assets also include corporate equipment which it acquired through an early buyout option under an operating lease (see “Note 8 – Restructuring” in the Notes to the Unaudited Condensed Consolidated Financial Statements) since it is valued based on market prices of similar assets in a limited market. The total amount of assets measured using Level 3 valuation methodologies represented 0.2% of total assets as of May 2, 2015.</w:t>
      </w:r>
    </w:p>
    <w:p>
      <w:pPr>
        <w:spacing w:after="0" w:line="11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340"/>
          </w:cols>
          <w:pgMar w:left="240" w:top="459" w:right="319" w:bottom="1440" w:gutter="0" w:footer="0" w:header="0"/>
        </w:sectPr>
      </w:pPr>
    </w:p>
    <w:bookmarkStart w:id="15" w:name="page16"/>
    <w:bookmarkEnd w:id="1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4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The tables below set forth, by level, the Company’s financial assets that were accounted for at fair value as of May 2, 2015 and January 31, 2015. The tables do not include assets and liabilities that are measured at historical cost or any basis other than fair value (in thousands):</w:t>
      </w:r>
    </w:p>
    <w:p>
      <w:pPr>
        <w:spacing w:after="0" w:line="121"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660" w:type="dxa"/>
            <w:vAlign w:val="bottom"/>
            <w:tcBorders>
              <w:bottom w:val="single" w:sz="8" w:color="auto"/>
            </w:tcBorders>
            <w:gridSpan w:val="7"/>
          </w:tcPr>
          <w:p>
            <w:pPr>
              <w:ind w:left="240"/>
              <w:spacing w:after="0"/>
              <w:rPr>
                <w:sz w:val="20"/>
                <w:szCs w:val="20"/>
                <w:color w:val="auto"/>
              </w:rPr>
            </w:pPr>
            <w:r>
              <w:rPr>
                <w:rFonts w:ascii="Arial" w:cs="Arial" w:eastAsia="Arial" w:hAnsi="Arial"/>
                <w:sz w:val="14"/>
                <w:szCs w:val="14"/>
                <w:b w:val="1"/>
                <w:bCs w:val="1"/>
                <w:color w:val="auto"/>
                <w:w w:val="89"/>
              </w:rPr>
              <w:t>Fair Value Measurements at May 2, 2015</w:t>
            </w:r>
          </w:p>
        </w:tc>
        <w:tc>
          <w:tcPr>
            <w:tcW w:w="6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408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ind w:left="20"/>
              <w:spacing w:after="0" w:line="142" w:lineRule="exact"/>
              <w:rPr>
                <w:sz w:val="20"/>
                <w:szCs w:val="20"/>
                <w:color w:val="auto"/>
              </w:rPr>
            </w:pPr>
            <w:r>
              <w:rPr>
                <w:rFonts w:ascii="Arial" w:cs="Arial" w:eastAsia="Arial" w:hAnsi="Arial"/>
                <w:sz w:val="14"/>
                <w:szCs w:val="14"/>
                <w:b w:val="1"/>
                <w:bCs w:val="1"/>
                <w:color w:val="auto"/>
              </w:rPr>
              <w:t>Level 1</w:t>
            </w:r>
          </w:p>
        </w:tc>
        <w:tc>
          <w:tcPr>
            <w:tcW w:w="4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20" w:type="dxa"/>
            <w:vAlign w:val="bottom"/>
          </w:tcPr>
          <w:p>
            <w:pPr>
              <w:jc w:val="right"/>
              <w:ind w:right="114"/>
              <w:spacing w:after="0" w:line="142" w:lineRule="exact"/>
              <w:rPr>
                <w:sz w:val="20"/>
                <w:szCs w:val="20"/>
                <w:color w:val="auto"/>
              </w:rPr>
            </w:pPr>
            <w:r>
              <w:rPr>
                <w:rFonts w:ascii="Arial" w:cs="Arial" w:eastAsia="Arial" w:hAnsi="Arial"/>
                <w:sz w:val="14"/>
                <w:szCs w:val="14"/>
                <w:b w:val="1"/>
                <w:bCs w:val="1"/>
                <w:color w:val="auto"/>
              </w:rPr>
              <w:t>Level 2</w:t>
            </w:r>
          </w:p>
        </w:tc>
        <w:tc>
          <w:tcPr>
            <w:tcW w:w="440" w:type="dxa"/>
            <w:vAlign w:val="bottom"/>
          </w:tcPr>
          <w:p>
            <w:pPr>
              <w:spacing w:after="0"/>
              <w:rPr>
                <w:sz w:val="12"/>
                <w:szCs w:val="12"/>
                <w:color w:val="auto"/>
              </w:rPr>
            </w:pPr>
          </w:p>
        </w:tc>
        <w:tc>
          <w:tcPr>
            <w:tcW w:w="960" w:type="dxa"/>
            <w:vAlign w:val="bottom"/>
            <w:gridSpan w:val="3"/>
          </w:tcPr>
          <w:p>
            <w:pPr>
              <w:ind w:left="80"/>
              <w:spacing w:after="0" w:line="142" w:lineRule="exact"/>
              <w:rPr>
                <w:sz w:val="20"/>
                <w:szCs w:val="20"/>
                <w:color w:val="auto"/>
              </w:rPr>
            </w:pPr>
            <w:r>
              <w:rPr>
                <w:rFonts w:ascii="Arial" w:cs="Arial" w:eastAsia="Arial" w:hAnsi="Arial"/>
                <w:sz w:val="14"/>
                <w:szCs w:val="14"/>
                <w:b w:val="1"/>
                <w:bCs w:val="1"/>
                <w:color w:val="auto"/>
              </w:rPr>
              <w:t>Level 3</w:t>
            </w:r>
          </w:p>
        </w:tc>
        <w:tc>
          <w:tcPr>
            <w:tcW w:w="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1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4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Assets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U.S. government and agency debt</w:t>
            </w:r>
          </w:p>
        </w:tc>
        <w:tc>
          <w:tcPr>
            <w:tcW w:w="134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1,000</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1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Money market funds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w w:val="79"/>
              </w:rPr>
              <w:t>875</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Time deposits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183,468</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183,468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Corporate debt securities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20,004</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Short-term investments: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U.S. government and agency debt</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2"/>
              </w:rPr>
              <w:t>269,985</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Corporate debt securities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1,038,232</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1,038,232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Asset backed securities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100,488</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100,488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Arial" w:cs="Arial" w:eastAsia="Arial" w:hAnsi="Arial"/>
                <w:sz w:val="18"/>
                <w:szCs w:val="18"/>
                <w:color w:val="auto"/>
              </w:rPr>
              <w:t>Foreign government and agency debt</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ind w:left="3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16,964</w:t>
            </w: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60" w:type="dxa"/>
            <w:vAlign w:val="bottom"/>
            <w:gridSpan w:val="2"/>
          </w:tcPr>
          <w:p>
            <w:pPr>
              <w:ind w:left="2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16,964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Municipal debt securities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36,515</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36,515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Prepaid expenses and other current assets: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702</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Long-term investments: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Auction rate securities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10,111</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10,111</w:t>
            </w: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Other non-current assets: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Severance pay fund</w:t>
            </w:r>
          </w:p>
        </w:tc>
        <w:tc>
          <w:tcPr>
            <w:tcW w:w="12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1,842</w:t>
            </w:r>
          </w:p>
        </w:tc>
        <w:tc>
          <w:tcPr>
            <w:tcW w:w="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460" w:type="dxa"/>
            <w:vAlign w:val="bottom"/>
            <w:tcBorders>
              <w:bottom w:val="single" w:sz="8" w:color="auto"/>
            </w:tcBorders>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080" w:type="dxa"/>
            <w:vAlign w:val="bottom"/>
          </w:tcPr>
          <w:p>
            <w:pPr>
              <w:spacing w:after="0"/>
              <w:rPr>
                <w:sz w:val="20"/>
                <w:szCs w:val="20"/>
                <w:color w:val="auto"/>
              </w:rPr>
            </w:pPr>
            <w:r>
              <w:rPr>
                <w:rFonts w:ascii="Arial" w:cs="Arial" w:eastAsia="Arial" w:hAnsi="Arial"/>
                <w:sz w:val="18"/>
                <w:szCs w:val="18"/>
                <w:color w:val="auto"/>
              </w:rPr>
              <w:t>Total assets</w:t>
            </w:r>
          </w:p>
        </w:tc>
        <w:tc>
          <w:tcPr>
            <w:tcW w:w="1340" w:type="dxa"/>
            <w:vAlign w:val="bottom"/>
            <w:gridSpan w:val="2"/>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560" w:type="dxa"/>
            <w:vAlign w:val="bottom"/>
          </w:tcPr>
          <w:p>
            <w:pPr>
              <w:jc w:val="right"/>
              <w:spacing w:after="0"/>
              <w:rPr>
                <w:sz w:val="20"/>
                <w:szCs w:val="20"/>
                <w:color w:val="auto"/>
              </w:rPr>
            </w:pPr>
            <w:r>
              <w:rPr>
                <w:rFonts w:ascii="Arial" w:cs="Arial" w:eastAsia="Arial" w:hAnsi="Arial"/>
                <w:sz w:val="18"/>
                <w:szCs w:val="18"/>
                <w:color w:val="auto"/>
                <w:w w:val="82"/>
              </w:rPr>
              <w:t>271,860</w:t>
            </w:r>
          </w:p>
        </w:tc>
        <w:tc>
          <w:tcPr>
            <w:tcW w:w="5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7"/>
              </w:rPr>
              <w:t>1,398,215</w:t>
            </w:r>
          </w:p>
        </w:tc>
        <w:tc>
          <w:tcPr>
            <w:tcW w:w="5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860" w:type="dxa"/>
            <w:vAlign w:val="bottom"/>
            <w:gridSpan w:val="2"/>
          </w:tcPr>
          <w:p>
            <w:pPr>
              <w:spacing w:after="0"/>
              <w:rPr>
                <w:sz w:val="20"/>
                <w:szCs w:val="20"/>
                <w:color w:val="auto"/>
              </w:rPr>
            </w:pPr>
            <w:r>
              <w:rPr>
                <w:rFonts w:ascii="Arial" w:cs="Arial" w:eastAsia="Arial" w:hAnsi="Arial"/>
                <w:sz w:val="18"/>
                <w:szCs w:val="18"/>
                <w:color w:val="auto"/>
              </w:rPr>
              <w:t>10,111</w:t>
            </w:r>
          </w:p>
        </w:tc>
        <w:tc>
          <w:tcPr>
            <w:tcW w:w="14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1,680,186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4080" w:type="dxa"/>
            <w:vAlign w:val="bottom"/>
            <w:shd w:val="clear" w:color="auto" w:fill="CCEEFF"/>
          </w:tcPr>
          <w:p>
            <w:pPr>
              <w:spacing w:after="0"/>
              <w:rPr>
                <w:sz w:val="20"/>
                <w:szCs w:val="20"/>
                <w:color w:val="auto"/>
              </w:rPr>
            </w:pPr>
            <w:r>
              <w:rPr>
                <w:rFonts w:ascii="Arial" w:cs="Arial" w:eastAsia="Arial" w:hAnsi="Arial"/>
                <w:sz w:val="18"/>
                <w:szCs w:val="18"/>
                <w:color w:val="auto"/>
              </w:rPr>
              <w:t>Liabilities</w:t>
            </w:r>
          </w:p>
        </w:tc>
        <w:tc>
          <w:tcPr>
            <w:tcW w:w="1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Arial" w:cs="Arial" w:eastAsia="Arial" w:hAnsi="Arial"/>
                <w:sz w:val="18"/>
                <w:szCs w:val="18"/>
                <w:color w:val="auto"/>
              </w:rPr>
              <w:t>Accrued liabilities:</w:t>
            </w:r>
          </w:p>
        </w:tc>
        <w:tc>
          <w:tcPr>
            <w:tcW w:w="1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Foreign currency forward contracts</w:t>
            </w:r>
          </w:p>
        </w:tc>
        <w:tc>
          <w:tcPr>
            <w:tcW w:w="134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w:t>
            </w:r>
          </w:p>
        </w:tc>
        <w:tc>
          <w:tcPr>
            <w:tcW w:w="5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6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rPr>
              <w:t>—</w:t>
            </w:r>
          </w:p>
        </w:tc>
        <w:tc>
          <w:tcPr>
            <w:tcW w:w="1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1240" w:type="dxa"/>
            <w:vAlign w:val="bottom"/>
            <w:vMerge w:val="restart"/>
          </w:tcPr>
          <w:p>
            <w:pPr>
              <w:jc w:val="right"/>
              <w:ind w:right="352"/>
              <w:spacing w:after="0"/>
              <w:rPr>
                <w:sz w:val="20"/>
                <w:szCs w:val="20"/>
                <w:color w:val="auto"/>
              </w:rPr>
            </w:pPr>
            <w:r>
              <w:rPr>
                <w:rFonts w:ascii="Arial" w:cs="Arial" w:eastAsia="Arial" w:hAnsi="Arial"/>
                <w:sz w:val="18"/>
                <w:szCs w:val="18"/>
                <w:color w:val="auto"/>
              </w:rPr>
              <w:t>16</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4080" w:type="dxa"/>
            <w:vAlign w:val="bottom"/>
          </w:tcPr>
          <w:p>
            <w:pPr>
              <w:spacing w:after="0"/>
              <w:rPr>
                <w:sz w:val="24"/>
                <w:szCs w:val="24"/>
                <w:color w:val="auto"/>
              </w:rPr>
            </w:pPr>
          </w:p>
        </w:tc>
        <w:tc>
          <w:tcPr>
            <w:tcW w:w="124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000"/>
          </w:cols>
          <w:pgMar w:left="240" w:top="459" w:right="6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7"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440" w:type="dxa"/>
            <w:vAlign w:val="bottom"/>
            <w:gridSpan w:val="16"/>
          </w:tcPr>
          <w:p>
            <w:pPr>
              <w:spacing w:after="0"/>
              <w:rPr>
                <w:sz w:val="20"/>
                <w:szCs w:val="20"/>
                <w:color w:val="auto"/>
              </w:rPr>
            </w:pPr>
            <w:r>
              <w:rPr>
                <w:rFonts w:ascii="Arial" w:cs="Arial" w:eastAsia="Arial" w:hAnsi="Arial"/>
                <w:sz w:val="14"/>
                <w:szCs w:val="14"/>
                <w:b w:val="1"/>
                <w:bCs w:val="1"/>
                <w:color w:val="auto"/>
              </w:rPr>
              <w:t>Fair Value Measurements at January 31, 2015</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54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jc w:val="right"/>
              <w:ind w:right="54"/>
              <w:spacing w:after="0" w:line="142" w:lineRule="exact"/>
              <w:rPr>
                <w:sz w:val="20"/>
                <w:szCs w:val="20"/>
                <w:color w:val="auto"/>
              </w:rPr>
            </w:pPr>
            <w:r>
              <w:rPr>
                <w:rFonts w:ascii="Arial" w:cs="Arial" w:eastAsia="Arial" w:hAnsi="Arial"/>
                <w:sz w:val="14"/>
                <w:szCs w:val="14"/>
                <w:b w:val="1"/>
                <w:bCs w:val="1"/>
                <w:color w:val="auto"/>
                <w:w w:val="88"/>
              </w:rPr>
              <w:t>Level 1</w:t>
            </w:r>
          </w:p>
        </w:tc>
        <w:tc>
          <w:tcPr>
            <w:tcW w:w="38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1000" w:type="dxa"/>
            <w:vAlign w:val="bottom"/>
            <w:tcBorders>
              <w:top w:val="single" w:sz="8" w:color="auto"/>
            </w:tcBorders>
            <w:gridSpan w:val="5"/>
          </w:tcPr>
          <w:p>
            <w:pPr>
              <w:jc w:val="right"/>
              <w:ind w:right="520"/>
              <w:spacing w:after="0" w:line="142" w:lineRule="exact"/>
              <w:rPr>
                <w:sz w:val="20"/>
                <w:szCs w:val="20"/>
                <w:color w:val="auto"/>
              </w:rPr>
            </w:pPr>
            <w:r>
              <w:rPr>
                <w:rFonts w:ascii="Arial" w:cs="Arial" w:eastAsia="Arial" w:hAnsi="Arial"/>
                <w:sz w:val="14"/>
                <w:szCs w:val="14"/>
                <w:b w:val="1"/>
                <w:bCs w:val="1"/>
                <w:color w:val="auto"/>
                <w:w w:val="96"/>
              </w:rPr>
              <w:t>Level 2</w:t>
            </w:r>
          </w:p>
        </w:tc>
        <w:tc>
          <w:tcPr>
            <w:tcW w:w="60" w:type="dxa"/>
            <w:vAlign w:val="bottom"/>
            <w:tcBorders>
              <w:top w:val="single" w:sz="8" w:color="auto"/>
            </w:tcBorders>
          </w:tcPr>
          <w:p>
            <w:pPr>
              <w:spacing w:after="0"/>
              <w:rPr>
                <w:sz w:val="12"/>
                <w:szCs w:val="12"/>
                <w:color w:val="auto"/>
              </w:rPr>
            </w:pPr>
          </w:p>
        </w:tc>
        <w:tc>
          <w:tcPr>
            <w:tcW w:w="960" w:type="dxa"/>
            <w:vAlign w:val="bottom"/>
            <w:tcBorders>
              <w:top w:val="single" w:sz="8" w:color="auto"/>
            </w:tcBorders>
            <w:gridSpan w:val="5"/>
          </w:tcPr>
          <w:p>
            <w:pPr>
              <w:jc w:val="right"/>
              <w:ind w:right="460"/>
              <w:spacing w:after="0" w:line="142" w:lineRule="exact"/>
              <w:rPr>
                <w:sz w:val="20"/>
                <w:szCs w:val="20"/>
                <w:color w:val="auto"/>
              </w:rPr>
            </w:pPr>
            <w:r>
              <w:rPr>
                <w:rFonts w:ascii="Arial" w:cs="Arial" w:eastAsia="Arial" w:hAnsi="Arial"/>
                <w:sz w:val="14"/>
                <w:szCs w:val="14"/>
                <w:b w:val="1"/>
                <w:bCs w:val="1"/>
                <w:color w:val="auto"/>
              </w:rPr>
              <w:t>Level 3</w:t>
            </w:r>
          </w:p>
        </w:tc>
        <w:tc>
          <w:tcPr>
            <w:tcW w:w="10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jc w:val="right"/>
              <w:ind w:right="154"/>
              <w:spacing w:after="0" w:line="142" w:lineRule="exact"/>
              <w:rPr>
                <w:sz w:val="20"/>
                <w:szCs w:val="20"/>
                <w:color w:val="auto"/>
              </w:rPr>
            </w:pPr>
            <w:r>
              <w:rPr>
                <w:rFonts w:ascii="Arial" w:cs="Arial" w:eastAsia="Arial" w:hAnsi="Arial"/>
                <w:sz w:val="14"/>
                <w:szCs w:val="14"/>
                <w:b w:val="1"/>
                <w:bCs w:val="1"/>
                <w:color w:val="auto"/>
              </w:rPr>
              <w:t>Total</w:t>
            </w: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6340" w:type="dxa"/>
            <w:vAlign w:val="bottom"/>
            <w:tcBorders>
              <w:top w:val="single" w:sz="8" w:color="CCEEFF"/>
            </w:tcBorders>
            <w:gridSpan w:val="2"/>
            <w:shd w:val="clear" w:color="auto" w:fill="CCEEFF"/>
          </w:tcPr>
          <w:p>
            <w:pPr>
              <w:spacing w:after="0" w:line="196" w:lineRule="exact"/>
              <w:rPr>
                <w:sz w:val="20"/>
                <w:szCs w:val="20"/>
                <w:color w:val="auto"/>
              </w:rPr>
            </w:pPr>
            <w:r>
              <w:rPr>
                <w:rFonts w:ascii="Arial" w:cs="Arial" w:eastAsia="Arial" w:hAnsi="Arial"/>
                <w:sz w:val="18"/>
                <w:szCs w:val="18"/>
                <w:color w:val="auto"/>
              </w:rPr>
              <w:t>Items measured at fair value on a recurring basis:</w:t>
            </w:r>
          </w:p>
        </w:tc>
        <w:tc>
          <w:tcPr>
            <w:tcW w:w="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340" w:type="dxa"/>
            <w:vAlign w:val="bottom"/>
            <w:tcBorders>
              <w:top w:val="single" w:sz="8" w:color="auto"/>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320" w:type="dxa"/>
            <w:vAlign w:val="bottom"/>
            <w:tcBorders>
              <w:top w:val="single" w:sz="8" w:color="auto"/>
            </w:tcBorders>
            <w:shd w:val="clear" w:color="auto" w:fill="CCEEFF"/>
          </w:tcPr>
          <w:p>
            <w:pPr>
              <w:spacing w:after="0"/>
              <w:rPr>
                <w:sz w:val="17"/>
                <w:szCs w:val="17"/>
                <w:color w:val="auto"/>
              </w:rPr>
            </w:pPr>
          </w:p>
        </w:tc>
        <w:tc>
          <w:tcPr>
            <w:tcW w:w="26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spacing w:after="0"/>
              <w:rPr>
                <w:sz w:val="20"/>
                <w:szCs w:val="20"/>
                <w:color w:val="auto"/>
              </w:rPr>
            </w:pPr>
            <w:r>
              <w:rPr>
                <w:rFonts w:ascii="Arial" w:cs="Arial" w:eastAsia="Arial" w:hAnsi="Arial"/>
                <w:sz w:val="18"/>
                <w:szCs w:val="18"/>
                <w:color w:val="auto"/>
              </w:rPr>
              <w:t>Assets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Cash equivalents: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Money market funds</w:t>
            </w:r>
          </w:p>
        </w:tc>
        <w:tc>
          <w:tcPr>
            <w:tcW w:w="120" w:type="dxa"/>
            <w:vAlign w:val="bottom"/>
            <w:gridSpan w:val="2"/>
          </w:tcPr>
          <w:p>
            <w:pPr>
              <w:jc w:val="right"/>
              <w:ind w:right="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111,286</w:t>
            </w:r>
          </w:p>
        </w:tc>
        <w:tc>
          <w:tcPr>
            <w:tcW w:w="5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gridSpan w:val="3"/>
          </w:tcPr>
          <w:p>
            <w:pPr>
              <w:ind w:left="80"/>
              <w:spacing w:after="0"/>
              <w:rPr>
                <w:sz w:val="20"/>
                <w:szCs w:val="20"/>
                <w:color w:val="auto"/>
              </w:rPr>
            </w:pPr>
            <w:r>
              <w:rPr>
                <w:rFonts w:ascii="Arial" w:cs="Arial" w:eastAsia="Arial" w:hAnsi="Arial"/>
                <w:sz w:val="18"/>
                <w:szCs w:val="18"/>
                <w:color w:val="auto"/>
              </w:rPr>
              <w:t>—</w:t>
            </w:r>
          </w:p>
        </w:tc>
        <w:tc>
          <w:tcPr>
            <w:tcW w:w="140" w:type="dxa"/>
            <w:vAlign w:val="bottom"/>
            <w:gridSpan w:val="2"/>
          </w:tcPr>
          <w:p>
            <w:pPr>
              <w:ind w:left="60"/>
              <w:spacing w:after="0"/>
              <w:rPr>
                <w:sz w:val="20"/>
                <w:szCs w:val="20"/>
                <w:color w:val="auto"/>
              </w:rPr>
            </w:pPr>
            <w:r>
              <w:rPr>
                <w:rFonts w:ascii="Arial" w:cs="Arial" w:eastAsia="Arial" w:hAnsi="Arial"/>
                <w:sz w:val="15"/>
                <w:szCs w:val="15"/>
                <w:color w:val="auto"/>
                <w:w w:val="71"/>
              </w:rPr>
              <w:t>$</w:t>
            </w: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111,286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Time deposits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213,012</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213,012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21,999</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21,999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Short-term investments: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U.S. government and agency debt</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179,156</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gridSpan w:val="3"/>
          </w:tcPr>
          <w:p>
            <w:pPr>
              <w:ind w:left="8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179,156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Corporate debt securities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w w:val="98"/>
              </w:rPr>
              <w:t>986,317</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986,317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Asset backed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91,531</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91,531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ind w:left="420"/>
              <w:spacing w:after="0"/>
              <w:rPr>
                <w:sz w:val="20"/>
                <w:szCs w:val="20"/>
                <w:color w:val="auto"/>
              </w:rPr>
            </w:pPr>
            <w:r>
              <w:rPr>
                <w:rFonts w:ascii="Arial" w:cs="Arial" w:eastAsia="Arial" w:hAnsi="Arial"/>
                <w:sz w:val="18"/>
                <w:szCs w:val="18"/>
                <w:color w:val="auto"/>
              </w:rPr>
              <w:t>Foreign government and agency debt</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28,110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700" w:type="dxa"/>
            <w:vAlign w:val="bottom"/>
            <w:gridSpan w:val="3"/>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28,110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Municipal debt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33,464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33,464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Prepaid expenses and other current assets: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124</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Long-term investments: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Auction rate securities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gridSpan w:val="3"/>
          </w:tcPr>
          <w:p>
            <w:pPr>
              <w:ind w:left="8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60" w:type="dxa"/>
            <w:vAlign w:val="bottom"/>
            <w:gridSpan w:val="3"/>
          </w:tcPr>
          <w:p>
            <w:pPr>
              <w:jc w:val="right"/>
              <w:ind w:right="260"/>
              <w:spacing w:after="0"/>
              <w:rPr>
                <w:sz w:val="20"/>
                <w:szCs w:val="20"/>
                <w:color w:val="auto"/>
              </w:rPr>
            </w:pPr>
            <w:r>
              <w:rPr>
                <w:rFonts w:ascii="Arial" w:cs="Arial" w:eastAsia="Arial" w:hAnsi="Arial"/>
                <w:sz w:val="18"/>
                <w:szCs w:val="18"/>
                <w:color w:val="auto"/>
                <w:w w:val="87"/>
              </w:rPr>
              <w:t>10,226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10,226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Other non-current assets: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Severance pay fund</w:t>
            </w:r>
          </w:p>
        </w:tc>
        <w:tc>
          <w:tcPr>
            <w:tcW w:w="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ind w:right="14"/>
              <w:spacing w:after="0"/>
              <w:rPr>
                <w:sz w:val="20"/>
                <w:szCs w:val="20"/>
                <w:color w:val="auto"/>
              </w:rPr>
            </w:pPr>
            <w:r>
              <w:rPr>
                <w:rFonts w:ascii="Arial" w:cs="Arial" w:eastAsia="Arial" w:hAnsi="Arial"/>
                <w:sz w:val="18"/>
                <w:szCs w:val="18"/>
                <w:color w:val="auto"/>
              </w:rPr>
              <w:t>—</w:t>
            </w:r>
          </w:p>
        </w:tc>
        <w:tc>
          <w:tcPr>
            <w:tcW w:w="38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660" w:type="dxa"/>
            <w:vAlign w:val="bottom"/>
            <w:tcBorders>
              <w:bottom w:val="single" w:sz="8" w:color="auto"/>
            </w:tcBorders>
            <w:gridSpan w:val="3"/>
          </w:tcPr>
          <w:p>
            <w:pPr>
              <w:jc w:val="right"/>
              <w:spacing w:after="0"/>
              <w:rPr>
                <w:sz w:val="20"/>
                <w:szCs w:val="20"/>
                <w:color w:val="auto"/>
              </w:rPr>
            </w:pPr>
            <w:r>
              <w:rPr>
                <w:rFonts w:ascii="Arial" w:cs="Arial" w:eastAsia="Arial" w:hAnsi="Arial"/>
                <w:sz w:val="18"/>
                <w:szCs w:val="18"/>
                <w:color w:val="auto"/>
              </w:rPr>
              <w:t>1,758</w:t>
            </w:r>
          </w:p>
        </w:tc>
        <w:tc>
          <w:tcPr>
            <w:tcW w:w="2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380" w:type="dxa"/>
            <w:vAlign w:val="bottom"/>
            <w:gridSpan w:val="2"/>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1,758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 assets</w:t>
            </w:r>
          </w:p>
        </w:tc>
        <w:tc>
          <w:tcPr>
            <w:tcW w:w="12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290,442</w:t>
            </w:r>
          </w:p>
        </w:tc>
        <w:tc>
          <w:tcPr>
            <w:tcW w:w="1180" w:type="dxa"/>
            <w:vAlign w:val="bottom"/>
            <w:gridSpan w:val="5"/>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1,376,315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5"/>
            <w:shd w:val="clear" w:color="auto" w:fill="CCEEFF"/>
          </w:tcPr>
          <w:p>
            <w:pPr>
              <w:ind w:left="60"/>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10,226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7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1,676,983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gridSpan w:val="3"/>
            <w:vMerge w:val="restart"/>
          </w:tcPr>
          <w:p>
            <w:pPr>
              <w:spacing w:after="0"/>
              <w:rPr>
                <w:sz w:val="20"/>
                <w:szCs w:val="20"/>
                <w:color w:val="auto"/>
              </w:rPr>
            </w:pPr>
            <w:r>
              <w:rPr>
                <w:rFonts w:ascii="Arial" w:cs="Arial" w:eastAsia="Arial" w:hAnsi="Arial"/>
                <w:sz w:val="18"/>
                <w:szCs w:val="18"/>
                <w:color w:val="auto"/>
              </w:rPr>
              <w:t>Liabilities</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6360" w:type="dxa"/>
            <w:vAlign w:val="bottom"/>
            <w:gridSpan w:val="3"/>
            <w:vMerge w:val="continue"/>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63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Accrued liabilities:</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340" w:type="dxa"/>
            <w:vAlign w:val="bottom"/>
            <w:gridSpan w:val="2"/>
          </w:tcPr>
          <w:p>
            <w:pPr>
              <w:ind w:left="420"/>
              <w:spacing w:after="0"/>
              <w:rPr>
                <w:sz w:val="20"/>
                <w:szCs w:val="20"/>
                <w:color w:val="auto"/>
              </w:rPr>
            </w:pPr>
            <w:r>
              <w:rPr>
                <w:rFonts w:ascii="Arial" w:cs="Arial" w:eastAsia="Arial" w:hAnsi="Arial"/>
                <w:sz w:val="18"/>
                <w:szCs w:val="18"/>
                <w:color w:val="auto"/>
              </w:rPr>
              <w:t>Foreign currency forward contracts</w:t>
            </w:r>
          </w:p>
        </w:tc>
        <w:tc>
          <w:tcPr>
            <w:tcW w:w="120" w:type="dxa"/>
            <w:vAlign w:val="bottom"/>
            <w:gridSpan w:val="2"/>
          </w:tcPr>
          <w:p>
            <w:pPr>
              <w:jc w:val="right"/>
              <w:ind w:right="20"/>
              <w:spacing w:after="0"/>
              <w:rPr>
                <w:sz w:val="20"/>
                <w:szCs w:val="20"/>
                <w:color w:val="auto"/>
              </w:rPr>
            </w:pPr>
            <w:r>
              <w:rPr>
                <w:rFonts w:ascii="Arial" w:cs="Arial" w:eastAsia="Arial" w:hAnsi="Arial"/>
                <w:sz w:val="18"/>
                <w:szCs w:val="18"/>
                <w:color w:val="auto"/>
                <w:w w:val="79"/>
              </w:rPr>
              <w:t>$</w:t>
            </w:r>
          </w:p>
        </w:tc>
        <w:tc>
          <w:tcPr>
            <w:tcW w:w="580" w:type="dxa"/>
            <w:vAlign w:val="bottom"/>
          </w:tcPr>
          <w:p>
            <w:pPr>
              <w:jc w:val="right"/>
              <w:ind w:right="14"/>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ind w:right="40"/>
              <w:spacing w:after="0"/>
              <w:rPr>
                <w:sz w:val="20"/>
                <w:szCs w:val="20"/>
                <w:color w:val="auto"/>
              </w:rPr>
            </w:pPr>
            <w:r>
              <w:rPr>
                <w:rFonts w:ascii="Arial" w:cs="Arial" w:eastAsia="Arial" w:hAnsi="Arial"/>
                <w:sz w:val="18"/>
                <w:szCs w:val="18"/>
                <w:color w:val="auto"/>
              </w:rPr>
              <w:t>$</w:t>
            </w:r>
          </w:p>
        </w:tc>
        <w:tc>
          <w:tcPr>
            <w:tcW w:w="660" w:type="dxa"/>
            <w:vAlign w:val="bottom"/>
            <w:gridSpan w:val="3"/>
          </w:tcPr>
          <w:p>
            <w:pPr>
              <w:jc w:val="right"/>
              <w:spacing w:after="0"/>
              <w:rPr>
                <w:sz w:val="20"/>
                <w:szCs w:val="20"/>
                <w:color w:val="auto"/>
              </w:rPr>
            </w:pPr>
            <w:r>
              <w:rPr>
                <w:rFonts w:ascii="Arial" w:cs="Arial" w:eastAsia="Arial" w:hAnsi="Arial"/>
                <w:sz w:val="18"/>
                <w:szCs w:val="18"/>
                <w:color w:val="auto"/>
              </w:rPr>
              <w:t>1,379</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0" w:type="dxa"/>
            <w:vAlign w:val="bottom"/>
            <w:gridSpan w:val="2"/>
          </w:tcPr>
          <w:p>
            <w:pPr>
              <w:ind w:left="60"/>
              <w:spacing w:after="0"/>
              <w:rPr>
                <w:sz w:val="20"/>
                <w:szCs w:val="20"/>
                <w:color w:val="auto"/>
              </w:rPr>
            </w:pPr>
            <w:r>
              <w:rPr>
                <w:rFonts w:ascii="Arial" w:cs="Arial" w:eastAsia="Arial" w:hAnsi="Arial"/>
                <w:sz w:val="15"/>
                <w:szCs w:val="15"/>
                <w:color w:val="auto"/>
                <w:w w:val="71"/>
              </w:rPr>
              <w:t>$</w:t>
            </w:r>
          </w:p>
        </w:tc>
        <w:tc>
          <w:tcPr>
            <w:tcW w:w="180" w:type="dxa"/>
            <w:vAlign w:val="bottom"/>
          </w:tcPr>
          <w:p>
            <w:pPr>
              <w:spacing w:after="0"/>
              <w:rPr>
                <w:sz w:val="18"/>
                <w:szCs w:val="18"/>
                <w:color w:val="auto"/>
              </w:rPr>
            </w:pPr>
          </w:p>
        </w:tc>
        <w:tc>
          <w:tcPr>
            <w:tcW w:w="700" w:type="dxa"/>
            <w:vAlign w:val="bottom"/>
            <w:gridSpan w:val="3"/>
          </w:tcPr>
          <w:p>
            <w:pPr>
              <w:jc w:val="right"/>
              <w:ind w:right="460"/>
              <w:spacing w:after="0"/>
              <w:rPr>
                <w:sz w:val="20"/>
                <w:szCs w:val="20"/>
                <w:color w:val="auto"/>
              </w:rPr>
            </w:pPr>
            <w:r>
              <w:rPr>
                <w:rFonts w:ascii="Arial" w:cs="Arial" w:eastAsia="Arial" w:hAnsi="Arial"/>
                <w:sz w:val="18"/>
                <w:szCs w:val="18"/>
                <w:color w:val="auto"/>
              </w:rPr>
              <w:t>—</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1,379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360" w:type="dxa"/>
            <w:vAlign w:val="bottom"/>
            <w:gridSpan w:val="3"/>
            <w:vMerge w:val="restart"/>
          </w:tcPr>
          <w:p>
            <w:pPr>
              <w:spacing w:after="0"/>
              <w:rPr>
                <w:sz w:val="20"/>
                <w:szCs w:val="20"/>
                <w:color w:val="auto"/>
              </w:rPr>
            </w:pPr>
            <w:r>
              <w:rPr>
                <w:rFonts w:ascii="Arial" w:cs="Arial" w:eastAsia="Arial" w:hAnsi="Arial"/>
                <w:sz w:val="18"/>
                <w:szCs w:val="18"/>
                <w:color w:val="auto"/>
                <w:w w:val="88"/>
              </w:rPr>
              <w:t>The following table summarizes the change in fair value for Level 3 assets (in thousands):</w:t>
            </w:r>
          </w:p>
        </w:tc>
        <w:tc>
          <w:tcPr>
            <w:tcW w:w="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70"/>
        </w:trPr>
        <w:tc>
          <w:tcPr>
            <w:tcW w:w="6360" w:type="dxa"/>
            <w:vAlign w:val="bottom"/>
            <w:gridSpan w:val="3"/>
            <w:vMerge w:val="continue"/>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54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700" w:type="dxa"/>
            <w:vAlign w:val="bottom"/>
            <w:gridSpan w:val="9"/>
          </w:tcPr>
          <w:p>
            <w:pPr>
              <w:ind w:left="180"/>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4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80" w:type="dxa"/>
            <w:vAlign w:val="bottom"/>
            <w:tcBorders>
              <w:top w:val="single" w:sz="8" w:color="auto"/>
            </w:tcBorders>
            <w:gridSpan w:val="3"/>
          </w:tcPr>
          <w:p>
            <w:pPr>
              <w:ind w:left="80"/>
              <w:spacing w:after="0" w:line="129" w:lineRule="exact"/>
              <w:rPr>
                <w:sz w:val="20"/>
                <w:szCs w:val="20"/>
                <w:color w:val="auto"/>
              </w:rPr>
            </w:pPr>
            <w:r>
              <w:rPr>
                <w:rFonts w:ascii="Arial" w:cs="Arial" w:eastAsia="Arial" w:hAnsi="Arial"/>
                <w:sz w:val="14"/>
                <w:szCs w:val="14"/>
                <w:b w:val="1"/>
                <w:bCs w:val="1"/>
                <w:color w:val="auto"/>
              </w:rPr>
              <w:t>May 2,</w:t>
            </w:r>
          </w:p>
        </w:tc>
        <w:tc>
          <w:tcPr>
            <w:tcW w:w="6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gridSpan w:val="2"/>
          </w:tcPr>
          <w:p>
            <w:pPr>
              <w:jc w:val="right"/>
              <w:ind w:right="100"/>
              <w:spacing w:after="0" w:line="129" w:lineRule="exact"/>
              <w:rPr>
                <w:sz w:val="20"/>
                <w:szCs w:val="20"/>
                <w:color w:val="auto"/>
              </w:rPr>
            </w:pPr>
            <w:r>
              <w:rPr>
                <w:rFonts w:ascii="Arial" w:cs="Arial" w:eastAsia="Arial" w:hAnsi="Arial"/>
                <w:sz w:val="14"/>
                <w:szCs w:val="14"/>
                <w:b w:val="1"/>
                <w:bCs w:val="1"/>
                <w:color w:val="auto"/>
              </w:rPr>
              <w:t>May 3,</w:t>
            </w:r>
          </w:p>
        </w:tc>
        <w:tc>
          <w:tcPr>
            <w:tcW w:w="1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4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00" w:type="dxa"/>
            <w:vAlign w:val="bottom"/>
            <w:gridSpan w:val="4"/>
          </w:tcPr>
          <w:p>
            <w:pPr>
              <w:jc w:val="right"/>
              <w:ind w:right="160"/>
              <w:spacing w:after="0"/>
              <w:rPr>
                <w:sz w:val="20"/>
                <w:szCs w:val="20"/>
                <w:color w:val="auto"/>
              </w:rPr>
            </w:pPr>
            <w:r>
              <w:rPr>
                <w:rFonts w:ascii="Arial" w:cs="Arial" w:eastAsia="Arial" w:hAnsi="Arial"/>
                <w:sz w:val="14"/>
                <w:szCs w:val="14"/>
                <w:b w:val="1"/>
                <w:bCs w:val="1"/>
                <w:color w:val="auto"/>
              </w:rPr>
              <w:t>2015</w:t>
            </w: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6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2014</w:t>
            </w:r>
          </w:p>
        </w:tc>
        <w:tc>
          <w:tcPr>
            <w:tcW w:w="1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4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Beginning balance</w:t>
            </w:r>
          </w:p>
        </w:tc>
        <w:tc>
          <w:tcPr>
            <w:tcW w:w="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3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320" w:type="dxa"/>
            <w:vAlign w:val="bottom"/>
            <w:tcBorders>
              <w:top w:val="single" w:sz="8" w:color="CCEEFF"/>
            </w:tcBorders>
            <w:gridSpan w:val="2"/>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ind w:right="20"/>
              <w:spacing w:after="0"/>
              <w:rPr>
                <w:sz w:val="20"/>
                <w:szCs w:val="20"/>
                <w:color w:val="auto"/>
              </w:rPr>
            </w:pPr>
            <w:r>
              <w:rPr>
                <w:rFonts w:ascii="Arial" w:cs="Arial" w:eastAsia="Arial" w:hAnsi="Arial"/>
                <w:sz w:val="18"/>
                <w:szCs w:val="18"/>
                <w:color w:val="auto"/>
                <w:w w:val="82"/>
              </w:rPr>
              <w:t>$10,226</w:t>
            </w:r>
          </w:p>
        </w:tc>
        <w:tc>
          <w:tcPr>
            <w:tcW w:w="10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shd w:val="clear" w:color="auto" w:fill="CCEEFF"/>
          </w:tcPr>
          <w:p>
            <w:pPr>
              <w:spacing w:after="0"/>
              <w:rPr>
                <w:sz w:val="18"/>
                <w:szCs w:val="18"/>
                <w:color w:val="auto"/>
              </w:rPr>
            </w:pPr>
          </w:p>
        </w:tc>
        <w:tc>
          <w:tcPr>
            <w:tcW w:w="18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Arial" w:cs="Arial" w:eastAsia="Arial" w:hAnsi="Arial"/>
                <w:sz w:val="18"/>
                <w:szCs w:val="18"/>
                <w:color w:val="auto"/>
                <w:w w:val="86"/>
              </w:rPr>
              <w:t>$16,279</w:t>
            </w: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440" w:type="dxa"/>
            <w:vAlign w:val="bottom"/>
          </w:tcPr>
          <w:p>
            <w:pPr>
              <w:spacing w:after="0"/>
              <w:rPr>
                <w:sz w:val="20"/>
                <w:szCs w:val="20"/>
                <w:color w:val="auto"/>
              </w:rPr>
            </w:pPr>
            <w:r>
              <w:rPr>
                <w:rFonts w:ascii="Arial" w:cs="Arial" w:eastAsia="Arial" w:hAnsi="Arial"/>
                <w:sz w:val="18"/>
                <w:szCs w:val="18"/>
                <w:color w:val="auto"/>
              </w:rPr>
              <w:t>Sales and redemptions</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680" w:type="dxa"/>
            <w:vAlign w:val="bottom"/>
            <w:gridSpan w:val="3"/>
          </w:tcPr>
          <w:p>
            <w:pPr>
              <w:ind w:left="300"/>
              <w:spacing w:after="0"/>
              <w:rPr>
                <w:sz w:val="20"/>
                <w:szCs w:val="20"/>
                <w:color w:val="auto"/>
              </w:rPr>
            </w:pPr>
            <w:r>
              <w:rPr>
                <w:rFonts w:ascii="Arial" w:cs="Arial" w:eastAsia="Arial" w:hAnsi="Arial"/>
                <w:sz w:val="18"/>
                <w:szCs w:val="18"/>
                <w:color w:val="auto"/>
              </w:rPr>
              <w:t>—</w:t>
            </w: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80" w:type="dxa"/>
            <w:vAlign w:val="bottom"/>
            <w:gridSpan w:val="4"/>
          </w:tcPr>
          <w:p>
            <w:pPr>
              <w:jc w:val="right"/>
              <w:ind w:right="60"/>
              <w:spacing w:after="0"/>
              <w:rPr>
                <w:sz w:val="20"/>
                <w:szCs w:val="20"/>
                <w:color w:val="auto"/>
              </w:rPr>
            </w:pPr>
            <w:r>
              <w:rPr>
                <w:rFonts w:ascii="Arial" w:cs="Arial" w:eastAsia="Arial" w:hAnsi="Arial"/>
                <w:sz w:val="18"/>
                <w:szCs w:val="18"/>
                <w:color w:val="auto"/>
              </w:rPr>
              <w:t>(3,000)</w:t>
            </w: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440" w:type="dxa"/>
            <w:vAlign w:val="bottom"/>
            <w:shd w:val="clear" w:color="auto" w:fill="CCEEFF"/>
          </w:tcPr>
          <w:p>
            <w:pPr>
              <w:spacing w:after="0"/>
              <w:rPr>
                <w:sz w:val="20"/>
                <w:szCs w:val="20"/>
                <w:color w:val="auto"/>
              </w:rPr>
            </w:pPr>
            <w:r>
              <w:rPr>
                <w:rFonts w:ascii="Arial" w:cs="Arial" w:eastAsia="Arial" w:hAnsi="Arial"/>
                <w:sz w:val="18"/>
                <w:szCs w:val="18"/>
                <w:color w:val="auto"/>
                <w:w w:val="94"/>
              </w:rPr>
              <w:t>Unrealized losses included in accumulated other comprehensive income</w:t>
            </w: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spacing w:after="0"/>
              <w:rPr>
                <w:sz w:val="18"/>
                <w:szCs w:val="18"/>
                <w:color w:val="auto"/>
              </w:rPr>
            </w:pPr>
          </w:p>
        </w:tc>
        <w:tc>
          <w:tcPr>
            <w:tcW w:w="68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(115)</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60" w:type="dxa"/>
            <w:vAlign w:val="bottom"/>
            <w:gridSpan w:val="3"/>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120" w:type="dxa"/>
            <w:vAlign w:val="bottom"/>
            <w:shd w:val="clear" w:color="auto" w:fill="CCEEFF"/>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340" w:type="dxa"/>
            <w:vAlign w:val="bottom"/>
            <w:gridSpan w:val="2"/>
            <w:vMerge w:val="restart"/>
          </w:tcPr>
          <w:p>
            <w:pPr>
              <w:ind w:left="900"/>
              <w:spacing w:after="0"/>
              <w:rPr>
                <w:sz w:val="20"/>
                <w:szCs w:val="20"/>
                <w:color w:val="auto"/>
              </w:rPr>
            </w:pPr>
            <w:r>
              <w:rPr>
                <w:rFonts w:ascii="Arial" w:cs="Arial" w:eastAsia="Arial" w:hAnsi="Arial"/>
                <w:sz w:val="18"/>
                <w:szCs w:val="18"/>
                <w:color w:val="auto"/>
              </w:rPr>
              <w:t>Ending balance</w:t>
            </w: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580" w:type="dxa"/>
            <w:vAlign w:val="bottom"/>
            <w:gridSpan w:val="2"/>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0" w:type="dxa"/>
            <w:vAlign w:val="bottom"/>
          </w:tcPr>
          <w:p>
            <w:pPr>
              <w:spacing w:after="0"/>
              <w:rPr>
                <w:sz w:val="19"/>
                <w:szCs w:val="19"/>
                <w:color w:val="auto"/>
              </w:rPr>
            </w:pPr>
          </w:p>
        </w:tc>
        <w:tc>
          <w:tcPr>
            <w:tcW w:w="6340" w:type="dxa"/>
            <w:vAlign w:val="bottom"/>
            <w:gridSpan w:val="2"/>
            <w:vMerge w:val="continue"/>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00" w:type="dxa"/>
            <w:vAlign w:val="bottom"/>
            <w:gridSpan w:val="4"/>
          </w:tcPr>
          <w:p>
            <w:pPr>
              <w:jc w:val="right"/>
              <w:ind w:right="20"/>
              <w:spacing w:after="0"/>
              <w:rPr>
                <w:sz w:val="20"/>
                <w:szCs w:val="20"/>
                <w:color w:val="auto"/>
              </w:rPr>
            </w:pPr>
            <w:r>
              <w:rPr>
                <w:rFonts w:ascii="Arial" w:cs="Arial" w:eastAsia="Arial" w:hAnsi="Arial"/>
                <w:sz w:val="18"/>
                <w:szCs w:val="18"/>
                <w:color w:val="auto"/>
              </w:rPr>
              <w:t>$ 10,111</w:t>
            </w:r>
          </w:p>
        </w:tc>
        <w:tc>
          <w:tcPr>
            <w:tcW w:w="10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760" w:type="dxa"/>
            <w:vAlign w:val="bottom"/>
            <w:gridSpan w:val="3"/>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13,456</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54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3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332" w:lineRule="auto"/>
        <w:rPr>
          <w:sz w:val="20"/>
          <w:szCs w:val="20"/>
          <w:color w:val="auto"/>
        </w:rPr>
      </w:pPr>
      <w:r>
        <w:rPr>
          <w:rFonts w:ascii="Arial" w:cs="Arial" w:eastAsia="Arial" w:hAnsi="Arial"/>
          <w:sz w:val="16"/>
          <w:szCs w:val="16"/>
          <w:color w:val="auto"/>
        </w:rPr>
        <w:t>Assets measured and recorded at fair value on a non-recurring basis include corporate equipment classified as held for sale, which had a fair value of $10.2 million as of May 2, 2015 (see “Note 8 – Restructuring” in the Notes to the Unaudited Condensed Consolidated Financial Statements).</w:t>
      </w:r>
    </w:p>
    <w:p>
      <w:pPr>
        <w:spacing w:after="0" w:line="72"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360"/>
          </w:cols>
          <w:pgMar w:left="240" w:top="459" w:right="29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4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Acquired Intangible Assets, Net</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carrying amount of acquired intangible assets, net, are as follows (in thousands):</w:t>
      </w:r>
    </w:p>
    <w:p>
      <w:pPr>
        <w:spacing w:after="0" w:line="20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9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960" w:type="dxa"/>
            <w:vAlign w:val="bottom"/>
            <w:tcBorders>
              <w:bottom w:val="single" w:sz="8" w:color="auto"/>
            </w:tcBorders>
            <w:gridSpan w:val="3"/>
          </w:tcPr>
          <w:p>
            <w:pPr>
              <w:jc w:val="center"/>
              <w:ind w:right="160"/>
              <w:spacing w:after="0"/>
              <w:rPr>
                <w:sz w:val="20"/>
                <w:szCs w:val="20"/>
                <w:color w:val="auto"/>
              </w:rPr>
            </w:pPr>
            <w:r>
              <w:rPr>
                <w:rFonts w:ascii="Arial" w:cs="Arial" w:eastAsia="Arial" w:hAnsi="Arial"/>
                <w:sz w:val="14"/>
                <w:szCs w:val="14"/>
                <w:b w:val="1"/>
                <w:bCs w:val="1"/>
                <w:color w:val="auto"/>
                <w:w w:val="92"/>
              </w:rPr>
              <w:t>May 2, 2015</w:t>
            </w: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80" w:type="dxa"/>
            <w:vAlign w:val="bottom"/>
            <w:tcBorders>
              <w:bottom w:val="single" w:sz="8" w:color="auto"/>
            </w:tcBorders>
            <w:gridSpan w:val="4"/>
          </w:tcPr>
          <w:p>
            <w:pPr>
              <w:jc w:val="center"/>
              <w:ind w:left="22"/>
              <w:spacing w:after="0"/>
              <w:rPr>
                <w:sz w:val="20"/>
                <w:szCs w:val="20"/>
                <w:color w:val="auto"/>
              </w:rPr>
            </w:pPr>
            <w:r>
              <w:rPr>
                <w:rFonts w:ascii="Arial" w:cs="Arial" w:eastAsia="Arial" w:hAnsi="Arial"/>
                <w:sz w:val="14"/>
                <w:szCs w:val="14"/>
                <w:b w:val="1"/>
                <w:bCs w:val="1"/>
                <w:color w:val="auto"/>
                <w:w w:val="87"/>
              </w:rPr>
              <w:t>January 31, 2015</w:t>
            </w: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9"/>
        </w:trPr>
        <w:tc>
          <w:tcPr>
            <w:tcW w:w="49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60" w:type="dxa"/>
            <w:vAlign w:val="bottom"/>
            <w:gridSpan w:val="3"/>
          </w:tcPr>
          <w:p>
            <w:pPr>
              <w:jc w:val="center"/>
              <w:ind w:right="16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980" w:type="dxa"/>
            <w:vAlign w:val="bottom"/>
            <w:gridSpan w:val="3"/>
          </w:tcPr>
          <w:p>
            <w:pPr>
              <w:jc w:val="center"/>
              <w:ind w:right="220"/>
              <w:spacing w:after="0" w:line="129" w:lineRule="exact"/>
              <w:rPr>
                <w:sz w:val="20"/>
                <w:szCs w:val="20"/>
                <w:color w:val="auto"/>
              </w:rPr>
            </w:pPr>
            <w:r>
              <w:rPr>
                <w:rFonts w:ascii="Arial" w:cs="Arial" w:eastAsia="Arial" w:hAnsi="Arial"/>
                <w:sz w:val="14"/>
                <w:szCs w:val="14"/>
                <w:b w:val="1"/>
                <w:bCs w:val="1"/>
                <w:color w:val="auto"/>
                <w:w w:val="86"/>
              </w:rPr>
              <w:t>Accumulated</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00" w:type="dxa"/>
            <w:vAlign w:val="bottom"/>
          </w:tcPr>
          <w:p>
            <w:pPr>
              <w:spacing w:after="0"/>
              <w:rPr>
                <w:sz w:val="11"/>
                <w:szCs w:val="11"/>
                <w:color w:val="auto"/>
              </w:rPr>
            </w:pPr>
          </w:p>
        </w:tc>
      </w:tr>
      <w:tr>
        <w:trPr>
          <w:trHeight w:val="149"/>
        </w:trPr>
        <w:tc>
          <w:tcPr>
            <w:tcW w:w="49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80" w:type="dxa"/>
            <w:vAlign w:val="bottom"/>
          </w:tcPr>
          <w:p>
            <w:pPr>
              <w:jc w:val="right"/>
              <w:ind w:right="40"/>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60" w:type="dxa"/>
            <w:vAlign w:val="bottom"/>
            <w:gridSpan w:val="3"/>
          </w:tcPr>
          <w:p>
            <w:pPr>
              <w:jc w:val="center"/>
              <w:ind w:right="180"/>
              <w:spacing w:after="0" w:line="149" w:lineRule="exact"/>
              <w:rPr>
                <w:sz w:val="20"/>
                <w:szCs w:val="20"/>
                <w:color w:val="auto"/>
              </w:rPr>
            </w:pPr>
            <w:r>
              <w:rPr>
                <w:rFonts w:ascii="Arial" w:cs="Arial" w:eastAsia="Arial" w:hAnsi="Arial"/>
                <w:sz w:val="14"/>
                <w:szCs w:val="14"/>
                <w:b w:val="1"/>
                <w:bCs w:val="1"/>
                <w:color w:val="auto"/>
                <w:w w:val="91"/>
              </w:rPr>
              <w:t>Amortization</w:t>
            </w:r>
          </w:p>
        </w:tc>
        <w:tc>
          <w:tcPr>
            <w:tcW w:w="14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8"/>
              </w:rPr>
              <w:t>Net</w:t>
            </w:r>
          </w:p>
        </w:tc>
        <w:tc>
          <w:tcPr>
            <w:tcW w:w="300" w:type="dxa"/>
            <w:vAlign w:val="bottom"/>
          </w:tcPr>
          <w:p>
            <w:pPr>
              <w:spacing w:after="0"/>
              <w:rPr>
                <w:sz w:val="12"/>
                <w:szCs w:val="12"/>
                <w:color w:val="auto"/>
              </w:rPr>
            </w:pPr>
          </w:p>
        </w:tc>
        <w:tc>
          <w:tcPr>
            <w:tcW w:w="580" w:type="dxa"/>
            <w:vAlign w:val="bottom"/>
          </w:tcPr>
          <w:p>
            <w:pPr>
              <w:jc w:val="right"/>
              <w:ind w:right="47"/>
              <w:spacing w:after="0" w:line="149" w:lineRule="exact"/>
              <w:rPr>
                <w:sz w:val="20"/>
                <w:szCs w:val="20"/>
                <w:color w:val="auto"/>
              </w:rPr>
            </w:pPr>
            <w:r>
              <w:rPr>
                <w:rFonts w:ascii="Arial" w:cs="Arial" w:eastAsia="Arial" w:hAnsi="Arial"/>
                <w:sz w:val="14"/>
                <w:szCs w:val="14"/>
                <w:b w:val="1"/>
                <w:bCs w:val="1"/>
                <w:color w:val="auto"/>
              </w:rPr>
              <w:t>Gross</w:t>
            </w:r>
          </w:p>
        </w:tc>
        <w:tc>
          <w:tcPr>
            <w:tcW w:w="300" w:type="dxa"/>
            <w:vAlign w:val="bottom"/>
          </w:tcPr>
          <w:p>
            <w:pPr>
              <w:spacing w:after="0"/>
              <w:rPr>
                <w:sz w:val="12"/>
                <w:szCs w:val="12"/>
                <w:color w:val="auto"/>
              </w:rPr>
            </w:pPr>
          </w:p>
        </w:tc>
        <w:tc>
          <w:tcPr>
            <w:tcW w:w="980" w:type="dxa"/>
            <w:vAlign w:val="bottom"/>
            <w:gridSpan w:val="3"/>
          </w:tcPr>
          <w:p>
            <w:pPr>
              <w:jc w:val="center"/>
              <w:ind w:right="220"/>
              <w:spacing w:after="0" w:line="149" w:lineRule="exact"/>
              <w:rPr>
                <w:sz w:val="20"/>
                <w:szCs w:val="20"/>
                <w:color w:val="auto"/>
              </w:rPr>
            </w:pPr>
            <w:r>
              <w:rPr>
                <w:rFonts w:ascii="Arial" w:cs="Arial" w:eastAsia="Arial" w:hAnsi="Arial"/>
                <w:sz w:val="14"/>
                <w:szCs w:val="14"/>
                <w:b w:val="1"/>
                <w:bCs w:val="1"/>
                <w:color w:val="auto"/>
                <w:w w:val="88"/>
              </w:rPr>
              <w:t>Amortization</w:t>
            </w:r>
          </w:p>
        </w:tc>
        <w:tc>
          <w:tcPr>
            <w:tcW w:w="10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8"/>
              </w:rPr>
              <w:t>Net</w:t>
            </w:r>
          </w:p>
        </w:tc>
      </w:tr>
      <w:tr>
        <w:trPr>
          <w:trHeight w:val="149"/>
        </w:trPr>
        <w:tc>
          <w:tcPr>
            <w:tcW w:w="4980" w:type="dxa"/>
            <w:vAlign w:val="bottom"/>
          </w:tcPr>
          <w:p>
            <w:pPr>
              <w:spacing w:after="0"/>
              <w:rPr>
                <w:sz w:val="12"/>
                <w:szCs w:val="12"/>
                <w:color w:val="auto"/>
              </w:rPr>
            </w:pPr>
          </w:p>
        </w:tc>
        <w:tc>
          <w:tcPr>
            <w:tcW w:w="940" w:type="dxa"/>
            <w:vAlign w:val="bottom"/>
            <w:gridSpan w:val="2"/>
          </w:tcPr>
          <w:p>
            <w:pPr>
              <w:jc w:val="center"/>
              <w:ind w:right="200"/>
              <w:spacing w:after="0" w:line="149" w:lineRule="exact"/>
              <w:rPr>
                <w:sz w:val="20"/>
                <w:szCs w:val="20"/>
                <w:color w:val="auto"/>
              </w:rPr>
            </w:pPr>
            <w:r>
              <w:rPr>
                <w:rFonts w:ascii="Arial" w:cs="Arial" w:eastAsia="Arial" w:hAnsi="Arial"/>
                <w:sz w:val="14"/>
                <w:szCs w:val="14"/>
                <w:b w:val="1"/>
                <w:bCs w:val="1"/>
                <w:color w:val="auto"/>
                <w:w w:val="83"/>
              </w:rPr>
              <w:t>Range of</w:t>
            </w: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00" w:type="dxa"/>
            <w:vAlign w:val="bottom"/>
            <w:gridSpan w:val="2"/>
          </w:tcPr>
          <w:p>
            <w:pPr>
              <w:jc w:val="center"/>
              <w:ind w:right="340"/>
              <w:spacing w:after="0" w:line="149" w:lineRule="exact"/>
              <w:rPr>
                <w:sz w:val="20"/>
                <w:szCs w:val="20"/>
                <w:color w:val="auto"/>
              </w:rPr>
            </w:pPr>
            <w:r>
              <w:rPr>
                <w:rFonts w:ascii="Arial" w:cs="Arial" w:eastAsia="Arial" w:hAnsi="Arial"/>
                <w:sz w:val="14"/>
                <w:szCs w:val="14"/>
                <w:b w:val="1"/>
                <w:bCs w:val="1"/>
                <w:color w:val="auto"/>
                <w:w w:val="88"/>
              </w:rPr>
              <w:t>and</w:t>
            </w:r>
          </w:p>
        </w:tc>
        <w:tc>
          <w:tcPr>
            <w:tcW w:w="140" w:type="dxa"/>
            <w:vAlign w:val="bottom"/>
          </w:tcPr>
          <w:p>
            <w:pPr>
              <w:spacing w:after="0"/>
              <w:rPr>
                <w:sz w:val="12"/>
                <w:szCs w:val="12"/>
                <w:color w:val="auto"/>
              </w:rPr>
            </w:pPr>
          </w:p>
        </w:tc>
        <w:tc>
          <w:tcPr>
            <w:tcW w:w="58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3"/>
              </w:rPr>
              <w:t>Carrying</w:t>
            </w:r>
          </w:p>
        </w:tc>
        <w:tc>
          <w:tcPr>
            <w:tcW w:w="300" w:type="dxa"/>
            <w:vAlign w:val="bottom"/>
          </w:tcPr>
          <w:p>
            <w:pPr>
              <w:spacing w:after="0"/>
              <w:rPr>
                <w:sz w:val="12"/>
                <w:szCs w:val="12"/>
                <w:color w:val="auto"/>
              </w:rPr>
            </w:pPr>
          </w:p>
        </w:tc>
        <w:tc>
          <w:tcPr>
            <w:tcW w:w="580" w:type="dxa"/>
            <w:vAlign w:val="bottom"/>
          </w:tcPr>
          <w:p>
            <w:pPr>
              <w:jc w:val="right"/>
              <w:spacing w:after="0" w:line="149" w:lineRule="exact"/>
              <w:rPr>
                <w:sz w:val="20"/>
                <w:szCs w:val="20"/>
                <w:color w:val="auto"/>
              </w:rPr>
            </w:pPr>
            <w:r>
              <w:rPr>
                <w:rFonts w:ascii="Arial" w:cs="Arial" w:eastAsia="Arial" w:hAnsi="Arial"/>
                <w:sz w:val="14"/>
                <w:szCs w:val="14"/>
                <w:b w:val="1"/>
                <w:bCs w:val="1"/>
                <w:color w:val="auto"/>
                <w:w w:val="90"/>
              </w:rPr>
              <w:t>Carrying</w:t>
            </w:r>
          </w:p>
        </w:tc>
        <w:tc>
          <w:tcPr>
            <w:tcW w:w="3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gridSpan w:val="2"/>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and</w:t>
            </w:r>
          </w:p>
        </w:tc>
        <w:tc>
          <w:tcPr>
            <w:tcW w:w="10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Carrying</w:t>
            </w:r>
          </w:p>
        </w:tc>
      </w:tr>
      <w:tr>
        <w:trPr>
          <w:trHeight w:val="161"/>
        </w:trPr>
        <w:tc>
          <w:tcPr>
            <w:tcW w:w="4980" w:type="dxa"/>
            <w:vAlign w:val="bottom"/>
          </w:tcPr>
          <w:p>
            <w:pPr>
              <w:spacing w:after="0"/>
              <w:rPr>
                <w:sz w:val="14"/>
                <w:szCs w:val="14"/>
                <w:color w:val="auto"/>
              </w:rPr>
            </w:pPr>
          </w:p>
        </w:tc>
        <w:tc>
          <w:tcPr>
            <w:tcW w:w="94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4"/>
              </w:rPr>
              <w:t>Useful Lives</w:t>
            </w: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8"/>
              </w:rPr>
              <w:t>Amounts</w:t>
            </w:r>
          </w:p>
        </w:tc>
        <w:tc>
          <w:tcPr>
            <w:tcW w:w="300" w:type="dxa"/>
            <w:vAlign w:val="bottom"/>
          </w:tcPr>
          <w:p>
            <w:pPr>
              <w:spacing w:after="0"/>
              <w:rPr>
                <w:sz w:val="14"/>
                <w:szCs w:val="14"/>
                <w:color w:val="auto"/>
              </w:rPr>
            </w:pPr>
          </w:p>
        </w:tc>
        <w:tc>
          <w:tcPr>
            <w:tcW w:w="960" w:type="dxa"/>
            <w:vAlign w:val="bottom"/>
            <w:gridSpan w:val="3"/>
          </w:tcPr>
          <w:p>
            <w:pPr>
              <w:jc w:val="center"/>
              <w:ind w:right="180"/>
              <w:spacing w:after="0"/>
              <w:rPr>
                <w:sz w:val="20"/>
                <w:szCs w:val="20"/>
                <w:color w:val="auto"/>
              </w:rPr>
            </w:pPr>
            <w:r>
              <w:rPr>
                <w:rFonts w:ascii="Arial" w:cs="Arial" w:eastAsia="Arial" w:hAnsi="Arial"/>
                <w:sz w:val="14"/>
                <w:szCs w:val="14"/>
                <w:b w:val="1"/>
                <w:bCs w:val="1"/>
                <w:color w:val="auto"/>
                <w:w w:val="91"/>
              </w:rPr>
              <w:t>Write-Offs</w:t>
            </w:r>
          </w:p>
        </w:tc>
        <w:tc>
          <w:tcPr>
            <w:tcW w:w="140" w:type="dxa"/>
            <w:vAlign w:val="bottom"/>
          </w:tcPr>
          <w:p>
            <w:pPr>
              <w:spacing w:after="0"/>
              <w:rPr>
                <w:sz w:val="14"/>
                <w:szCs w:val="14"/>
                <w:color w:val="auto"/>
              </w:rPr>
            </w:pPr>
          </w:p>
        </w:tc>
        <w:tc>
          <w:tcPr>
            <w:tcW w:w="580" w:type="dxa"/>
            <w:vAlign w:val="bottom"/>
          </w:tcPr>
          <w:p>
            <w:pPr>
              <w:jc w:val="center"/>
              <w:spacing w:after="0"/>
              <w:rPr>
                <w:sz w:val="20"/>
                <w:szCs w:val="20"/>
                <w:color w:val="auto"/>
              </w:rPr>
            </w:pPr>
            <w:r>
              <w:rPr>
                <w:rFonts w:ascii="Arial" w:cs="Arial" w:eastAsia="Arial" w:hAnsi="Arial"/>
                <w:sz w:val="14"/>
                <w:szCs w:val="14"/>
                <w:b w:val="1"/>
                <w:bCs w:val="1"/>
                <w:color w:val="auto"/>
                <w:w w:val="90"/>
              </w:rPr>
              <w:t>Amount</w:t>
            </w:r>
          </w:p>
        </w:tc>
        <w:tc>
          <w:tcPr>
            <w:tcW w:w="3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Arial" w:cs="Arial" w:eastAsia="Arial" w:hAnsi="Arial"/>
                <w:sz w:val="14"/>
                <w:szCs w:val="14"/>
                <w:b w:val="1"/>
                <w:bCs w:val="1"/>
                <w:color w:val="auto"/>
                <w:w w:val="85"/>
              </w:rPr>
              <w:t>Amounts</w:t>
            </w:r>
          </w:p>
        </w:tc>
        <w:tc>
          <w:tcPr>
            <w:tcW w:w="300" w:type="dxa"/>
            <w:vAlign w:val="bottom"/>
          </w:tcPr>
          <w:p>
            <w:pPr>
              <w:spacing w:after="0"/>
              <w:rPr>
                <w:sz w:val="14"/>
                <w:szCs w:val="14"/>
                <w:color w:val="auto"/>
              </w:rPr>
            </w:pPr>
          </w:p>
        </w:tc>
        <w:tc>
          <w:tcPr>
            <w:tcW w:w="980" w:type="dxa"/>
            <w:vAlign w:val="bottom"/>
            <w:gridSpan w:val="3"/>
          </w:tcPr>
          <w:p>
            <w:pPr>
              <w:jc w:val="center"/>
              <w:ind w:right="220"/>
              <w:spacing w:after="0"/>
              <w:rPr>
                <w:sz w:val="20"/>
                <w:szCs w:val="20"/>
                <w:color w:val="auto"/>
              </w:rPr>
            </w:pPr>
            <w:r>
              <w:rPr>
                <w:rFonts w:ascii="Arial" w:cs="Arial" w:eastAsia="Arial" w:hAnsi="Arial"/>
                <w:sz w:val="14"/>
                <w:szCs w:val="14"/>
                <w:b w:val="1"/>
                <w:bCs w:val="1"/>
                <w:color w:val="auto"/>
                <w:w w:val="94"/>
              </w:rPr>
              <w:t>Write-Offs</w:t>
            </w:r>
          </w:p>
        </w:tc>
        <w:tc>
          <w:tcPr>
            <w:tcW w:w="10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90"/>
              </w:rPr>
              <w:t>Amount</w:t>
            </w:r>
          </w:p>
        </w:tc>
      </w:tr>
      <w:tr>
        <w:trPr>
          <w:trHeight w:val="210"/>
        </w:trPr>
        <w:tc>
          <w:tcPr>
            <w:tcW w:w="49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Purchased technology</w:t>
            </w:r>
          </w:p>
        </w:tc>
        <w:tc>
          <w:tcPr>
            <w:tcW w:w="7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6"/>
              </w:rPr>
              <w:t>4 - 7 years</w:t>
            </w:r>
          </w:p>
        </w:tc>
        <w:tc>
          <w:tcPr>
            <w:tcW w:w="2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(17,240)</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$18,258</w:t>
            </w:r>
          </w:p>
        </w:tc>
        <w:tc>
          <w:tcPr>
            <w:tcW w:w="3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$35,498</w:t>
            </w:r>
          </w:p>
        </w:tc>
        <w:tc>
          <w:tcPr>
            <w:tcW w:w="30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5"/>
                <w:szCs w:val="15"/>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9"/>
              </w:rPr>
              <w:t>(15,684)</w:t>
            </w: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$19,814</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980" w:type="dxa"/>
            <w:vAlign w:val="bottom"/>
          </w:tcPr>
          <w:p>
            <w:pPr>
              <w:spacing w:after="0"/>
              <w:rPr>
                <w:sz w:val="20"/>
                <w:szCs w:val="20"/>
                <w:color w:val="auto"/>
              </w:rPr>
            </w:pPr>
            <w:r>
              <w:rPr>
                <w:rFonts w:ascii="Arial" w:cs="Arial" w:eastAsia="Arial" w:hAnsi="Arial"/>
                <w:sz w:val="18"/>
                <w:szCs w:val="18"/>
                <w:color w:val="auto"/>
              </w:rPr>
              <w:t>Core technology</w:t>
            </w:r>
          </w:p>
        </w:tc>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86"/>
              </w:rPr>
              <w:t>5 - 8 years</w:t>
            </w:r>
          </w:p>
        </w:tc>
        <w:tc>
          <w:tcPr>
            <w:tcW w:w="580" w:type="dxa"/>
            <w:vAlign w:val="bottom"/>
          </w:tcPr>
          <w:p>
            <w:pPr>
              <w:jc w:val="right"/>
              <w:spacing w:after="0"/>
              <w:rPr>
                <w:sz w:val="20"/>
                <w:szCs w:val="20"/>
                <w:color w:val="auto"/>
              </w:rPr>
            </w:pPr>
            <w:r>
              <w:rPr>
                <w:rFonts w:ascii="Arial" w:cs="Arial" w:eastAsia="Arial" w:hAnsi="Arial"/>
                <w:sz w:val="18"/>
                <w:szCs w:val="18"/>
                <w:color w:val="auto"/>
              </w:rPr>
              <w:t>850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rPr>
              <w:t>(465)</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385</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850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rPr>
              <w:t>(423)</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427</w:t>
            </w:r>
          </w:p>
        </w:tc>
        <w:tc>
          <w:tcPr>
            <w:tcW w:w="100" w:type="dxa"/>
            <w:vAlign w:val="bottom"/>
          </w:tcPr>
          <w:p>
            <w:pPr>
              <w:spacing w:after="0"/>
              <w:rPr>
                <w:sz w:val="18"/>
                <w:szCs w:val="18"/>
                <w:color w:val="auto"/>
              </w:rPr>
            </w:pPr>
          </w:p>
        </w:tc>
      </w:tr>
      <w:tr>
        <w:trPr>
          <w:trHeight w:val="216"/>
        </w:trPr>
        <w:tc>
          <w:tcPr>
            <w:tcW w:w="4980" w:type="dxa"/>
            <w:vAlign w:val="bottom"/>
            <w:shd w:val="clear" w:color="auto" w:fill="CCEEFF"/>
          </w:tcPr>
          <w:p>
            <w:pPr>
              <w:spacing w:after="0"/>
              <w:rPr>
                <w:sz w:val="20"/>
                <w:szCs w:val="20"/>
                <w:color w:val="auto"/>
              </w:rPr>
            </w:pPr>
            <w:r>
              <w:rPr>
                <w:rFonts w:ascii="Arial" w:cs="Arial" w:eastAsia="Arial" w:hAnsi="Arial"/>
                <w:sz w:val="18"/>
                <w:szCs w:val="18"/>
                <w:color w:val="auto"/>
              </w:rPr>
              <w:t>Trade names</w:t>
            </w:r>
          </w:p>
        </w:tc>
        <w:tc>
          <w:tcPr>
            <w:tcW w:w="940" w:type="dxa"/>
            <w:vAlign w:val="bottom"/>
            <w:gridSpan w:val="2"/>
            <w:shd w:val="clear" w:color="auto" w:fill="CCEEFF"/>
          </w:tcPr>
          <w:p>
            <w:pPr>
              <w:jc w:val="center"/>
              <w:ind w:right="200"/>
              <w:spacing w:after="0"/>
              <w:rPr>
                <w:sz w:val="20"/>
                <w:szCs w:val="20"/>
                <w:color w:val="auto"/>
              </w:rPr>
            </w:pPr>
            <w:r>
              <w:rPr>
                <w:rFonts w:ascii="Arial" w:cs="Arial" w:eastAsia="Arial" w:hAnsi="Arial"/>
                <w:sz w:val="18"/>
                <w:szCs w:val="18"/>
                <w:color w:val="auto"/>
                <w:w w:val="84"/>
              </w:rPr>
              <w:t>5 years</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(893)</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407</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1,300</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(828)</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472</w:t>
            </w:r>
          </w:p>
        </w:tc>
        <w:tc>
          <w:tcPr>
            <w:tcW w:w="100" w:type="dxa"/>
            <w:vAlign w:val="bottom"/>
            <w:shd w:val="clear" w:color="auto" w:fill="CCEEFF"/>
          </w:tcPr>
          <w:p>
            <w:pPr>
              <w:spacing w:after="0"/>
              <w:rPr>
                <w:sz w:val="18"/>
                <w:szCs w:val="18"/>
                <w:color w:val="auto"/>
              </w:rPr>
            </w:pPr>
          </w:p>
        </w:tc>
      </w:tr>
      <w:tr>
        <w:trPr>
          <w:trHeight w:val="216"/>
        </w:trPr>
        <w:tc>
          <w:tcPr>
            <w:tcW w:w="4980" w:type="dxa"/>
            <w:vAlign w:val="bottom"/>
          </w:tcPr>
          <w:p>
            <w:pPr>
              <w:spacing w:after="0"/>
              <w:rPr>
                <w:sz w:val="20"/>
                <w:szCs w:val="20"/>
                <w:color w:val="auto"/>
              </w:rPr>
            </w:pPr>
            <w:r>
              <w:rPr>
                <w:rFonts w:ascii="Arial" w:cs="Arial" w:eastAsia="Arial" w:hAnsi="Arial"/>
                <w:sz w:val="18"/>
                <w:szCs w:val="18"/>
                <w:color w:val="auto"/>
              </w:rPr>
              <w:t>Customer intangibles</w:t>
            </w:r>
          </w:p>
        </w:tc>
        <w:tc>
          <w:tcPr>
            <w:tcW w:w="940" w:type="dxa"/>
            <w:vAlign w:val="bottom"/>
            <w:gridSpan w:val="2"/>
          </w:tcPr>
          <w:p>
            <w:pPr>
              <w:jc w:val="center"/>
              <w:ind w:right="200"/>
              <w:spacing w:after="0"/>
              <w:rPr>
                <w:sz w:val="20"/>
                <w:szCs w:val="20"/>
                <w:color w:val="auto"/>
              </w:rPr>
            </w:pPr>
            <w:r>
              <w:rPr>
                <w:rFonts w:ascii="Arial" w:cs="Arial" w:eastAsia="Arial" w:hAnsi="Arial"/>
                <w:sz w:val="18"/>
                <w:szCs w:val="18"/>
                <w:color w:val="auto"/>
                <w:w w:val="86"/>
              </w:rPr>
              <w:t>5 - 7 years</w:t>
            </w:r>
          </w:p>
        </w:tc>
        <w:tc>
          <w:tcPr>
            <w:tcW w:w="580" w:type="dxa"/>
            <w:vAlign w:val="bottom"/>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00" w:type="dxa"/>
            <w:vAlign w:val="bottom"/>
            <w:gridSpan w:val="2"/>
          </w:tcPr>
          <w:p>
            <w:pPr>
              <w:jc w:val="right"/>
              <w:ind w:right="120"/>
              <w:spacing w:after="0"/>
              <w:rPr>
                <w:sz w:val="20"/>
                <w:szCs w:val="20"/>
                <w:color w:val="auto"/>
              </w:rPr>
            </w:pPr>
            <w:r>
              <w:rPr>
                <w:rFonts w:ascii="Arial" w:cs="Arial" w:eastAsia="Arial" w:hAnsi="Arial"/>
                <w:sz w:val="18"/>
                <w:szCs w:val="18"/>
                <w:color w:val="auto"/>
                <w:w w:val="98"/>
              </w:rPr>
              <w:t>(20,005)</w:t>
            </w:r>
          </w:p>
        </w:tc>
        <w:tc>
          <w:tcPr>
            <w:tcW w:w="720" w:type="dxa"/>
            <w:vAlign w:val="bottom"/>
            <w:gridSpan w:val="2"/>
          </w:tcPr>
          <w:p>
            <w:pPr>
              <w:jc w:val="right"/>
              <w:spacing w:after="0"/>
              <w:rPr>
                <w:sz w:val="20"/>
                <w:szCs w:val="20"/>
                <w:color w:val="auto"/>
              </w:rPr>
            </w:pPr>
            <w:r>
              <w:rPr>
                <w:rFonts w:ascii="Arial" w:cs="Arial" w:eastAsia="Arial" w:hAnsi="Arial"/>
                <w:sz w:val="18"/>
                <w:szCs w:val="18"/>
                <w:color w:val="auto"/>
              </w:rPr>
              <w:t>8,595</w:t>
            </w:r>
          </w:p>
        </w:tc>
        <w:tc>
          <w:tcPr>
            <w:tcW w:w="880" w:type="dxa"/>
            <w:vAlign w:val="bottom"/>
            <w:gridSpan w:val="2"/>
          </w:tcPr>
          <w:p>
            <w:pPr>
              <w:jc w:val="right"/>
              <w:spacing w:after="0"/>
              <w:rPr>
                <w:sz w:val="20"/>
                <w:szCs w:val="20"/>
                <w:color w:val="auto"/>
              </w:rPr>
            </w:pPr>
            <w:r>
              <w:rPr>
                <w:rFonts w:ascii="Arial" w:cs="Arial" w:eastAsia="Arial" w:hAnsi="Arial"/>
                <w:sz w:val="18"/>
                <w:szCs w:val="18"/>
                <w:color w:val="auto"/>
              </w:rPr>
              <w:t>28,600</w:t>
            </w:r>
          </w:p>
        </w:tc>
        <w:tc>
          <w:tcPr>
            <w:tcW w:w="3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(18,615)</w:t>
            </w:r>
          </w:p>
        </w:tc>
        <w:tc>
          <w:tcPr>
            <w:tcW w:w="680" w:type="dxa"/>
            <w:vAlign w:val="bottom"/>
            <w:gridSpan w:val="2"/>
          </w:tcPr>
          <w:p>
            <w:pPr>
              <w:jc w:val="right"/>
              <w:spacing w:after="0"/>
              <w:rPr>
                <w:sz w:val="20"/>
                <w:szCs w:val="20"/>
                <w:color w:val="auto"/>
              </w:rPr>
            </w:pPr>
            <w:r>
              <w:rPr>
                <w:rFonts w:ascii="Arial" w:cs="Arial" w:eastAsia="Arial" w:hAnsi="Arial"/>
                <w:sz w:val="18"/>
                <w:szCs w:val="18"/>
                <w:color w:val="auto"/>
              </w:rPr>
              <w:t>9,985</w:t>
            </w:r>
          </w:p>
        </w:tc>
        <w:tc>
          <w:tcPr>
            <w:tcW w:w="100" w:type="dxa"/>
            <w:vAlign w:val="bottom"/>
          </w:tcPr>
          <w:p>
            <w:pPr>
              <w:spacing w:after="0"/>
              <w:rPr>
                <w:sz w:val="18"/>
                <w:szCs w:val="18"/>
                <w:color w:val="auto"/>
              </w:rPr>
            </w:pPr>
          </w:p>
        </w:tc>
      </w:tr>
      <w:tr>
        <w:trPr>
          <w:trHeight w:val="27"/>
        </w:trPr>
        <w:tc>
          <w:tcPr>
            <w:tcW w:w="498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4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6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4980" w:type="dxa"/>
            <w:vAlign w:val="bottom"/>
            <w:shd w:val="clear" w:color="auto" w:fill="CCEEFF"/>
          </w:tcPr>
          <w:p>
            <w:pPr>
              <w:ind w:left="440"/>
              <w:spacing w:after="0"/>
              <w:rPr>
                <w:sz w:val="20"/>
                <w:szCs w:val="20"/>
                <w:color w:val="auto"/>
              </w:rPr>
            </w:pPr>
            <w:r>
              <w:rPr>
                <w:rFonts w:ascii="Arial" w:cs="Arial" w:eastAsia="Arial" w:hAnsi="Arial"/>
                <w:sz w:val="18"/>
                <w:szCs w:val="18"/>
                <w:color w:val="auto"/>
              </w:rPr>
              <w:t>Total intangible assets, net</w:t>
            </w:r>
          </w:p>
        </w:tc>
        <w:tc>
          <w:tcPr>
            <w:tcW w:w="7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u w:val="single" w:color="auto"/>
                <w:color w:val="auto"/>
                <w:w w:val="86"/>
              </w:rPr>
              <w:t>$</w:t>
            </w:r>
            <w:r>
              <w:rPr>
                <w:rFonts w:ascii="Arial" w:cs="Arial" w:eastAsia="Arial" w:hAnsi="Arial"/>
                <w:sz w:val="18"/>
                <w:szCs w:val="18"/>
                <w:color w:val="auto"/>
                <w:w w:val="86"/>
              </w:rPr>
              <w:t>66,248</w:t>
            </w:r>
          </w:p>
        </w:tc>
        <w:tc>
          <w:tcPr>
            <w:tcW w:w="300" w:type="dxa"/>
            <w:vAlign w:val="bottom"/>
            <w:shd w:val="clear" w:color="auto" w:fill="CCEEFF"/>
          </w:tcPr>
          <w:p>
            <w:pPr>
              <w:spacing w:after="0"/>
              <w:rPr>
                <w:sz w:val="18"/>
                <w:szCs w:val="18"/>
                <w:color w:val="auto"/>
              </w:rPr>
            </w:pPr>
          </w:p>
        </w:tc>
        <w:tc>
          <w:tcPr>
            <w:tcW w:w="160" w:type="dxa"/>
            <w:vAlign w:val="bottom"/>
            <w:shd w:val="clear" w:color="auto" w:fill="CCEEFF"/>
          </w:tcPr>
          <w:p>
            <w:pPr>
              <w:jc w:val="right"/>
              <w:ind w:right="9"/>
              <w:spacing w:after="0"/>
              <w:rPr>
                <w:sz w:val="20"/>
                <w:szCs w:val="20"/>
                <w:color w:val="auto"/>
              </w:rPr>
            </w:pPr>
            <w:r>
              <w:rPr>
                <w:rFonts w:ascii="Arial" w:cs="Arial" w:eastAsia="Arial" w:hAnsi="Arial"/>
                <w:sz w:val="15"/>
                <w:szCs w:val="15"/>
                <w:color w:val="auto"/>
                <w:w w:val="71"/>
              </w:rPr>
              <w:t>$</w:t>
            </w:r>
          </w:p>
        </w:tc>
        <w:tc>
          <w:tcPr>
            <w:tcW w:w="80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w w:val="98"/>
              </w:rPr>
              <w:t>(38,603)</w:t>
            </w:r>
          </w:p>
        </w:tc>
        <w:tc>
          <w:tcPr>
            <w:tcW w:w="72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27,645</w:t>
            </w:r>
          </w:p>
        </w:tc>
        <w:tc>
          <w:tcPr>
            <w:tcW w:w="8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66,248</w:t>
            </w:r>
          </w:p>
        </w:tc>
        <w:tc>
          <w:tcPr>
            <w:tcW w:w="460" w:type="dxa"/>
            <w:vAlign w:val="bottom"/>
            <w:gridSpan w:val="2"/>
            <w:shd w:val="clear" w:color="auto" w:fill="CCEEFF"/>
          </w:tcPr>
          <w:p>
            <w:pPr>
              <w:jc w:val="right"/>
              <w:ind w:right="10"/>
              <w:spacing w:after="0"/>
              <w:rPr>
                <w:sz w:val="20"/>
                <w:szCs w:val="20"/>
                <w:color w:val="auto"/>
              </w:rPr>
            </w:pPr>
            <w:r>
              <w:rPr>
                <w:rFonts w:ascii="Arial" w:cs="Arial" w:eastAsia="Arial" w:hAnsi="Arial"/>
                <w:sz w:val="18"/>
                <w:szCs w:val="18"/>
                <w:color w:val="auto"/>
              </w:rPr>
              <w:t>$</w:t>
            </w:r>
          </w:p>
        </w:tc>
        <w:tc>
          <w:tcPr>
            <w:tcW w:w="8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w w:val="98"/>
              </w:rPr>
              <w:t>(35,550)</w:t>
            </w:r>
          </w:p>
        </w:tc>
        <w:tc>
          <w:tcPr>
            <w:tcW w:w="6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r>
              <w:rPr>
                <w:rFonts w:ascii="Arial" w:cs="Arial" w:eastAsia="Arial" w:hAnsi="Arial"/>
                <w:sz w:val="18"/>
                <w:szCs w:val="18"/>
                <w:color w:val="auto"/>
              </w:rPr>
              <w:t>30,698</w:t>
            </w:r>
          </w:p>
        </w:tc>
        <w:tc>
          <w:tcPr>
            <w:tcW w:w="100" w:type="dxa"/>
            <w:vAlign w:val="bottom"/>
            <w:shd w:val="clear" w:color="auto" w:fill="CCEEFF"/>
          </w:tcPr>
          <w:p>
            <w:pPr>
              <w:spacing w:after="0"/>
              <w:rPr>
                <w:sz w:val="18"/>
                <w:szCs w:val="18"/>
                <w:color w:val="auto"/>
              </w:rPr>
            </w:pPr>
          </w:p>
        </w:tc>
      </w:tr>
      <w:tr>
        <w:trPr>
          <w:trHeight w:val="20"/>
        </w:trPr>
        <w:tc>
          <w:tcPr>
            <w:tcW w:w="498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5"/>
          <w:szCs w:val="15"/>
          <w:color w:val="auto"/>
        </w:rPr>
        <w:t>Based on the identified intangible assets recorded at May 2, 2015, the future amortization expense for the next five fiscal years is as follows (in thousands):</w:t>
      </w:r>
    </w:p>
    <w:p>
      <w:pPr>
        <w:spacing w:after="0" w:line="242"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7080" w:type="dxa"/>
            <w:vAlign w:val="bottom"/>
            <w:gridSpan w:val="3"/>
          </w:tcPr>
          <w:p>
            <w:pPr>
              <w:spacing w:after="0"/>
              <w:rPr>
                <w:sz w:val="20"/>
                <w:szCs w:val="20"/>
                <w:color w:val="auto"/>
              </w:rPr>
            </w:pPr>
            <w:r>
              <w:rPr>
                <w:rFonts w:ascii="Arial" w:cs="Arial" w:eastAsia="Arial" w:hAnsi="Arial"/>
                <w:sz w:val="14"/>
                <w:szCs w:val="14"/>
                <w:b w:val="1"/>
                <w:bCs w:val="1"/>
                <w:color w:val="auto"/>
              </w:rPr>
              <w:t>Fiscal Year</w:t>
            </w:r>
          </w:p>
        </w:tc>
        <w:tc>
          <w:tcPr>
            <w:tcW w:w="8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706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Remainder of fiscal 2016</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9,159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2017</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11,027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2018</w:t>
            </w:r>
          </w:p>
        </w:tc>
        <w:tc>
          <w:tcPr>
            <w:tcW w:w="6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tcPr>
          <w:p>
            <w:pPr>
              <w:spacing w:after="0"/>
              <w:rPr>
                <w:sz w:val="20"/>
                <w:szCs w:val="20"/>
                <w:color w:val="auto"/>
              </w:rPr>
            </w:pPr>
            <w:r>
              <w:rPr>
                <w:rFonts w:ascii="Arial" w:cs="Arial" w:eastAsia="Arial" w:hAnsi="Arial"/>
                <w:sz w:val="18"/>
                <w:szCs w:val="18"/>
                <w:color w:val="auto"/>
              </w:rPr>
              <w:t>2019</w:t>
            </w:r>
          </w:p>
        </w:tc>
        <w:tc>
          <w:tcPr>
            <w:tcW w:w="6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1,860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60" w:type="dxa"/>
            <w:vAlign w:val="bottom"/>
            <w:shd w:val="clear" w:color="auto" w:fill="CCEEFF"/>
          </w:tcPr>
          <w:p>
            <w:pPr>
              <w:spacing w:after="0"/>
              <w:rPr>
                <w:sz w:val="20"/>
                <w:szCs w:val="20"/>
                <w:color w:val="auto"/>
              </w:rPr>
            </w:pPr>
            <w:r>
              <w:rPr>
                <w:rFonts w:ascii="Arial" w:cs="Arial" w:eastAsia="Arial" w:hAnsi="Arial"/>
                <w:sz w:val="18"/>
                <w:szCs w:val="18"/>
                <w:color w:val="auto"/>
              </w:rPr>
              <w:t>2020</w:t>
            </w:r>
          </w:p>
        </w:tc>
        <w:tc>
          <w:tcPr>
            <w:tcW w:w="6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2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640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u w:val="single" w:color="auto"/>
                <w:color w:val="auto"/>
                <w:w w:val="71"/>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27,645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640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Restructuring</w:t>
      </w:r>
    </w:p>
    <w:p>
      <w:pPr>
        <w:spacing w:after="0" w:line="96"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In March 2015, the Company exercised the early buyout option under an operating lease for corporate equipment that it had planned to sell as part of a cost reduction action. The Company is actively seeking a buyer and has classified the equipment as held for sale included in prepaid and current assets on the condensed consolidated balance sheet. As a result, the Company ceased depreciation on these assets and now measures the carrying value at the lower of net book value or fair value (less cost to sell). As of May 2, 2015, since the fair value of the equipment was lower than its net book value, the Company recorded an impairment charge of $0.5 million resulting in a carrying value of $10.2 million. During the three months ended May 2, 2015, the Company also continued to make payments and incur ongoing operating expenses related to vacated facilities under previous restructure actions.</w:t>
      </w:r>
    </w:p>
    <w:p>
      <w:pPr>
        <w:spacing w:after="0" w:line="12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 of the related restructuring charges recorded by the Company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52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3520" w:type="dxa"/>
            <w:vAlign w:val="bottom"/>
          </w:tcPr>
          <w:p>
            <w:pPr>
              <w:spacing w:after="0"/>
              <w:rPr>
                <w:sz w:val="11"/>
                <w:szCs w:val="11"/>
                <w:color w:val="auto"/>
              </w:rPr>
            </w:pPr>
          </w:p>
        </w:tc>
        <w:tc>
          <w:tcPr>
            <w:tcW w:w="3500" w:type="dxa"/>
            <w:vAlign w:val="bottom"/>
          </w:tcPr>
          <w:p>
            <w:pPr>
              <w:spacing w:after="0"/>
              <w:rPr>
                <w:sz w:val="11"/>
                <w:szCs w:val="11"/>
                <w:color w:val="auto"/>
              </w:rPr>
            </w:pPr>
          </w:p>
        </w:tc>
        <w:tc>
          <w:tcPr>
            <w:tcW w:w="4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98"/>
              </w:rPr>
              <w:t>May 2,</w:t>
            </w:r>
          </w:p>
        </w:tc>
        <w:tc>
          <w:tcPr>
            <w:tcW w:w="5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7"/>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3520" w:type="dxa"/>
            <w:vAlign w:val="bottom"/>
            <w:tcBorders>
              <w:bottom w:val="single" w:sz="8" w:color="CCEEFF"/>
            </w:tcBorders>
          </w:tcPr>
          <w:p>
            <w:pPr>
              <w:spacing w:after="0"/>
              <w:rPr>
                <w:sz w:val="14"/>
                <w:szCs w:val="14"/>
                <w:color w:val="auto"/>
              </w:rPr>
            </w:pPr>
          </w:p>
        </w:tc>
        <w:tc>
          <w:tcPr>
            <w:tcW w:w="35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2015</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7"/>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352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Severance and related costs</w:t>
            </w:r>
          </w:p>
        </w:tc>
        <w:tc>
          <w:tcPr>
            <w:tcW w:w="35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tcPr>
          <w:p>
            <w:pPr>
              <w:spacing w:after="0"/>
              <w:rPr>
                <w:sz w:val="20"/>
                <w:szCs w:val="20"/>
                <w:color w:val="auto"/>
              </w:rPr>
            </w:pPr>
            <w:r>
              <w:rPr>
                <w:rFonts w:ascii="Arial" w:cs="Arial" w:eastAsia="Arial" w:hAnsi="Arial"/>
                <w:sz w:val="18"/>
                <w:szCs w:val="18"/>
                <w:color w:val="auto"/>
              </w:rPr>
              <w:t>Facilities and related costs</w:t>
            </w:r>
          </w:p>
        </w:tc>
        <w:tc>
          <w:tcPr>
            <w:tcW w:w="3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ind w:left="200"/>
              <w:spacing w:after="0"/>
              <w:rPr>
                <w:sz w:val="20"/>
                <w:szCs w:val="20"/>
                <w:color w:val="auto"/>
              </w:rPr>
            </w:pPr>
            <w:r>
              <w:rPr>
                <w:rFonts w:ascii="Arial" w:cs="Arial" w:eastAsia="Arial" w:hAnsi="Arial"/>
                <w:sz w:val="18"/>
                <w:szCs w:val="18"/>
                <w:color w:val="auto"/>
                <w:w w:val="79"/>
              </w:rPr>
              <w:t>19</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444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Other exit-related costs</w:t>
            </w:r>
          </w:p>
        </w:tc>
        <w:tc>
          <w:tcPr>
            <w:tcW w:w="35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520" w:type="dxa"/>
            <w:vAlign w:val="bottom"/>
          </w:tcPr>
          <w:p>
            <w:pPr>
              <w:spacing w:after="0"/>
              <w:rPr>
                <w:sz w:val="19"/>
                <w:szCs w:val="19"/>
                <w:color w:val="auto"/>
              </w:rPr>
            </w:pPr>
          </w:p>
        </w:tc>
        <w:tc>
          <w:tcPr>
            <w:tcW w:w="35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80" w:type="dxa"/>
            <w:vAlign w:val="bottom"/>
          </w:tcPr>
          <w:p>
            <w:pPr>
              <w:ind w:left="200"/>
              <w:spacing w:after="0"/>
              <w:rPr>
                <w:sz w:val="20"/>
                <w:szCs w:val="20"/>
                <w:color w:val="auto"/>
              </w:rPr>
            </w:pPr>
            <w:r>
              <w:rPr>
                <w:rFonts w:ascii="Arial" w:cs="Arial" w:eastAsia="Arial" w:hAnsi="Arial"/>
                <w:sz w:val="18"/>
                <w:szCs w:val="18"/>
                <w:color w:val="auto"/>
                <w:w w:val="79"/>
              </w:rPr>
              <w:t>19</w:t>
            </w: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5,071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8"/>
        </w:trPr>
        <w:tc>
          <w:tcPr>
            <w:tcW w:w="3520" w:type="dxa"/>
            <w:vAlign w:val="bottom"/>
            <w:shd w:val="clear" w:color="auto" w:fill="CCEEFF"/>
          </w:tcPr>
          <w:p>
            <w:pPr>
              <w:spacing w:after="0"/>
              <w:rPr>
                <w:sz w:val="20"/>
                <w:szCs w:val="20"/>
                <w:color w:val="auto"/>
              </w:rPr>
            </w:pPr>
            <w:r>
              <w:rPr>
                <w:rFonts w:ascii="Arial" w:cs="Arial" w:eastAsia="Arial" w:hAnsi="Arial"/>
                <w:sz w:val="18"/>
                <w:szCs w:val="18"/>
                <w:color w:val="auto"/>
              </w:rPr>
              <w:t>Impairment loss and write-off of assets:</w:t>
            </w:r>
          </w:p>
        </w:tc>
        <w:tc>
          <w:tcPr>
            <w:tcW w:w="35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tcPr>
          <w:p>
            <w:pPr>
              <w:ind w:left="440"/>
              <w:spacing w:after="0"/>
              <w:rPr>
                <w:sz w:val="20"/>
                <w:szCs w:val="20"/>
                <w:color w:val="auto"/>
              </w:rPr>
            </w:pPr>
            <w:r>
              <w:rPr>
                <w:rFonts w:ascii="Arial" w:cs="Arial" w:eastAsia="Arial" w:hAnsi="Arial"/>
                <w:sz w:val="18"/>
                <w:szCs w:val="18"/>
                <w:color w:val="auto"/>
              </w:rPr>
              <w:t>Equipment</w:t>
            </w:r>
          </w:p>
        </w:tc>
        <w:tc>
          <w:tcPr>
            <w:tcW w:w="3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ind w:left="100"/>
              <w:spacing w:after="0"/>
              <w:rPr>
                <w:sz w:val="20"/>
                <w:szCs w:val="20"/>
                <w:color w:val="auto"/>
              </w:rPr>
            </w:pPr>
            <w:r>
              <w:rPr>
                <w:rFonts w:ascii="Arial" w:cs="Arial" w:eastAsia="Arial" w:hAnsi="Arial"/>
                <w:sz w:val="18"/>
                <w:szCs w:val="18"/>
                <w:color w:val="auto"/>
                <w:w w:val="86"/>
              </w:rPr>
              <w:t>573</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520" w:type="dxa"/>
            <w:vAlign w:val="bottom"/>
            <w:shd w:val="clear" w:color="auto" w:fill="CCEEFF"/>
          </w:tcPr>
          <w:p>
            <w:pPr>
              <w:ind w:left="440"/>
              <w:spacing w:after="0"/>
              <w:rPr>
                <w:sz w:val="20"/>
                <w:szCs w:val="20"/>
                <w:color w:val="auto"/>
              </w:rPr>
            </w:pPr>
            <w:r>
              <w:rPr>
                <w:rFonts w:ascii="Arial" w:cs="Arial" w:eastAsia="Arial" w:hAnsi="Arial"/>
                <w:sz w:val="18"/>
                <w:szCs w:val="18"/>
                <w:color w:val="auto"/>
              </w:rPr>
              <w:t>Acquired intangible asset</w:t>
            </w:r>
          </w:p>
        </w:tc>
        <w:tc>
          <w:tcPr>
            <w:tcW w:w="35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380" w:type="dxa"/>
            <w:vAlign w:val="bottom"/>
            <w:tcBorders>
              <w:bottom w:val="single" w:sz="8" w:color="auto"/>
            </w:tcBorders>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1"/>
        </w:trPr>
        <w:tc>
          <w:tcPr>
            <w:tcW w:w="3520" w:type="dxa"/>
            <w:vAlign w:val="bottom"/>
          </w:tcPr>
          <w:p>
            <w:pPr>
              <w:spacing w:after="0"/>
              <w:rPr>
                <w:sz w:val="19"/>
                <w:szCs w:val="19"/>
                <w:color w:val="auto"/>
              </w:rPr>
            </w:pPr>
          </w:p>
        </w:tc>
        <w:tc>
          <w:tcPr>
            <w:tcW w:w="3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380" w:type="dxa"/>
            <w:vAlign w:val="bottom"/>
          </w:tcPr>
          <w:p>
            <w:pPr>
              <w:ind w:left="100"/>
              <w:spacing w:after="0"/>
              <w:rPr>
                <w:sz w:val="20"/>
                <w:szCs w:val="20"/>
                <w:color w:val="auto"/>
              </w:rPr>
            </w:pPr>
            <w:r>
              <w:rPr>
                <w:rFonts w:ascii="Arial" w:cs="Arial" w:eastAsia="Arial" w:hAnsi="Arial"/>
                <w:sz w:val="18"/>
                <w:szCs w:val="18"/>
                <w:color w:val="auto"/>
                <w:w w:val="86"/>
              </w:rPr>
              <w:t>592</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rPr>
              <w:t>8,474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520" w:type="dxa"/>
            <w:vAlign w:val="bottom"/>
          </w:tcPr>
          <w:p>
            <w:pPr>
              <w:spacing w:after="0" w:line="20" w:lineRule="exact"/>
              <w:rPr>
                <w:sz w:val="1"/>
                <w:szCs w:val="1"/>
                <w:color w:val="auto"/>
              </w:rPr>
            </w:pPr>
          </w:p>
        </w:tc>
        <w:tc>
          <w:tcPr>
            <w:tcW w:w="3500" w:type="dxa"/>
            <w:vAlign w:val="bottom"/>
            <w:vMerge w:val="restart"/>
          </w:tcPr>
          <w:p>
            <w:pPr>
              <w:jc w:val="right"/>
              <w:ind w:right="2512"/>
              <w:spacing w:after="0"/>
              <w:rPr>
                <w:sz w:val="20"/>
                <w:szCs w:val="20"/>
                <w:color w:val="auto"/>
              </w:rPr>
            </w:pPr>
            <w:r>
              <w:rPr>
                <w:rFonts w:ascii="Arial" w:cs="Arial" w:eastAsia="Arial" w:hAnsi="Arial"/>
                <w:sz w:val="18"/>
                <w:szCs w:val="18"/>
                <w:color w:val="auto"/>
              </w:rPr>
              <w:t>18</w:t>
            </w: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3520" w:type="dxa"/>
            <w:vAlign w:val="bottom"/>
          </w:tcPr>
          <w:p>
            <w:pPr>
              <w:spacing w:after="0"/>
              <w:rPr>
                <w:sz w:val="24"/>
                <w:szCs w:val="24"/>
                <w:color w:val="auto"/>
              </w:rPr>
            </w:pPr>
          </w:p>
        </w:tc>
        <w:tc>
          <w:tcPr>
            <w:tcW w:w="35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9" w:right="23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restructuring charges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84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4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98"/>
              </w:rPr>
              <w:t>May 2,</w:t>
            </w:r>
          </w:p>
        </w:tc>
        <w:tc>
          <w:tcPr>
            <w:tcW w:w="5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r>
      <w:tr>
        <w:trPr>
          <w:trHeight w:val="161"/>
        </w:trPr>
        <w:tc>
          <w:tcPr>
            <w:tcW w:w="4840" w:type="dxa"/>
            <w:vAlign w:val="bottom"/>
            <w:tcBorders>
              <w:bottom w:val="single" w:sz="8" w:color="CCEEFF"/>
            </w:tcBorders>
          </w:tcPr>
          <w:p>
            <w:pPr>
              <w:spacing w:after="0"/>
              <w:rPr>
                <w:sz w:val="14"/>
                <w:szCs w:val="14"/>
                <w:color w:val="auto"/>
              </w:rPr>
            </w:pPr>
          </w:p>
        </w:tc>
        <w:tc>
          <w:tcPr>
            <w:tcW w:w="21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2015</w:t>
            </w:r>
          </w:p>
        </w:tc>
        <w:tc>
          <w:tcPr>
            <w:tcW w:w="5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484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Research and development</w:t>
            </w:r>
          </w:p>
        </w:tc>
        <w:tc>
          <w:tcPr>
            <w:tcW w:w="21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4,682</w:t>
            </w:r>
          </w:p>
        </w:tc>
        <w:tc>
          <w:tcPr>
            <w:tcW w:w="100" w:type="dxa"/>
            <w:vAlign w:val="bottom"/>
            <w:shd w:val="clear" w:color="auto" w:fill="CCEEFF"/>
          </w:tcPr>
          <w:p>
            <w:pPr>
              <w:spacing w:after="0"/>
              <w:rPr>
                <w:sz w:val="18"/>
                <w:szCs w:val="18"/>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Selling and marketing</w:t>
            </w:r>
          </w:p>
        </w:tc>
        <w:tc>
          <w:tcPr>
            <w:tcW w:w="2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ind w:left="1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8"/>
                <w:szCs w:val="18"/>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6"/>
              </w:rPr>
              <w:t>592</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w:t>
            </w:r>
          </w:p>
        </w:tc>
        <w:tc>
          <w:tcPr>
            <w:tcW w:w="100" w:type="dxa"/>
            <w:vAlign w:val="bottom"/>
            <w:shd w:val="clear" w:color="auto" w:fill="CCEEFF"/>
          </w:tcPr>
          <w:p>
            <w:pPr>
              <w:spacing w:after="0"/>
              <w:rPr>
                <w:sz w:val="18"/>
                <w:szCs w:val="18"/>
                <w:color w:val="auto"/>
              </w:rPr>
            </w:pPr>
          </w:p>
        </w:tc>
      </w:tr>
      <w:tr>
        <w:trPr>
          <w:trHeight w:val="223"/>
        </w:trPr>
        <w:tc>
          <w:tcPr>
            <w:tcW w:w="484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2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8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100" w:type="dxa"/>
            <w:vAlign w:val="bottom"/>
          </w:tcPr>
          <w:p>
            <w:pPr>
              <w:spacing w:after="0"/>
              <w:rPr>
                <w:sz w:val="19"/>
                <w:szCs w:val="19"/>
                <w:color w:val="auto"/>
              </w:rPr>
            </w:pPr>
          </w:p>
        </w:tc>
      </w:tr>
      <w:tr>
        <w:trPr>
          <w:trHeight w:val="216"/>
        </w:trPr>
        <w:tc>
          <w:tcPr>
            <w:tcW w:w="484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6"/>
              </w:rPr>
              <w:t>592</w:t>
            </w:r>
          </w:p>
        </w:tc>
        <w:tc>
          <w:tcPr>
            <w:tcW w:w="6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8,474</w:t>
            </w:r>
          </w:p>
        </w:tc>
        <w:tc>
          <w:tcPr>
            <w:tcW w:w="100" w:type="dxa"/>
            <w:vAlign w:val="bottom"/>
            <w:shd w:val="clear" w:color="auto" w:fill="CCEEFF"/>
          </w:tcPr>
          <w:p>
            <w:pPr>
              <w:spacing w:after="0"/>
              <w:rPr>
                <w:sz w:val="18"/>
                <w:szCs w:val="18"/>
                <w:color w:val="auto"/>
              </w:rPr>
            </w:pPr>
          </w:p>
        </w:tc>
      </w:tr>
      <w:tr>
        <w:trPr>
          <w:trHeight w:val="20"/>
        </w:trPr>
        <w:tc>
          <w:tcPr>
            <w:tcW w:w="484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60" w:firstLine="456"/>
        <w:spacing w:after="0" w:line="268"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each major type of costs associated with the restructuring charges (in thousands):</w:t>
      </w:r>
    </w:p>
    <w:p>
      <w:pPr>
        <w:spacing w:after="0" w:line="156"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5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440"/>
              <w:spacing w:after="0"/>
              <w:rPr>
                <w:sz w:val="20"/>
                <w:szCs w:val="20"/>
                <w:color w:val="auto"/>
              </w:rPr>
            </w:pPr>
            <w:r>
              <w:rPr>
                <w:rFonts w:ascii="Arial" w:cs="Arial" w:eastAsia="Arial" w:hAnsi="Arial"/>
                <w:sz w:val="14"/>
                <w:szCs w:val="14"/>
                <w:b w:val="1"/>
                <w:bCs w:val="1"/>
                <w:color w:val="auto"/>
                <w:w w:val="83"/>
              </w:rPr>
              <w:t>Facilities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rPr>
              <w:t>Other</w:t>
            </w:r>
          </w:p>
        </w:tc>
        <w:tc>
          <w:tcPr>
            <w:tcW w:w="30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9"/>
        </w:trPr>
        <w:tc>
          <w:tcPr>
            <w:tcW w:w="5340" w:type="dxa"/>
            <w:vAlign w:val="bottom"/>
          </w:tcPr>
          <w:p>
            <w:pPr>
              <w:spacing w:after="0"/>
              <w:rPr>
                <w:sz w:val="12"/>
                <w:szCs w:val="12"/>
                <w:color w:val="auto"/>
              </w:rPr>
            </w:pPr>
          </w:p>
        </w:tc>
        <w:tc>
          <w:tcPr>
            <w:tcW w:w="1040" w:type="dxa"/>
            <w:vAlign w:val="bottom"/>
            <w:gridSpan w:val="4"/>
          </w:tcPr>
          <w:p>
            <w:pPr>
              <w:spacing w:after="0" w:line="149" w:lineRule="exact"/>
              <w:rPr>
                <w:sz w:val="20"/>
                <w:szCs w:val="20"/>
                <w:color w:val="auto"/>
              </w:rPr>
            </w:pPr>
            <w:r>
              <w:rPr>
                <w:rFonts w:ascii="Arial" w:cs="Arial" w:eastAsia="Arial" w:hAnsi="Arial"/>
                <w:sz w:val="14"/>
                <w:szCs w:val="14"/>
                <w:b w:val="1"/>
                <w:bCs w:val="1"/>
                <w:color w:val="auto"/>
              </w:rPr>
              <w:t>and Related</w:t>
            </w:r>
          </w:p>
        </w:tc>
        <w:tc>
          <w:tcPr>
            <w:tcW w:w="1340" w:type="dxa"/>
            <w:vAlign w:val="bottom"/>
            <w:gridSpan w:val="4"/>
          </w:tcPr>
          <w:p>
            <w:pPr>
              <w:ind w:left="280"/>
              <w:spacing w:after="0" w:line="149" w:lineRule="exact"/>
              <w:rPr>
                <w:sz w:val="20"/>
                <w:szCs w:val="20"/>
                <w:color w:val="auto"/>
              </w:rPr>
            </w:pPr>
            <w:r>
              <w:rPr>
                <w:rFonts w:ascii="Arial" w:cs="Arial" w:eastAsia="Arial" w:hAnsi="Arial"/>
                <w:sz w:val="14"/>
                <w:szCs w:val="14"/>
                <w:b w:val="1"/>
                <w:bCs w:val="1"/>
                <w:color w:val="auto"/>
              </w:rPr>
              <w:t>Exit-Related</w:t>
            </w:r>
          </w:p>
        </w:tc>
        <w:tc>
          <w:tcPr>
            <w:tcW w:w="3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1"/>
        </w:trPr>
        <w:tc>
          <w:tcPr>
            <w:tcW w:w="5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96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rPr>
              <w:t>Costs</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920" w:type="dxa"/>
            <w:vAlign w:val="bottom"/>
            <w:gridSpan w:val="2"/>
          </w:tcPr>
          <w:p>
            <w:pPr>
              <w:jc w:val="right"/>
              <w:ind w:right="540"/>
              <w:spacing w:after="0"/>
              <w:rPr>
                <w:sz w:val="20"/>
                <w:szCs w:val="20"/>
                <w:color w:val="auto"/>
              </w:rPr>
            </w:pPr>
            <w:r>
              <w:rPr>
                <w:rFonts w:ascii="Arial" w:cs="Arial" w:eastAsia="Arial" w:hAnsi="Arial"/>
                <w:sz w:val="14"/>
                <w:szCs w:val="14"/>
                <w:b w:val="1"/>
                <w:bCs w:val="1"/>
                <w:color w:val="auto"/>
                <w:w w:val="92"/>
              </w:rPr>
              <w:t>Costs</w:t>
            </w:r>
          </w:p>
        </w:tc>
        <w:tc>
          <w:tcPr>
            <w:tcW w:w="300" w:type="dxa"/>
            <w:vAlign w:val="bottom"/>
          </w:tcPr>
          <w:p>
            <w:pPr>
              <w:spacing w:after="0"/>
              <w:rPr>
                <w:sz w:val="14"/>
                <w:szCs w:val="14"/>
                <w:color w:val="auto"/>
              </w:rPr>
            </w:pPr>
          </w:p>
        </w:tc>
        <w:tc>
          <w:tcPr>
            <w:tcW w:w="660" w:type="dxa"/>
            <w:vAlign w:val="bottom"/>
            <w:gridSpan w:val="2"/>
          </w:tcPr>
          <w:p>
            <w:pPr>
              <w:jc w:val="right"/>
              <w:ind w:right="240"/>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10"/>
        </w:trPr>
        <w:tc>
          <w:tcPr>
            <w:tcW w:w="53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20" w:type="dxa"/>
            <w:vAlign w:val="bottom"/>
            <w:tcBorders>
              <w:top w:val="single" w:sz="8" w:color="CCEEFF"/>
            </w:tcBorders>
            <w:shd w:val="clear" w:color="auto" w:fill="CCEEFF"/>
          </w:tcPr>
          <w:p>
            <w:pPr>
              <w:spacing w:after="0"/>
              <w:rPr>
                <w:sz w:val="18"/>
                <w:szCs w:val="18"/>
                <w:color w:val="auto"/>
              </w:rPr>
            </w:pPr>
          </w:p>
        </w:tc>
        <w:tc>
          <w:tcPr>
            <w:tcW w:w="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0"/>
                <w:szCs w:val="10"/>
                <w:color w:val="auto"/>
                <w:w w:val="71"/>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1,339</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3,230</w:t>
            </w:r>
          </w:p>
        </w:tc>
        <w:tc>
          <w:tcPr>
            <w:tcW w:w="32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$ 4,569</w:t>
            </w:r>
          </w:p>
        </w:tc>
        <w:tc>
          <w:tcPr>
            <w:tcW w:w="1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40" w:type="dxa"/>
            <w:vAlign w:val="bottom"/>
          </w:tcPr>
          <w:p>
            <w:pPr>
              <w:ind w:left="440"/>
              <w:spacing w:after="0"/>
              <w:rPr>
                <w:sz w:val="20"/>
                <w:szCs w:val="20"/>
                <w:color w:val="auto"/>
              </w:rPr>
            </w:pPr>
            <w:r>
              <w:rPr>
                <w:rFonts w:ascii="Arial" w:cs="Arial" w:eastAsia="Arial" w:hAnsi="Arial"/>
                <w:sz w:val="18"/>
                <w:szCs w:val="18"/>
                <w:color w:val="auto"/>
              </w:rPr>
              <w:t>Restructuring charges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19</w:t>
            </w: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9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19</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5340" w:type="dxa"/>
            <w:vAlign w:val="bottom"/>
            <w:shd w:val="clear" w:color="auto" w:fill="CCEEFF"/>
          </w:tcPr>
          <w:p>
            <w:pPr>
              <w:ind w:left="440"/>
              <w:spacing w:after="0"/>
              <w:rPr>
                <w:sz w:val="20"/>
                <w:szCs w:val="20"/>
                <w:color w:val="auto"/>
              </w:rPr>
            </w:pPr>
            <w:r>
              <w:rPr>
                <w:rFonts w:ascii="Arial" w:cs="Arial" w:eastAsia="Arial" w:hAnsi="Arial"/>
                <w:sz w:val="18"/>
                <w:szCs w:val="18"/>
                <w:color w:val="auto"/>
              </w:rPr>
              <w:t>Net cash payments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(312)</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(3,230)</w:t>
            </w:r>
          </w:p>
        </w:tc>
        <w:tc>
          <w:tcPr>
            <w:tcW w:w="96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(3,542)</w:t>
            </w:r>
          </w:p>
        </w:tc>
        <w:tc>
          <w:tcPr>
            <w:tcW w:w="0" w:type="dxa"/>
            <w:vAlign w:val="bottom"/>
          </w:tcPr>
          <w:p>
            <w:pPr>
              <w:spacing w:after="0"/>
              <w:rPr>
                <w:sz w:val="1"/>
                <w:szCs w:val="1"/>
                <w:color w:val="auto"/>
              </w:rPr>
            </w:pPr>
          </w:p>
        </w:tc>
      </w:tr>
      <w:tr>
        <w:trPr>
          <w:trHeight w:val="20"/>
        </w:trPr>
        <w:tc>
          <w:tcPr>
            <w:tcW w:w="5340" w:type="dxa"/>
            <w:vAlign w:val="bottom"/>
            <w:vMerge w:val="restart"/>
          </w:tcPr>
          <w:p>
            <w:pPr>
              <w:spacing w:after="0"/>
              <w:rPr>
                <w:sz w:val="20"/>
                <w:szCs w:val="20"/>
                <w:color w:val="auto"/>
              </w:rPr>
            </w:pPr>
            <w:r>
              <w:rPr>
                <w:rFonts w:ascii="Arial" w:cs="Arial" w:eastAsia="Arial" w:hAnsi="Arial"/>
                <w:sz w:val="18"/>
                <w:szCs w:val="18"/>
                <w:color w:val="auto"/>
              </w:rPr>
              <w:t>Balance at May 2, 2015</w:t>
            </w:r>
          </w:p>
        </w:tc>
        <w:tc>
          <w:tcPr>
            <w:tcW w:w="20" w:type="dxa"/>
            <w:vAlign w:val="bottom"/>
          </w:tcPr>
          <w:p>
            <w:pPr>
              <w:spacing w:after="0" w:line="20" w:lineRule="exact"/>
              <w:rPr>
                <w:sz w:val="1"/>
                <w:szCs w:val="1"/>
                <w:color w:val="auto"/>
              </w:rPr>
            </w:pPr>
          </w:p>
        </w:tc>
        <w:tc>
          <w:tcPr>
            <w:tcW w:w="6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5340" w:type="dxa"/>
            <w:vAlign w:val="bottom"/>
            <w:vMerge w:val="continue"/>
          </w:tcPr>
          <w:p>
            <w:pPr>
              <w:spacing w:after="0"/>
              <w:rPr>
                <w:sz w:val="19"/>
                <w:szCs w:val="19"/>
                <w:color w:val="auto"/>
              </w:rPr>
            </w:pPr>
          </w:p>
        </w:tc>
        <w:tc>
          <w:tcPr>
            <w:tcW w:w="80" w:type="dxa"/>
            <w:vAlign w:val="bottom"/>
            <w:gridSpan w:val="2"/>
          </w:tcPr>
          <w:p>
            <w:pPr>
              <w:spacing w:after="0"/>
              <w:rPr>
                <w:sz w:val="20"/>
                <w:szCs w:val="20"/>
                <w:color w:val="auto"/>
              </w:rPr>
            </w:pPr>
            <w:r>
              <w:rPr>
                <w:rFonts w:ascii="Arial" w:cs="Arial" w:eastAsia="Arial" w:hAnsi="Arial"/>
                <w:sz w:val="15"/>
                <w:szCs w:val="15"/>
                <w:color w:val="auto"/>
                <w:w w:val="71"/>
              </w:rPr>
              <w:t>$</w:t>
            </w:r>
          </w:p>
        </w:tc>
        <w:tc>
          <w:tcPr>
            <w:tcW w:w="620" w:type="dxa"/>
            <w:vAlign w:val="bottom"/>
          </w:tcPr>
          <w:p>
            <w:pPr>
              <w:jc w:val="right"/>
              <w:spacing w:after="0"/>
              <w:rPr>
                <w:sz w:val="20"/>
                <w:szCs w:val="20"/>
                <w:color w:val="auto"/>
              </w:rPr>
            </w:pPr>
            <w:r>
              <w:rPr>
                <w:rFonts w:ascii="Arial" w:cs="Arial" w:eastAsia="Arial" w:hAnsi="Arial"/>
                <w:sz w:val="18"/>
                <w:szCs w:val="18"/>
                <w:color w:val="auto"/>
              </w:rPr>
              <w:t>1,046</w:t>
            </w:r>
          </w:p>
        </w:tc>
        <w:tc>
          <w:tcPr>
            <w:tcW w:w="340" w:type="dxa"/>
            <w:vAlign w:val="bottom"/>
          </w:tcPr>
          <w:p>
            <w:pPr>
              <w:spacing w:after="0"/>
              <w:rPr>
                <w:sz w:val="19"/>
                <w:szCs w:val="19"/>
                <w:color w:val="auto"/>
              </w:rPr>
            </w:pPr>
          </w:p>
        </w:tc>
        <w:tc>
          <w:tcPr>
            <w:tcW w:w="420" w:type="dxa"/>
            <w:vAlign w:val="bottom"/>
            <w:gridSpan w:val="2"/>
          </w:tcPr>
          <w:p>
            <w:pPr>
              <w:ind w:left="280"/>
              <w:spacing w:after="0"/>
              <w:rPr>
                <w:sz w:val="20"/>
                <w:szCs w:val="20"/>
                <w:color w:val="auto"/>
              </w:rPr>
            </w:pPr>
            <w:r>
              <w:rPr>
                <w:rFonts w:ascii="Arial" w:cs="Arial" w:eastAsia="Arial" w:hAnsi="Arial"/>
                <w:sz w:val="18"/>
                <w:szCs w:val="18"/>
                <w:color w:val="auto"/>
              </w:rPr>
              <w:t>$</w:t>
            </w:r>
          </w:p>
        </w:tc>
        <w:tc>
          <w:tcPr>
            <w:tcW w:w="92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spacing w:after="0"/>
              <w:rPr>
                <w:sz w:val="20"/>
                <w:szCs w:val="20"/>
                <w:color w:val="auto"/>
              </w:rPr>
            </w:pPr>
            <w:r>
              <w:rPr>
                <w:rFonts w:ascii="Arial" w:cs="Arial" w:eastAsia="Arial" w:hAnsi="Arial"/>
                <w:sz w:val="18"/>
                <w:szCs w:val="18"/>
                <w:color w:val="auto"/>
              </w:rPr>
              <w:t>$ 1,046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534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68" w:lineRule="auto"/>
        <w:rPr>
          <w:sz w:val="20"/>
          <w:szCs w:val="20"/>
          <w:color w:val="auto"/>
        </w:rPr>
      </w:pPr>
      <w:r>
        <w:rPr>
          <w:rFonts w:ascii="Arial" w:cs="Arial" w:eastAsia="Arial" w:hAnsi="Arial"/>
          <w:sz w:val="18"/>
          <w:szCs w:val="18"/>
          <w:color w:val="auto"/>
        </w:rPr>
        <w:t>The balance at May 2, 2015 for facility and related costs includes remaining payments under lease obligations related to vacated space that are expected to be paid through fiscal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Income Tax</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The income tax provision for the three months ended May 2, 2015 included the current income tax liability of $4.3 million, plus an additional provision of $3.1 million related to a $15.4 million cash payment to the Company’s Chief Executive Officer (see “Note 13 – Related Party Transactions” in the Notes to the Unaudited Condensed Consolidated Financial Statements), which were offset by a net reduction in unrecognized tax benefits of $3.1 million. The net reduction in unrecognized tax benefits arose from the release of $4.0 million due to expiration of the statue of limitations in a non-U.S. jurisdiction, which was partially offset by penalties and interest of $0.9 million accrued on the outstanding unrecognized tax benefit balance.</w:t>
      </w:r>
    </w:p>
    <w:p>
      <w:pPr>
        <w:spacing w:after="0" w:line="11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income tax benefit for the three months ended May 3, 2014 included the current income tax liability of $5.7 million, which was offset by tax benefits of $2.5 million from a net reduction in unrecognized tax benefits and $7.8 million from an increase in the net deferred tax assets because of the Company’s continued discussions with the Singapore tax authorities that resulted in an agreement for a major portion of the pre-tax income to be taxed at a new Development and Expansion Incentive (“DEI”). The net reduction in unrecognized tax benefits arose from the release of $4.9 million due to expiration of the statute of limitations, which was reduced by an increase in current unrecognized tax benefit estimates of $1.1 million and a $1.3 million tax expense related to the fiscal year 2014 tax return of a non-U.S. jurisdiction.</w:t>
      </w:r>
    </w:p>
    <w:p>
      <w:pPr>
        <w:spacing w:after="0" w:line="144"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$11 million from the lapse of statutes of limitation in various jurisdictions during the next 12 months. Government tax authorities from several non-U.S. jurisdictions are also examining returns. The Company believes that it has adequately provided for any reasonably foreseeable outcomes related to its tax audits and that any settlement will not have a material effect on its results at this time.</w:t>
      </w:r>
    </w:p>
    <w:p>
      <w:pPr>
        <w:spacing w:after="0" w:line="116"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The Company operates under tax incentives in certain countries, which may be extended if certain additional requirements are satisfied. The tax incentives are conditional upon meeting certain employment and investment thresholds. The impact of these tax incentives decreased foreign taxes by $3.3 million in each of the three months ended May 2, 2015 and May 3, 2014. The benefit of the tax incentives on net income per share was $0.01 per share for the three months ended May 2, 2015 and less than $0.01 per share for the three months ended May 3, 2014.</w:t>
      </w:r>
    </w:p>
    <w:p>
      <w:pPr>
        <w:spacing w:after="0" w:line="9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380"/>
          </w:cols>
          <w:pgMar w:left="240" w:top="459" w:right="27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right="20" w:firstLine="456"/>
        <w:spacing w:after="0" w:line="291" w:lineRule="auto"/>
        <w:rPr>
          <w:sz w:val="20"/>
          <w:szCs w:val="20"/>
          <w:color w:val="auto"/>
        </w:rPr>
      </w:pPr>
      <w:r>
        <w:rPr>
          <w:rFonts w:ascii="Arial" w:cs="Arial" w:eastAsia="Arial" w:hAnsi="Arial"/>
          <w:sz w:val="16"/>
          <w:szCs w:val="16"/>
          <w:color w:val="auto"/>
        </w:rPr>
        <w:t>The Company’s principal source of liquidity as of May 2, 2015 consisted of approximately $2.5 billion of cash, cash equivalents and short-term investments, of which approximately $900 million was held by foreign subsidiaries (outside Bermuda). Approximately $500 million of this amount held by foreign subsidiaries is related to undistributed earnings, which have been indefinitely reinvested outside of Bermuda. These funds are primarily held in China, Israel, the United States and Switzerland. The Company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the Company would incur a tax expense of approximately $150 million.</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Commitments and Contingencies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Purchase Commitments</w:t>
      </w:r>
    </w:p>
    <w:p>
      <w:pPr>
        <w:spacing w:after="0" w:line="90" w:lineRule="exact"/>
        <w:rPr>
          <w:sz w:val="20"/>
          <w:szCs w:val="20"/>
          <w:color w:val="auto"/>
        </w:rPr>
      </w:pPr>
    </w:p>
    <w:p>
      <w:pPr>
        <w:ind w:right="300" w:firstLine="456"/>
        <w:spacing w:after="0" w:line="259" w:lineRule="auto"/>
        <w:rPr>
          <w:sz w:val="20"/>
          <w:szCs w:val="20"/>
          <w:color w:val="auto"/>
        </w:rPr>
      </w:pPr>
      <w:r>
        <w:rPr>
          <w:rFonts w:ascii="Arial" w:cs="Arial" w:eastAsia="Arial" w:hAnsi="Arial"/>
          <w:sz w:val="18"/>
          <w:szCs w:val="18"/>
          <w:color w:val="auto"/>
        </w:rPr>
        <w:t>Under the Company’s manufacturing relationships with its foundry partners, cancellation of all outstanding purchase orders are allowed but require payment of all costs and expenses incurred through the date of cancellation. As of May 2, 2015, these foundries had incurred approximately $212.9 million of manufacturing costs and expenses relating to the Company’s outstanding purchase orders.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Although historically the Company has not made significant payments under these indemnification obligations,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Contingencies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The Company and certain of its subsidiaries are currently parties to various legal proceedings, including those noted in this section. The legal proceedings and claims described below could result in substantial costs and could divert the attention and resources of the Company’s management. The Company is also engaged in other legal proceedings and claims not described below, which arise in the ordinary course of its business.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18"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As of May 2, 2015, the Company had no accrued liability related to certain legal proceedings described below in this section. Additionally, the Company has not recorded any amounts for contingent losses associated with the matters described below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3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400"/>
          </w:cols>
          <w:pgMar w:left="240" w:top="45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i w:val="1"/>
          <w:iCs w:val="1"/>
          <w:color w:val="auto"/>
        </w:rPr>
        <w:t xml:space="preserve">Carnegie Mellon University Litigation. </w:t>
      </w:r>
      <w:r>
        <w:rPr>
          <w:rFonts w:ascii="Arial" w:cs="Arial" w:eastAsia="Arial" w:hAnsi="Arial"/>
          <w:sz w:val="16"/>
          <w:szCs w:val="16"/>
          <w:color w:val="auto"/>
        </w:rPr>
        <w:t>On March 6, 2009, CMU filed a complaint in the U.S. District Court for the Western District of Pennsylvania</w:t>
      </w:r>
      <w:r>
        <w:rPr>
          <w:rFonts w:ascii="Arial" w:cs="Arial" w:eastAsia="Arial" w:hAnsi="Arial"/>
          <w:sz w:val="16"/>
          <w:szCs w:val="16"/>
          <w:i w:val="1"/>
          <w:iCs w:val="1"/>
          <w:color w:val="auto"/>
        </w:rPr>
        <w:t xml:space="preserve"> </w:t>
      </w:r>
      <w:r>
        <w:rPr>
          <w:rFonts w:ascii="Arial" w:cs="Arial" w:eastAsia="Arial" w:hAnsi="Arial"/>
          <w:sz w:val="16"/>
          <w:szCs w:val="16"/>
          <w:color w:val="auto"/>
        </w:rPr>
        <w:t>naming Marvell Semiconductor, Inc. (“MSI”) and the Company as defendants and alleging patent infringement. CMU has asserted U.S. Patent Nos. 6,201,839 and 6,438,180 (collectively, the “CMU patents in suit”), which relate to read-channel integrated circuit devices and the hard disk drive (“HDD”) incorporating such devices. A jury trial began on November 26, 2012. On December 26, 2012, a jury delivered a verdict that found the CMU patents in suit were literally and willfully infringed and valid, and awarded past damages in the amount of $1.17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the Company’s motion for mistrial. On September 23, 2013, the District Court denied the Company’s motion for judgment as a matter of law or a new trial on non-infringement, invalidity and other non-damages issue as well as the Company’s motion for reduced damages. On the same day, the District Court granted-in-part CMU’s motion for a finding of willful infringement and enhanced damages, reserving its further rulings on any enhancement of the verdict for a separate opinion. On December 6, 2013, CMU filed a motion to permit registration of judgment and a motion for supplemental relief including a request to enjoin future share repurchases, any leveraged buyout or similar asset leveraging transaction, and dividends, in the absence of a court approved bond or other security. On December 23, 2013, the District Court denied the motions. On January 8, 2014, CMU filed a motion for telephonic status conference, which was denied on January 28, 2014. On January 14, 2014, the District Court denied the Company’s post-trial motion on laches. On March 31, 2014, the District Court rejected CMU’s motion for an injunction. The District Court also denied CMU’s request for pre-judgment interest, and substantially scaled back CMU’s request for enhanced damages. Based on these decisions, the District Court calculated the damages including enhancement to total approximately $1.54 billion, and held that, under its decision, CMU is entitled to post judgment interest and an ongoing royalty. On May 7, 2014, the District Court entered final judgment, from which the Company filed a notice of appeal on May 14, 2014. The Company filed its opening appeal brief on August 4, 2014. CMU filed its opposition brief on October 20, 2014 and the Company filed its reply brief on November 20, 2014. The District Court has required the Company to report ongoing royalties under the current judgment. Based on the royalty rate assessed by the District Court, such additional royalties for the period of time commencing on the date ordered by the District Court, January 15, 2013, through May 2, 2015 could be as much as $450 million. The Company has secured certain surety bonds for the duration of the appeal to stay execution of judgment pending the appeal. See “—Surety Bonds.”</w:t>
      </w:r>
    </w:p>
    <w:p>
      <w:pPr>
        <w:spacing w:after="0" w:line="12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are currently pursuing an appeal before the U.S. Court of Appeals for the Federal Circuit in Washington, D.C. which held a hearing for oral argument on April 7, 2015. The Company believes the low end of the possible range of loss is zero, but it cannot reasonably estimate the upper range of the possible loss, as a number of factors could significantly change the assessment of damages.</w:t>
      </w:r>
    </w:p>
    <w:p>
      <w:pPr>
        <w:spacing w:after="0" w:line="143" w:lineRule="exact"/>
        <w:rPr>
          <w:sz w:val="20"/>
          <w:szCs w:val="20"/>
          <w:color w:val="auto"/>
        </w:rPr>
      </w:pPr>
    </w:p>
    <w:p>
      <w:pPr>
        <w:ind w:right="440" w:firstLine="456"/>
        <w:spacing w:after="0" w:line="256" w:lineRule="auto"/>
        <w:rPr>
          <w:sz w:val="20"/>
          <w:szCs w:val="20"/>
          <w:color w:val="auto"/>
        </w:rPr>
      </w:pPr>
      <w:r>
        <w:rPr>
          <w:rFonts w:ascii="Arial" w:cs="Arial" w:eastAsia="Arial" w:hAnsi="Arial"/>
          <w:sz w:val="18"/>
          <w:szCs w:val="18"/>
          <w:i w:val="1"/>
          <w:iCs w:val="1"/>
          <w:color w:val="auto"/>
        </w:rPr>
        <w:t xml:space="preserve">USEI Litigation. </w:t>
      </w:r>
      <w:r>
        <w:rPr>
          <w:rFonts w:ascii="Arial" w:cs="Arial" w:eastAsia="Arial" w:hAnsi="Arial"/>
          <w:sz w:val="18"/>
          <w:szCs w:val="18"/>
          <w:color w:val="auto"/>
        </w:rPr>
        <w:t>On October 9, 2009, U.S. Ethernet Innovations, LLC (“USEI”) filed a complaint in the U.S. District Court for the Eastern District of</w:t>
      </w:r>
      <w:r>
        <w:rPr>
          <w:rFonts w:ascii="Arial" w:cs="Arial" w:eastAsia="Arial" w:hAnsi="Arial"/>
          <w:sz w:val="18"/>
          <w:szCs w:val="18"/>
          <w:i w:val="1"/>
          <w:iCs w:val="1"/>
          <w:color w:val="auto"/>
        </w:rPr>
        <w:t xml:space="preserve"> </w:t>
      </w:r>
      <w:r>
        <w:rPr>
          <w:rFonts w:ascii="Arial" w:cs="Arial" w:eastAsia="Arial" w:hAnsi="Arial"/>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which relate to Ethernet technologies. The complaint seeks unspecified damages and an injunction.</w:t>
      </w:r>
    </w:p>
    <w:p>
      <w:pPr>
        <w:spacing w:after="0" w:line="143"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The District Court issued a first claim construction ruling on January 31, 2012 and a supplemental claim construction ruling on August 29, 2012. On August 16, 2013, the District Court granted defendants’ summary judgment motion to preclude the plaintiff from recovering certain pre-suit damages. On November 7, 2014, on summary judgment, the District Court found that all the patents-in-suit were either invalid or not infringed. On December 1, 2014, the District Court entered a judgment in favor of defendants and awarded defendants’ costs. On December 29, 2014, USEI filed a motion to alter or amend the District Court’s summary judgment order, which the District Court denied on March 31, 2015. On April 24, 2015, USEI filed its notice of appeal.</w:t>
      </w:r>
    </w:p>
    <w:p>
      <w:pPr>
        <w:spacing w:after="0" w:line="118" w:lineRule="exact"/>
        <w:rPr>
          <w:sz w:val="20"/>
          <w:szCs w:val="20"/>
          <w:color w:val="auto"/>
        </w:rPr>
      </w:pPr>
    </w:p>
    <w:p>
      <w:pPr>
        <w:ind w:right="40" w:firstLine="456"/>
        <w:spacing w:after="0" w:line="287" w:lineRule="auto"/>
        <w:rPr>
          <w:sz w:val="20"/>
          <w:szCs w:val="20"/>
          <w:color w:val="auto"/>
        </w:rPr>
      </w:pPr>
      <w:r>
        <w:rPr>
          <w:rFonts w:ascii="Arial" w:cs="Arial" w:eastAsia="Arial" w:hAnsi="Arial"/>
          <w:sz w:val="16"/>
          <w:szCs w:val="16"/>
          <w:i w:val="1"/>
          <w:iCs w:val="1"/>
          <w:color w:val="auto"/>
        </w:rPr>
        <w:t xml:space="preserve">Azure Networks Litigation. </w:t>
      </w:r>
      <w:r>
        <w:rPr>
          <w:rFonts w:ascii="Arial" w:cs="Arial" w:eastAsia="Arial" w:hAnsi="Arial"/>
          <w:sz w:val="16"/>
          <w:szCs w:val="16"/>
          <w:color w:val="auto"/>
        </w:rPr>
        <w:t>On March 22, 2011, Azure Networks, LLC (“Azure”) and Tri-County Excelsior Foundation filed suit in the U.S. District Court</w:t>
      </w:r>
      <w:r>
        <w:rPr>
          <w:rFonts w:ascii="Arial" w:cs="Arial" w:eastAsia="Arial" w:hAnsi="Arial"/>
          <w:sz w:val="16"/>
          <w:szCs w:val="16"/>
          <w:i w:val="1"/>
          <w:iCs w:val="1"/>
          <w:color w:val="auto"/>
        </w:rPr>
        <w:t xml:space="preserve"> </w:t>
      </w:r>
      <w:r>
        <w:rPr>
          <w:rFonts w:ascii="Arial" w:cs="Arial" w:eastAsia="Arial" w:hAnsi="Arial"/>
          <w:sz w:val="16"/>
          <w:szCs w:val="16"/>
          <w:color w:val="auto"/>
        </w:rPr>
        <w:t>for the Eastern District of Texas against MSI and eight other companies. The Complaint asserts U.S. Patent No. 7,756,129 against MSI’s Bluetooth products. MSI filed its answer and counterclaims on July 20, 2011. On November 2, 2012, MSI and the other defendants filed a 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 On November 6, 2014, the Federal Circuit issued an order vacating the judgment of non-infringement and remanding for further proceedings. MSI filed a petition for writ of certiorari to the United States Supreme Court on February 4, 2015. On February 10, 2015, the District Court stayed all proceedings pending the Supreme Court’s ruling on the Company’s petition. On April 20, 2015, the United States Supreme Court granted MSI’s petition, vacating the Federal Circuit’s judgment and remanding the case for further consideration.</w:t>
      </w:r>
    </w:p>
    <w:p>
      <w:pPr>
        <w:spacing w:after="0" w:line="10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420"/>
          </w:cols>
          <w:pgMar w:left="240" w:top="459" w:right="23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jc w:val="both"/>
        <w:ind w:firstLine="456"/>
        <w:spacing w:after="0" w:line="335" w:lineRule="auto"/>
        <w:rPr>
          <w:sz w:val="20"/>
          <w:szCs w:val="20"/>
          <w:color w:val="auto"/>
        </w:rPr>
      </w:pPr>
      <w:r>
        <w:rPr>
          <w:rFonts w:ascii="Arial" w:cs="Arial" w:eastAsia="Arial" w:hAnsi="Arial"/>
          <w:sz w:val="15"/>
          <w:szCs w:val="15"/>
          <w:color w:val="auto"/>
        </w:rPr>
        <w:t>On January 13, 2015, Azure filed a second suit against MSI in the U.S. District Court for the Eastern District of Texas, alleging infringement of U.S. Patent Nos. 8,582,570; 8,582,571; 8,588,196; 8,588,231; 8,589,599; 8,675,590; 8,683,092; 8,700,815; 8,732,347; and 8,732,361, purportedly related to certain Wi-Fi and near field communication (“NFC”) technologies. The complaint seeks unspecified damages. On April 6, 2015, MSI filed an amended answer and counterclaims.</w:t>
      </w:r>
    </w:p>
    <w:p>
      <w:pPr>
        <w:spacing w:after="0" w:line="88" w:lineRule="exact"/>
        <w:rPr>
          <w:sz w:val="20"/>
          <w:szCs w:val="20"/>
          <w:color w:val="auto"/>
        </w:rPr>
      </w:pPr>
    </w:p>
    <w:p>
      <w:pPr>
        <w:ind w:right="80" w:firstLine="456"/>
        <w:spacing w:after="0" w:line="287" w:lineRule="auto"/>
        <w:rPr>
          <w:sz w:val="20"/>
          <w:szCs w:val="20"/>
          <w:color w:val="auto"/>
        </w:rPr>
      </w:pPr>
      <w:r>
        <w:rPr>
          <w:rFonts w:ascii="Arial" w:cs="Arial" w:eastAsia="Arial" w:hAnsi="Arial"/>
          <w:sz w:val="16"/>
          <w:szCs w:val="16"/>
          <w:i w:val="1"/>
          <w:iCs w:val="1"/>
          <w:color w:val="auto"/>
        </w:rPr>
        <w:t xml:space="preserve">France Telecom Litigation. </w:t>
      </w:r>
      <w:r>
        <w:rPr>
          <w:rFonts w:ascii="Arial" w:cs="Arial" w:eastAsia="Arial" w:hAnsi="Arial"/>
          <w:sz w:val="16"/>
          <w:szCs w:val="16"/>
          <w:color w:val="auto"/>
        </w:rPr>
        <w:t>On June 26, 2012, France Telecom S.A. filed a complaint against MSI in the U.S. District Court for the Southern District of</w:t>
      </w:r>
      <w:r>
        <w:rPr>
          <w:rFonts w:ascii="Arial" w:cs="Arial" w:eastAsia="Arial" w:hAnsi="Arial"/>
          <w:sz w:val="16"/>
          <w:szCs w:val="16"/>
          <w:i w:val="1"/>
          <w:iCs w:val="1"/>
          <w:color w:val="auto"/>
        </w:rPr>
        <w:t xml:space="preserve"> </w:t>
      </w:r>
      <w:r>
        <w:rPr>
          <w:rFonts w:ascii="Arial" w:cs="Arial" w:eastAsia="Arial" w:hAnsi="Arial"/>
          <w:sz w:val="16"/>
          <w:szCs w:val="16"/>
          <w:color w:val="auto"/>
        </w:rPr>
        <w:t>New York. The complaint asserts U.S. Patent No. 5,446,747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A claim construction hearing was held on December 13, 2013. On April 14, 2014, the Court denied MSI’s motion for summary judgment of invalidity, and granted MSI’s summary judgment motion concerning certain damages preclusion. A jury trial began on September 17, 2014. On September 30, 2014, a jury delivered a verdict that found the patent in suit was literally, but not willfully, infringed and valid, and awarded damages. The award did not have a significant impact on the Company’s financial statements. A hearing for post-trial motions and non-jury issues took place on January 14, 2015. On March 2, 2015, the District Court issued an order on post-trial briefs finding no direct infringement by Marvell as a matter of law and entered judgment in favor of Marvell. On March 30, 2015, France Telecom filed a notice of appeal. On April 10, 2015, MSI filed a notice of cross appeal.</w:t>
      </w:r>
    </w:p>
    <w:p>
      <w:pPr>
        <w:spacing w:after="0" w:line="123" w:lineRule="exact"/>
        <w:rPr>
          <w:sz w:val="20"/>
          <w:szCs w:val="20"/>
          <w:color w:val="auto"/>
        </w:rPr>
      </w:pPr>
    </w:p>
    <w:p>
      <w:pPr>
        <w:ind w:right="160" w:firstLine="456"/>
        <w:spacing w:after="0" w:line="298" w:lineRule="auto"/>
        <w:rPr>
          <w:sz w:val="20"/>
          <w:szCs w:val="20"/>
          <w:color w:val="auto"/>
        </w:rPr>
      </w:pPr>
      <w:r>
        <w:rPr>
          <w:rFonts w:ascii="Arial" w:cs="Arial" w:eastAsia="Arial" w:hAnsi="Arial"/>
          <w:sz w:val="16"/>
          <w:szCs w:val="16"/>
          <w:i w:val="1"/>
          <w:iCs w:val="1"/>
          <w:color w:val="auto"/>
        </w:rPr>
        <w:t xml:space="preserve">Vantage Point Technology Patent Litigation. </w:t>
      </w:r>
      <w:r>
        <w:rPr>
          <w:rFonts w:ascii="Arial" w:cs="Arial" w:eastAsia="Arial" w:hAnsi="Arial"/>
          <w:sz w:val="16"/>
          <w:szCs w:val="16"/>
          <w:color w:val="auto"/>
        </w:rPr>
        <w:t>On November 21, 2013, Vantage Point Technology, Inc. (“VPT”) filed suit against a third-party defendant in</w:t>
      </w:r>
      <w:r>
        <w:rPr>
          <w:rFonts w:ascii="Arial" w:cs="Arial" w:eastAsia="Arial" w:hAnsi="Arial"/>
          <w:sz w:val="16"/>
          <w:szCs w:val="16"/>
          <w:i w:val="1"/>
          <w:iCs w:val="1"/>
          <w:color w:val="auto"/>
        </w:rPr>
        <w:t xml:space="preserve"> </w:t>
      </w:r>
      <w:r>
        <w:rPr>
          <w:rFonts w:ascii="Arial" w:cs="Arial" w:eastAsia="Arial" w:hAnsi="Arial"/>
          <w:sz w:val="16"/>
          <w:szCs w:val="16"/>
          <w:color w:val="auto"/>
        </w:rPr>
        <w:t>the U.S. District Court for the Eastern District of Texas for patent infringement relating to processor technology. On February 3, 2014, VPT filed an amended complaint against the third party and added MSI as an additional defendant. The complaint seeks unspecified damages. On December 8, 2014, the case was transferred to the U.S. District Court for the Northern District of California. The case was dismissed with prejudice in March, 2015.</w:t>
      </w:r>
    </w:p>
    <w:p>
      <w:pPr>
        <w:spacing w:after="0" w:line="113"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i w:val="1"/>
          <w:iCs w:val="1"/>
          <w:color w:val="auto"/>
        </w:rPr>
        <w:t xml:space="preserve">Bandspeed Litigation. </w:t>
      </w:r>
      <w:r>
        <w:rPr>
          <w:rFonts w:ascii="Arial" w:cs="Arial" w:eastAsia="Arial" w:hAnsi="Arial"/>
          <w:sz w:val="16"/>
          <w:szCs w:val="16"/>
          <w:color w:val="auto"/>
        </w:rPr>
        <w:t>On May 9, 2014, Bandspeed, Inc. filed suit against MSI in the U.S. District Court for the Western District of Texas, alleging</w:t>
      </w:r>
      <w:r>
        <w:rPr>
          <w:rFonts w:ascii="Arial" w:cs="Arial" w:eastAsia="Arial" w:hAnsi="Arial"/>
          <w:sz w:val="16"/>
          <w:szCs w:val="16"/>
          <w:i w:val="1"/>
          <w:iCs w:val="1"/>
          <w:color w:val="auto"/>
        </w:rPr>
        <w:t xml:space="preserve"> </w:t>
      </w:r>
      <w:r>
        <w:rPr>
          <w:rFonts w:ascii="Arial" w:cs="Arial" w:eastAsia="Arial" w:hAnsi="Arial"/>
          <w:sz w:val="16"/>
          <w:szCs w:val="16"/>
          <w:color w:val="auto"/>
        </w:rPr>
        <w:t>infringement of U.S. Patent Nos. 7,027,418; 7,570,614; 7,477,624; 7,903,608; and 8,542,643, purportedly related to certain Bluetooth technology. The complaint seeks unspecified damages. On February 13, 2015, Bandspeed amended its complaint and added allegations of infringement of U.S. Patent No. 8,873,500. On April 29, 2015, the parties filed a joint motion to dismiss the case with prejudice. The case was dismissed with prejudice on May 7, 2015.</w:t>
      </w:r>
    </w:p>
    <w:p>
      <w:pPr>
        <w:spacing w:after="0" w:line="113"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i w:val="1"/>
          <w:iCs w:val="1"/>
          <w:color w:val="auto"/>
        </w:rPr>
        <w:t>NXP Litigation</w:t>
      </w:r>
      <w:r>
        <w:rPr>
          <w:rFonts w:ascii="Arial" w:cs="Arial" w:eastAsia="Arial" w:hAnsi="Arial"/>
          <w:sz w:val="16"/>
          <w:szCs w:val="16"/>
          <w:color w:val="auto"/>
        </w:rPr>
        <w:t>. On January 22, 2015, NXP Semiconductors N.V. filed suit against MSI in the U.S. District Court for the Northern District of California,</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5,939,791; 7,039,133; 8,185,050; and 8,203,432, purportedly related to certain NFC technology. The complaint seeks unspecified damages. MSI filed its response and counterclaims on February 26, 2015. Marvell International Limited (“MIL”) also filed counterclaims against NXP Semiconductors U.S.A. (“NXP USA”), alleging infringement of U.S. Patent Nos. 7,047,393; 7,555,065; and 7,302,600. On February 2, 2015, MIL filed suit against NXP USA in the U.S. District Court for the Central District of California, alleging patent infringement of U.S. Patent Nos. 8,171,309; 7,957,777; 7,454,634; and 6,903,448, related to certain NFC and automotive technologies. On April 15, 2015, the parties filed stipulations to dismiss without prejudice their claims and counterclaims in both cases.</w:t>
      </w:r>
    </w:p>
    <w:p>
      <w:pPr>
        <w:spacing w:after="0" w:line="118"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i w:val="1"/>
          <w:iCs w:val="1"/>
          <w:color w:val="auto"/>
        </w:rPr>
        <w:t>Paone Litigation</w:t>
      </w:r>
      <w:r>
        <w:rPr>
          <w:rFonts w:ascii="Arial" w:cs="Arial" w:eastAsia="Arial" w:hAnsi="Arial"/>
          <w:sz w:val="18"/>
          <w:szCs w:val="18"/>
          <w:color w:val="auto"/>
        </w:rPr>
        <w:t>. On February 6, 2015, Luciano F. Paone filed suit against MSI in the U.S. District Court for the Eastern District of New York, alleging</w:t>
      </w:r>
      <w:r>
        <w:rPr>
          <w:rFonts w:ascii="Arial" w:cs="Arial" w:eastAsia="Arial" w:hAnsi="Arial"/>
          <w:sz w:val="18"/>
          <w:szCs w:val="18"/>
          <w:i w:val="1"/>
          <w:iCs w:val="1"/>
          <w:color w:val="auto"/>
        </w:rPr>
        <w:t xml:space="preserve"> </w:t>
      </w:r>
      <w:r>
        <w:rPr>
          <w:rFonts w:ascii="Arial" w:cs="Arial" w:eastAsia="Arial" w:hAnsi="Arial"/>
          <w:sz w:val="18"/>
          <w:szCs w:val="18"/>
          <w:color w:val="auto"/>
        </w:rPr>
        <w:t>infringement of U.S. Patent No. 6,259,789, purportedly related to certain encryption technology. The complaint seeks unspecified damages. MSI filed its response on May 22, 2015.</w:t>
      </w:r>
    </w:p>
    <w:p>
      <w:pPr>
        <w:spacing w:after="0" w:line="140" w:lineRule="exact"/>
        <w:rPr>
          <w:sz w:val="20"/>
          <w:szCs w:val="20"/>
          <w:color w:val="auto"/>
        </w:rPr>
      </w:pPr>
    </w:p>
    <w:p>
      <w:pPr>
        <w:ind w:right="140" w:firstLine="456"/>
        <w:spacing w:after="0" w:line="306" w:lineRule="auto"/>
        <w:rPr>
          <w:sz w:val="20"/>
          <w:szCs w:val="20"/>
          <w:color w:val="auto"/>
        </w:rPr>
      </w:pPr>
      <w:r>
        <w:rPr>
          <w:rFonts w:ascii="Arial" w:cs="Arial" w:eastAsia="Arial" w:hAnsi="Arial"/>
          <w:sz w:val="16"/>
          <w:szCs w:val="16"/>
          <w:i w:val="1"/>
          <w:iCs w:val="1"/>
          <w:color w:val="auto"/>
        </w:rPr>
        <w:t xml:space="preserve">Innovatio Litigation. </w:t>
      </w:r>
      <w:r>
        <w:rPr>
          <w:rFonts w:ascii="Arial" w:cs="Arial" w:eastAsia="Arial" w:hAnsi="Arial"/>
          <w:sz w:val="16"/>
          <w:szCs w:val="16"/>
          <w:color w:val="auto"/>
        </w:rPr>
        <w:t>On March 16, 2015, Innovatio IP Ventures, LLC filed suit against MSI in the U.S. District Court for the Northern District of Illinois,</w:t>
      </w:r>
      <w:r>
        <w:rPr>
          <w:rFonts w:ascii="Arial" w:cs="Arial" w:eastAsia="Arial" w:hAnsi="Arial"/>
          <w:sz w:val="16"/>
          <w:szCs w:val="16"/>
          <w:i w:val="1"/>
          <w:iCs w:val="1"/>
          <w:color w:val="auto"/>
        </w:rPr>
        <w:t xml:space="preserve"> </w:t>
      </w:r>
      <w:r>
        <w:rPr>
          <w:rFonts w:ascii="Arial" w:cs="Arial" w:eastAsia="Arial" w:hAnsi="Arial"/>
          <w:sz w:val="16"/>
          <w:szCs w:val="16"/>
          <w:color w:val="auto"/>
        </w:rPr>
        <w:t>alleging infringement of U.S. Patent Nos. 6,697,415; 5,844,893; 5,740,366; 7,916,747; 6,665,536; 7,013,138; 7,107,052; 5,546,397; 7,710,907; 7,710,935; 6,714,559; 7,457,646; and 6,374,311, purportedly related to certain wireless technology. The complaint seeks unspecified damages.</w:t>
      </w:r>
    </w:p>
    <w:p>
      <w:pPr>
        <w:spacing w:after="0" w:line="107" w:lineRule="exact"/>
        <w:rPr>
          <w:sz w:val="20"/>
          <w:szCs w:val="20"/>
          <w:color w:val="auto"/>
        </w:rPr>
      </w:pPr>
    </w:p>
    <w:p>
      <w:pPr>
        <w:ind w:right="660" w:firstLine="456"/>
        <w:spacing w:after="0" w:line="370" w:lineRule="auto"/>
        <w:rPr>
          <w:sz w:val="20"/>
          <w:szCs w:val="20"/>
          <w:color w:val="auto"/>
        </w:rPr>
      </w:pPr>
      <w:r>
        <w:rPr>
          <w:rFonts w:ascii="Arial" w:cs="Arial" w:eastAsia="Arial" w:hAnsi="Arial"/>
          <w:sz w:val="15"/>
          <w:szCs w:val="15"/>
          <w:i w:val="1"/>
          <w:iCs w:val="1"/>
          <w:color w:val="auto"/>
        </w:rPr>
        <w:t xml:space="preserve">Visual Memory Litigation. </w:t>
      </w:r>
      <w:r>
        <w:rPr>
          <w:rFonts w:ascii="Arial" w:cs="Arial" w:eastAsia="Arial" w:hAnsi="Arial"/>
          <w:sz w:val="15"/>
          <w:szCs w:val="15"/>
          <w:color w:val="auto"/>
        </w:rPr>
        <w:t>On May 8, 2015, Visual Memory LLC (“Visual Memory”) filed suit against MSI in the District of Delaware, alleging</w:t>
      </w:r>
      <w:r>
        <w:rPr>
          <w:rFonts w:ascii="Arial" w:cs="Arial" w:eastAsia="Arial" w:hAnsi="Arial"/>
          <w:sz w:val="15"/>
          <w:szCs w:val="15"/>
          <w:i w:val="1"/>
          <w:iCs w:val="1"/>
          <w:color w:val="auto"/>
        </w:rPr>
        <w:t xml:space="preserve"> </w:t>
      </w:r>
      <w:r>
        <w:rPr>
          <w:rFonts w:ascii="Arial" w:cs="Arial" w:eastAsia="Arial" w:hAnsi="Arial"/>
          <w:sz w:val="15"/>
          <w:szCs w:val="15"/>
          <w:color w:val="auto"/>
        </w:rPr>
        <w:t>infringement of U.S. Patent Nos. 5,654,932 and 6,026,027, purportedly related to certain memory technology. The complaint seeks unspecified damages.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Surety Bonds</w:t>
      </w:r>
    </w:p>
    <w:p>
      <w:pPr>
        <w:spacing w:after="0" w:line="90"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On May 14, 2014, the Company filed a Notice of Appeal to appeal the final judgment issued by the District Court in the CMU litigation. In order to stay the execution of the final judgment pending its appeal, the Company filed a supersedeas bond for $1.54 billion with the District Court. The bond was issued by a consortium of sureties authorized by the U.S. Treasury. If the judgment is affirmed after the completion of all appellate proceedings, and the Company does not thereafter fully satisfy the judgment within thirty days, the sureties are obligated under the bond to make payment to CMU. In support of the bond, the Company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420"/>
          </w:cols>
          <w:pgMar w:left="240" w:top="45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5"/>
          <w:szCs w:val="15"/>
          <w:color w:val="auto"/>
        </w:rPr>
        <w:t>The Court has required the Company to report ongoing royalties under the current judgment. Based on the royalty rate assessed by the District Court, such</w:t>
      </w:r>
    </w:p>
    <w:p>
      <w:pPr>
        <w:spacing w:after="0" w:line="50" w:lineRule="exact"/>
        <w:rPr>
          <w:sz w:val="20"/>
          <w:szCs w:val="20"/>
          <w:color w:val="auto"/>
        </w:rPr>
      </w:pPr>
    </w:p>
    <w:p>
      <w:pPr>
        <w:spacing w:after="0"/>
        <w:rPr>
          <w:sz w:val="20"/>
          <w:szCs w:val="20"/>
          <w:color w:val="auto"/>
        </w:rPr>
      </w:pPr>
      <w:r>
        <w:rPr>
          <w:rFonts w:ascii="Arial" w:cs="Arial" w:eastAsia="Arial" w:hAnsi="Arial"/>
          <w:sz w:val="16"/>
          <w:szCs w:val="16"/>
          <w:color w:val="auto"/>
        </w:rPr>
        <w:t>additional royalties for the period of time commencing on the date ordered by the District Court, January 15, 2013, through May 2, 2015 could be as much as</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$450 million. On November 14, 2014, the Company filed a second surety bond for $216 million and filed a commitment letter from the sureties to issue up to an</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additional $95 million in bonding under certain conditions. The second bond and commitment are secured by the Company’s campus located in Santa Clara,</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California, which has a carrying value of $138 million at May 2, 2015. The Company and CMU have agreed that the second bond and commitment satisfy the</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security for ongoing royalties while the appeal is pending.</w:t>
      </w:r>
    </w:p>
    <w:p>
      <w:pPr>
        <w:spacing w:after="0" w:line="24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11. Shareholders’ Equity</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Stock Plans</w:t>
      </w:r>
    </w:p>
    <w:p>
      <w:pPr>
        <w:spacing w:after="0" w:line="90" w:lineRule="exact"/>
        <w:rPr>
          <w:sz w:val="20"/>
          <w:szCs w:val="20"/>
          <w:color w:val="auto"/>
        </w:rPr>
      </w:pPr>
    </w:p>
    <w:p>
      <w:pPr>
        <w:ind w:right="660" w:firstLine="456"/>
        <w:spacing w:after="0" w:line="268" w:lineRule="auto"/>
        <w:rPr>
          <w:sz w:val="20"/>
          <w:szCs w:val="20"/>
          <w:color w:val="auto"/>
        </w:rPr>
      </w:pPr>
      <w:r>
        <w:rPr>
          <w:rFonts w:ascii="Arial" w:cs="Arial" w:eastAsia="Arial" w:hAnsi="Arial"/>
          <w:sz w:val="18"/>
          <w:szCs w:val="18"/>
          <w:color w:val="auto"/>
        </w:rPr>
        <w:t>Stock option activity under the Company’s stock option and stock incentive plans is included in the following table (in thousands, except per share amounts):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2220" w:type="dxa"/>
            <w:vAlign w:val="bottom"/>
            <w:gridSpan w:val="6"/>
          </w:tcPr>
          <w:p>
            <w:pPr>
              <w:ind w:left="320"/>
              <w:spacing w:after="0"/>
              <w:rPr>
                <w:sz w:val="20"/>
                <w:szCs w:val="20"/>
                <w:color w:val="auto"/>
              </w:rPr>
            </w:pPr>
            <w:r>
              <w:rPr>
                <w:rFonts w:ascii="Arial" w:cs="Arial" w:eastAsia="Arial" w:hAnsi="Arial"/>
                <w:sz w:val="14"/>
                <w:szCs w:val="14"/>
                <w:b w:val="1"/>
                <w:bCs w:val="1"/>
                <w:color w:val="auto"/>
              </w:rPr>
              <w:t>Time-Based Options</w:t>
            </w:r>
          </w:p>
        </w:tc>
        <w:tc>
          <w:tcPr>
            <w:tcW w:w="2200" w:type="dxa"/>
            <w:vAlign w:val="bottom"/>
            <w:gridSpan w:val="5"/>
          </w:tcPr>
          <w:p>
            <w:pPr>
              <w:ind w:left="260"/>
              <w:spacing w:after="0"/>
              <w:rPr>
                <w:sz w:val="20"/>
                <w:szCs w:val="20"/>
                <w:color w:val="auto"/>
              </w:rPr>
            </w:pPr>
            <w:r>
              <w:rPr>
                <w:rFonts w:ascii="Arial" w:cs="Arial" w:eastAsia="Arial" w:hAnsi="Arial"/>
                <w:sz w:val="14"/>
                <w:szCs w:val="14"/>
                <w:b w:val="1"/>
                <w:bCs w:val="1"/>
                <w:color w:val="auto"/>
              </w:rPr>
              <w:t>Market-Based Options</w:t>
            </w:r>
          </w:p>
        </w:tc>
        <w:tc>
          <w:tcPr>
            <w:tcW w:w="6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00" w:type="dxa"/>
            <w:vAlign w:val="bottom"/>
            <w:gridSpan w:val="2"/>
          </w:tcPr>
          <w:p>
            <w:pPr>
              <w:ind w:left="40"/>
              <w:spacing w:after="0"/>
              <w:rPr>
                <w:sz w:val="20"/>
                <w:szCs w:val="20"/>
                <w:color w:val="auto"/>
              </w:rPr>
            </w:pPr>
            <w:r>
              <w:rPr>
                <w:rFonts w:ascii="Arial" w:cs="Arial" w:eastAsia="Arial" w:hAnsi="Arial"/>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504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2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7"/>
              <w:spacing w:after="0" w:line="129" w:lineRule="exact"/>
              <w:rPr>
                <w:sz w:val="20"/>
                <w:szCs w:val="20"/>
                <w:color w:val="auto"/>
              </w:rPr>
            </w:pPr>
            <w:r>
              <w:rPr>
                <w:rFonts w:ascii="Arial" w:cs="Arial" w:eastAsia="Arial" w:hAnsi="Arial"/>
                <w:sz w:val="14"/>
                <w:szCs w:val="14"/>
                <w:b w:val="1"/>
                <w:bCs w:val="1"/>
                <w:color w:val="auto"/>
                <w:w w:val="88"/>
              </w:rPr>
              <w:t>Weighted</w:t>
            </w: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2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8"/>
              </w:rPr>
              <w:t>Weighted</w:t>
            </w: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0" w:type="dxa"/>
            <w:vAlign w:val="bottom"/>
            <w:tcBorders>
              <w:top w:val="single" w:sz="8" w:color="auto"/>
            </w:tcBorders>
          </w:tcPr>
          <w:p>
            <w:pPr>
              <w:spacing w:after="0"/>
              <w:rPr>
                <w:sz w:val="11"/>
                <w:szCs w:val="11"/>
                <w:color w:val="auto"/>
              </w:rPr>
            </w:pPr>
          </w:p>
        </w:tc>
        <w:tc>
          <w:tcPr>
            <w:tcW w:w="700" w:type="dxa"/>
            <w:vAlign w:val="bottom"/>
            <w:tcBorders>
              <w:top w:val="single" w:sz="8" w:color="auto"/>
            </w:tcBorders>
          </w:tcPr>
          <w:p>
            <w:pPr>
              <w:jc w:val="center"/>
              <w:ind w:right="38"/>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040" w:type="dxa"/>
            <w:vAlign w:val="bottom"/>
          </w:tcPr>
          <w:p>
            <w:pPr>
              <w:spacing w:after="0"/>
              <w:rPr>
                <w:sz w:val="12"/>
                <w:szCs w:val="12"/>
                <w:color w:val="auto"/>
              </w:rPr>
            </w:pPr>
          </w:p>
        </w:tc>
        <w:tc>
          <w:tcPr>
            <w:tcW w:w="860" w:type="dxa"/>
            <w:vAlign w:val="bottom"/>
            <w:gridSpan w:val="2"/>
          </w:tcPr>
          <w:p>
            <w:pPr>
              <w:jc w:val="right"/>
              <w:ind w:right="240"/>
              <w:spacing w:after="0" w:line="149" w:lineRule="exact"/>
              <w:rPr>
                <w:sz w:val="20"/>
                <w:szCs w:val="20"/>
                <w:color w:val="auto"/>
              </w:rPr>
            </w:pPr>
            <w:r>
              <w:rPr>
                <w:rFonts w:ascii="Arial" w:cs="Arial" w:eastAsia="Arial" w:hAnsi="Arial"/>
                <w:sz w:val="14"/>
                <w:szCs w:val="14"/>
                <w:b w:val="1"/>
                <w:bCs w:val="1"/>
                <w:color w:val="auto"/>
                <w:w w:val="85"/>
              </w:rPr>
              <w:t>Number of</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tcPr>
          <w:p>
            <w:pPr>
              <w:jc w:val="center"/>
              <w:ind w:right="500"/>
              <w:spacing w:after="0" w:line="149" w:lineRule="exact"/>
              <w:rPr>
                <w:sz w:val="20"/>
                <w:szCs w:val="20"/>
                <w:color w:val="auto"/>
              </w:rPr>
            </w:pPr>
            <w:r>
              <w:rPr>
                <w:rFonts w:ascii="Arial" w:cs="Arial" w:eastAsia="Arial" w:hAnsi="Arial"/>
                <w:sz w:val="14"/>
                <w:szCs w:val="14"/>
                <w:b w:val="1"/>
                <w:bCs w:val="1"/>
                <w:color w:val="auto"/>
                <w:w w:val="86"/>
              </w:rPr>
              <w:t>Average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20" w:type="dxa"/>
            <w:vAlign w:val="bottom"/>
          </w:tcPr>
          <w:p>
            <w:pPr>
              <w:spacing w:after="0"/>
              <w:rPr>
                <w:sz w:val="12"/>
                <w:szCs w:val="12"/>
                <w:color w:val="auto"/>
              </w:rPr>
            </w:pPr>
          </w:p>
        </w:tc>
        <w:tc>
          <w:tcPr>
            <w:tcW w:w="1080" w:type="dxa"/>
            <w:vAlign w:val="bottom"/>
            <w:gridSpan w:val="2"/>
          </w:tcPr>
          <w:p>
            <w:pPr>
              <w:jc w:val="center"/>
              <w:ind w:right="480"/>
              <w:spacing w:after="0" w:line="149" w:lineRule="exact"/>
              <w:rPr>
                <w:sz w:val="20"/>
                <w:szCs w:val="20"/>
                <w:color w:val="auto"/>
              </w:rPr>
            </w:pPr>
            <w:r>
              <w:rPr>
                <w:rFonts w:ascii="Arial" w:cs="Arial" w:eastAsia="Arial" w:hAnsi="Arial"/>
                <w:sz w:val="14"/>
                <w:szCs w:val="14"/>
                <w:b w:val="1"/>
                <w:bCs w:val="1"/>
                <w:color w:val="auto"/>
                <w:w w:val="86"/>
              </w:rPr>
              <w:t>Average</w:t>
            </w:r>
          </w:p>
        </w:tc>
        <w:tc>
          <w:tcPr>
            <w:tcW w:w="740" w:type="dxa"/>
            <w:vAlign w:val="bottom"/>
            <w:gridSpan w:val="2"/>
          </w:tcPr>
          <w:p>
            <w:pPr>
              <w:jc w:val="right"/>
              <w:ind w:right="100"/>
              <w:spacing w:after="0" w:line="149" w:lineRule="exact"/>
              <w:rPr>
                <w:sz w:val="20"/>
                <w:szCs w:val="20"/>
                <w:color w:val="auto"/>
              </w:rPr>
            </w:pPr>
            <w:r>
              <w:rPr>
                <w:rFonts w:ascii="Arial" w:cs="Arial" w:eastAsia="Arial" w:hAnsi="Arial"/>
                <w:sz w:val="14"/>
                <w:szCs w:val="14"/>
                <w:b w:val="1"/>
                <w:bCs w:val="1"/>
                <w:color w:val="auto"/>
                <w:w w:val="88"/>
              </w:rPr>
              <w:t>Number of</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5040" w:type="dxa"/>
            <w:vAlign w:val="bottom"/>
          </w:tcPr>
          <w:p>
            <w:pPr>
              <w:spacing w:after="0"/>
              <w:rPr>
                <w:sz w:val="14"/>
                <w:szCs w:val="14"/>
                <w:color w:val="auto"/>
              </w:rPr>
            </w:pPr>
          </w:p>
        </w:tc>
        <w:tc>
          <w:tcPr>
            <w:tcW w:w="860" w:type="dxa"/>
            <w:vAlign w:val="bottom"/>
            <w:gridSpan w:val="2"/>
          </w:tcPr>
          <w:p>
            <w:pPr>
              <w:jc w:val="right"/>
              <w:ind w:right="340"/>
              <w:spacing w:after="0"/>
              <w:rPr>
                <w:sz w:val="20"/>
                <w:szCs w:val="20"/>
                <w:color w:val="auto"/>
              </w:rPr>
            </w:pPr>
            <w:r>
              <w:rPr>
                <w:rFonts w:ascii="Arial" w:cs="Arial" w:eastAsia="Arial" w:hAnsi="Arial"/>
                <w:sz w:val="14"/>
                <w:szCs w:val="14"/>
                <w:b w:val="1"/>
                <w:bCs w:val="1"/>
                <w:color w:val="auto"/>
              </w:rPr>
              <w:t>Shares</w:t>
            </w:r>
          </w:p>
        </w:tc>
        <w:tc>
          <w:tcPr>
            <w:tcW w:w="160" w:type="dxa"/>
            <w:vAlign w:val="bottom"/>
          </w:tcPr>
          <w:p>
            <w:pPr>
              <w:spacing w:after="0"/>
              <w:rPr>
                <w:sz w:val="14"/>
                <w:szCs w:val="14"/>
                <w:color w:val="auto"/>
              </w:rPr>
            </w:pPr>
          </w:p>
        </w:tc>
        <w:tc>
          <w:tcPr>
            <w:tcW w:w="120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w w:val="83"/>
              </w:rPr>
              <w:t>Exercise Price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200" w:type="dxa"/>
            <w:vAlign w:val="bottom"/>
            <w:gridSpan w:val="3"/>
          </w:tcPr>
          <w:p>
            <w:pPr>
              <w:spacing w:after="0"/>
              <w:rPr>
                <w:sz w:val="20"/>
                <w:szCs w:val="20"/>
                <w:color w:val="auto"/>
              </w:rPr>
            </w:pPr>
            <w:r>
              <w:rPr>
                <w:rFonts w:ascii="Arial" w:cs="Arial" w:eastAsia="Arial" w:hAnsi="Arial"/>
                <w:sz w:val="14"/>
                <w:szCs w:val="14"/>
                <w:b w:val="1"/>
                <w:bCs w:val="1"/>
                <w:color w:val="auto"/>
              </w:rPr>
              <w:t>Exercise Price</w:t>
            </w:r>
          </w:p>
        </w:tc>
        <w:tc>
          <w:tcPr>
            <w:tcW w:w="740" w:type="dxa"/>
            <w:vAlign w:val="bottom"/>
            <w:gridSpan w:val="2"/>
          </w:tcPr>
          <w:p>
            <w:pPr>
              <w:jc w:val="right"/>
              <w:ind w:right="220"/>
              <w:spacing w:after="0"/>
              <w:rPr>
                <w:sz w:val="20"/>
                <w:szCs w:val="20"/>
                <w:color w:val="auto"/>
              </w:rPr>
            </w:pPr>
            <w:r>
              <w:rPr>
                <w:rFonts w:ascii="Arial" w:cs="Arial" w:eastAsia="Arial" w:hAnsi="Arial"/>
                <w:sz w:val="14"/>
                <w:szCs w:val="14"/>
                <w:b w:val="1"/>
                <w:bCs w:val="1"/>
                <w:color w:val="auto"/>
              </w:rPr>
              <w:t>Shares</w:t>
            </w:r>
          </w:p>
        </w:tc>
        <w:tc>
          <w:tcPr>
            <w:tcW w:w="28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Arial" w:cs="Arial" w:eastAsia="Arial" w:hAnsi="Arial"/>
                <w:sz w:val="14"/>
                <w:szCs w:val="14"/>
                <w:b w:val="1"/>
                <w:bCs w:val="1"/>
                <w:color w:val="auto"/>
                <w:w w:val="93"/>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04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47,140</w:t>
            </w:r>
          </w:p>
        </w:tc>
        <w:tc>
          <w:tcPr>
            <w:tcW w:w="220" w:type="dxa"/>
            <w:vAlign w:val="bottom"/>
            <w:tcBorders>
              <w:top w:val="single" w:sz="8" w:color="CCEEFF"/>
            </w:tcBorders>
            <w:shd w:val="clear" w:color="auto" w:fill="CCEEFF"/>
          </w:tcPr>
          <w:p>
            <w:pPr>
              <w:spacing w:after="0"/>
              <w:rPr>
                <w:sz w:val="18"/>
                <w:szCs w:val="18"/>
                <w:color w:val="auto"/>
              </w:rPr>
            </w:pPr>
          </w:p>
        </w:tc>
        <w:tc>
          <w:tcPr>
            <w:tcW w:w="1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13.79</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2,232</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20" w:type="dxa"/>
            <w:vAlign w:val="bottom"/>
            <w:tcBorders>
              <w:top w:val="single" w:sz="8" w:color="auto"/>
            </w:tcBorders>
            <w:shd w:val="clear" w:color="auto" w:fill="CCEEFF"/>
          </w:tcPr>
          <w:p>
            <w:pPr>
              <w:jc w:val="center"/>
              <w:ind w:left="238"/>
              <w:spacing w:after="0"/>
              <w:rPr>
                <w:sz w:val="20"/>
                <w:szCs w:val="20"/>
                <w:color w:val="auto"/>
              </w:rPr>
            </w:pPr>
            <w:r>
              <w:rPr>
                <w:rFonts w:ascii="Arial" w:cs="Arial" w:eastAsia="Arial" w:hAnsi="Arial"/>
                <w:sz w:val="18"/>
                <w:szCs w:val="18"/>
                <w:color w:val="auto"/>
                <w:w w:val="88"/>
              </w:rPr>
              <w:t>15.43</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49,372</w:t>
            </w:r>
          </w:p>
        </w:tc>
        <w:tc>
          <w:tcPr>
            <w:tcW w:w="10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9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13.88</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Granted</w:t>
            </w: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80</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16.13</w:t>
            </w:r>
          </w:p>
        </w:tc>
        <w:tc>
          <w:tcPr>
            <w:tcW w:w="1000" w:type="dxa"/>
            <w:vAlign w:val="bottom"/>
            <w:gridSpan w:val="2"/>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20"/>
              <w:spacing w:after="0"/>
              <w:rPr>
                <w:sz w:val="20"/>
                <w:szCs w:val="20"/>
                <w:color w:val="auto"/>
              </w:rPr>
            </w:pPr>
            <w:r>
              <w:rPr>
                <w:rFonts w:ascii="Arial" w:cs="Arial" w:eastAsia="Arial" w:hAnsi="Arial"/>
                <w:sz w:val="18"/>
                <w:szCs w:val="18"/>
                <w:color w:val="auto"/>
                <w:w w:val="99"/>
              </w:rPr>
              <w:t>—</w:t>
            </w:r>
          </w:p>
        </w:tc>
        <w:tc>
          <w:tcPr>
            <w:tcW w:w="640" w:type="dxa"/>
            <w:vAlign w:val="bottom"/>
          </w:tcPr>
          <w:p>
            <w:pPr>
              <w:jc w:val="right"/>
              <w:spacing w:after="0"/>
              <w:rPr>
                <w:sz w:val="20"/>
                <w:szCs w:val="20"/>
                <w:color w:val="auto"/>
              </w:rPr>
            </w:pPr>
            <w:r>
              <w:rPr>
                <w:rFonts w:ascii="Arial" w:cs="Arial" w:eastAsia="Arial" w:hAnsi="Arial"/>
                <w:sz w:val="18"/>
                <w:szCs w:val="18"/>
                <w:color w:val="auto"/>
              </w:rPr>
              <w:t>80</w:t>
            </w:r>
          </w:p>
        </w:tc>
        <w:tc>
          <w:tcPr>
            <w:tcW w:w="100" w:type="dxa"/>
            <w:vAlign w:val="bottom"/>
          </w:tcPr>
          <w:p>
            <w:pPr>
              <w:spacing w:after="0"/>
              <w:rPr>
                <w:sz w:val="18"/>
                <w:szCs w:val="18"/>
                <w:color w:val="auto"/>
              </w:rPr>
            </w:pP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16.13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shd w:val="clear" w:color="auto" w:fill="CCEEFF"/>
          </w:tcPr>
          <w:p>
            <w:pPr>
              <w:ind w:left="420"/>
              <w:spacing w:after="0"/>
              <w:rPr>
                <w:sz w:val="20"/>
                <w:szCs w:val="20"/>
                <w:color w:val="auto"/>
              </w:rPr>
            </w:pPr>
            <w:r>
              <w:rPr>
                <w:rFonts w:ascii="Arial" w:cs="Arial" w:eastAsia="Arial" w:hAnsi="Arial"/>
                <w:sz w:val="18"/>
                <w:szCs w:val="18"/>
                <w:color w:val="auto"/>
              </w:rPr>
              <w:t>Exercised</w:t>
            </w:r>
          </w:p>
        </w:tc>
        <w:tc>
          <w:tcPr>
            <w:tcW w:w="8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(1,243)</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10.47</w:t>
            </w:r>
          </w:p>
        </w:tc>
        <w:tc>
          <w:tcPr>
            <w:tcW w:w="1000" w:type="dxa"/>
            <w:vAlign w:val="bottom"/>
            <w:gridSpan w:val="2"/>
            <w:shd w:val="clear" w:color="auto" w:fill="CCEEFF"/>
          </w:tcPr>
          <w:p>
            <w:pPr>
              <w:jc w:val="right"/>
              <w:ind w:right="46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20"/>
              <w:spacing w:after="0"/>
              <w:rPr>
                <w:sz w:val="20"/>
                <w:szCs w:val="20"/>
                <w:color w:val="auto"/>
              </w:rPr>
            </w:pPr>
            <w:r>
              <w:rPr>
                <w:rFonts w:ascii="Arial" w:cs="Arial" w:eastAsia="Arial" w:hAnsi="Arial"/>
                <w:sz w:val="18"/>
                <w:szCs w:val="18"/>
                <w:color w:val="auto"/>
                <w:w w:val="99"/>
              </w:rPr>
              <w:t>—</w:t>
            </w:r>
          </w:p>
        </w:tc>
        <w:tc>
          <w:tcPr>
            <w:tcW w:w="7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(1,243)</w:t>
            </w: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10.47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04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860" w:type="dxa"/>
            <w:vAlign w:val="bottom"/>
            <w:gridSpan w:val="2"/>
          </w:tcPr>
          <w:p>
            <w:pPr>
              <w:jc w:val="right"/>
              <w:ind w:right="160"/>
              <w:spacing w:after="0"/>
              <w:rPr>
                <w:sz w:val="20"/>
                <w:szCs w:val="20"/>
                <w:color w:val="auto"/>
              </w:rPr>
            </w:pPr>
            <w:r>
              <w:rPr>
                <w:rFonts w:ascii="Arial" w:cs="Arial" w:eastAsia="Arial" w:hAnsi="Arial"/>
                <w:sz w:val="18"/>
                <w:szCs w:val="18"/>
                <w:color w:val="auto"/>
              </w:rPr>
              <w:t>(2,486)</w:t>
            </w:r>
          </w:p>
        </w:tc>
        <w:tc>
          <w:tcPr>
            <w:tcW w:w="26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380"/>
              <w:spacing w:after="0"/>
              <w:rPr>
                <w:sz w:val="20"/>
                <w:szCs w:val="20"/>
                <w:color w:val="auto"/>
              </w:rPr>
            </w:pPr>
            <w:r>
              <w:rPr>
                <w:rFonts w:ascii="Arial" w:cs="Arial" w:eastAsia="Arial" w:hAnsi="Arial"/>
                <w:sz w:val="18"/>
                <w:szCs w:val="18"/>
                <w:color w:val="auto"/>
              </w:rPr>
              <w:t>17.80</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(8)</w:t>
            </w:r>
          </w:p>
        </w:tc>
        <w:tc>
          <w:tcPr>
            <w:tcW w:w="120" w:type="dxa"/>
            <w:vAlign w:val="bottom"/>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tcPr>
          <w:p>
            <w:pPr>
              <w:jc w:val="center"/>
              <w:ind w:right="40"/>
              <w:spacing w:after="0"/>
              <w:rPr>
                <w:sz w:val="20"/>
                <w:szCs w:val="20"/>
                <w:color w:val="auto"/>
              </w:rPr>
            </w:pPr>
            <w:r>
              <w:rPr>
                <w:rFonts w:ascii="Arial" w:cs="Arial" w:eastAsia="Arial" w:hAnsi="Arial"/>
                <w:sz w:val="18"/>
                <w:szCs w:val="18"/>
                <w:color w:val="auto"/>
                <w:w w:val="88"/>
              </w:rPr>
              <w:t>15.43</w:t>
            </w:r>
          </w:p>
        </w:tc>
        <w:tc>
          <w:tcPr>
            <w:tcW w:w="740" w:type="dxa"/>
            <w:vAlign w:val="bottom"/>
            <w:gridSpan w:val="2"/>
          </w:tcPr>
          <w:p>
            <w:pPr>
              <w:jc w:val="right"/>
              <w:ind w:right="40"/>
              <w:spacing w:after="0"/>
              <w:rPr>
                <w:sz w:val="20"/>
                <w:szCs w:val="20"/>
                <w:color w:val="auto"/>
              </w:rPr>
            </w:pPr>
            <w:r>
              <w:rPr>
                <w:rFonts w:ascii="Arial" w:cs="Arial" w:eastAsia="Arial" w:hAnsi="Arial"/>
                <w:sz w:val="18"/>
                <w:szCs w:val="18"/>
                <w:color w:val="auto"/>
              </w:rPr>
              <w:t>(2,494)</w:t>
            </w:r>
          </w:p>
        </w:tc>
        <w:tc>
          <w:tcPr>
            <w:tcW w:w="400" w:type="dxa"/>
            <w:vAlign w:val="bottom"/>
            <w:gridSpan w:val="2"/>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17.80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72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2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2015</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43,491</w:t>
            </w:r>
          </w:p>
        </w:tc>
        <w:tc>
          <w:tcPr>
            <w:tcW w:w="220" w:type="dxa"/>
            <w:vAlign w:val="bottom"/>
            <w:shd w:val="clear" w:color="auto" w:fill="CCEEFF"/>
          </w:tcPr>
          <w:p>
            <w:pPr>
              <w:spacing w:after="0"/>
              <w:rPr>
                <w:sz w:val="18"/>
                <w:szCs w:val="18"/>
                <w:color w:val="auto"/>
              </w:rPr>
            </w:pP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13.66</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2,224</w:t>
            </w:r>
          </w:p>
        </w:tc>
        <w:tc>
          <w:tcPr>
            <w:tcW w:w="120" w:type="dxa"/>
            <w:vAlign w:val="bottom"/>
            <w:shd w:val="clear" w:color="auto" w:fill="CCEEFF"/>
          </w:tcPr>
          <w:p>
            <w:pPr>
              <w:spacing w:after="0"/>
              <w:rPr>
                <w:sz w:val="20"/>
                <w:szCs w:val="20"/>
                <w:color w:val="auto"/>
              </w:rPr>
            </w:pPr>
            <w:r>
              <w:rPr>
                <w:rFonts w:ascii="Arial" w:cs="Arial" w:eastAsia="Arial" w:hAnsi="Arial"/>
                <w:sz w:val="18"/>
                <w:szCs w:val="18"/>
                <w:color w:val="auto"/>
                <w:w w:val="99"/>
              </w:rPr>
              <w:t>$</w:t>
            </w:r>
          </w:p>
        </w:tc>
        <w:tc>
          <w:tcPr>
            <w:tcW w:w="1080" w:type="dxa"/>
            <w:vAlign w:val="bottom"/>
            <w:gridSpan w:val="2"/>
            <w:shd w:val="clear" w:color="auto" w:fill="CCEEFF"/>
          </w:tcPr>
          <w:p>
            <w:pPr>
              <w:jc w:val="center"/>
              <w:ind w:right="40"/>
              <w:spacing w:after="0"/>
              <w:rPr>
                <w:sz w:val="20"/>
                <w:szCs w:val="20"/>
                <w:color w:val="auto"/>
              </w:rPr>
            </w:pPr>
            <w:r>
              <w:rPr>
                <w:rFonts w:ascii="Arial" w:cs="Arial" w:eastAsia="Arial" w:hAnsi="Arial"/>
                <w:sz w:val="18"/>
                <w:szCs w:val="18"/>
                <w:color w:val="auto"/>
                <w:w w:val="88"/>
              </w:rPr>
              <w:t>15.43</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45,715</w:t>
            </w:r>
          </w:p>
        </w:tc>
        <w:tc>
          <w:tcPr>
            <w:tcW w:w="100" w:type="dxa"/>
            <w:vAlign w:val="bottom"/>
            <w:shd w:val="clear" w:color="auto" w:fill="CCEEFF"/>
          </w:tcPr>
          <w:p>
            <w:pPr>
              <w:spacing w:after="0"/>
              <w:rPr>
                <w:sz w:val="18"/>
                <w:szCs w:val="18"/>
                <w:color w:val="auto"/>
              </w:rPr>
            </w:pPr>
          </w:p>
        </w:tc>
        <w:tc>
          <w:tcPr>
            <w:tcW w:w="40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w w:val="99"/>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060" w:type="dxa"/>
            <w:vAlign w:val="bottom"/>
            <w:gridSpan w:val="2"/>
            <w:vMerge w:val="restart"/>
          </w:tcPr>
          <w:p>
            <w:pPr>
              <w:spacing w:after="0"/>
              <w:rPr>
                <w:sz w:val="20"/>
                <w:szCs w:val="20"/>
                <w:color w:val="auto"/>
              </w:rPr>
            </w:pPr>
            <w:r>
              <w:rPr>
                <w:rFonts w:ascii="Arial" w:cs="Arial" w:eastAsia="Arial" w:hAnsi="Arial"/>
                <w:sz w:val="18"/>
                <w:szCs w:val="18"/>
                <w:color w:val="auto"/>
              </w:rPr>
              <w:t>Vested or expected to vest at May 2, 2015</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60" w:type="dxa"/>
            <w:vAlign w:val="bottom"/>
            <w:gridSpan w:val="2"/>
            <w:vMerge w:val="restart"/>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vMerge w:val="restart"/>
          </w:tcPr>
          <w:p>
            <w:pPr>
              <w:jc w:val="right"/>
              <w:ind w:right="380"/>
              <w:spacing w:after="0"/>
              <w:rPr>
                <w:sz w:val="20"/>
                <w:szCs w:val="20"/>
                <w:color w:val="auto"/>
              </w:rPr>
            </w:pPr>
            <w:r>
              <w:rPr>
                <w:rFonts w:ascii="Arial" w:cs="Arial" w:eastAsia="Arial" w:hAnsi="Arial"/>
                <w:sz w:val="18"/>
                <w:szCs w:val="18"/>
                <w:color w:val="auto"/>
              </w:rPr>
              <w:t>13.70</w:t>
            </w: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60" w:type="dxa"/>
            <w:vAlign w:val="bottom"/>
            <w:gridSpan w:val="2"/>
            <w:vMerge w:val="continue"/>
          </w:tcPr>
          <w:p>
            <w:pPr>
              <w:spacing w:after="0"/>
              <w:rPr>
                <w:sz w:val="18"/>
                <w:szCs w:val="18"/>
                <w:color w:val="auto"/>
              </w:rPr>
            </w:pPr>
          </w:p>
        </w:tc>
        <w:tc>
          <w:tcPr>
            <w:tcW w:w="860" w:type="dxa"/>
            <w:vAlign w:val="bottom"/>
            <w:gridSpan w:val="2"/>
          </w:tcPr>
          <w:p>
            <w:pPr>
              <w:jc w:val="right"/>
              <w:ind w:right="220"/>
              <w:spacing w:after="0"/>
              <w:rPr>
                <w:sz w:val="20"/>
                <w:szCs w:val="20"/>
                <w:color w:val="auto"/>
              </w:rPr>
            </w:pPr>
            <w:r>
              <w:rPr>
                <w:rFonts w:ascii="Arial" w:cs="Arial" w:eastAsia="Arial" w:hAnsi="Arial"/>
                <w:sz w:val="18"/>
                <w:szCs w:val="18"/>
                <w:color w:val="auto"/>
              </w:rPr>
              <w:t>41,184</w:t>
            </w:r>
          </w:p>
        </w:tc>
        <w:tc>
          <w:tcPr>
            <w:tcW w:w="260" w:type="dxa"/>
            <w:vAlign w:val="bottom"/>
            <w:gridSpan w:val="2"/>
            <w:vMerge w:val="continue"/>
          </w:tcPr>
          <w:p>
            <w:pPr>
              <w:spacing w:after="0"/>
              <w:rPr>
                <w:sz w:val="18"/>
                <w:szCs w:val="18"/>
                <w:color w:val="auto"/>
              </w:rPr>
            </w:pPr>
          </w:p>
        </w:tc>
        <w:tc>
          <w:tcPr>
            <w:tcW w:w="1100" w:type="dxa"/>
            <w:vAlign w:val="bottom"/>
            <w:gridSpan w:val="2"/>
            <w:vMerge w:val="continue"/>
          </w:tcPr>
          <w:p>
            <w:pPr>
              <w:spacing w:after="0"/>
              <w:rPr>
                <w:sz w:val="18"/>
                <w:szCs w:val="18"/>
                <w:color w:val="auto"/>
              </w:rPr>
            </w:pPr>
          </w:p>
        </w:tc>
        <w:tc>
          <w:tcPr>
            <w:tcW w:w="6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5040" w:type="dxa"/>
            <w:vAlign w:val="bottom"/>
            <w:shd w:val="clear" w:color="auto" w:fill="CCEEFF"/>
          </w:tcPr>
          <w:p>
            <w:pPr>
              <w:spacing w:after="0"/>
              <w:rPr>
                <w:sz w:val="20"/>
                <w:szCs w:val="20"/>
                <w:color w:val="auto"/>
              </w:rPr>
            </w:pPr>
            <w:r>
              <w:rPr>
                <w:rFonts w:ascii="Arial" w:cs="Arial" w:eastAsia="Arial" w:hAnsi="Arial"/>
                <w:sz w:val="18"/>
                <w:szCs w:val="18"/>
                <w:color w:val="auto"/>
              </w:rPr>
              <w:t>Exercisable at May 2, 2015</w:t>
            </w:r>
          </w:p>
        </w:tc>
        <w:tc>
          <w:tcPr>
            <w:tcW w:w="8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25,511</w:t>
            </w:r>
          </w:p>
        </w:tc>
        <w:tc>
          <w:tcPr>
            <w:tcW w:w="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14.39</w:t>
            </w:r>
          </w:p>
        </w:tc>
        <w:tc>
          <w:tcPr>
            <w:tcW w:w="6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90" w:lineRule="auto"/>
        <w:rPr>
          <w:sz w:val="20"/>
          <w:szCs w:val="20"/>
          <w:color w:val="auto"/>
        </w:rPr>
      </w:pPr>
      <w:r>
        <w:rPr>
          <w:rFonts w:ascii="Arial" w:cs="Arial" w:eastAsia="Arial" w:hAnsi="Arial"/>
          <w:sz w:val="16"/>
          <w:szCs w:val="16"/>
          <w:color w:val="auto"/>
        </w:rPr>
        <w:t>For time-based stock options vested and expected to vest at May 2, 2015, the aggregate intrinsic value was $86.8 million and the weighted average remaining contractual term was 5.9 years. For time-based stock options exercisable at May 2, 2015, the aggregate intrinsic value was $53.4 million and the weighted average remaining contractual term was 4.5 years. The aggregate intrinsic value of stock options exercised during the three months ended May 2, 2015 and May 3, 2014 was $6.3 million and $9.4 million, respectively. There was no aggregate intrinsic value for market-based stock options at May 2, 2015 and the weighted average remaining contractual term of market-based stock options expected to reach the end of the vesting period at May 2, 2015 was 6.0 years. The Company’s closing stock price of $14.30 as reported on the NASDAQ Global Select Market for all in-the-money options as of May 1, 2015 was used to calculate the aggregate intrinsic value.</w:t>
      </w:r>
    </w:p>
    <w:p>
      <w:pPr>
        <w:spacing w:after="0" w:line="118" w:lineRule="exact"/>
        <w:rPr>
          <w:sz w:val="20"/>
          <w:szCs w:val="20"/>
          <w:color w:val="auto"/>
        </w:rPr>
      </w:pPr>
    </w:p>
    <w:p>
      <w:pPr>
        <w:jc w:val="both"/>
        <w:ind w:right="340" w:firstLine="456"/>
        <w:spacing w:after="0" w:line="259" w:lineRule="auto"/>
        <w:rPr>
          <w:sz w:val="20"/>
          <w:szCs w:val="20"/>
          <w:color w:val="auto"/>
        </w:rPr>
      </w:pPr>
      <w:r>
        <w:rPr>
          <w:rFonts w:ascii="Arial" w:cs="Arial" w:eastAsia="Arial" w:hAnsi="Arial"/>
          <w:sz w:val="18"/>
          <w:szCs w:val="18"/>
          <w:color w:val="auto"/>
        </w:rPr>
        <w:t>As of May 2, 2015, the unamortized compensation expense for time-based stock options was $46.6 million and market-based stock options were fully amortized in fiscal 2015. The unamortized compensation expense for time-based stock options will be amortized on a straight-line basis and is expected to be recognized over a weighted average period of 2.2 years.</w:t>
      </w:r>
    </w:p>
    <w:p>
      <w:pPr>
        <w:spacing w:after="0" w:line="1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1420"/>
          </w:cols>
          <w:pgMar w:left="240" w:top="459" w:right="23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6"/>
          <w:szCs w:val="16"/>
          <w:color w:val="auto"/>
        </w:rPr>
        <w:t>Activity related to the non-vested portion of the restricted stock units is included in the following table (in thousands, except for share prices):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2020" w:type="dxa"/>
            <w:vAlign w:val="bottom"/>
            <w:gridSpan w:val="5"/>
          </w:tcPr>
          <w:p>
            <w:pPr>
              <w:ind w:left="480"/>
              <w:spacing w:after="0"/>
              <w:rPr>
                <w:sz w:val="20"/>
                <w:szCs w:val="20"/>
                <w:color w:val="auto"/>
              </w:rPr>
            </w:pPr>
            <w:r>
              <w:rPr>
                <w:rFonts w:ascii="Arial" w:cs="Arial" w:eastAsia="Arial" w:hAnsi="Arial"/>
                <w:sz w:val="14"/>
                <w:szCs w:val="14"/>
                <w:b w:val="1"/>
                <w:bCs w:val="1"/>
                <w:color w:val="auto"/>
              </w:rPr>
              <w:t>Time-Based</w:t>
            </w:r>
          </w:p>
        </w:tc>
        <w:tc>
          <w:tcPr>
            <w:tcW w:w="2020" w:type="dxa"/>
            <w:vAlign w:val="bottom"/>
            <w:gridSpan w:val="5"/>
          </w:tcPr>
          <w:p>
            <w:pPr>
              <w:ind w:left="260"/>
              <w:spacing w:after="0"/>
              <w:rPr>
                <w:sz w:val="20"/>
                <w:szCs w:val="20"/>
                <w:color w:val="auto"/>
              </w:rPr>
            </w:pPr>
            <w:r>
              <w:rPr>
                <w:rFonts w:ascii="Arial" w:cs="Arial" w:eastAsia="Arial" w:hAnsi="Arial"/>
                <w:sz w:val="14"/>
                <w:szCs w:val="14"/>
                <w:b w:val="1"/>
                <w:bCs w:val="1"/>
                <w:color w:val="auto"/>
              </w:rPr>
              <w:t>Performance-Based</w:t>
            </w:r>
          </w:p>
        </w:tc>
        <w:tc>
          <w:tcPr>
            <w:tcW w:w="2040" w:type="dxa"/>
            <w:vAlign w:val="bottom"/>
            <w:gridSpan w:val="5"/>
          </w:tcPr>
          <w:p>
            <w:pPr>
              <w:ind w:left="420"/>
              <w:spacing w:after="0"/>
              <w:rPr>
                <w:sz w:val="20"/>
                <w:szCs w:val="20"/>
                <w:color w:val="auto"/>
              </w:rPr>
            </w:pPr>
            <w:r>
              <w:rPr>
                <w:rFonts w:ascii="Arial" w:cs="Arial" w:eastAsia="Arial" w:hAnsi="Arial"/>
                <w:sz w:val="14"/>
                <w:szCs w:val="14"/>
                <w:b w:val="1"/>
                <w:bCs w:val="1"/>
                <w:color w:val="auto"/>
              </w:rPr>
              <w:t>Market-Based</w:t>
            </w:r>
          </w:p>
        </w:tc>
        <w:tc>
          <w:tcPr>
            <w:tcW w:w="1000" w:type="dxa"/>
            <w:vAlign w:val="bottom"/>
            <w:gridSpan w:val="2"/>
          </w:tcPr>
          <w:p>
            <w:pPr>
              <w:jc w:val="right"/>
              <w:ind w:right="80"/>
              <w:spacing w:after="0"/>
              <w:rPr>
                <w:sz w:val="20"/>
                <w:szCs w:val="20"/>
                <w:color w:val="auto"/>
              </w:rPr>
            </w:pPr>
            <w:r>
              <w:rPr>
                <w:rFonts w:ascii="Arial" w:cs="Arial" w:eastAsia="Arial" w:hAnsi="Arial"/>
                <w:sz w:val="14"/>
                <w:szCs w:val="14"/>
                <w:b w:val="1"/>
                <w:bCs w:val="1"/>
                <w:color w:val="auto"/>
              </w:rPr>
              <w:t>Total</w:t>
            </w:r>
          </w:p>
        </w:tc>
        <w:tc>
          <w:tcPr>
            <w:tcW w:w="5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36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360" w:type="dxa"/>
            <w:vAlign w:val="bottom"/>
          </w:tcPr>
          <w:p>
            <w:pPr>
              <w:spacing w:after="0"/>
              <w:rPr>
                <w:sz w:val="11"/>
                <w:szCs w:val="11"/>
                <w:color w:val="auto"/>
              </w:rPr>
            </w:pPr>
          </w:p>
        </w:tc>
        <w:tc>
          <w:tcPr>
            <w:tcW w:w="640" w:type="dxa"/>
            <w:vAlign w:val="bottom"/>
            <w:tcBorders>
              <w:top w:val="single" w:sz="8" w:color="auto"/>
            </w:tcBorders>
          </w:tcPr>
          <w:p>
            <w:pPr>
              <w:spacing w:after="0"/>
              <w:rPr>
                <w:sz w:val="11"/>
                <w:szCs w:val="11"/>
                <w:color w:val="auto"/>
              </w:rPr>
            </w:pPr>
          </w:p>
        </w:tc>
        <w:tc>
          <w:tcPr>
            <w:tcW w:w="36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60" w:type="dxa"/>
            <w:vAlign w:val="bottom"/>
            <w:tcBorders>
              <w:top w:val="single" w:sz="8" w:color="auto"/>
            </w:tcBorders>
          </w:tcPr>
          <w:p>
            <w:pPr>
              <w:spacing w:after="0"/>
              <w:rPr>
                <w:sz w:val="11"/>
                <w:szCs w:val="11"/>
                <w:color w:val="auto"/>
              </w:rPr>
            </w:pPr>
          </w:p>
        </w:tc>
        <w:tc>
          <w:tcPr>
            <w:tcW w:w="380" w:type="dxa"/>
            <w:vAlign w:val="bottom"/>
          </w:tcPr>
          <w:p>
            <w:pPr>
              <w:spacing w:after="0"/>
              <w:rPr>
                <w:sz w:val="11"/>
                <w:szCs w:val="11"/>
                <w:color w:val="auto"/>
              </w:rPr>
            </w:pPr>
          </w:p>
        </w:tc>
        <w:tc>
          <w:tcPr>
            <w:tcW w:w="620" w:type="dxa"/>
            <w:vAlign w:val="bottom"/>
            <w:tcBorders>
              <w:top w:val="single" w:sz="8" w:color="auto"/>
            </w:tcBorders>
          </w:tcPr>
          <w:p>
            <w:pPr>
              <w:spacing w:after="0"/>
              <w:rPr>
                <w:sz w:val="11"/>
                <w:szCs w:val="11"/>
                <w:color w:val="auto"/>
              </w:rPr>
            </w:pPr>
          </w:p>
        </w:tc>
        <w:tc>
          <w:tcPr>
            <w:tcW w:w="380" w:type="dxa"/>
            <w:vAlign w:val="bottom"/>
            <w:tcBorders>
              <w:top w:val="single" w:sz="8" w:color="auto"/>
            </w:tcBorders>
          </w:tcPr>
          <w:p>
            <w:pPr>
              <w:spacing w:after="0"/>
              <w:rPr>
                <w:sz w:val="11"/>
                <w:szCs w:val="11"/>
                <w:color w:val="auto"/>
              </w:rPr>
            </w:pPr>
          </w:p>
        </w:tc>
        <w:tc>
          <w:tcPr>
            <w:tcW w:w="5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85"/>
              </w:rPr>
              <w:t>Weighted</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3"/>
              </w:rPr>
              <w:t>Average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0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Weighted</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2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5"/>
              </w:rPr>
              <w:t>Weighted</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40" w:type="dxa"/>
            <w:vAlign w:val="bottom"/>
            <w:gridSpan w:val="3"/>
          </w:tcPr>
          <w:p>
            <w:pPr>
              <w:jc w:val="center"/>
              <w:ind w:right="360"/>
              <w:spacing w:after="0" w:line="149" w:lineRule="exact"/>
              <w:rPr>
                <w:sz w:val="20"/>
                <w:szCs w:val="20"/>
                <w:color w:val="auto"/>
              </w:rPr>
            </w:pPr>
            <w:r>
              <w:rPr>
                <w:rFonts w:ascii="Arial" w:cs="Arial" w:eastAsia="Arial" w:hAnsi="Arial"/>
                <w:sz w:val="14"/>
                <w:szCs w:val="14"/>
                <w:b w:val="1"/>
                <w:bCs w:val="1"/>
                <w:color w:val="auto"/>
                <w:w w:val="88"/>
              </w:rPr>
              <w:t>Weighted</w:t>
            </w: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gridSpan w:val="2"/>
          </w:tcPr>
          <w:p>
            <w:pPr>
              <w:jc w:val="center"/>
              <w:ind w:right="140"/>
              <w:spacing w:after="0" w:line="149" w:lineRule="exact"/>
              <w:rPr>
                <w:sz w:val="20"/>
                <w:szCs w:val="20"/>
                <w:color w:val="auto"/>
              </w:rPr>
            </w:pPr>
            <w:r>
              <w:rPr>
                <w:rFonts w:ascii="Arial" w:cs="Arial" w:eastAsia="Arial" w:hAnsi="Arial"/>
                <w:sz w:val="14"/>
                <w:szCs w:val="14"/>
                <w:b w:val="1"/>
                <w:bCs w:val="1"/>
                <w:color w:val="auto"/>
                <w:w w:val="90"/>
              </w:rPr>
              <w:t>Grant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940" w:type="dxa"/>
            <w:vAlign w:val="bottom"/>
            <w:gridSpan w:val="2"/>
          </w:tcPr>
          <w:p>
            <w:pPr>
              <w:jc w:val="center"/>
              <w:ind w:right="44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2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3"/>
              </w:rPr>
              <w:t>Average</w:t>
            </w:r>
          </w:p>
        </w:tc>
        <w:tc>
          <w:tcPr>
            <w:tcW w:w="6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4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86"/>
              </w:rPr>
              <w:t>Average</w:t>
            </w:r>
          </w:p>
        </w:tc>
        <w:tc>
          <w:tcPr>
            <w:tcW w:w="6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85"/>
              </w:rPr>
              <w:t>Date</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3680" w:type="dxa"/>
            <w:vAlign w:val="bottom"/>
          </w:tcPr>
          <w:p>
            <w:pPr>
              <w:spacing w:after="0"/>
              <w:rPr>
                <w:sz w:val="12"/>
                <w:szCs w:val="12"/>
                <w:color w:val="auto"/>
              </w:rPr>
            </w:pP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w w:val="88"/>
              </w:rPr>
              <w:t>Number of</w:t>
            </w:r>
          </w:p>
        </w:tc>
        <w:tc>
          <w:tcPr>
            <w:tcW w:w="102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640" w:type="dxa"/>
            <w:vAlign w:val="bottom"/>
          </w:tcPr>
          <w:p>
            <w:pPr>
              <w:ind w:left="20"/>
              <w:spacing w:after="0" w:line="149" w:lineRule="exact"/>
              <w:rPr>
                <w:sz w:val="20"/>
                <w:szCs w:val="20"/>
                <w:color w:val="auto"/>
              </w:rPr>
            </w:pPr>
            <w:r>
              <w:rPr>
                <w:rFonts w:ascii="Arial" w:cs="Arial" w:eastAsia="Arial" w:hAnsi="Arial"/>
                <w:sz w:val="14"/>
                <w:szCs w:val="14"/>
                <w:b w:val="1"/>
                <w:bCs w:val="1"/>
                <w:color w:val="auto"/>
                <w:w w:val="85"/>
              </w:rPr>
              <w:t>Number of</w:t>
            </w:r>
          </w:p>
        </w:tc>
        <w:tc>
          <w:tcPr>
            <w:tcW w:w="360" w:type="dxa"/>
            <w:vAlign w:val="bottom"/>
          </w:tcPr>
          <w:p>
            <w:pPr>
              <w:spacing w:after="0"/>
              <w:rPr>
                <w:sz w:val="12"/>
                <w:szCs w:val="12"/>
                <w:color w:val="auto"/>
              </w:rPr>
            </w:pPr>
          </w:p>
        </w:tc>
        <w:tc>
          <w:tcPr>
            <w:tcW w:w="1040" w:type="dxa"/>
            <w:vAlign w:val="bottom"/>
            <w:gridSpan w:val="3"/>
          </w:tcPr>
          <w:p>
            <w:pPr>
              <w:spacing w:after="0" w:line="149" w:lineRule="exact"/>
              <w:rPr>
                <w:sz w:val="20"/>
                <w:szCs w:val="20"/>
                <w:color w:val="auto"/>
              </w:rPr>
            </w:pPr>
            <w:r>
              <w:rPr>
                <w:rFonts w:ascii="Arial" w:cs="Arial" w:eastAsia="Arial" w:hAnsi="Arial"/>
                <w:sz w:val="14"/>
                <w:szCs w:val="14"/>
                <w:b w:val="1"/>
                <w:bCs w:val="1"/>
                <w:color w:val="auto"/>
              </w:rPr>
              <w:t>Grant Date</w:t>
            </w:r>
          </w:p>
        </w:tc>
        <w:tc>
          <w:tcPr>
            <w:tcW w:w="1000" w:type="dxa"/>
            <w:vAlign w:val="bottom"/>
            <w:gridSpan w:val="2"/>
          </w:tcPr>
          <w:p>
            <w:pPr>
              <w:jc w:val="right"/>
              <w:ind w:right="380"/>
              <w:spacing w:after="0" w:line="149" w:lineRule="exact"/>
              <w:rPr>
                <w:sz w:val="20"/>
                <w:szCs w:val="20"/>
                <w:color w:val="auto"/>
              </w:rPr>
            </w:pPr>
            <w:r>
              <w:rPr>
                <w:rFonts w:ascii="Arial" w:cs="Arial" w:eastAsia="Arial" w:hAnsi="Arial"/>
                <w:sz w:val="14"/>
                <w:szCs w:val="14"/>
                <w:b w:val="1"/>
                <w:bCs w:val="1"/>
                <w:color w:val="auto"/>
                <w:w w:val="85"/>
              </w:rPr>
              <w:t>Number of</w:t>
            </w:r>
          </w:p>
        </w:tc>
        <w:tc>
          <w:tcPr>
            <w:tcW w:w="640" w:type="dxa"/>
            <w:vAlign w:val="bottom"/>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rPr>
              <w:t>Fair</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1020" w:type="dxa"/>
            <w:vAlign w:val="bottom"/>
            <w:gridSpan w:val="3"/>
          </w:tcPr>
          <w:p>
            <w:pPr>
              <w:jc w:val="center"/>
              <w:ind w:right="380"/>
              <w:spacing w:after="0"/>
              <w:rPr>
                <w:sz w:val="20"/>
                <w:szCs w:val="20"/>
                <w:color w:val="auto"/>
              </w:rPr>
            </w:pPr>
            <w:r>
              <w:rPr>
                <w:rFonts w:ascii="Arial" w:cs="Arial" w:eastAsia="Arial" w:hAnsi="Arial"/>
                <w:sz w:val="14"/>
                <w:szCs w:val="14"/>
                <w:b w:val="1"/>
                <w:bCs w:val="1"/>
                <w:color w:val="auto"/>
                <w:w w:val="89"/>
              </w:rPr>
              <w:t>Fair Value</w:t>
            </w:r>
          </w:p>
        </w:tc>
        <w:tc>
          <w:tcPr>
            <w:tcW w:w="1000" w:type="dxa"/>
            <w:vAlign w:val="bottom"/>
            <w:gridSpan w:val="2"/>
          </w:tcPr>
          <w:p>
            <w:pPr>
              <w:jc w:val="right"/>
              <w:ind w:right="480"/>
              <w:spacing w:after="0"/>
              <w:rPr>
                <w:sz w:val="20"/>
                <w:szCs w:val="20"/>
                <w:color w:val="auto"/>
              </w:rPr>
            </w:pPr>
            <w:r>
              <w:rPr>
                <w:rFonts w:ascii="Arial" w:cs="Arial" w:eastAsia="Arial" w:hAnsi="Arial"/>
                <w:sz w:val="14"/>
                <w:szCs w:val="14"/>
                <w:b w:val="1"/>
                <w:bCs w:val="1"/>
                <w:color w:val="auto"/>
              </w:rPr>
              <w:t>Shares</w:t>
            </w:r>
          </w:p>
        </w:tc>
        <w:tc>
          <w:tcPr>
            <w:tcW w:w="102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92"/>
              </w:rPr>
              <w:t>Fair Value</w:t>
            </w:r>
          </w:p>
        </w:tc>
        <w:tc>
          <w:tcPr>
            <w:tcW w:w="640" w:type="dxa"/>
            <w:vAlign w:val="bottom"/>
          </w:tcPr>
          <w:p>
            <w:pPr>
              <w:ind w:left="140"/>
              <w:spacing w:after="0"/>
              <w:rPr>
                <w:sz w:val="20"/>
                <w:szCs w:val="20"/>
                <w:color w:val="auto"/>
              </w:rPr>
            </w:pPr>
            <w:r>
              <w:rPr>
                <w:rFonts w:ascii="Arial" w:cs="Arial" w:eastAsia="Arial" w:hAnsi="Arial"/>
                <w:sz w:val="14"/>
                <w:szCs w:val="14"/>
                <w:b w:val="1"/>
                <w:bCs w:val="1"/>
                <w:color w:val="auto"/>
              </w:rPr>
              <w:t>Shares</w:t>
            </w:r>
          </w:p>
        </w:tc>
        <w:tc>
          <w:tcPr>
            <w:tcW w:w="360" w:type="dxa"/>
            <w:vAlign w:val="bottom"/>
          </w:tcPr>
          <w:p>
            <w:pPr>
              <w:spacing w:after="0"/>
              <w:rPr>
                <w:sz w:val="14"/>
                <w:szCs w:val="14"/>
                <w:color w:val="auto"/>
              </w:rPr>
            </w:pPr>
          </w:p>
        </w:tc>
        <w:tc>
          <w:tcPr>
            <w:tcW w:w="1040" w:type="dxa"/>
            <w:vAlign w:val="bottom"/>
            <w:gridSpan w:val="3"/>
          </w:tcPr>
          <w:p>
            <w:pPr>
              <w:jc w:val="center"/>
              <w:ind w:right="360"/>
              <w:spacing w:after="0"/>
              <w:rPr>
                <w:sz w:val="20"/>
                <w:szCs w:val="20"/>
                <w:color w:val="auto"/>
              </w:rPr>
            </w:pPr>
            <w:r>
              <w:rPr>
                <w:rFonts w:ascii="Arial" w:cs="Arial" w:eastAsia="Arial" w:hAnsi="Arial"/>
                <w:sz w:val="14"/>
                <w:szCs w:val="14"/>
                <w:b w:val="1"/>
                <w:bCs w:val="1"/>
                <w:color w:val="auto"/>
                <w:w w:val="89"/>
              </w:rPr>
              <w:t>Fair Value</w:t>
            </w:r>
          </w:p>
        </w:tc>
        <w:tc>
          <w:tcPr>
            <w:tcW w:w="1000" w:type="dxa"/>
            <w:vAlign w:val="bottom"/>
            <w:gridSpan w:val="2"/>
          </w:tcPr>
          <w:p>
            <w:pPr>
              <w:jc w:val="right"/>
              <w:ind w:right="500"/>
              <w:spacing w:after="0"/>
              <w:rPr>
                <w:sz w:val="20"/>
                <w:szCs w:val="20"/>
                <w:color w:val="auto"/>
              </w:rPr>
            </w:pPr>
            <w:r>
              <w:rPr>
                <w:rFonts w:ascii="Arial" w:cs="Arial" w:eastAsia="Arial" w:hAnsi="Arial"/>
                <w:sz w:val="14"/>
                <w:szCs w:val="14"/>
                <w:b w:val="1"/>
                <w:bCs w:val="1"/>
                <w:color w:val="auto"/>
              </w:rPr>
              <w:t>Shares</w:t>
            </w:r>
          </w:p>
        </w:tc>
        <w:tc>
          <w:tcPr>
            <w:tcW w:w="64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0"/>
              </w:rPr>
              <w:t>Value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3680" w:type="dxa"/>
            <w:vAlign w:val="bottom"/>
            <w:tcBorders>
              <w:top w:val="single" w:sz="8" w:color="CCEEFF"/>
            </w:tcBorders>
            <w:shd w:val="clear" w:color="auto" w:fill="CCEEFF"/>
          </w:tcPr>
          <w:p>
            <w:pPr>
              <w:spacing w:after="0" w:line="202" w:lineRule="exact"/>
              <w:rPr>
                <w:sz w:val="20"/>
                <w:szCs w:val="20"/>
                <w:color w:val="auto"/>
              </w:rPr>
            </w:pPr>
            <w:r>
              <w:rPr>
                <w:rFonts w:ascii="Arial" w:cs="Arial" w:eastAsia="Arial" w:hAnsi="Arial"/>
                <w:sz w:val="18"/>
                <w:szCs w:val="18"/>
                <w:color w:val="auto"/>
              </w:rPr>
              <w:t>Balance at January 31, 2015</w:t>
            </w: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9,748</w:t>
            </w:r>
          </w:p>
        </w:tc>
        <w:tc>
          <w:tcPr>
            <w:tcW w:w="3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5"/>
                <w:szCs w:val="15"/>
                <w:color w:val="auto"/>
                <w:w w:val="71"/>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14.84</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1,254</w:t>
            </w:r>
          </w:p>
        </w:tc>
        <w:tc>
          <w:tcPr>
            <w:tcW w:w="3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14.99</w:t>
            </w:r>
          </w:p>
        </w:tc>
        <w:tc>
          <w:tcPr>
            <w:tcW w:w="36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3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tcBorders>
              <w:top w:val="single" w:sz="8" w:color="auto"/>
            </w:tcBorders>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380" w:type="dxa"/>
            <w:vAlign w:val="bottom"/>
            <w:tcBorders>
              <w:top w:val="single" w:sz="8" w:color="CCEEFF"/>
            </w:tcBorders>
            <w:shd w:val="clear" w:color="auto" w:fill="CCEEFF"/>
          </w:tcPr>
          <w:p>
            <w:pPr>
              <w:spacing w:after="0"/>
              <w:rPr>
                <w:sz w:val="18"/>
                <w:szCs w:val="18"/>
                <w:color w:val="auto"/>
              </w:rPr>
            </w:pPr>
          </w:p>
        </w:tc>
        <w:tc>
          <w:tcPr>
            <w:tcW w:w="6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11,002</w:t>
            </w:r>
          </w:p>
        </w:tc>
        <w:tc>
          <w:tcPr>
            <w:tcW w:w="380" w:type="dxa"/>
            <w:vAlign w:val="bottom"/>
            <w:tcBorders>
              <w:top w:val="single" w:sz="8" w:color="CCEEFF"/>
            </w:tcBorders>
            <w:shd w:val="clear" w:color="auto" w:fill="CCEEFF"/>
          </w:tcPr>
          <w:p>
            <w:pPr>
              <w:spacing w:after="0"/>
              <w:rPr>
                <w:sz w:val="18"/>
                <w:szCs w:val="18"/>
                <w:color w:val="auto"/>
              </w:rPr>
            </w:pPr>
          </w:p>
        </w:tc>
        <w:tc>
          <w:tcPr>
            <w:tcW w:w="5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89"/>
              </w:rPr>
              <w:t>$ 14.85</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ind w:left="420"/>
              <w:spacing w:after="0"/>
              <w:rPr>
                <w:sz w:val="20"/>
                <w:szCs w:val="20"/>
                <w:color w:val="auto"/>
              </w:rPr>
            </w:pPr>
            <w:r>
              <w:rPr>
                <w:rFonts w:ascii="Arial" w:cs="Arial" w:eastAsia="Arial" w:hAnsi="Arial"/>
                <w:sz w:val="18"/>
                <w:szCs w:val="18"/>
                <w:color w:val="auto"/>
              </w:rPr>
              <w:t>Granted</w:t>
            </w:r>
          </w:p>
        </w:tc>
        <w:tc>
          <w:tcPr>
            <w:tcW w:w="1000" w:type="dxa"/>
            <w:vAlign w:val="bottom"/>
            <w:gridSpan w:val="2"/>
          </w:tcPr>
          <w:p>
            <w:pPr>
              <w:jc w:val="right"/>
              <w:ind w:right="380"/>
              <w:spacing w:after="0"/>
              <w:rPr>
                <w:sz w:val="20"/>
                <w:szCs w:val="20"/>
                <w:color w:val="auto"/>
              </w:rPr>
            </w:pPr>
            <w:r>
              <w:rPr>
                <w:rFonts w:ascii="Arial" w:cs="Arial" w:eastAsia="Arial" w:hAnsi="Arial"/>
                <w:sz w:val="18"/>
                <w:szCs w:val="18"/>
                <w:color w:val="auto"/>
              </w:rPr>
              <w:t>4,742</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13.67</w:t>
            </w:r>
          </w:p>
        </w:tc>
        <w:tc>
          <w:tcPr>
            <w:tcW w:w="640" w:type="dxa"/>
            <w:vAlign w:val="bottom"/>
          </w:tcPr>
          <w:p>
            <w:pPr>
              <w:jc w:val="right"/>
              <w:spacing w:after="0"/>
              <w:rPr>
                <w:sz w:val="20"/>
                <w:szCs w:val="20"/>
                <w:color w:val="auto"/>
              </w:rPr>
            </w:pPr>
            <w:r>
              <w:rPr>
                <w:rFonts w:ascii="Arial" w:cs="Arial" w:eastAsia="Arial" w:hAnsi="Arial"/>
                <w:sz w:val="18"/>
                <w:szCs w:val="18"/>
                <w:color w:val="auto"/>
              </w:rPr>
              <w:t>669</w:t>
            </w:r>
          </w:p>
        </w:tc>
        <w:tc>
          <w:tcPr>
            <w:tcW w:w="360" w:type="dxa"/>
            <w:vAlign w:val="bottom"/>
          </w:tcPr>
          <w:p>
            <w:pPr>
              <w:spacing w:after="0"/>
              <w:rPr>
                <w:sz w:val="18"/>
                <w:szCs w:val="18"/>
                <w:color w:val="auto"/>
              </w:rPr>
            </w:pP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14.28</w:t>
            </w:r>
          </w:p>
        </w:tc>
        <w:tc>
          <w:tcPr>
            <w:tcW w:w="360" w:type="dxa"/>
            <w:vAlign w:val="bottom"/>
          </w:tcPr>
          <w:p>
            <w:pPr>
              <w:spacing w:after="0"/>
              <w:rPr>
                <w:sz w:val="18"/>
                <w:szCs w:val="18"/>
                <w:color w:val="auto"/>
              </w:rPr>
            </w:pPr>
          </w:p>
        </w:tc>
        <w:tc>
          <w:tcPr>
            <w:tcW w:w="640" w:type="dxa"/>
            <w:vAlign w:val="bottom"/>
          </w:tcPr>
          <w:p>
            <w:pPr>
              <w:ind w:left="380"/>
              <w:spacing w:after="0"/>
              <w:rPr>
                <w:sz w:val="20"/>
                <w:szCs w:val="20"/>
                <w:color w:val="auto"/>
              </w:rPr>
            </w:pPr>
            <w:r>
              <w:rPr>
                <w:rFonts w:ascii="Arial" w:cs="Arial" w:eastAsia="Arial" w:hAnsi="Arial"/>
                <w:sz w:val="18"/>
                <w:szCs w:val="18"/>
                <w:color w:val="auto"/>
                <w:w w:val="79"/>
              </w:rPr>
              <w:t>407</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12.24</w:t>
            </w:r>
          </w:p>
        </w:tc>
        <w:tc>
          <w:tcPr>
            <w:tcW w:w="380" w:type="dxa"/>
            <w:vAlign w:val="bottom"/>
          </w:tcPr>
          <w:p>
            <w:pPr>
              <w:spacing w:after="0"/>
              <w:rPr>
                <w:sz w:val="18"/>
                <w:szCs w:val="18"/>
                <w:color w:val="auto"/>
              </w:rPr>
            </w:pPr>
          </w:p>
        </w:tc>
        <w:tc>
          <w:tcPr>
            <w:tcW w:w="620" w:type="dxa"/>
            <w:vAlign w:val="bottom"/>
          </w:tcPr>
          <w:p>
            <w:pPr>
              <w:jc w:val="right"/>
              <w:spacing w:after="0"/>
              <w:rPr>
                <w:sz w:val="20"/>
                <w:szCs w:val="20"/>
                <w:color w:val="auto"/>
              </w:rPr>
            </w:pPr>
            <w:r>
              <w:rPr>
                <w:rFonts w:ascii="Arial" w:cs="Arial" w:eastAsia="Arial" w:hAnsi="Arial"/>
                <w:sz w:val="18"/>
                <w:szCs w:val="18"/>
                <w:color w:val="auto"/>
              </w:rPr>
              <w:t>5,818</w:t>
            </w:r>
          </w:p>
        </w:tc>
        <w:tc>
          <w:tcPr>
            <w:tcW w:w="380" w:type="dxa"/>
            <w:vAlign w:val="bottom"/>
          </w:tcPr>
          <w:p>
            <w:pPr>
              <w:spacing w:after="0"/>
              <w:rPr>
                <w:sz w:val="18"/>
                <w:szCs w:val="18"/>
                <w:color w:val="auto"/>
              </w:rPr>
            </w:pP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$ 13.64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Vested</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(4,333)</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15.39</w:t>
            </w:r>
          </w:p>
        </w:tc>
        <w:tc>
          <w:tcPr>
            <w:tcW w:w="10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(658)</w:t>
            </w: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15.15</w:t>
            </w: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rPr>
              <w:t>—</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940" w:type="dxa"/>
            <w:vAlign w:val="bottom"/>
            <w:gridSpan w:val="2"/>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(4,991)</w:t>
            </w: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$ 15.36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680" w:type="dxa"/>
            <w:vAlign w:val="bottom"/>
          </w:tcPr>
          <w:p>
            <w:pPr>
              <w:ind w:left="420"/>
              <w:spacing w:after="0"/>
              <w:rPr>
                <w:sz w:val="20"/>
                <w:szCs w:val="20"/>
                <w:color w:val="auto"/>
              </w:rPr>
            </w:pPr>
            <w:r>
              <w:rPr>
                <w:rFonts w:ascii="Arial" w:cs="Arial" w:eastAsia="Arial" w:hAnsi="Arial"/>
                <w:sz w:val="18"/>
                <w:szCs w:val="18"/>
                <w:color w:val="auto"/>
              </w:rPr>
              <w:t>Canceled/Forfeited</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(146)</w:t>
            </w:r>
          </w:p>
        </w:tc>
        <w:tc>
          <w:tcPr>
            <w:tcW w:w="80" w:type="dxa"/>
            <w:vAlign w:val="bottom"/>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tcPr>
          <w:p>
            <w:pPr>
              <w:jc w:val="right"/>
              <w:ind w:right="360"/>
              <w:spacing w:after="0"/>
              <w:rPr>
                <w:sz w:val="20"/>
                <w:szCs w:val="20"/>
                <w:color w:val="auto"/>
              </w:rPr>
            </w:pPr>
            <w:r>
              <w:rPr>
                <w:rFonts w:ascii="Arial" w:cs="Arial" w:eastAsia="Arial" w:hAnsi="Arial"/>
                <w:sz w:val="18"/>
                <w:szCs w:val="18"/>
                <w:color w:val="auto"/>
              </w:rPr>
              <w:t>14.09</w:t>
            </w:r>
          </w:p>
        </w:tc>
        <w:tc>
          <w:tcPr>
            <w:tcW w:w="1000" w:type="dxa"/>
            <w:vAlign w:val="bottom"/>
            <w:gridSpan w:val="2"/>
          </w:tcPr>
          <w:p>
            <w:pPr>
              <w:jc w:val="right"/>
              <w:ind w:right="300"/>
              <w:spacing w:after="0"/>
              <w:rPr>
                <w:sz w:val="20"/>
                <w:szCs w:val="20"/>
                <w:color w:val="auto"/>
              </w:rPr>
            </w:pPr>
            <w:r>
              <w:rPr>
                <w:rFonts w:ascii="Arial" w:cs="Arial" w:eastAsia="Arial" w:hAnsi="Arial"/>
                <w:sz w:val="18"/>
                <w:szCs w:val="18"/>
                <w:color w:val="auto"/>
              </w:rPr>
              <w:t>(79)</w:t>
            </w:r>
          </w:p>
        </w:tc>
        <w:tc>
          <w:tcPr>
            <w:tcW w:w="100" w:type="dxa"/>
            <w:vAlign w:val="bottom"/>
          </w:tcPr>
          <w:p>
            <w:pPr>
              <w:spacing w:after="0"/>
              <w:rPr>
                <w:sz w:val="20"/>
                <w:szCs w:val="20"/>
                <w:color w:val="auto"/>
              </w:rPr>
            </w:pPr>
            <w:r>
              <w:rPr>
                <w:rFonts w:ascii="Arial" w:cs="Arial" w:eastAsia="Arial" w:hAnsi="Arial"/>
                <w:sz w:val="18"/>
                <w:szCs w:val="18"/>
                <w:color w:val="auto"/>
                <w:w w:val="79"/>
              </w:rPr>
              <w:t>$</w:t>
            </w:r>
          </w:p>
        </w:tc>
        <w:tc>
          <w:tcPr>
            <w:tcW w:w="560" w:type="dxa"/>
            <w:vAlign w:val="bottom"/>
          </w:tcPr>
          <w:p>
            <w:pPr>
              <w:jc w:val="right"/>
              <w:spacing w:after="0"/>
              <w:rPr>
                <w:sz w:val="20"/>
                <w:szCs w:val="20"/>
                <w:color w:val="auto"/>
              </w:rPr>
            </w:pPr>
            <w:r>
              <w:rPr>
                <w:rFonts w:ascii="Arial" w:cs="Arial" w:eastAsia="Arial" w:hAnsi="Arial"/>
                <w:sz w:val="18"/>
                <w:szCs w:val="18"/>
                <w:color w:val="auto"/>
              </w:rPr>
              <w:t>14.32</w:t>
            </w:r>
          </w:p>
        </w:tc>
        <w:tc>
          <w:tcPr>
            <w:tcW w:w="360" w:type="dxa"/>
            <w:vAlign w:val="bottom"/>
          </w:tcPr>
          <w:p>
            <w:pPr>
              <w:spacing w:after="0"/>
              <w:rPr>
                <w:sz w:val="18"/>
                <w:szCs w:val="18"/>
                <w:color w:val="auto"/>
              </w:rPr>
            </w:pPr>
          </w:p>
        </w:tc>
        <w:tc>
          <w:tcPr>
            <w:tcW w:w="640" w:type="dxa"/>
            <w:vAlign w:val="bottom"/>
          </w:tcPr>
          <w:p>
            <w:pPr>
              <w:ind w:left="380"/>
              <w:spacing w:after="0"/>
              <w:rPr>
                <w:sz w:val="20"/>
                <w:szCs w:val="20"/>
                <w:color w:val="auto"/>
              </w:rPr>
            </w:pPr>
            <w:r>
              <w:rPr>
                <w:rFonts w:ascii="Arial" w:cs="Arial" w:eastAsia="Arial" w:hAnsi="Arial"/>
                <w:sz w:val="18"/>
                <w:szCs w:val="18"/>
                <w:color w:val="auto"/>
              </w:rPr>
              <w:t>—</w:t>
            </w:r>
          </w:p>
        </w:tc>
        <w:tc>
          <w:tcPr>
            <w:tcW w:w="460" w:type="dxa"/>
            <w:vAlign w:val="bottom"/>
            <w:gridSpan w:val="2"/>
          </w:tcPr>
          <w:p>
            <w:pPr>
              <w:ind w:left="360"/>
              <w:spacing w:after="0"/>
              <w:rPr>
                <w:sz w:val="20"/>
                <w:szCs w:val="20"/>
                <w:color w:val="auto"/>
              </w:rPr>
            </w:pPr>
            <w:r>
              <w:rPr>
                <w:rFonts w:ascii="Arial" w:cs="Arial" w:eastAsia="Arial" w:hAnsi="Arial"/>
                <w:sz w:val="18"/>
                <w:szCs w:val="18"/>
                <w:color w:val="auto"/>
                <w:w w:val="79"/>
              </w:rPr>
              <w:t>$</w:t>
            </w:r>
          </w:p>
        </w:tc>
        <w:tc>
          <w:tcPr>
            <w:tcW w:w="940" w:type="dxa"/>
            <w:vAlign w:val="bottom"/>
            <w:gridSpan w:val="2"/>
          </w:tcPr>
          <w:p>
            <w:pPr>
              <w:ind w:left="300"/>
              <w:spacing w:after="0"/>
              <w:rPr>
                <w:sz w:val="20"/>
                <w:szCs w:val="20"/>
                <w:color w:val="auto"/>
              </w:rPr>
            </w:pPr>
            <w:r>
              <w:rPr>
                <w:rFonts w:ascii="Arial" w:cs="Arial" w:eastAsia="Arial" w:hAnsi="Arial"/>
                <w:sz w:val="18"/>
                <w:szCs w:val="18"/>
                <w:color w:val="auto"/>
              </w:rPr>
              <w:t>—</w:t>
            </w:r>
          </w:p>
        </w:tc>
        <w:tc>
          <w:tcPr>
            <w:tcW w:w="1000" w:type="dxa"/>
            <w:vAlign w:val="bottom"/>
            <w:gridSpan w:val="2"/>
          </w:tcPr>
          <w:p>
            <w:pPr>
              <w:jc w:val="right"/>
              <w:ind w:right="320"/>
              <w:spacing w:after="0"/>
              <w:rPr>
                <w:sz w:val="20"/>
                <w:szCs w:val="20"/>
                <w:color w:val="auto"/>
              </w:rPr>
            </w:pPr>
            <w:r>
              <w:rPr>
                <w:rFonts w:ascii="Arial" w:cs="Arial" w:eastAsia="Arial" w:hAnsi="Arial"/>
                <w:sz w:val="18"/>
                <w:szCs w:val="18"/>
                <w:color w:val="auto"/>
              </w:rPr>
              <w:t>(225)</w:t>
            </w:r>
          </w:p>
        </w:tc>
        <w:tc>
          <w:tcPr>
            <w:tcW w:w="540" w:type="dxa"/>
            <w:vAlign w:val="bottom"/>
          </w:tcPr>
          <w:p>
            <w:pPr>
              <w:jc w:val="center"/>
              <w:spacing w:after="0"/>
              <w:rPr>
                <w:sz w:val="20"/>
                <w:szCs w:val="20"/>
                <w:color w:val="auto"/>
              </w:rPr>
            </w:pPr>
            <w:r>
              <w:rPr>
                <w:rFonts w:ascii="Arial" w:cs="Arial" w:eastAsia="Arial" w:hAnsi="Arial"/>
                <w:sz w:val="18"/>
                <w:szCs w:val="18"/>
                <w:color w:val="auto"/>
                <w:w w:val="89"/>
              </w:rPr>
              <w:t>$ 14.17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36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80" w:type="dxa"/>
            <w:vAlign w:val="bottom"/>
          </w:tcPr>
          <w:p>
            <w:pPr>
              <w:spacing w:after="0"/>
              <w:rPr>
                <w:sz w:val="2"/>
                <w:szCs w:val="2"/>
                <w:color w:val="auto"/>
              </w:rPr>
            </w:pPr>
          </w:p>
        </w:tc>
        <w:tc>
          <w:tcPr>
            <w:tcW w:w="58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3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560" w:type="dxa"/>
            <w:vAlign w:val="bottom"/>
          </w:tcPr>
          <w:p>
            <w:pPr>
              <w:spacing w:after="0"/>
              <w:rPr>
                <w:sz w:val="2"/>
                <w:szCs w:val="2"/>
                <w:color w:val="auto"/>
              </w:rPr>
            </w:pPr>
          </w:p>
        </w:tc>
        <w:tc>
          <w:tcPr>
            <w:tcW w:w="380" w:type="dxa"/>
            <w:vAlign w:val="bottom"/>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54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3680" w:type="dxa"/>
            <w:vAlign w:val="bottom"/>
            <w:shd w:val="clear" w:color="auto" w:fill="CCEEFF"/>
          </w:tcPr>
          <w:p>
            <w:pPr>
              <w:spacing w:after="0"/>
              <w:rPr>
                <w:sz w:val="20"/>
                <w:szCs w:val="20"/>
                <w:color w:val="auto"/>
              </w:rPr>
            </w:pPr>
            <w:r>
              <w:rPr>
                <w:rFonts w:ascii="Arial" w:cs="Arial" w:eastAsia="Arial" w:hAnsi="Arial"/>
                <w:sz w:val="18"/>
                <w:szCs w:val="18"/>
                <w:color w:val="auto"/>
              </w:rPr>
              <w:t>Balance at May 2, 2015</w:t>
            </w:r>
          </w:p>
        </w:tc>
        <w:tc>
          <w:tcPr>
            <w:tcW w:w="1000" w:type="dxa"/>
            <w:vAlign w:val="bottom"/>
            <w:gridSpan w:val="2"/>
            <w:shd w:val="clear" w:color="auto" w:fill="CCEEFF"/>
          </w:tcPr>
          <w:p>
            <w:pPr>
              <w:jc w:val="right"/>
              <w:ind w:right="380"/>
              <w:spacing w:after="0"/>
              <w:rPr>
                <w:sz w:val="20"/>
                <w:szCs w:val="20"/>
                <w:color w:val="auto"/>
              </w:rPr>
            </w:pPr>
            <w:r>
              <w:rPr>
                <w:rFonts w:ascii="Arial" w:cs="Arial" w:eastAsia="Arial" w:hAnsi="Arial"/>
                <w:sz w:val="18"/>
                <w:szCs w:val="18"/>
                <w:color w:val="auto"/>
              </w:rPr>
              <w:t>10,011</w:t>
            </w:r>
          </w:p>
        </w:tc>
        <w:tc>
          <w:tcPr>
            <w:tcW w:w="80" w:type="dxa"/>
            <w:vAlign w:val="bottom"/>
            <w:shd w:val="clear" w:color="auto" w:fill="CCEEFF"/>
          </w:tcPr>
          <w:p>
            <w:pPr>
              <w:spacing w:after="0"/>
              <w:rPr>
                <w:sz w:val="20"/>
                <w:szCs w:val="20"/>
                <w:color w:val="auto"/>
              </w:rPr>
            </w:pPr>
            <w:r>
              <w:rPr>
                <w:rFonts w:ascii="Arial" w:cs="Arial" w:eastAsia="Arial" w:hAnsi="Arial"/>
                <w:sz w:val="15"/>
                <w:szCs w:val="15"/>
                <w:color w:val="auto"/>
                <w:w w:val="71"/>
              </w:rPr>
              <w:t>$</w:t>
            </w:r>
          </w:p>
        </w:tc>
        <w:tc>
          <w:tcPr>
            <w:tcW w:w="940" w:type="dxa"/>
            <w:vAlign w:val="bottom"/>
            <w:gridSpan w:val="2"/>
            <w:shd w:val="clear" w:color="auto" w:fill="CCEEFF"/>
          </w:tcPr>
          <w:p>
            <w:pPr>
              <w:jc w:val="right"/>
              <w:ind w:right="360"/>
              <w:spacing w:after="0"/>
              <w:rPr>
                <w:sz w:val="20"/>
                <w:szCs w:val="20"/>
                <w:color w:val="auto"/>
              </w:rPr>
            </w:pPr>
            <w:r>
              <w:rPr>
                <w:rFonts w:ascii="Arial" w:cs="Arial" w:eastAsia="Arial" w:hAnsi="Arial"/>
                <w:sz w:val="18"/>
                <w:szCs w:val="18"/>
                <w:color w:val="auto"/>
              </w:rPr>
              <w:t>14.06</w:t>
            </w:r>
          </w:p>
        </w:tc>
        <w:tc>
          <w:tcPr>
            <w:tcW w:w="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1,186</w:t>
            </w:r>
          </w:p>
        </w:tc>
        <w:tc>
          <w:tcPr>
            <w:tcW w:w="3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14.54</w:t>
            </w:r>
          </w:p>
        </w:tc>
        <w:tc>
          <w:tcPr>
            <w:tcW w:w="360" w:type="dxa"/>
            <w:vAlign w:val="bottom"/>
            <w:shd w:val="clear" w:color="auto" w:fill="CCEEFF"/>
          </w:tcPr>
          <w:p>
            <w:pPr>
              <w:spacing w:after="0"/>
              <w:rPr>
                <w:sz w:val="18"/>
                <w:szCs w:val="18"/>
                <w:color w:val="auto"/>
              </w:rPr>
            </w:pPr>
          </w:p>
        </w:tc>
        <w:tc>
          <w:tcPr>
            <w:tcW w:w="640" w:type="dxa"/>
            <w:vAlign w:val="bottom"/>
            <w:shd w:val="clear" w:color="auto" w:fill="CCEEFF"/>
          </w:tcPr>
          <w:p>
            <w:pPr>
              <w:ind w:left="380"/>
              <w:spacing w:after="0"/>
              <w:rPr>
                <w:sz w:val="20"/>
                <w:szCs w:val="20"/>
                <w:color w:val="auto"/>
              </w:rPr>
            </w:pPr>
            <w:r>
              <w:rPr>
                <w:rFonts w:ascii="Arial" w:cs="Arial" w:eastAsia="Arial" w:hAnsi="Arial"/>
                <w:sz w:val="18"/>
                <w:szCs w:val="18"/>
                <w:color w:val="auto"/>
                <w:w w:val="79"/>
              </w:rPr>
              <w:t>407</w:t>
            </w:r>
          </w:p>
        </w:tc>
        <w:tc>
          <w:tcPr>
            <w:tcW w:w="46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12.24</w:t>
            </w:r>
          </w:p>
        </w:tc>
        <w:tc>
          <w:tcPr>
            <w:tcW w:w="380" w:type="dxa"/>
            <w:vAlign w:val="bottom"/>
            <w:shd w:val="clear" w:color="auto" w:fill="CCEEFF"/>
          </w:tcPr>
          <w:p>
            <w:pPr>
              <w:spacing w:after="0"/>
              <w:rPr>
                <w:sz w:val="18"/>
                <w:szCs w:val="18"/>
                <w:color w:val="auto"/>
              </w:rPr>
            </w:pPr>
          </w:p>
        </w:tc>
        <w:tc>
          <w:tcPr>
            <w:tcW w:w="6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11,604</w:t>
            </w:r>
          </w:p>
        </w:tc>
        <w:tc>
          <w:tcPr>
            <w:tcW w:w="380" w:type="dxa"/>
            <w:vAlign w:val="bottom"/>
            <w:shd w:val="clear" w:color="auto" w:fill="CCEEFF"/>
          </w:tcPr>
          <w:p>
            <w:pPr>
              <w:spacing w:after="0"/>
              <w:rPr>
                <w:sz w:val="18"/>
                <w:szCs w:val="18"/>
                <w:color w:val="auto"/>
              </w:rPr>
            </w:pPr>
          </w:p>
        </w:tc>
        <w:tc>
          <w:tcPr>
            <w:tcW w:w="5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$ 14.04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In connection with the performance-based equity awards granted in fiscal 2015 to each of the Company’s executive officers, a total of 478,001 shares vested on April 1, 2015 in connection with the first performance period completed at the end of fiscal 2015. Of this amount, an additional 107,954 shares are included as granted in the table above for the three months ended May 2, 2015 since each executive officer achieved greater than their target shares for one of the financial performance goals. The amount of canceled shares reported in the table above includes the portion of unvested shares that were not earned since performance achievements on each executive officer’s other financial and strategic performance goals were not fully achieved. As of May 2, 2015, the Company determined the performance goals established for the second performance period to be completed at the end of fiscal 2016 would not be achieved and adjusted the related share-based compensation expense accordingly for the three months ended May 2, 2015.</w:t>
      </w:r>
    </w:p>
    <w:p>
      <w:pPr>
        <w:spacing w:after="0" w:line="118"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April 2015, the Company granted performance-based equity awards to each of its executive officers which are based on their achievement of certain performance goals for a new performance period beginning in fiscal 2016. These equity awards include restricted stock units which vest based on the achievement of certain financial goals (“Financial Performance RSU”), and performance awards for which a portion shall vest based on the achievement of individual strategic objectives (“Strategic Objective Award”) and a portion shall vest based on total shareholder return (“Total Shareholder Return Award”). These awards are reported in the above table as “Performance-Based,” except for the Total Shareholder Return Award which is reported as “Market-Based.” The Financial Performance RSUs will be earned based on the achievement of revenue and modified non-GAAP operating income that have been established at “threshold,” “target” and “maximum” levels and will vest on the first anniversary of the commencement date. The Strategic Objective Award will vest on the first anniversary of the commencement date at the target level based on the achievement of individual strategic goals and either the revenue or modified non-GAAP operating income objective established for the Financial Performance RSU. The Total Shareholder Return Award will vest on the second anniversary of the commencement date based the Company’s stock price performance in comparison to the Philadelphia Semiconductor Sector Index. Share-based compensation for the Total Shareholder Award is measured using the Monte Carlo valuation method since the award is indexed to the price of the Company’s common stock as set forth under the terms of the award.</w:t>
      </w:r>
    </w:p>
    <w:p>
      <w:pPr>
        <w:spacing w:after="0" w:line="124"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In connection with the performance-based restricted stock units granted in fiscal 2015 to certain members of senior management, final evaluation for each individual’s achievement of their performance was measured during the three months ended May 2, 2015. As a result, a total of 360,723 shares vested on April 1, 2015 and are included in the above table. There was no material adjustment to share-based compensation expense related to these performance-based restricted stock units in the three months ended May 2, 2015. The amount of canceled shares reported in the table above includes the portion of unvested shares that were not earned since certain performance achievements were not fully achieved.</w:t>
      </w:r>
    </w:p>
    <w:p>
      <w:pPr>
        <w:spacing w:after="0" w:line="116"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The aggregate intrinsic value of restricted stock units expected to vest as of May 2, 2015 was $150.2 million. The number of restricted stock units that are expected to vest is 10.5 million shares.</w:t>
      </w:r>
    </w:p>
    <w:p>
      <w:pPr>
        <w:spacing w:after="0" w:line="132" w:lineRule="exact"/>
        <w:rPr>
          <w:sz w:val="20"/>
          <w:szCs w:val="20"/>
          <w:color w:val="auto"/>
        </w:rPr>
      </w:pPr>
    </w:p>
    <w:p>
      <w:pPr>
        <w:ind w:right="280" w:firstLine="456"/>
        <w:spacing w:after="0" w:line="332" w:lineRule="auto"/>
        <w:rPr>
          <w:sz w:val="20"/>
          <w:szCs w:val="20"/>
          <w:color w:val="auto"/>
        </w:rPr>
      </w:pPr>
      <w:r>
        <w:rPr>
          <w:rFonts w:ascii="Arial" w:cs="Arial" w:eastAsia="Arial" w:hAnsi="Arial"/>
          <w:sz w:val="16"/>
          <w:szCs w:val="16"/>
          <w:color w:val="auto"/>
        </w:rPr>
        <w:t>As of May 2, 2015, unamortized compensation expense related to restricted stock units was $134.0 million. The unamortized compensation expense for restricted stock units will be amortized on a straight-line basis and is expected to be recognized over a weighted average period of 1.7 years.</w:t>
      </w:r>
    </w:p>
    <w:p>
      <w:pPr>
        <w:spacing w:after="0" w:line="16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Employee Stock Purchase Plan</w:t>
      </w:r>
    </w:p>
    <w:p>
      <w:pPr>
        <w:spacing w:after="0" w:line="90" w:lineRule="exact"/>
        <w:rPr>
          <w:sz w:val="20"/>
          <w:szCs w:val="20"/>
          <w:color w:val="auto"/>
        </w:rPr>
      </w:pPr>
    </w:p>
    <w:p>
      <w:pPr>
        <w:ind w:right="160" w:firstLine="456"/>
        <w:spacing w:after="0" w:line="332" w:lineRule="auto"/>
        <w:rPr>
          <w:sz w:val="20"/>
          <w:szCs w:val="20"/>
          <w:color w:val="auto"/>
        </w:rPr>
      </w:pPr>
      <w:r>
        <w:rPr>
          <w:rFonts w:ascii="Arial" w:cs="Arial" w:eastAsia="Arial" w:hAnsi="Arial"/>
          <w:sz w:val="16"/>
          <w:szCs w:val="16"/>
          <w:color w:val="auto"/>
        </w:rPr>
        <w:t>During the three months ended May 2, 2015 and May 3, 2014, the Company issued no shares under the 2000 Employee Stock Purchase Plan, as amended and restated (the “ESPP”). As of May 2, 2015, there was $33.7 million of unrecognized compensation cost related to the ESPP.</w:t>
      </w:r>
    </w:p>
    <w:p>
      <w:pPr>
        <w:spacing w:after="0" w:line="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420"/>
          </w:cols>
          <w:pgMar w:left="240" w:top="45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Share Repurchase Program</w:t>
      </w:r>
    </w:p>
    <w:p>
      <w:pPr>
        <w:spacing w:after="0" w:line="90" w:lineRule="exact"/>
        <w:rPr>
          <w:sz w:val="20"/>
          <w:szCs w:val="20"/>
          <w:color w:val="auto"/>
        </w:rPr>
      </w:pPr>
    </w:p>
    <w:p>
      <w:pPr>
        <w:ind w:right="120" w:firstLine="456"/>
        <w:spacing w:after="0" w:line="255" w:lineRule="auto"/>
        <w:rPr>
          <w:sz w:val="20"/>
          <w:szCs w:val="20"/>
          <w:color w:val="auto"/>
        </w:rPr>
      </w:pPr>
      <w:r>
        <w:rPr>
          <w:rFonts w:ascii="Arial" w:cs="Arial" w:eastAsia="Arial" w:hAnsi="Arial"/>
          <w:sz w:val="18"/>
          <w:szCs w:val="18"/>
          <w:color w:val="auto"/>
        </w:rPr>
        <w:t>The Company repurchased 1.4 million of its common shares for $22.1 million during the three months ended May 2, 2015. The Company had no repurchases of its common shares during the three months ended May 3, 2014. The repurchased shares were retired immediately after the repurchases were completed. The Company records all repurchases, as well as investment purchases and sales, based on trade date. As of May 2, 2015, a total of 223.3 million cumulative shares have been repurchased under the Company’s share repurchase program for a total $2.8 billion in cash and there was $421.4 million remaining available for future share repurchases.</w:t>
      </w:r>
    </w:p>
    <w:p>
      <w:pPr>
        <w:spacing w:after="0" w:line="143"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Subsequent to the end of the quarter through May 28, 2015, the Company repurchased an additional 0.9 million of its common shares for $12.9 million at an average price per share of $13.84.</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Dividends</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Company paid the following cash dividends: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6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60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c>
          <w:tcPr>
            <w:tcW w:w="0" w:type="dxa"/>
            <w:vAlign w:val="bottom"/>
          </w:tcPr>
          <w:p>
            <w:pPr>
              <w:spacing w:after="0"/>
              <w:rPr>
                <w:sz w:val="1"/>
                <w:szCs w:val="1"/>
                <w:color w:val="auto"/>
              </w:rPr>
            </w:pPr>
          </w:p>
        </w:tc>
      </w:tr>
      <w:tr>
        <w:trPr>
          <w:trHeight w:val="129"/>
        </w:trPr>
        <w:tc>
          <w:tcPr>
            <w:tcW w:w="69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4"/>
              <w:spacing w:after="0" w:line="129" w:lineRule="exact"/>
              <w:rPr>
                <w:sz w:val="20"/>
                <w:szCs w:val="20"/>
                <w:color w:val="auto"/>
              </w:rPr>
            </w:pPr>
            <w:r>
              <w:rPr>
                <w:rFonts w:ascii="Arial" w:cs="Arial" w:eastAsia="Arial" w:hAnsi="Arial"/>
                <w:sz w:val="14"/>
                <w:szCs w:val="14"/>
                <w:b w:val="1"/>
                <w:bCs w:val="1"/>
                <w:color w:val="auto"/>
                <w:w w:val="88"/>
              </w:rPr>
              <w:t>May 2,</w:t>
            </w:r>
          </w:p>
        </w:tc>
        <w:tc>
          <w:tcPr>
            <w:tcW w:w="44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98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4"/>
              <w:spacing w:after="0"/>
              <w:rPr>
                <w:sz w:val="20"/>
                <w:szCs w:val="20"/>
                <w:color w:val="auto"/>
              </w:rPr>
            </w:pPr>
            <w:r>
              <w:rPr>
                <w:rFonts w:ascii="Arial" w:cs="Arial" w:eastAsia="Arial" w:hAnsi="Arial"/>
                <w:sz w:val="14"/>
                <w:szCs w:val="14"/>
                <w:b w:val="1"/>
                <w:bCs w:val="1"/>
                <w:color w:val="auto"/>
                <w:w w:val="96"/>
              </w:rPr>
              <w:t>2015</w:t>
            </w:r>
          </w:p>
        </w:tc>
        <w:tc>
          <w:tcPr>
            <w:tcW w:w="4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9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Cash dividend per share</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0"/>
                <w:szCs w:val="10"/>
                <w:color w:val="auto"/>
                <w:w w:val="71"/>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44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80" w:type="dxa"/>
            <w:vAlign w:val="bottom"/>
            <w:vMerge w:val="restart"/>
          </w:tcPr>
          <w:p>
            <w:pPr>
              <w:spacing w:after="0"/>
              <w:rPr>
                <w:sz w:val="20"/>
                <w:szCs w:val="20"/>
                <w:color w:val="auto"/>
              </w:rPr>
            </w:pPr>
            <w:r>
              <w:rPr>
                <w:rFonts w:ascii="Arial" w:cs="Arial" w:eastAsia="Arial" w:hAnsi="Arial"/>
                <w:sz w:val="18"/>
                <w:szCs w:val="18"/>
                <w:color w:val="auto"/>
              </w:rPr>
              <w:t>Total payment to shareholders (in thousands)</w:t>
            </w: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6980" w:type="dxa"/>
            <w:vAlign w:val="bottom"/>
            <w:vMerge w:val="continue"/>
          </w:tcPr>
          <w:p>
            <w:pPr>
              <w:spacing w:after="0"/>
              <w:rPr>
                <w:sz w:val="18"/>
                <w:szCs w:val="18"/>
                <w:color w:val="auto"/>
              </w:rPr>
            </w:pPr>
          </w:p>
        </w:tc>
        <w:tc>
          <w:tcPr>
            <w:tcW w:w="100" w:type="dxa"/>
            <w:vAlign w:val="bottom"/>
            <w:gridSpan w:val="2"/>
          </w:tcPr>
          <w:p>
            <w:pPr>
              <w:jc w:val="right"/>
              <w:spacing w:after="0"/>
              <w:rPr>
                <w:sz w:val="20"/>
                <w:szCs w:val="20"/>
                <w:color w:val="auto"/>
              </w:rPr>
            </w:pPr>
            <w:r>
              <w:rPr>
                <w:rFonts w:ascii="Arial" w:cs="Arial" w:eastAsia="Arial" w:hAnsi="Arial"/>
                <w:sz w:val="15"/>
                <w:szCs w:val="15"/>
                <w:u w:val="single" w:color="auto"/>
                <w:color w:val="auto"/>
                <w:w w:val="71"/>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3"/>
              </w:rPr>
              <w:t>30,910</w:t>
            </w:r>
          </w:p>
        </w:tc>
        <w:tc>
          <w:tcPr>
            <w:tcW w:w="520" w:type="dxa"/>
            <w:vAlign w:val="bottom"/>
            <w:gridSpan w:val="2"/>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7"/>
              </w:rPr>
              <w:t>30,172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980" w:type="dxa"/>
            <w:vAlign w:val="bottom"/>
          </w:tcPr>
          <w:p>
            <w:pPr>
              <w:spacing w:after="0" w:line="20" w:lineRule="exact"/>
              <w:rPr>
                <w:sz w:val="1"/>
                <w:szCs w:val="1"/>
                <w:color w:val="auto"/>
              </w:rPr>
            </w:pPr>
          </w:p>
        </w:tc>
        <w:tc>
          <w:tcPr>
            <w:tcW w:w="20" w:type="dxa"/>
            <w:vAlign w:val="bottom"/>
            <w:tcBorders>
              <w:top w:val="single" w:sz="8" w:color="auto"/>
            </w:tcBorders>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7"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Future payment of a regular quarterly cash dividend on the Company’s common shares will be subject to, among other things, the best interests of the Company, the Company’s results of operations, cash balances and future cash requirements, financial condition, statutory requirements under Bermuda law and other factors that the Company’s board of directors may deem relevant. The Company’s dividend payments may change from time to time, and the Company cannot provide assurance that it will continue to declare dividends at all or in any particular amounts. In addition, developments in ongoing litigation could affect the Company’s ability to make a dividend payment on a declared payment date until such time as the Company can meet statutory requirements under Bermuda law.</w:t>
      </w:r>
    </w:p>
    <w:p>
      <w:pPr>
        <w:spacing w:after="0" w:line="144"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On May 21, 2015, the Company announced that its board of directors declared a cash dividend of $0.06 per share to be paid on July 1, 2015 to shareholders of record as of June 11, 2015.</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12. Share-Based Compensation</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table presents details of share-based compensation expenses by functional line item (in thousands):</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60" w:type="dxa"/>
            <w:vAlign w:val="bottom"/>
          </w:tcPr>
          <w:p>
            <w:pPr>
              <w:spacing w:after="0"/>
              <w:rPr>
                <w:sz w:val="14"/>
                <w:szCs w:val="14"/>
                <w:color w:val="auto"/>
              </w:rPr>
            </w:pPr>
          </w:p>
        </w:tc>
        <w:tc>
          <w:tcPr>
            <w:tcW w:w="25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60" w:type="dxa"/>
            <w:vAlign w:val="bottom"/>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6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88"/>
              </w:rPr>
              <w:t>May 2,</w:t>
            </w:r>
          </w:p>
        </w:tc>
        <w:tc>
          <w:tcPr>
            <w:tcW w:w="4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r>
      <w:tr>
        <w:trPr>
          <w:trHeight w:val="161"/>
        </w:trPr>
        <w:tc>
          <w:tcPr>
            <w:tcW w:w="4460" w:type="dxa"/>
            <w:vAlign w:val="bottom"/>
            <w:tcBorders>
              <w:bottom w:val="single" w:sz="8" w:color="CCEEFF"/>
            </w:tcBorders>
          </w:tcPr>
          <w:p>
            <w:pPr>
              <w:spacing w:after="0"/>
              <w:rPr>
                <w:sz w:val="14"/>
                <w:szCs w:val="14"/>
                <w:color w:val="auto"/>
              </w:rPr>
            </w:pPr>
          </w:p>
        </w:tc>
        <w:tc>
          <w:tcPr>
            <w:tcW w:w="25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0"/>
              <w:spacing w:after="0"/>
              <w:rPr>
                <w:sz w:val="20"/>
                <w:szCs w:val="20"/>
                <w:color w:val="auto"/>
              </w:rPr>
            </w:pPr>
            <w:r>
              <w:rPr>
                <w:rFonts w:ascii="Arial" w:cs="Arial" w:eastAsia="Arial" w:hAnsi="Arial"/>
                <w:sz w:val="14"/>
                <w:szCs w:val="14"/>
                <w:b w:val="1"/>
                <w:bCs w:val="1"/>
                <w:color w:val="auto"/>
                <w:w w:val="96"/>
              </w:rPr>
              <w:t>2015</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r>
      <w:tr>
        <w:trPr>
          <w:trHeight w:val="210"/>
        </w:trPr>
        <w:tc>
          <w:tcPr>
            <w:tcW w:w="446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Cost of goods sold</w:t>
            </w:r>
          </w:p>
        </w:tc>
        <w:tc>
          <w:tcPr>
            <w:tcW w:w="25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w:t>
            </w:r>
          </w:p>
        </w:tc>
        <w:tc>
          <w:tcPr>
            <w:tcW w:w="100" w:type="dxa"/>
            <w:vAlign w:val="bottom"/>
            <w:shd w:val="clear" w:color="auto" w:fill="CCEEFF"/>
          </w:tcPr>
          <w:p>
            <w:pPr>
              <w:spacing w:after="0"/>
              <w:rPr>
                <w:sz w:val="18"/>
                <w:szCs w:val="18"/>
                <w:color w:val="auto"/>
              </w:rPr>
            </w:pPr>
          </w:p>
        </w:tc>
      </w:tr>
      <w:tr>
        <w:trPr>
          <w:trHeight w:val="216"/>
        </w:trPr>
        <w:tc>
          <w:tcPr>
            <w:tcW w:w="446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24,781</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20,368</w:t>
            </w:r>
          </w:p>
        </w:tc>
        <w:tc>
          <w:tcPr>
            <w:tcW w:w="100" w:type="dxa"/>
            <w:vAlign w:val="bottom"/>
          </w:tcPr>
          <w:p>
            <w:pPr>
              <w:spacing w:after="0"/>
              <w:rPr>
                <w:sz w:val="18"/>
                <w:szCs w:val="18"/>
                <w:color w:val="auto"/>
              </w:rPr>
            </w:pPr>
          </w:p>
        </w:tc>
      </w:tr>
      <w:tr>
        <w:trPr>
          <w:trHeight w:val="216"/>
        </w:trPr>
        <w:tc>
          <w:tcPr>
            <w:tcW w:w="446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2,928</w:t>
            </w:r>
          </w:p>
        </w:tc>
        <w:tc>
          <w:tcPr>
            <w:tcW w:w="100" w:type="dxa"/>
            <w:vAlign w:val="bottom"/>
            <w:shd w:val="clear" w:color="auto" w:fill="CCEEFF"/>
          </w:tcPr>
          <w:p>
            <w:pPr>
              <w:spacing w:after="0"/>
              <w:rPr>
                <w:sz w:val="18"/>
                <w:szCs w:val="18"/>
                <w:color w:val="auto"/>
              </w:rPr>
            </w:pPr>
          </w:p>
        </w:tc>
      </w:tr>
      <w:tr>
        <w:trPr>
          <w:trHeight w:val="223"/>
        </w:trPr>
        <w:tc>
          <w:tcPr>
            <w:tcW w:w="446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6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4,316</w:t>
            </w:r>
          </w:p>
        </w:tc>
        <w:tc>
          <w:tcPr>
            <w:tcW w:w="4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4,374</w:t>
            </w:r>
          </w:p>
        </w:tc>
        <w:tc>
          <w:tcPr>
            <w:tcW w:w="100" w:type="dxa"/>
            <w:vAlign w:val="bottom"/>
          </w:tcPr>
          <w:p>
            <w:pPr>
              <w:spacing w:after="0"/>
              <w:rPr>
                <w:sz w:val="19"/>
                <w:szCs w:val="19"/>
                <w:color w:val="auto"/>
              </w:rPr>
            </w:pPr>
          </w:p>
        </w:tc>
      </w:tr>
      <w:tr>
        <w:trPr>
          <w:trHeight w:val="216"/>
        </w:trPr>
        <w:tc>
          <w:tcPr>
            <w:tcW w:w="4460" w:type="dxa"/>
            <w:vAlign w:val="bottom"/>
            <w:shd w:val="clear" w:color="auto" w:fill="CCEEFF"/>
          </w:tcPr>
          <w:p>
            <w:pPr>
              <w:spacing w:after="0"/>
              <w:rPr>
                <w:sz w:val="18"/>
                <w:szCs w:val="18"/>
                <w:color w:val="auto"/>
              </w:rPr>
            </w:pPr>
          </w:p>
        </w:tc>
        <w:tc>
          <w:tcPr>
            <w:tcW w:w="266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33,221</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29,969</w:t>
            </w:r>
          </w:p>
        </w:tc>
        <w:tc>
          <w:tcPr>
            <w:tcW w:w="100" w:type="dxa"/>
            <w:vAlign w:val="bottom"/>
            <w:shd w:val="clear" w:color="auto" w:fill="CCEEFF"/>
          </w:tcPr>
          <w:p>
            <w:pPr>
              <w:spacing w:after="0"/>
              <w:rPr>
                <w:sz w:val="18"/>
                <w:szCs w:val="18"/>
                <w:color w:val="auto"/>
              </w:rPr>
            </w:pPr>
          </w:p>
        </w:tc>
      </w:tr>
      <w:tr>
        <w:trPr>
          <w:trHeight w:val="20"/>
        </w:trPr>
        <w:tc>
          <w:tcPr>
            <w:tcW w:w="4460" w:type="dxa"/>
            <w:vAlign w:val="bottom"/>
          </w:tcPr>
          <w:p>
            <w:pPr>
              <w:spacing w:after="0" w:line="20" w:lineRule="exact"/>
              <w:rPr>
                <w:sz w:val="1"/>
                <w:szCs w:val="1"/>
                <w:color w:val="auto"/>
              </w:rPr>
            </w:pPr>
          </w:p>
        </w:tc>
        <w:tc>
          <w:tcPr>
            <w:tcW w:w="25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Share-based compensation capitalized in inventory was $1.9 million at May 2, 2015 and $1.5 million at January 31, 2015.</w:t>
      </w:r>
    </w:p>
    <w:p>
      <w:pPr>
        <w:spacing w:after="0" w:line="158"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400"/>
          </w:cols>
          <w:pgMar w:left="240" w:top="459" w:right="25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 – (Continued)</w:t>
      </w:r>
    </w:p>
    <w:p>
      <w:pPr>
        <w:spacing w:after="0" w:line="15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Valuation Assumptions</w:t>
      </w:r>
    </w:p>
    <w:p>
      <w:pPr>
        <w:spacing w:after="0" w:line="90" w:lineRule="exact"/>
        <w:rPr>
          <w:sz w:val="20"/>
          <w:szCs w:val="20"/>
          <w:color w:val="auto"/>
        </w:rPr>
      </w:pPr>
    </w:p>
    <w:p>
      <w:pPr>
        <w:ind w:right="100" w:firstLine="456"/>
        <w:spacing w:after="0" w:line="332" w:lineRule="auto"/>
        <w:rPr>
          <w:sz w:val="20"/>
          <w:szCs w:val="20"/>
          <w:color w:val="auto"/>
        </w:rPr>
      </w:pPr>
      <w:r>
        <w:rPr>
          <w:rFonts w:ascii="Arial" w:cs="Arial" w:eastAsia="Arial" w:hAnsi="Arial"/>
          <w:sz w:val="16"/>
          <w:szCs w:val="16"/>
          <w:color w:val="auto"/>
        </w:rPr>
        <w:t>The following weighted average assumptions were used for each respective period to calculate the fair value of each time-based stock option award on the date of grant using the Black-Scholes valuation model and of each market-based equity award using a Monte Carlo simulation model:</w:t>
      </w:r>
    </w:p>
    <w:p>
      <w:pPr>
        <w:spacing w:after="0" w:line="121"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0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1920" w:type="dxa"/>
            <w:vAlign w:val="bottom"/>
            <w:gridSpan w:val="5"/>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00" w:type="dxa"/>
            <w:vAlign w:val="bottom"/>
          </w:tcPr>
          <w:p>
            <w:pPr>
              <w:spacing w:after="0"/>
              <w:rPr>
                <w:sz w:val="11"/>
                <w:szCs w:val="11"/>
                <w:color w:val="auto"/>
              </w:rPr>
            </w:pPr>
          </w:p>
        </w:tc>
        <w:tc>
          <w:tcPr>
            <w:tcW w:w="2360" w:type="dxa"/>
            <w:vAlign w:val="bottom"/>
          </w:tcPr>
          <w:p>
            <w:pPr>
              <w:spacing w:after="0"/>
              <w:rPr>
                <w:sz w:val="11"/>
                <w:szCs w:val="11"/>
                <w:color w:val="auto"/>
              </w:rPr>
            </w:pPr>
          </w:p>
        </w:tc>
        <w:tc>
          <w:tcPr>
            <w:tcW w:w="900" w:type="dxa"/>
            <w:vAlign w:val="bottom"/>
            <w:tcBorders>
              <w:top w:val="single" w:sz="8" w:color="auto"/>
            </w:tcBorders>
            <w:gridSpan w:val="2"/>
          </w:tcPr>
          <w:p>
            <w:pPr>
              <w:jc w:val="right"/>
              <w:ind w:right="480"/>
              <w:spacing w:after="0" w:line="129" w:lineRule="exact"/>
              <w:rPr>
                <w:sz w:val="20"/>
                <w:szCs w:val="20"/>
                <w:color w:val="auto"/>
              </w:rPr>
            </w:pPr>
            <w:r>
              <w:rPr>
                <w:rFonts w:ascii="Arial" w:cs="Arial" w:eastAsia="Arial" w:hAnsi="Arial"/>
                <w:sz w:val="14"/>
                <w:szCs w:val="14"/>
                <w:b w:val="1"/>
                <w:bCs w:val="1"/>
                <w:color w:val="auto"/>
                <w:w w:val="93"/>
              </w:rPr>
              <w:t>May 2,</w:t>
            </w:r>
          </w:p>
        </w:tc>
        <w:tc>
          <w:tcPr>
            <w:tcW w:w="32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May 3,</w:t>
            </w:r>
          </w:p>
        </w:tc>
        <w:tc>
          <w:tcPr>
            <w:tcW w:w="200" w:type="dxa"/>
            <w:vAlign w:val="bottom"/>
          </w:tcPr>
          <w:p>
            <w:pPr>
              <w:spacing w:after="0"/>
              <w:rPr>
                <w:sz w:val="11"/>
                <w:szCs w:val="11"/>
                <w:color w:val="auto"/>
              </w:rPr>
            </w:pPr>
          </w:p>
        </w:tc>
      </w:tr>
      <w:tr>
        <w:trPr>
          <w:trHeight w:val="161"/>
        </w:trPr>
        <w:tc>
          <w:tcPr>
            <w:tcW w:w="4400" w:type="dxa"/>
            <w:vAlign w:val="bottom"/>
          </w:tcPr>
          <w:p>
            <w:pPr>
              <w:spacing w:after="0"/>
              <w:rPr>
                <w:sz w:val="14"/>
                <w:szCs w:val="14"/>
                <w:color w:val="auto"/>
              </w:rPr>
            </w:pPr>
          </w:p>
        </w:tc>
        <w:tc>
          <w:tcPr>
            <w:tcW w:w="2820" w:type="dxa"/>
            <w:vAlign w:val="bottom"/>
            <w:gridSpan w:val="2"/>
          </w:tcPr>
          <w:p>
            <w:pPr>
              <w:jc w:val="right"/>
              <w:ind w:right="32"/>
              <w:spacing w:after="0"/>
              <w:rPr>
                <w:sz w:val="20"/>
                <w:szCs w:val="20"/>
                <w:color w:val="auto"/>
              </w:rPr>
            </w:pPr>
            <w:r>
              <w:rPr>
                <w:rFonts w:ascii="Arial" w:cs="Arial" w:eastAsia="Arial" w:hAnsi="Arial"/>
                <w:sz w:val="14"/>
                <w:szCs w:val="14"/>
                <w:b w:val="1"/>
                <w:bCs w:val="1"/>
                <w:color w:val="auto"/>
              </w:rPr>
              <w:t>2015</w:t>
            </w:r>
          </w:p>
        </w:tc>
        <w:tc>
          <w:tcPr>
            <w:tcW w:w="440" w:type="dxa"/>
            <w:vAlign w:val="bottom"/>
          </w:tcPr>
          <w:p>
            <w:pPr>
              <w:spacing w:after="0"/>
              <w:rPr>
                <w:sz w:val="14"/>
                <w:szCs w:val="14"/>
                <w:color w:val="auto"/>
              </w:rPr>
            </w:pPr>
          </w:p>
        </w:tc>
        <w:tc>
          <w:tcPr>
            <w:tcW w:w="820" w:type="dxa"/>
            <w:vAlign w:val="bottom"/>
            <w:gridSpan w:val="2"/>
          </w:tcPr>
          <w:p>
            <w:pPr>
              <w:jc w:val="right"/>
              <w:ind w:right="52"/>
              <w:spacing w:after="0"/>
              <w:rPr>
                <w:sz w:val="20"/>
                <w:szCs w:val="20"/>
                <w:color w:val="auto"/>
              </w:rPr>
            </w:pPr>
            <w:r>
              <w:rPr>
                <w:rFonts w:ascii="Arial" w:cs="Arial" w:eastAsia="Arial" w:hAnsi="Arial"/>
                <w:sz w:val="14"/>
                <w:szCs w:val="14"/>
                <w:b w:val="1"/>
                <w:bCs w:val="1"/>
                <w:color w:val="auto"/>
              </w:rPr>
              <w:t>2014</w:t>
            </w:r>
          </w:p>
        </w:tc>
        <w:tc>
          <w:tcPr>
            <w:tcW w:w="200" w:type="dxa"/>
            <w:vAlign w:val="bottom"/>
          </w:tcPr>
          <w:p>
            <w:pPr>
              <w:spacing w:after="0"/>
              <w:rPr>
                <w:sz w:val="14"/>
                <w:szCs w:val="14"/>
                <w:color w:val="auto"/>
              </w:rPr>
            </w:pPr>
          </w:p>
        </w:tc>
      </w:tr>
      <w:tr>
        <w:trPr>
          <w:trHeight w:val="196"/>
        </w:trPr>
        <w:tc>
          <w:tcPr>
            <w:tcW w:w="440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Time-based Stock Options:</w:t>
            </w:r>
          </w:p>
        </w:tc>
        <w:tc>
          <w:tcPr>
            <w:tcW w:w="236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auto"/>
            </w:tcBorders>
            <w:shd w:val="clear" w:color="auto" w:fill="CCEEFF"/>
          </w:tcPr>
          <w:p>
            <w:pPr>
              <w:spacing w:after="0"/>
              <w:rPr>
                <w:sz w:val="17"/>
                <w:szCs w:val="17"/>
                <w:color w:val="auto"/>
              </w:rPr>
            </w:pPr>
          </w:p>
        </w:tc>
        <w:tc>
          <w:tcPr>
            <w:tcW w:w="440" w:type="dxa"/>
            <w:vAlign w:val="bottom"/>
            <w:tcBorders>
              <w:top w:val="single" w:sz="8" w:color="CCEEFF"/>
            </w:tcBorders>
            <w:shd w:val="clear" w:color="auto" w:fill="CCEEFF"/>
          </w:tcPr>
          <w:p>
            <w:pPr>
              <w:spacing w:after="0"/>
              <w:rPr>
                <w:sz w:val="17"/>
                <w:szCs w:val="17"/>
                <w:color w:val="auto"/>
              </w:rPr>
            </w:pPr>
          </w:p>
        </w:tc>
        <w:tc>
          <w:tcPr>
            <w:tcW w:w="320" w:type="dxa"/>
            <w:vAlign w:val="bottom"/>
            <w:tcBorders>
              <w:top w:val="single" w:sz="8" w:color="CCEEFF"/>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Weighted average fair value</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$ 4.54</w:t>
            </w:r>
          </w:p>
        </w:tc>
        <w:tc>
          <w:tcPr>
            <w:tcW w:w="44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$ 4.64</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32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34%</w:t>
            </w:r>
          </w:p>
        </w:tc>
        <w:tc>
          <w:tcPr>
            <w:tcW w:w="10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36%</w:t>
            </w:r>
          </w:p>
        </w:tc>
      </w:tr>
      <w:tr>
        <w:trPr>
          <w:trHeight w:val="216"/>
        </w:trPr>
        <w:tc>
          <w:tcPr>
            <w:tcW w:w="440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820" w:type="dxa"/>
            <w:vAlign w:val="bottom"/>
            <w:gridSpan w:val="2"/>
          </w:tcPr>
          <w:p>
            <w:pPr>
              <w:jc w:val="right"/>
              <w:spacing w:after="0"/>
              <w:rPr>
                <w:sz w:val="20"/>
                <w:szCs w:val="20"/>
                <w:color w:val="auto"/>
              </w:rPr>
            </w:pPr>
            <w:r>
              <w:rPr>
                <w:rFonts w:ascii="Arial" w:cs="Arial" w:eastAsia="Arial" w:hAnsi="Arial"/>
                <w:sz w:val="18"/>
                <w:szCs w:val="18"/>
                <w:color w:val="auto"/>
              </w:rPr>
              <w:t>5.4</w:t>
            </w:r>
          </w:p>
        </w:tc>
        <w:tc>
          <w:tcPr>
            <w:tcW w:w="44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5.0</w:t>
            </w:r>
          </w:p>
        </w:tc>
        <w:tc>
          <w:tcPr>
            <w:tcW w:w="200" w:type="dxa"/>
            <w:vAlign w:val="bottom"/>
          </w:tcPr>
          <w:p>
            <w:pPr>
              <w:spacing w:after="0"/>
              <w:rPr>
                <w:sz w:val="18"/>
                <w:szCs w:val="18"/>
                <w:color w:val="auto"/>
              </w:rPr>
            </w:pPr>
          </w:p>
        </w:tc>
      </w:tr>
      <w:tr>
        <w:trPr>
          <w:trHeight w:val="216"/>
        </w:trPr>
        <w:tc>
          <w:tcPr>
            <w:tcW w:w="440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3260" w:type="dxa"/>
            <w:vAlign w:val="bottom"/>
            <w:gridSpan w:val="3"/>
            <w:shd w:val="clear" w:color="auto" w:fill="CCEEFF"/>
          </w:tcPr>
          <w:p>
            <w:pPr>
              <w:jc w:val="right"/>
              <w:ind w:right="300"/>
              <w:spacing w:after="0"/>
              <w:rPr>
                <w:sz w:val="20"/>
                <w:szCs w:val="20"/>
                <w:color w:val="auto"/>
              </w:rPr>
            </w:pPr>
            <w:r>
              <w:rPr>
                <w:rFonts w:ascii="Arial" w:cs="Arial" w:eastAsia="Arial" w:hAnsi="Arial"/>
                <w:sz w:val="18"/>
                <w:szCs w:val="18"/>
                <w:color w:val="auto"/>
              </w:rPr>
              <w:t>1.5%</w:t>
            </w:r>
          </w:p>
        </w:tc>
        <w:tc>
          <w:tcPr>
            <w:tcW w:w="102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1.6%</w:t>
            </w:r>
          </w:p>
        </w:tc>
      </w:tr>
      <w:tr>
        <w:trPr>
          <w:trHeight w:val="222"/>
        </w:trPr>
        <w:tc>
          <w:tcPr>
            <w:tcW w:w="440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3260" w:type="dxa"/>
            <w:vAlign w:val="bottom"/>
            <w:gridSpan w:val="3"/>
          </w:tcPr>
          <w:p>
            <w:pPr>
              <w:jc w:val="right"/>
              <w:ind w:right="300"/>
              <w:spacing w:after="0"/>
              <w:rPr>
                <w:sz w:val="20"/>
                <w:szCs w:val="20"/>
                <w:color w:val="auto"/>
              </w:rPr>
            </w:pPr>
            <w:r>
              <w:rPr>
                <w:rFonts w:ascii="Arial" w:cs="Arial" w:eastAsia="Arial" w:hAnsi="Arial"/>
                <w:sz w:val="18"/>
                <w:szCs w:val="18"/>
                <w:color w:val="auto"/>
              </w:rPr>
              <w:t>1.6%</w:t>
            </w:r>
          </w:p>
        </w:tc>
        <w:tc>
          <w:tcPr>
            <w:tcW w:w="1020" w:type="dxa"/>
            <w:vAlign w:val="bottom"/>
            <w:gridSpan w:val="3"/>
          </w:tcPr>
          <w:p>
            <w:pPr>
              <w:jc w:val="right"/>
              <w:ind w:right="60"/>
              <w:spacing w:after="0"/>
              <w:rPr>
                <w:sz w:val="20"/>
                <w:szCs w:val="20"/>
                <w:color w:val="auto"/>
              </w:rPr>
            </w:pPr>
            <w:r>
              <w:rPr>
                <w:rFonts w:ascii="Arial" w:cs="Arial" w:eastAsia="Arial" w:hAnsi="Arial"/>
                <w:sz w:val="18"/>
                <w:szCs w:val="18"/>
                <w:color w:val="auto"/>
              </w:rPr>
              <w:t>1.6%</w:t>
            </w:r>
          </w:p>
        </w:tc>
      </w:tr>
    </w:tbl>
    <w:p>
      <w:pPr>
        <w:spacing w:after="0" w:line="183"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4920" w:type="dxa"/>
            <w:vAlign w:val="bottom"/>
          </w:tcPr>
          <w:p>
            <w:pPr>
              <w:spacing w:after="0"/>
              <w:rPr>
                <w:sz w:val="14"/>
                <w:szCs w:val="14"/>
                <w:color w:val="auto"/>
              </w:rPr>
            </w:pPr>
          </w:p>
        </w:tc>
        <w:tc>
          <w:tcPr>
            <w:tcW w:w="2840" w:type="dxa"/>
            <w:vAlign w:val="bottom"/>
            <w:gridSpan w:val="3"/>
          </w:tcPr>
          <w:p>
            <w:pPr>
              <w:jc w:val="center"/>
              <w:ind w:left="1098"/>
              <w:spacing w:after="0"/>
              <w:rPr>
                <w:sz w:val="20"/>
                <w:szCs w:val="20"/>
                <w:color w:val="auto"/>
              </w:rPr>
            </w:pPr>
            <w:r>
              <w:rPr>
                <w:rFonts w:ascii="Arial" w:cs="Arial" w:eastAsia="Arial" w:hAnsi="Arial"/>
                <w:sz w:val="14"/>
                <w:szCs w:val="14"/>
                <w:b w:val="1"/>
                <w:bCs w:val="1"/>
                <w:color w:val="auto"/>
                <w:w w:val="88"/>
              </w:rPr>
              <w:t>Three Months Ended</w:t>
            </w:r>
          </w:p>
        </w:tc>
      </w:tr>
      <w:tr>
        <w:trPr>
          <w:trHeight w:val="129"/>
        </w:trPr>
        <w:tc>
          <w:tcPr>
            <w:tcW w:w="492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1240" w:type="dxa"/>
            <w:vAlign w:val="bottom"/>
            <w:tcBorders>
              <w:top w:val="single" w:sz="8" w:color="auto"/>
            </w:tcBorders>
          </w:tcPr>
          <w:p>
            <w:pPr>
              <w:jc w:val="center"/>
              <w:spacing w:after="0" w:line="129" w:lineRule="exact"/>
              <w:rPr>
                <w:sz w:val="20"/>
                <w:szCs w:val="20"/>
                <w:color w:val="auto"/>
              </w:rPr>
            </w:pPr>
            <w:r>
              <w:rPr>
                <w:rFonts w:ascii="Arial" w:cs="Arial" w:eastAsia="Arial" w:hAnsi="Arial"/>
                <w:sz w:val="14"/>
                <w:szCs w:val="14"/>
                <w:b w:val="1"/>
                <w:bCs w:val="1"/>
                <w:color w:val="auto"/>
                <w:w w:val="93"/>
              </w:rPr>
              <w:t>May 2,</w:t>
            </w:r>
          </w:p>
        </w:tc>
        <w:tc>
          <w:tcPr>
            <w:tcW w:w="200" w:type="dxa"/>
            <w:vAlign w:val="bottom"/>
          </w:tcPr>
          <w:p>
            <w:pPr>
              <w:spacing w:after="0"/>
              <w:rPr>
                <w:sz w:val="11"/>
                <w:szCs w:val="11"/>
                <w:color w:val="auto"/>
              </w:rPr>
            </w:pPr>
          </w:p>
        </w:tc>
      </w:tr>
      <w:tr>
        <w:trPr>
          <w:trHeight w:val="161"/>
        </w:trPr>
        <w:tc>
          <w:tcPr>
            <w:tcW w:w="4920" w:type="dxa"/>
            <w:vAlign w:val="bottom"/>
          </w:tcPr>
          <w:p>
            <w:pPr>
              <w:spacing w:after="0"/>
              <w:rPr>
                <w:sz w:val="14"/>
                <w:szCs w:val="14"/>
                <w:color w:val="auto"/>
              </w:rPr>
            </w:pPr>
          </w:p>
        </w:tc>
        <w:tc>
          <w:tcPr>
            <w:tcW w:w="2640" w:type="dxa"/>
            <w:vAlign w:val="bottom"/>
            <w:gridSpan w:val="2"/>
          </w:tcPr>
          <w:p>
            <w:pPr>
              <w:jc w:val="center"/>
              <w:ind w:left="1298"/>
              <w:spacing w:after="0"/>
              <w:rPr>
                <w:sz w:val="20"/>
                <w:szCs w:val="20"/>
                <w:color w:val="auto"/>
              </w:rPr>
            </w:pPr>
            <w:r>
              <w:rPr>
                <w:rFonts w:ascii="Arial" w:cs="Arial" w:eastAsia="Arial" w:hAnsi="Arial"/>
                <w:sz w:val="14"/>
                <w:szCs w:val="14"/>
                <w:b w:val="1"/>
                <w:bCs w:val="1"/>
                <w:color w:val="auto"/>
                <w:w w:val="83"/>
              </w:rPr>
              <w:t>2015</w:t>
            </w:r>
          </w:p>
        </w:tc>
        <w:tc>
          <w:tcPr>
            <w:tcW w:w="200" w:type="dxa"/>
            <w:vAlign w:val="bottom"/>
          </w:tcPr>
          <w:p>
            <w:pPr>
              <w:spacing w:after="0"/>
              <w:rPr>
                <w:sz w:val="14"/>
                <w:szCs w:val="14"/>
                <w:color w:val="auto"/>
              </w:rPr>
            </w:pPr>
          </w:p>
        </w:tc>
      </w:tr>
      <w:tr>
        <w:trPr>
          <w:trHeight w:val="196"/>
        </w:trPr>
        <w:tc>
          <w:tcPr>
            <w:tcW w:w="4920" w:type="dxa"/>
            <w:vAlign w:val="bottom"/>
            <w:tcBorders>
              <w:top w:val="single" w:sz="8" w:color="CCEEFF"/>
            </w:tcBorders>
            <w:shd w:val="clear" w:color="auto" w:fill="CCEEFF"/>
          </w:tcPr>
          <w:p>
            <w:pPr>
              <w:spacing w:after="0" w:line="196" w:lineRule="exact"/>
              <w:rPr>
                <w:sz w:val="20"/>
                <w:szCs w:val="20"/>
                <w:color w:val="auto"/>
              </w:rPr>
            </w:pPr>
            <w:r>
              <w:rPr>
                <w:rFonts w:ascii="Arial" w:cs="Arial" w:eastAsia="Arial" w:hAnsi="Arial"/>
                <w:sz w:val="18"/>
                <w:szCs w:val="18"/>
                <w:b w:val="1"/>
                <w:bCs w:val="1"/>
                <w:color w:val="auto"/>
              </w:rPr>
              <w:t>Total Shareholder Return Awards:</w:t>
            </w:r>
          </w:p>
        </w:tc>
        <w:tc>
          <w:tcPr>
            <w:tcW w:w="1400" w:type="dxa"/>
            <w:vAlign w:val="bottom"/>
            <w:tcBorders>
              <w:top w:val="single" w:sz="8" w:color="CCEEFF"/>
            </w:tcBorders>
            <w:shd w:val="clear" w:color="auto" w:fill="CCEEFF"/>
          </w:tcPr>
          <w:p>
            <w:pPr>
              <w:spacing w:after="0"/>
              <w:rPr>
                <w:sz w:val="17"/>
                <w:szCs w:val="17"/>
                <w:color w:val="auto"/>
              </w:rPr>
            </w:pPr>
          </w:p>
        </w:tc>
        <w:tc>
          <w:tcPr>
            <w:tcW w:w="124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Expected term (in years)</w:t>
            </w:r>
          </w:p>
        </w:tc>
        <w:tc>
          <w:tcPr>
            <w:tcW w:w="2640" w:type="dxa"/>
            <w:vAlign w:val="bottom"/>
            <w:gridSpan w:val="2"/>
          </w:tcPr>
          <w:p>
            <w:pPr>
              <w:jc w:val="right"/>
              <w:spacing w:after="0"/>
              <w:rPr>
                <w:sz w:val="20"/>
                <w:szCs w:val="20"/>
                <w:color w:val="auto"/>
              </w:rPr>
            </w:pPr>
            <w:r>
              <w:rPr>
                <w:rFonts w:ascii="Arial" w:cs="Arial" w:eastAsia="Arial" w:hAnsi="Arial"/>
                <w:sz w:val="18"/>
                <w:szCs w:val="18"/>
                <w:color w:val="auto"/>
              </w:rPr>
              <w:t>2.0</w:t>
            </w:r>
          </w:p>
        </w:tc>
        <w:tc>
          <w:tcPr>
            <w:tcW w:w="200" w:type="dxa"/>
            <w:vAlign w:val="bottom"/>
          </w:tcPr>
          <w:p>
            <w:pPr>
              <w:spacing w:after="0"/>
              <w:rPr>
                <w:sz w:val="18"/>
                <w:szCs w:val="18"/>
                <w:color w:val="auto"/>
              </w:rPr>
            </w:pP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Expected volatility</w:t>
            </w:r>
          </w:p>
        </w:tc>
        <w:tc>
          <w:tcPr>
            <w:tcW w:w="28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27%</w:t>
            </w:r>
          </w:p>
        </w:tc>
      </w:tr>
      <w:tr>
        <w:trPr>
          <w:trHeight w:val="216"/>
        </w:trPr>
        <w:tc>
          <w:tcPr>
            <w:tcW w:w="4920" w:type="dxa"/>
            <w:vAlign w:val="bottom"/>
          </w:tcPr>
          <w:p>
            <w:pPr>
              <w:spacing w:after="0"/>
              <w:rPr>
                <w:sz w:val="20"/>
                <w:szCs w:val="20"/>
                <w:color w:val="auto"/>
              </w:rPr>
            </w:pPr>
            <w:r>
              <w:rPr>
                <w:rFonts w:ascii="Arial" w:cs="Arial" w:eastAsia="Arial" w:hAnsi="Arial"/>
                <w:sz w:val="18"/>
                <w:szCs w:val="18"/>
                <w:color w:val="auto"/>
              </w:rPr>
              <w:t>Average correlation coefficient of peer companies</w:t>
            </w:r>
          </w:p>
        </w:tc>
        <w:tc>
          <w:tcPr>
            <w:tcW w:w="2840" w:type="dxa"/>
            <w:vAlign w:val="bottom"/>
            <w:gridSpan w:val="3"/>
          </w:tcPr>
          <w:p>
            <w:pPr>
              <w:jc w:val="right"/>
              <w:ind w:right="60"/>
              <w:spacing w:after="0"/>
              <w:rPr>
                <w:sz w:val="20"/>
                <w:szCs w:val="20"/>
                <w:color w:val="auto"/>
              </w:rPr>
            </w:pPr>
            <w:r>
              <w:rPr>
                <w:rFonts w:ascii="Arial" w:cs="Arial" w:eastAsia="Arial" w:hAnsi="Arial"/>
                <w:sz w:val="18"/>
                <w:szCs w:val="18"/>
                <w:color w:val="auto"/>
              </w:rPr>
              <w:t>0.4%</w:t>
            </w:r>
          </w:p>
        </w:tc>
      </w:tr>
      <w:tr>
        <w:trPr>
          <w:trHeight w:val="216"/>
        </w:trPr>
        <w:tc>
          <w:tcPr>
            <w:tcW w:w="4920" w:type="dxa"/>
            <w:vAlign w:val="bottom"/>
            <w:shd w:val="clear" w:color="auto" w:fill="CCEEFF"/>
          </w:tcPr>
          <w:p>
            <w:pPr>
              <w:spacing w:after="0"/>
              <w:rPr>
                <w:sz w:val="20"/>
                <w:szCs w:val="20"/>
                <w:color w:val="auto"/>
              </w:rPr>
            </w:pPr>
            <w:r>
              <w:rPr>
                <w:rFonts w:ascii="Arial" w:cs="Arial" w:eastAsia="Arial" w:hAnsi="Arial"/>
                <w:sz w:val="18"/>
                <w:szCs w:val="18"/>
                <w:color w:val="auto"/>
              </w:rPr>
              <w:t>Risk-free interest rate</w:t>
            </w:r>
          </w:p>
        </w:tc>
        <w:tc>
          <w:tcPr>
            <w:tcW w:w="2840" w:type="dxa"/>
            <w:vAlign w:val="bottom"/>
            <w:gridSpan w:val="3"/>
            <w:shd w:val="clear" w:color="auto" w:fill="CCEEFF"/>
          </w:tcPr>
          <w:p>
            <w:pPr>
              <w:jc w:val="right"/>
              <w:ind w:right="60"/>
              <w:spacing w:after="0"/>
              <w:rPr>
                <w:sz w:val="20"/>
                <w:szCs w:val="20"/>
                <w:color w:val="auto"/>
              </w:rPr>
            </w:pPr>
            <w:r>
              <w:rPr>
                <w:rFonts w:ascii="Arial" w:cs="Arial" w:eastAsia="Arial" w:hAnsi="Arial"/>
                <w:sz w:val="18"/>
                <w:szCs w:val="18"/>
                <w:color w:val="auto"/>
              </w:rPr>
              <w:t>0.5%</w:t>
            </w:r>
          </w:p>
        </w:tc>
      </w:tr>
      <w:tr>
        <w:trPr>
          <w:trHeight w:val="222"/>
        </w:trPr>
        <w:tc>
          <w:tcPr>
            <w:tcW w:w="4920" w:type="dxa"/>
            <w:vAlign w:val="bottom"/>
          </w:tcPr>
          <w:p>
            <w:pPr>
              <w:spacing w:after="0"/>
              <w:rPr>
                <w:sz w:val="20"/>
                <w:szCs w:val="20"/>
                <w:color w:val="auto"/>
              </w:rPr>
            </w:pPr>
            <w:r>
              <w:rPr>
                <w:rFonts w:ascii="Arial" w:cs="Arial" w:eastAsia="Arial" w:hAnsi="Arial"/>
                <w:sz w:val="18"/>
                <w:szCs w:val="18"/>
                <w:color w:val="auto"/>
              </w:rPr>
              <w:t>Expected dividend yield</w:t>
            </w:r>
          </w:p>
        </w:tc>
        <w:tc>
          <w:tcPr>
            <w:tcW w:w="2840" w:type="dxa"/>
            <w:vAlign w:val="bottom"/>
            <w:gridSpan w:val="3"/>
          </w:tcPr>
          <w:p>
            <w:pPr>
              <w:jc w:val="right"/>
              <w:ind w:right="60"/>
              <w:spacing w:after="0"/>
              <w:rPr>
                <w:sz w:val="20"/>
                <w:szCs w:val="20"/>
                <w:color w:val="auto"/>
              </w:rPr>
            </w:pPr>
            <w:r>
              <w:rPr>
                <w:rFonts w:ascii="Arial" w:cs="Arial" w:eastAsia="Arial" w:hAnsi="Arial"/>
                <w:sz w:val="18"/>
                <w:szCs w:val="18"/>
                <w:color w:val="auto"/>
              </w:rPr>
              <w:t>1.7%</w:t>
            </w:r>
          </w:p>
        </w:tc>
      </w:tr>
    </w:tbl>
    <w:p>
      <w:pPr>
        <w:spacing w:after="0" w:line="147" w:lineRule="exact"/>
        <w:rPr>
          <w:sz w:val="20"/>
          <w:szCs w:val="20"/>
          <w:color w:val="auto"/>
        </w:rPr>
      </w:pPr>
    </w:p>
    <w:p>
      <w:pPr>
        <w:ind w:left="460"/>
        <w:spacing w:after="0"/>
        <w:rPr>
          <w:sz w:val="20"/>
          <w:szCs w:val="20"/>
          <w:color w:val="auto"/>
        </w:rPr>
      </w:pPr>
      <w:r>
        <w:rPr>
          <w:rFonts w:ascii="Arial" w:cs="Arial" w:eastAsia="Arial" w:hAnsi="Arial"/>
          <w:sz w:val="18"/>
          <w:szCs w:val="18"/>
          <w:color w:val="auto"/>
        </w:rPr>
        <w:t>Under the ESPP, there were no stock purchase rights granted in the three months ended May 2, 2015 and May 3, 2014.</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13. Related Party Transaction</w:t>
      </w:r>
    </w:p>
    <w:p>
      <w:pPr>
        <w:spacing w:after="0" w:line="96"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On February 25, 2015, the Executive Compensation Committee (“Committee”) of the Company’s Board of Directors approved a cash payment of approximately $15.4 million to Dr. Sehat Sutardja, the Company’s Chief Executive Officer which was recorded in general and administrative expense in the three months ended May 2, 2015. The U.S. Court of Federal Claims ruled against Dr. Sutardja in his legal challenge with the Internal Revenue Service and the California Franchise Tax Board related to the tax treatment of several stock options granted in fiscal 2004. After discussing and evaluating the alternatives to a continuing legal challenge of the court’s determination, the likelihood of success of further appeal by Dr. Sutardja and the potential negative impact on the Company of a continuation of the case regardless of the outcome, on February 25, 2015, the Committee determined to provide Dr. Sutardja with relief from the financial effects of the penalty taxes. Accordingly, the Committee approved the cash payment to Dr. Sutardja equal to the amount of his penalty taxes owed under the Tax Codes, plus accrued interest owed with respect to such liabilities, all grossed-up for income taxes that will be owed by Dr. Sutardja on receipt of such cash payment. The Company paid $8.4 million to Dr. Sutardja in the three months ended May 2, 2015 representing reimbursement for the U.S. federal tax portion. As of May 2, 2015, the Company had a remaining $7.0 million liability to Dr. Sutardja.</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420"/>
          </w:cols>
          <w:pgMar w:left="240" w:top="459" w:right="23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“will” and similar expressions identify such forward-looking statements. Examples of forward-looking statements include statements regarding:</w:t>
      </w:r>
    </w:p>
    <w:p>
      <w:pPr>
        <w:spacing w:after="0" w:line="35" w:lineRule="exact"/>
        <w:rPr>
          <w:sz w:val="20"/>
          <w:szCs w:val="20"/>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revenue outlook for the second quarter of 2016 and for our products by end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anticipation that the rate of new orders and shipments will vary significantly from quarter to quarter;</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market acceptance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about industry trends;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growth of our customer’s products, including the timing of any launches;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pricing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customer concentration;</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net revenue, cost of goods sold as a percentage of revenue and operating expenses for future periods;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legal proceedings and claims, including on the protection of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meet our capital needs for at least the next 12 months;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 that a significant percentage of our sales will continue to come from direct sales to key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future growth opportunities;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areas of revenue and operating income growth;</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effectiveness of our hedges of foreign currency exposures;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plans regarding our investment portfolio;</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that quarterly operating results will fluctuate from quarter to quarter;</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general economic environment;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arrangements with suppliers;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our facilities and the sufficiency of our facilities;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execute our business strategy;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plan to strengthen and expand our relationship with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anticipate the needs of our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that average selling prices of our products will continue to be subject to significant pricing pressures;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develop and introduce new products and achieve market acceptance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our expectations regarding acquisitions and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demand for our products and the impact of seasonality on demand;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3"/>
        </w:numPr>
        <w:rPr>
          <w:rFonts w:ascii="Arial" w:cs="Arial" w:eastAsia="Arial" w:hAnsi="Arial"/>
          <w:sz w:val="18"/>
          <w:szCs w:val="18"/>
          <w:i w:val="1"/>
          <w:iCs w:val="1"/>
          <w:color w:val="auto"/>
        </w:rPr>
      </w:pPr>
      <w:r>
        <w:rPr>
          <w:rFonts w:ascii="Arial" w:cs="Arial" w:eastAsia="Arial" w:hAnsi="Arial"/>
          <w:sz w:val="18"/>
          <w:szCs w:val="18"/>
          <w:i w:val="1"/>
          <w:iCs w:val="1"/>
          <w:color w:val="auto"/>
        </w:rPr>
        <w:t>gross margin and the events that may cause gross margin to fluctuate;</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420"/>
          </w:cols>
          <w:pgMar w:left="240" w:top="459" w:right="23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operations and sales outside of the United States, including future sales in Asia;</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our plans for our share repurchase program and dividends;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expected tax benefits we receive;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color w:val="auto"/>
        </w:rPr>
        <w:t>the anticipated features and benefits of our technology solutions.</w:t>
      </w:r>
    </w:p>
    <w:p>
      <w:pPr>
        <w:spacing w:after="0" w:line="171" w:lineRule="exact"/>
        <w:rPr>
          <w:sz w:val="20"/>
          <w:szCs w:val="20"/>
          <w:color w:val="auto"/>
        </w:rPr>
      </w:pPr>
    </w:p>
    <w:p>
      <w:pPr>
        <w:ind w:right="460" w:firstLine="456"/>
        <w:spacing w:after="0" w:line="332" w:lineRule="auto"/>
        <w:rPr>
          <w:sz w:val="20"/>
          <w:szCs w:val="20"/>
          <w:color w:val="auto"/>
        </w:rPr>
      </w:pPr>
      <w:r>
        <w:rPr>
          <w:rFonts w:ascii="Arial" w:cs="Arial" w:eastAsia="Arial" w:hAnsi="Arial"/>
          <w:sz w:val="16"/>
          <w:szCs w:val="16"/>
          <w:i w:val="1"/>
          <w:iCs w:val="1"/>
          <w:color w:val="auto"/>
        </w:rPr>
        <w:t>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4" w:lineRule="exact"/>
        <w:rPr>
          <w:sz w:val="20"/>
          <w:szCs w:val="20"/>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upon the hard disk drive and mobile and wireless markets, which are highly cyclical and intensely competitive;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the outcome of pending or future litigation and legal proceedings, including our patent litigation action involving Carnegie Mellon University;</w:t>
      </w:r>
    </w:p>
    <w:p>
      <w:pPr>
        <w:spacing w:after="0" w:line="113" w:lineRule="exact"/>
        <w:rPr>
          <w:rFonts w:ascii="Arial" w:cs="Arial" w:eastAsia="Arial" w:hAnsi="Arial"/>
          <w:sz w:val="16"/>
          <w:szCs w:val="16"/>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dependence on a small number of customers;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the ability of our customers to successfully compete in the markets in which we serve;</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reliance on independent foundries and subcontractors for the manufacture, assembly and testing of our products;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and our customers’ ability to develop new and enhanced products and the adoption of those products in the market;</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decreases in our gross margin and results of operations in the future due to a number of factors;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our ability to estimate customer demand and future sales accurately, including the impact of lengthy and expensive product sales cycles;</w:t>
      </w:r>
    </w:p>
    <w:p>
      <w:pPr>
        <w:spacing w:after="0" w:line="113" w:lineRule="exact"/>
        <w:rPr>
          <w:rFonts w:ascii="Arial" w:cs="Arial" w:eastAsia="Arial" w:hAnsi="Arial"/>
          <w:sz w:val="16"/>
          <w:szCs w:val="16"/>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scale our operations in response to changes in demand for existing or new products and services;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international conflict and continued economic volatility in either domestic or foreign markets;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transitioning to smaller geometry process technologies;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t>the risks associated with manufacturing and selling a majority of our products and our customers’ products outside of the United States;</w:t>
      </w:r>
    </w:p>
    <w:p>
      <w:pPr>
        <w:spacing w:after="0" w:line="113" w:lineRule="exact"/>
        <w:rPr>
          <w:rFonts w:ascii="Arial" w:cs="Arial" w:eastAsia="Arial" w:hAnsi="Arial"/>
          <w:sz w:val="16"/>
          <w:szCs w:val="16"/>
          <w:i w:val="1"/>
          <w:iCs w:val="1"/>
          <w:color w:val="auto"/>
        </w:rPr>
      </w:pPr>
    </w:p>
    <w:p>
      <w:pPr>
        <w:ind w:left="900" w:hanging="325"/>
        <w:spacing w:after="0" w:line="268" w:lineRule="auto"/>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of any change in our application of the United States federal income tax laws and the loss of any beneficial tax treatment that we currently enjoy;</w:t>
      </w:r>
    </w:p>
    <w:p>
      <w:pPr>
        <w:spacing w:after="0" w:line="5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effects of any potential acquisitions or investments;</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our ability to protect our intellectual property;</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the impact and costs associated with changes in international financial and regulatory conditions; and</w:t>
      </w:r>
    </w:p>
    <w:p>
      <w:pPr>
        <w:spacing w:after="0" w:line="90" w:lineRule="exact"/>
        <w:rPr>
          <w:rFonts w:ascii="Arial" w:cs="Arial" w:eastAsia="Arial" w:hAnsi="Arial"/>
          <w:sz w:val="18"/>
          <w:szCs w:val="18"/>
          <w:i w:val="1"/>
          <w:iCs w:val="1"/>
          <w:color w:val="auto"/>
        </w:rPr>
      </w:pPr>
    </w:p>
    <w:p>
      <w:pPr>
        <w:ind w:left="900" w:hanging="325"/>
        <w:spacing w:after="0"/>
        <w:tabs>
          <w:tab w:leader="none" w:pos="900" w:val="left"/>
        </w:tabs>
        <w:numPr>
          <w:ilvl w:val="0"/>
          <w:numId w:val="5"/>
        </w:numPr>
        <w:rPr>
          <w:rFonts w:ascii="Arial" w:cs="Arial" w:eastAsia="Arial" w:hAnsi="Arial"/>
          <w:sz w:val="18"/>
          <w:szCs w:val="18"/>
          <w:color w:val="auto"/>
        </w:rPr>
      </w:pPr>
      <w:r>
        <w:rPr>
          <w:rFonts w:ascii="Arial" w:cs="Arial" w:eastAsia="Arial" w:hAnsi="Arial"/>
          <w:sz w:val="18"/>
          <w:szCs w:val="18"/>
          <w:i w:val="1"/>
          <w:iCs w:val="1"/>
          <w:color w:val="auto"/>
        </w:rPr>
        <w:t>our maintenance of an effective system of internal controls.</w:t>
      </w:r>
    </w:p>
    <w:p>
      <w:pPr>
        <w:spacing w:after="0" w:line="171" w:lineRule="exact"/>
        <w:rPr>
          <w:sz w:val="20"/>
          <w:szCs w:val="20"/>
          <w:color w:val="auto"/>
        </w:rPr>
      </w:pPr>
    </w:p>
    <w:p>
      <w:pPr>
        <w:jc w:val="both"/>
        <w:ind w:right="140" w:firstLine="456"/>
        <w:spacing w:after="0" w:line="259"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96" w:lineRule="exact"/>
        <w:rPr>
          <w:sz w:val="20"/>
          <w:szCs w:val="20"/>
          <w:color w:val="auto"/>
        </w:rPr>
      </w:pPr>
    </w:p>
    <w:p>
      <w:pPr>
        <w:ind w:right="40" w:firstLine="456"/>
        <w:spacing w:after="0" w:line="290" w:lineRule="auto"/>
        <w:rPr>
          <w:sz w:val="20"/>
          <w:szCs w:val="20"/>
          <w:color w:val="auto"/>
        </w:rPr>
      </w:pPr>
      <w:r>
        <w:rPr>
          <w:rFonts w:ascii="Arial" w:cs="Arial" w:eastAsia="Arial" w:hAnsi="Arial"/>
          <w:sz w:val="16"/>
          <w:szCs w:val="16"/>
          <w:color w:val="auto"/>
        </w:rPr>
        <w:t>We are a fabless semiconductor provider of high-performance application-specific standard products. Our core strength of expertise is the development of complex System-on-a-Chip (“SoC”) and System-in-a-Package (“SiP”) devices, leveraging our extensive technology portfolio of intellectual property in the areas of analog, mixed-signal, digital signal processing, and embedded and standalone integrated circuits. The majority of our product portfolio leverages the ARM technology portfolio. We also develop platforms that we define as integrated hardware along with software that incorporates digital computing technologies designed and configured to provide an optimized computing solution. Our broad product portfolio includes devices for data storage, enterprise-class Ethernet data switching, Ethernet physical-layer transceivers (“PHY”), mobile handsets, connectivity, Internet-of-Things (“IoT”) devices and other consumer electronics. We were incorporated in Bermuda in January 1995.</w:t>
      </w:r>
    </w:p>
    <w:p>
      <w:pPr>
        <w:spacing w:after="0" w:line="1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1420"/>
          </w:cols>
          <w:pgMar w:left="240" w:top="459" w:right="23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86" w:lineRule="auto"/>
        <w:rPr>
          <w:sz w:val="20"/>
          <w:szCs w:val="20"/>
          <w:color w:val="auto"/>
        </w:rPr>
      </w:pPr>
      <w:r>
        <w:rPr>
          <w:rFonts w:ascii="Arial" w:cs="Arial" w:eastAsia="Arial" w:hAnsi="Arial"/>
          <w:sz w:val="16"/>
          <w:szCs w:val="16"/>
          <w:color w:val="auto"/>
        </w:rPr>
        <w:t>During the first quarter of fiscal 2016, we experienced an overall slowdown in demand from the storage end market, as well as from emerging markets, as we saw business conditions weaken overall in the semiconductor industry. As a result, net revenue in the three months ended May 2, 2015 of $724.3 million was down 24% compared to net revenue of $957.8 million in the three months ended May 3, 2014. Revenue from products for the storage end market declined 16% in the three months ended May 2, 2015 compared to the three months ended May 3, 2014. In addition, we saw lower revenue from products for the mobile and wireless end markets, which declined 44% in the three months ended May 2, 2015 compared to the three months ended May 3, 2014. Consequently, net income in the three months ended May 2, 2015 was lower at $14.1 million compared to $99.5 million in the three months ended May 3, 2014. Although we expect this slower demand environment to continue in our second quarter of fiscal 2016, we expect higher revenue in the second half of fiscal 2015 as demand begins to normalize. We continue to invest in new and innovative technologies as we believe this will enable us to emerge even stronger when the economic situation improves. We are also focused on effectively controlling our costs, which has led to improvement in cost of goods sold as a percentage of revenue, and improvement in total operating expenses. We expect revenue growth to be driven by areas such as mobile handsets, tablets, connectivity and smart home devices along with a continued focus on operational execution.</w:t>
      </w:r>
    </w:p>
    <w:p>
      <w:pPr>
        <w:spacing w:after="0" w:line="46" w:lineRule="exact"/>
        <w:rPr>
          <w:sz w:val="20"/>
          <w:szCs w:val="20"/>
          <w:color w:val="auto"/>
        </w:rPr>
      </w:pPr>
    </w:p>
    <w:p>
      <w:pPr>
        <w:ind w:left="900" w:right="200" w:hanging="325"/>
        <w:spacing w:after="0" w:line="298"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In the storage market, we saw weaker than expected demand for HDD products. We continue to maintain our technology leadership and focus on developing industry-leading solutions such as DRAM-less NVMe products, which we expect will do well in the market. For our SSD products, the slowdown in demand was in-line with seasonality that typically affects our first fiscal quarter. Despite the drop in market share of one of our major customers, we are working to solidify our leadership position in the market over the next few years.</w:t>
      </w:r>
    </w:p>
    <w:p>
      <w:pPr>
        <w:spacing w:after="0" w:line="31" w:lineRule="exact"/>
        <w:rPr>
          <w:rFonts w:ascii="Arial" w:cs="Arial" w:eastAsia="Arial" w:hAnsi="Arial"/>
          <w:sz w:val="16"/>
          <w:szCs w:val="16"/>
          <w:color w:val="auto"/>
        </w:rPr>
      </w:pPr>
    </w:p>
    <w:p>
      <w:pPr>
        <w:ind w:left="900" w:right="80" w:hanging="325"/>
        <w:spacing w:after="0" w:line="323" w:lineRule="auto"/>
        <w:tabs>
          <w:tab w:leader="none" w:pos="900" w:val="left"/>
        </w:tabs>
        <w:numPr>
          <w:ilvl w:val="0"/>
          <w:numId w:val="6"/>
        </w:numPr>
        <w:rPr>
          <w:rFonts w:ascii="Arial" w:cs="Arial" w:eastAsia="Arial" w:hAnsi="Arial"/>
          <w:sz w:val="15"/>
          <w:szCs w:val="15"/>
          <w:color w:val="auto"/>
        </w:rPr>
      </w:pPr>
      <w:r>
        <w:rPr>
          <w:rFonts w:ascii="Arial" w:cs="Arial" w:eastAsia="Arial" w:hAnsi="Arial"/>
          <w:sz w:val="15"/>
          <w:szCs w:val="15"/>
          <w:color w:val="auto"/>
        </w:rPr>
        <w:t>In the mobile market, competition and pricing remain fierce, and negatively affected our operating result in the first quarter of fiscal 2016. We saw weaker than normal demand due to an overall slowdown in smartphone production in China. In our business for the mobile end market, China Unicom recently launched the world’s first 399RMB 4G LTE smartphone using our quad-core 64-bit ARMADA Mobile PXA1908 mobile platform which is also used by China Mobile. This same 64-bit LTE platform has started shipping into global markets with tier-1 customers such as Samsung.</w:t>
      </w:r>
    </w:p>
    <w:p>
      <w:pPr>
        <w:spacing w:after="0" w:line="16" w:lineRule="exact"/>
        <w:rPr>
          <w:rFonts w:ascii="Arial" w:cs="Arial" w:eastAsia="Arial" w:hAnsi="Arial"/>
          <w:sz w:val="15"/>
          <w:szCs w:val="15"/>
          <w:color w:val="auto"/>
        </w:rPr>
      </w:pPr>
    </w:p>
    <w:p>
      <w:pPr>
        <w:ind w:left="900" w:right="100" w:hanging="325"/>
        <w:spacing w:after="0" w:line="289"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In the wireless connectivity market, revenue was lower than expectations primarily due to weaker mobile shipments in China combined with normal seasonality in gaming consoles. Earlier this year, we introduced the 4x4 11ac Wave-2 Wi-Fi and SoC platform for enterprise access point and smart home gateway solutions. The Wave-2 significantly increases bandwidth available over the Wi-Fi link and network capacity for densely populated environments, extending wireless capabilities to a variety of new use cases such as real-time video streaming and wireless back-up. Our 4x4 11ac devices have been growing our market share in carrier grade access point, supporting tier-1 customers like Cisco Systems, Inc. More recently, Linksys announced the launch of their newest 2x2 AC router using our mainstream Wi-Fi technology. We believe we are well positioned to further expand into high-performance 4x4 MIMO product categories in both retail and service provider gateways. We are seeing new opportunities for our connectivity solutions across multiple market segments.</w:t>
      </w:r>
    </w:p>
    <w:p>
      <w:pPr>
        <w:spacing w:after="0" w:line="37" w:lineRule="exact"/>
        <w:rPr>
          <w:rFonts w:ascii="Arial" w:cs="Arial" w:eastAsia="Arial" w:hAnsi="Arial"/>
          <w:sz w:val="16"/>
          <w:szCs w:val="16"/>
          <w:color w:val="auto"/>
        </w:rPr>
      </w:pPr>
    </w:p>
    <w:p>
      <w:pPr>
        <w:ind w:left="900" w:right="40" w:hanging="325"/>
        <w:spacing w:after="0" w:line="286"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In the fast-growing IoT end market, Wi-Fi and Zigbee devices are gaining strong adoption. Our EZ-Connect wireless microcontrollers have been well received and we have a strong design pipeline across a broad range of applications including lighting, appliances, home automation and other smart home and commercial IoT applications across China and North American regions. For example, Xiaomi launched a line of smart home products in the fall of 2014 based on our wireless microcontrollers. We are also an early partner in Apple’s HomeKit and we have several tier-1 customers designing HomeKit products using our EZ-Connect microcontrollers. Recently, we announced the open-sourcing of our Kinoma JS application framework, which is uniquely designed to build core applications of embedded devices using JavaScript. Our customers can create elegant, high-performance products across a wide variety of hardware platforms, using relatively little code that’s easier to test, maintain and evolve. On the service provider side of the video business, a leading service provider in Korea launched their 4K platform using our ARMADA 1500 device and we expect several other service providers to start shipping their own version of Internet Protocol television and over-the-top hybrid set-top boxes using our ARMADA 1500 family of video SoC in the near future. For example, one of our leading service providers in France recently launched their set-top box based on the ARMDA 1500 PRO SoC.</w:t>
      </w:r>
    </w:p>
    <w:p>
      <w:pPr>
        <w:spacing w:after="0" w:line="46" w:lineRule="exact"/>
        <w:rPr>
          <w:rFonts w:ascii="Arial" w:cs="Arial" w:eastAsia="Arial" w:hAnsi="Arial"/>
          <w:sz w:val="16"/>
          <w:szCs w:val="16"/>
          <w:color w:val="auto"/>
        </w:rPr>
      </w:pPr>
    </w:p>
    <w:p>
      <w:pPr>
        <w:ind w:left="900" w:right="180" w:hanging="325"/>
        <w:spacing w:after="0" w:line="291" w:lineRule="auto"/>
        <w:tabs>
          <w:tab w:leader="none" w:pos="900" w:val="left"/>
        </w:tabs>
        <w:numPr>
          <w:ilvl w:val="0"/>
          <w:numId w:val="6"/>
        </w:numPr>
        <w:rPr>
          <w:rFonts w:ascii="Arial" w:cs="Arial" w:eastAsia="Arial" w:hAnsi="Arial"/>
          <w:sz w:val="16"/>
          <w:szCs w:val="16"/>
          <w:color w:val="auto"/>
        </w:rPr>
      </w:pPr>
      <w:r>
        <w:rPr>
          <w:rFonts w:ascii="Arial" w:cs="Arial" w:eastAsia="Arial" w:hAnsi="Arial"/>
          <w:sz w:val="16"/>
          <w:szCs w:val="16"/>
          <w:color w:val="auto"/>
        </w:rPr>
        <w:t>Demand in the quarter was weaker than expected in the networking market, but we continued to make progress in design wins with our networking SoC in areas such as network storage interconnect applications. We are also gaining share with telecommunication and access infrastructure customers. We continue to gain traction with our recently introduced Questflo product line of network search engines that broadens our growing networking product portfolio. Today’s traditional TCAM-based solutions are unable to address future scaling requirements and multiple customers are actively engaged with us for next generation solutions. Our SRAM-based Questflo products are targeted for carrier customers and increase capacity using less power delivering better performance-power metrics compared to competitors.</w:t>
      </w:r>
    </w:p>
    <w:p>
      <w:pPr>
        <w:spacing w:after="0" w:line="10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29</w:t>
      </w:r>
    </w:p>
    <w:p>
      <w:pPr>
        <w:sectPr>
          <w:pgSz w:w="11900" w:h="16838" w:orient="portrait"/>
          <w:cols w:equalWidth="0" w:num="1">
            <w:col w:w="11420"/>
          </w:cols>
          <w:pgMar w:left="240" w:top="45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Our cost of goods sold as a percentage of net revenue for the first quarter of fiscal 2016 was lower compared to the first quarter of fiscal 2015. The mobile and wireless end markets generally have lower average gross margins than the rest of our business and changes in the revenue mix between end markets will affect cost of goods sold as a percentage of net revenue.</w:t>
      </w:r>
    </w:p>
    <w:p>
      <w:pPr>
        <w:spacing w:after="0" w:line="14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We believe our financial position is strong and we remain committed to deliver shareholder value through our share repurchase and dividend programs.</w:t>
      </w:r>
    </w:p>
    <w:p>
      <w:pPr>
        <w:spacing w:after="0" w:line="113" w:lineRule="exact"/>
        <w:rPr>
          <w:sz w:val="20"/>
          <w:szCs w:val="20"/>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Our cash, cash equivalents and short-term investments were $2.5 billion at May 2, 2015.</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generated cash flow from operations of $58.9 million during the first quarter of fiscal 2016.</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paid cash dividends of $0.06 per share for a total of $30.9 million during the first quarter of fiscal 2016 and we recently announced a dividend of $0.06 per share to be paid in the second quarter of fiscal 2016.</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repurchased 1.4 million of our common shares for $22.1 million in the first quarter of fiscal 2016.</w:t>
      </w:r>
    </w:p>
    <w:p>
      <w:pPr>
        <w:spacing w:after="0" w:line="17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We are currently involved in a patent litigation action with CMU (See “Risk Factors” under Part II, Item 1A of this Quarterly Report on Form 10-Q and “Note 10 – Commitments and Contingencies” in the Notes to the Unaudited Condensed Consolidated Financial Statements for a further discussion of the risks associated with this matter and other patent litigation matters). A jury has awarded past damages of $1.17 billion, and the Court calculated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May 2, 2015 could be as much as $450 million. On May 7, 2014, the District Court entered final judgment and on May 14, 2014, we filed a notice of appeal to the U.S. Court of Appeals for the Federal Circuit in Washington, D.C., which held a hearing for oral argument on April 7, 2015. We have secured certain surety bonds for the duration of the appeal to stay execution of judgment pending the appeal. See “Note 10—Commitments and Contingencies—Surety Bonds” in the Notes to the Unaudited Condensed Consolidated Financial Statements for a further discussion of these surety bonds. We strongly believe that we do not infringe on the methods described in the CMU patents and that our products use our own internally developed patented read channel technology.</w:t>
      </w:r>
    </w:p>
    <w:p>
      <w:pPr>
        <w:spacing w:after="0" w:line="12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 In addition, consumer electronics sales are heavily dependent on new product launch timelines and product refreshes. For example, our sales of wireless connectivity products may increase significantly during a period when one of our customers launches a new gaming console, and these sales may taper significantly after the initial launch period.</w:t>
      </w:r>
    </w:p>
    <w:p>
      <w:pPr>
        <w:spacing w:after="0" w:line="116"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Historically, a relatively small number of customers have accounted for a significant portion of our net revenue. Net revenue from one customer was 20% and 19% for the three months ended May 2, 2015 and May 3, 2014, respectively. Net revenue from a second customer was 14% and 11% for the three months ended May 2, 2015 and May 3, 2014, respectively. Net revenue from a third customer represented 10% of net revenue for the three months ended May 2, 2015. We also had net revenue from one distributor representing 12% and 10% for the three months ended May 2, 2015 and May 3, 2014, respectively. We continuously monitor the creditworthiness of our distributors and believe these distributors’ sales to diverse end customers and geographies further serve to mitigate our exposure to credit risk.</w:t>
      </w:r>
    </w:p>
    <w:p>
      <w:pPr>
        <w:spacing w:after="0" w:line="144" w:lineRule="exact"/>
        <w:rPr>
          <w:sz w:val="20"/>
          <w:szCs w:val="20"/>
          <w:color w:val="auto"/>
        </w:rPr>
      </w:pPr>
    </w:p>
    <w:p>
      <w:pPr>
        <w:ind w:right="100" w:firstLine="456"/>
        <w:spacing w:after="0" w:line="306" w:lineRule="auto"/>
        <w:rPr>
          <w:sz w:val="20"/>
          <w:szCs w:val="20"/>
          <w:color w:val="auto"/>
        </w:rPr>
      </w:pPr>
      <w:r>
        <w:rPr>
          <w:rFonts w:ascii="Arial" w:cs="Arial" w:eastAsia="Arial" w:hAnsi="Arial"/>
          <w:sz w:val="16"/>
          <w:szCs w:val="16"/>
          <w:color w:val="auto"/>
        </w:rPr>
        <w:t>Most of our sales are made to customers located outside of the United States, primarily in Asia. Sales to customers located in Asia represented 95% of our net revenue for the three months ended May 2, 2015 and May 3, 2014. Because many manufacturers and manufacturing subcontractors of our customers are located in Asia, we expect that most of our net revenue will continue to be represented by sales to our customers in that region.</w:t>
      </w:r>
    </w:p>
    <w:p>
      <w:pPr>
        <w:spacing w:after="0" w:line="107"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43"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In this Quarterly Report on Form 10-Q, we refer to the fiscal year ended January 30, 2010 as fiscal 2010, the fiscal year ended January 29, 2011 as fiscal 2011, the fiscal year ended January 28, 2012 as fiscal 2012, the fiscal year ended February 2, 2013 as fiscal 2013, the fiscal year ending February 1, 2014 as fiscal 2014, the fiscal year ending January 31, 2015 as fiscal 2015 and the fiscal year ending January 30, 2016 as fiscal 2016.</w:t>
      </w:r>
    </w:p>
    <w:p>
      <w:pPr>
        <w:spacing w:after="0" w:line="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ectPr>
          <w:pgSz w:w="11900" w:h="16838" w:orient="portrait"/>
          <w:cols w:equalWidth="0" w:num="1">
            <w:col w:w="11400"/>
          </w:cols>
          <w:pgMar w:left="240" w:top="459" w:right="25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96" w:lineRule="exact"/>
        <w:rPr>
          <w:sz w:val="20"/>
          <w:szCs w:val="20"/>
          <w:color w:val="auto"/>
        </w:rPr>
      </w:pPr>
    </w:p>
    <w:p>
      <w:pPr>
        <w:ind w:right="80" w:firstLine="456"/>
        <w:spacing w:after="0" w:line="318" w:lineRule="auto"/>
        <w:rPr>
          <w:sz w:val="20"/>
          <w:szCs w:val="20"/>
          <w:color w:val="auto"/>
        </w:rPr>
      </w:pPr>
      <w:r>
        <w:rPr>
          <w:rFonts w:ascii="Arial" w:cs="Arial" w:eastAsia="Arial" w:hAnsi="Arial"/>
          <w:sz w:val="15"/>
          <w:szCs w:val="15"/>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January 31, 2015.</w:t>
      </w:r>
    </w:p>
    <w:p>
      <w:pPr>
        <w:spacing w:after="0" w:line="1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sets forth information derived from our consolidated statements of operations expressed as a percentage of net revenue:</w:t>
      </w:r>
    </w:p>
    <w:p>
      <w:pPr>
        <w:spacing w:after="0" w:line="230"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880" w:type="dxa"/>
            <w:vAlign w:val="bottom"/>
          </w:tcPr>
          <w:p>
            <w:pPr>
              <w:spacing w:after="0"/>
              <w:rPr>
                <w:sz w:val="14"/>
                <w:szCs w:val="14"/>
                <w:color w:val="auto"/>
              </w:rPr>
            </w:pPr>
          </w:p>
        </w:tc>
        <w:tc>
          <w:tcPr>
            <w:tcW w:w="1780" w:type="dxa"/>
            <w:vAlign w:val="bottom"/>
            <w:gridSpan w:val="4"/>
          </w:tcPr>
          <w:p>
            <w:pPr>
              <w:jc w:val="right"/>
              <w:ind w:right="380"/>
              <w:spacing w:after="0"/>
              <w:rPr>
                <w:sz w:val="20"/>
                <w:szCs w:val="20"/>
                <w:color w:val="auto"/>
              </w:rPr>
            </w:pPr>
            <w:r>
              <w:rPr>
                <w:rFonts w:ascii="Arial" w:cs="Arial" w:eastAsia="Arial" w:hAnsi="Arial"/>
                <w:sz w:val="14"/>
                <w:szCs w:val="14"/>
                <w:b w:val="1"/>
                <w:bCs w:val="1"/>
                <w:color w:val="auto"/>
                <w:w w:val="99"/>
              </w:rPr>
              <w:t>Three Months Ended</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80" w:type="dxa"/>
            <w:vAlign w:val="bottom"/>
          </w:tcPr>
          <w:p>
            <w:pPr>
              <w:spacing w:after="0"/>
              <w:rPr>
                <w:sz w:val="11"/>
                <w:szCs w:val="11"/>
                <w:color w:val="auto"/>
              </w:rPr>
            </w:pPr>
          </w:p>
        </w:tc>
        <w:tc>
          <w:tcPr>
            <w:tcW w:w="1080" w:type="dxa"/>
            <w:vAlign w:val="bottom"/>
            <w:tcBorders>
              <w:top w:val="single" w:sz="8" w:color="auto"/>
            </w:tcBorders>
            <w:gridSpan w:val="2"/>
          </w:tcPr>
          <w:p>
            <w:pPr>
              <w:jc w:val="right"/>
              <w:ind w:right="660"/>
              <w:spacing w:after="0" w:line="129" w:lineRule="exact"/>
              <w:rPr>
                <w:sz w:val="20"/>
                <w:szCs w:val="20"/>
                <w:color w:val="auto"/>
              </w:rPr>
            </w:pPr>
            <w:r>
              <w:rPr>
                <w:rFonts w:ascii="Arial" w:cs="Arial" w:eastAsia="Arial" w:hAnsi="Arial"/>
                <w:sz w:val="14"/>
                <w:szCs w:val="14"/>
                <w:b w:val="1"/>
                <w:bCs w:val="1"/>
                <w:color w:val="auto"/>
                <w:w w:val="93"/>
              </w:rPr>
              <w:t>May 2,</w:t>
            </w:r>
          </w:p>
        </w:tc>
        <w:tc>
          <w:tcPr>
            <w:tcW w:w="50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w w:val="98"/>
              </w:rPr>
              <w:t>May 3,</w:t>
            </w: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20" w:type="dxa"/>
            <w:vAlign w:val="bottom"/>
          </w:tcPr>
          <w:p>
            <w:pPr>
              <w:spacing w:after="0"/>
              <w:rPr>
                <w:sz w:val="14"/>
                <w:szCs w:val="14"/>
                <w:color w:val="auto"/>
              </w:rPr>
            </w:pPr>
          </w:p>
        </w:tc>
        <w:tc>
          <w:tcPr>
            <w:tcW w:w="688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2015</w:t>
            </w:r>
          </w:p>
        </w:tc>
        <w:tc>
          <w:tcPr>
            <w:tcW w:w="620" w:type="dxa"/>
            <w:vAlign w:val="bottom"/>
            <w:tcBorders>
              <w:bottom w:val="single" w:sz="8" w:color="CCEEFF"/>
            </w:tcBorders>
          </w:tcPr>
          <w:p>
            <w:pPr>
              <w:spacing w:after="0"/>
              <w:rPr>
                <w:sz w:val="14"/>
                <w:szCs w:val="14"/>
                <w:color w:val="auto"/>
              </w:rPr>
            </w:pPr>
          </w:p>
        </w:tc>
        <w:tc>
          <w:tcPr>
            <w:tcW w:w="500" w:type="dxa"/>
            <w:vAlign w:val="bottom"/>
            <w:tcBorders>
              <w:bottom w:val="single" w:sz="8" w:color="auto"/>
            </w:tcBorders>
          </w:tcPr>
          <w:p>
            <w:pPr>
              <w:jc w:val="right"/>
              <w:ind w:right="35"/>
              <w:spacing w:after="0"/>
              <w:rPr>
                <w:sz w:val="20"/>
                <w:szCs w:val="20"/>
                <w:color w:val="auto"/>
              </w:rPr>
            </w:pPr>
            <w:r>
              <w:rPr>
                <w:rFonts w:ascii="Arial" w:cs="Arial" w:eastAsia="Arial" w:hAnsi="Arial"/>
                <w:sz w:val="14"/>
                <w:szCs w:val="14"/>
                <w:b w:val="1"/>
                <w:bCs w:val="1"/>
                <w:color w:val="auto"/>
              </w:rPr>
              <w:t>2014</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880" w:type="dxa"/>
            <w:vAlign w:val="bottom"/>
            <w:shd w:val="clear" w:color="auto" w:fill="CCEEFF"/>
          </w:tcPr>
          <w:p>
            <w:pPr>
              <w:spacing w:after="0" w:line="202" w:lineRule="exact"/>
              <w:rPr>
                <w:sz w:val="20"/>
                <w:szCs w:val="20"/>
                <w:color w:val="auto"/>
              </w:rPr>
            </w:pPr>
            <w:r>
              <w:rPr>
                <w:rFonts w:ascii="Arial" w:cs="Arial" w:eastAsia="Arial" w:hAnsi="Arial"/>
                <w:sz w:val="18"/>
                <w:szCs w:val="18"/>
                <w:color w:val="auto"/>
              </w:rPr>
              <w:t>Net revenue</w:t>
            </w: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w w:val="94"/>
              </w:rPr>
              <w:t>100.0%</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Cost of goods sold</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48.5</w:t>
            </w: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Research and development</w:t>
            </w:r>
          </w:p>
        </w:tc>
        <w:tc>
          <w:tcPr>
            <w:tcW w:w="460" w:type="dxa"/>
            <w:vAlign w:val="bottom"/>
          </w:tcPr>
          <w:p>
            <w:pPr>
              <w:jc w:val="right"/>
              <w:spacing w:after="0"/>
              <w:rPr>
                <w:sz w:val="20"/>
                <w:szCs w:val="20"/>
                <w:color w:val="auto"/>
              </w:rPr>
            </w:pPr>
            <w:r>
              <w:rPr>
                <w:rFonts w:ascii="Arial" w:cs="Arial" w:eastAsia="Arial" w:hAnsi="Arial"/>
                <w:sz w:val="18"/>
                <w:szCs w:val="18"/>
                <w:color w:val="auto"/>
              </w:rPr>
              <w:t>38.7</w:t>
            </w:r>
          </w:p>
        </w:tc>
        <w:tc>
          <w:tcPr>
            <w:tcW w:w="6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30.8</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Selling and marketing</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ind w:left="420"/>
              <w:spacing w:after="0"/>
              <w:rPr>
                <w:sz w:val="20"/>
                <w:szCs w:val="20"/>
                <w:color w:val="auto"/>
              </w:rPr>
            </w:pPr>
            <w:r>
              <w:rPr>
                <w:rFonts w:ascii="Arial" w:cs="Arial" w:eastAsia="Arial" w:hAnsi="Arial"/>
                <w:sz w:val="18"/>
                <w:szCs w:val="18"/>
                <w:color w:val="auto"/>
              </w:rPr>
              <w:t>General and administrative</w:t>
            </w:r>
          </w:p>
        </w:tc>
        <w:tc>
          <w:tcPr>
            <w:tcW w:w="460" w:type="dxa"/>
            <w:vAlign w:val="bottom"/>
          </w:tcPr>
          <w:p>
            <w:pPr>
              <w:jc w:val="right"/>
              <w:spacing w:after="0"/>
              <w:rPr>
                <w:sz w:val="20"/>
                <w:szCs w:val="20"/>
                <w:color w:val="auto"/>
              </w:rPr>
            </w:pPr>
            <w:r>
              <w:rPr>
                <w:rFonts w:ascii="Arial" w:cs="Arial" w:eastAsia="Arial" w:hAnsi="Arial"/>
                <w:sz w:val="18"/>
                <w:szCs w:val="18"/>
                <w:color w:val="auto"/>
              </w:rPr>
              <w:t>5.7</w:t>
            </w:r>
          </w:p>
        </w:tc>
        <w:tc>
          <w:tcPr>
            <w:tcW w:w="6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3.2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ind w:left="420"/>
              <w:spacing w:after="0"/>
              <w:rPr>
                <w:sz w:val="20"/>
                <w:szCs w:val="20"/>
                <w:color w:val="auto"/>
              </w:rPr>
            </w:pPr>
            <w:r>
              <w:rPr>
                <w:rFonts w:ascii="Arial" w:cs="Arial" w:eastAsia="Arial" w:hAnsi="Arial"/>
                <w:sz w:val="18"/>
                <w:szCs w:val="18"/>
                <w:color w:val="auto"/>
              </w:rPr>
              <w:t>Amortization and write-off of acquired intangible assets</w:t>
            </w:r>
          </w:p>
        </w:tc>
        <w:tc>
          <w:tcPr>
            <w:tcW w:w="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620" w:type="dxa"/>
            <w:vAlign w:val="bottom"/>
            <w:shd w:val="clear" w:color="auto" w:fill="CCEEFF"/>
          </w:tcPr>
          <w:p>
            <w:pPr>
              <w:spacing w:after="0"/>
              <w:rPr>
                <w:sz w:val="18"/>
                <w:szCs w:val="18"/>
                <w:color w:val="auto"/>
              </w:rPr>
            </w:pPr>
          </w:p>
        </w:tc>
        <w:tc>
          <w:tcPr>
            <w:tcW w:w="5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880" w:type="dxa"/>
            <w:vAlign w:val="bottom"/>
          </w:tcPr>
          <w:p>
            <w:pPr>
              <w:ind w:left="840"/>
              <w:spacing w:after="0"/>
              <w:rPr>
                <w:sz w:val="20"/>
                <w:szCs w:val="20"/>
                <w:color w:val="auto"/>
              </w:rPr>
            </w:pPr>
            <w:r>
              <w:rPr>
                <w:rFonts w:ascii="Arial" w:cs="Arial" w:eastAsia="Arial" w:hAnsi="Arial"/>
                <w:sz w:val="18"/>
                <w:szCs w:val="18"/>
                <w:color w:val="auto"/>
              </w:rPr>
              <w:t>Total operating costs and expenses</w:t>
            </w: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98.2</w:t>
            </w:r>
          </w:p>
        </w:tc>
        <w:tc>
          <w:tcPr>
            <w:tcW w:w="620" w:type="dxa"/>
            <w:vAlign w:val="bottom"/>
          </w:tcPr>
          <w:p>
            <w:pPr>
              <w:spacing w:after="0"/>
              <w:rPr>
                <w:sz w:val="20"/>
                <w:szCs w:val="20"/>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90.3</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Operating income</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w:t>
            </w:r>
          </w:p>
        </w:tc>
        <w:tc>
          <w:tcPr>
            <w:tcW w:w="620" w:type="dxa"/>
            <w:vAlign w:val="bottom"/>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0.2</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Income before income taxes</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6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9.9</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880" w:type="dxa"/>
            <w:vAlign w:val="bottom"/>
          </w:tcPr>
          <w:p>
            <w:pPr>
              <w:spacing w:after="0"/>
              <w:rPr>
                <w:sz w:val="20"/>
                <w:szCs w:val="20"/>
                <w:color w:val="auto"/>
              </w:rPr>
            </w:pPr>
            <w:r>
              <w:rPr>
                <w:rFonts w:ascii="Arial" w:cs="Arial" w:eastAsia="Arial" w:hAnsi="Arial"/>
                <w:sz w:val="18"/>
                <w:szCs w:val="18"/>
                <w:color w:val="auto"/>
              </w:rPr>
              <w:t>Provision (benefit) for income taxes</w:t>
            </w:r>
          </w:p>
        </w:tc>
        <w:tc>
          <w:tcPr>
            <w:tcW w:w="460" w:type="dxa"/>
            <w:vAlign w:val="bottom"/>
          </w:tcPr>
          <w:p>
            <w:pPr>
              <w:jc w:val="right"/>
              <w:spacing w:after="0"/>
              <w:rPr>
                <w:sz w:val="20"/>
                <w:szCs w:val="20"/>
                <w:color w:val="auto"/>
              </w:rPr>
            </w:pPr>
            <w:r>
              <w:rPr>
                <w:rFonts w:ascii="Arial" w:cs="Arial" w:eastAsia="Arial" w:hAnsi="Arial"/>
                <w:sz w:val="18"/>
                <w:szCs w:val="18"/>
                <w:color w:val="auto"/>
              </w:rPr>
              <w:t>0.6</w:t>
            </w:r>
          </w:p>
        </w:tc>
        <w:tc>
          <w:tcPr>
            <w:tcW w:w="620" w:type="dxa"/>
            <w:vAlign w:val="bottom"/>
          </w:tcPr>
          <w:p>
            <w:pPr>
              <w:spacing w:after="0"/>
              <w:rPr>
                <w:sz w:val="18"/>
                <w:szCs w:val="18"/>
                <w:color w:val="auto"/>
              </w:rPr>
            </w:pPr>
          </w:p>
        </w:tc>
        <w:tc>
          <w:tcPr>
            <w:tcW w:w="700" w:type="dxa"/>
            <w:vAlign w:val="bottom"/>
            <w:gridSpan w:val="2"/>
          </w:tcPr>
          <w:p>
            <w:pPr>
              <w:jc w:val="right"/>
              <w:ind w:right="160"/>
              <w:spacing w:after="0"/>
              <w:rPr>
                <w:sz w:val="20"/>
                <w:szCs w:val="20"/>
                <w:color w:val="auto"/>
              </w:rPr>
            </w:pPr>
            <w:r>
              <w:rPr>
                <w:rFonts w:ascii="Arial" w:cs="Arial" w:eastAsia="Arial" w:hAnsi="Arial"/>
                <w:sz w:val="18"/>
                <w:szCs w:val="18"/>
                <w:color w:val="auto"/>
              </w:rPr>
              <w:t>(0.5)</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688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6880" w:type="dxa"/>
            <w:vAlign w:val="bottom"/>
            <w:shd w:val="clear" w:color="auto" w:fill="CCEEFF"/>
          </w:tcPr>
          <w:p>
            <w:pPr>
              <w:spacing w:after="0"/>
              <w:rPr>
                <w:sz w:val="20"/>
                <w:szCs w:val="20"/>
                <w:color w:val="auto"/>
              </w:rPr>
            </w:pPr>
            <w:r>
              <w:rPr>
                <w:rFonts w:ascii="Arial" w:cs="Arial" w:eastAsia="Arial" w:hAnsi="Arial"/>
                <w:sz w:val="18"/>
                <w:szCs w:val="18"/>
                <w:color w:val="auto"/>
              </w:rPr>
              <w:t>Net income</w:t>
            </w:r>
          </w:p>
        </w:tc>
        <w:tc>
          <w:tcPr>
            <w:tcW w:w="108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1.9%</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10.4%</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88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months ended May 2, 2015 and May 3, 2014</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Net Revenue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520" w:type="dxa"/>
            <w:vAlign w:val="bottom"/>
          </w:tcPr>
          <w:p>
            <w:pPr>
              <w:spacing w:after="0"/>
              <w:rPr>
                <w:sz w:val="14"/>
                <w:szCs w:val="14"/>
                <w:color w:val="auto"/>
              </w:rPr>
            </w:pPr>
          </w:p>
        </w:tc>
        <w:tc>
          <w:tcPr>
            <w:tcW w:w="2360" w:type="dxa"/>
            <w:vAlign w:val="bottom"/>
            <w:gridSpan w:val="3"/>
          </w:tcPr>
          <w:p>
            <w:pPr>
              <w:ind w:left="320"/>
              <w:spacing w:after="0"/>
              <w:rPr>
                <w:sz w:val="20"/>
                <w:szCs w:val="20"/>
                <w:color w:val="auto"/>
              </w:rPr>
            </w:pPr>
            <w:r>
              <w:rPr>
                <w:rFonts w:ascii="Arial" w:cs="Arial" w:eastAsia="Arial" w:hAnsi="Arial"/>
                <w:sz w:val="14"/>
                <w:szCs w:val="14"/>
                <w:b w:val="1"/>
                <w:bCs w:val="1"/>
                <w:color w:val="auto"/>
              </w:rPr>
              <w:t>Three Months Ended</w:t>
            </w:r>
          </w:p>
        </w:tc>
        <w:tc>
          <w:tcPr>
            <w:tcW w:w="44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520" w:type="dxa"/>
            <w:vAlign w:val="bottom"/>
          </w:tcPr>
          <w:p>
            <w:pPr>
              <w:spacing w:after="0"/>
              <w:rPr>
                <w:sz w:val="11"/>
                <w:szCs w:val="11"/>
                <w:color w:val="auto"/>
              </w:rPr>
            </w:pPr>
          </w:p>
        </w:tc>
        <w:tc>
          <w:tcPr>
            <w:tcW w:w="940" w:type="dxa"/>
            <w:vAlign w:val="bottom"/>
            <w:tcBorders>
              <w:top w:val="single" w:sz="8" w:color="auto"/>
            </w:tcBorders>
          </w:tcPr>
          <w:p>
            <w:pPr>
              <w:ind w:left="140"/>
              <w:spacing w:after="0" w:line="129" w:lineRule="exact"/>
              <w:rPr>
                <w:sz w:val="20"/>
                <w:szCs w:val="20"/>
                <w:color w:val="auto"/>
              </w:rPr>
            </w:pPr>
            <w:r>
              <w:rPr>
                <w:rFonts w:ascii="Arial" w:cs="Arial" w:eastAsia="Arial" w:hAnsi="Arial"/>
                <w:sz w:val="14"/>
                <w:szCs w:val="14"/>
                <w:b w:val="1"/>
                <w:bCs w:val="1"/>
                <w:color w:val="auto"/>
              </w:rPr>
              <w:t>May 2,</w:t>
            </w:r>
          </w:p>
        </w:tc>
        <w:tc>
          <w:tcPr>
            <w:tcW w:w="940" w:type="dxa"/>
            <w:vAlign w:val="bottom"/>
            <w:tcBorders>
              <w:top w:val="single" w:sz="8" w:color="auto"/>
            </w:tcBorders>
          </w:tcPr>
          <w:p>
            <w:pPr>
              <w:ind w:left="400"/>
              <w:spacing w:after="0" w:line="129" w:lineRule="exact"/>
              <w:rPr>
                <w:sz w:val="20"/>
                <w:szCs w:val="20"/>
                <w:color w:val="auto"/>
              </w:rPr>
            </w:pPr>
            <w:r>
              <w:rPr>
                <w:rFonts w:ascii="Arial" w:cs="Arial" w:eastAsia="Arial" w:hAnsi="Arial"/>
                <w:sz w:val="14"/>
                <w:szCs w:val="14"/>
                <w:b w:val="1"/>
                <w:bCs w:val="1"/>
                <w:color w:val="auto"/>
              </w:rPr>
              <w:t>May 3,</w:t>
            </w:r>
          </w:p>
        </w:tc>
        <w:tc>
          <w:tcPr>
            <w:tcW w:w="480" w:type="dxa"/>
            <w:vAlign w:val="bottom"/>
          </w:tcPr>
          <w:p>
            <w:pPr>
              <w:spacing w:after="0"/>
              <w:rPr>
                <w:sz w:val="11"/>
                <w:szCs w:val="11"/>
                <w:color w:val="auto"/>
              </w:rPr>
            </w:pPr>
          </w:p>
        </w:tc>
        <w:tc>
          <w:tcPr>
            <w:tcW w:w="44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520" w:type="dxa"/>
            <w:vAlign w:val="bottom"/>
          </w:tcPr>
          <w:p>
            <w:pPr>
              <w:spacing w:after="0"/>
              <w:rPr>
                <w:sz w:val="14"/>
                <w:szCs w:val="14"/>
                <w:color w:val="auto"/>
              </w:rPr>
            </w:pPr>
          </w:p>
        </w:tc>
        <w:tc>
          <w:tcPr>
            <w:tcW w:w="940" w:type="dxa"/>
            <w:vAlign w:val="bottom"/>
          </w:tcPr>
          <w:p>
            <w:pPr>
              <w:jc w:val="right"/>
              <w:ind w:right="408"/>
              <w:spacing w:after="0"/>
              <w:rPr>
                <w:sz w:val="20"/>
                <w:szCs w:val="20"/>
                <w:color w:val="auto"/>
              </w:rPr>
            </w:pPr>
            <w:r>
              <w:rPr>
                <w:rFonts w:ascii="Arial" w:cs="Arial" w:eastAsia="Arial" w:hAnsi="Arial"/>
                <w:sz w:val="14"/>
                <w:szCs w:val="14"/>
                <w:b w:val="1"/>
                <w:bCs w:val="1"/>
                <w:color w:val="auto"/>
              </w:rPr>
              <w:t>2015</w:t>
            </w:r>
          </w:p>
        </w:tc>
        <w:tc>
          <w:tcPr>
            <w:tcW w:w="940" w:type="dxa"/>
            <w:vAlign w:val="bottom"/>
          </w:tcPr>
          <w:p>
            <w:pPr>
              <w:jc w:val="right"/>
              <w:ind w:right="126"/>
              <w:spacing w:after="0"/>
              <w:rPr>
                <w:sz w:val="20"/>
                <w:szCs w:val="20"/>
                <w:color w:val="auto"/>
              </w:rPr>
            </w:pPr>
            <w:r>
              <w:rPr>
                <w:rFonts w:ascii="Arial" w:cs="Arial" w:eastAsia="Arial" w:hAnsi="Arial"/>
                <w:sz w:val="14"/>
                <w:szCs w:val="14"/>
                <w:b w:val="1"/>
                <w:bCs w:val="1"/>
                <w:color w:val="auto"/>
              </w:rPr>
              <w:t>2014</w:t>
            </w:r>
          </w:p>
        </w:tc>
        <w:tc>
          <w:tcPr>
            <w:tcW w:w="480" w:type="dxa"/>
            <w:vAlign w:val="bottom"/>
          </w:tcPr>
          <w:p>
            <w:pPr>
              <w:spacing w:after="0"/>
              <w:rPr>
                <w:sz w:val="14"/>
                <w:szCs w:val="14"/>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6520" w:type="dxa"/>
            <w:vAlign w:val="bottom"/>
          </w:tcPr>
          <w:p>
            <w:pPr>
              <w:spacing w:after="0"/>
              <w:rPr>
                <w:sz w:val="12"/>
                <w:szCs w:val="12"/>
                <w:color w:val="auto"/>
              </w:rPr>
            </w:pPr>
          </w:p>
        </w:tc>
        <w:tc>
          <w:tcPr>
            <w:tcW w:w="2360" w:type="dxa"/>
            <w:vAlign w:val="bottom"/>
            <w:tcBorders>
              <w:top w:val="single" w:sz="8" w:color="auto"/>
            </w:tcBorders>
            <w:gridSpan w:val="3"/>
          </w:tcPr>
          <w:p>
            <w:pPr>
              <w:ind w:left="440"/>
              <w:spacing w:after="0" w:line="142" w:lineRule="exact"/>
              <w:rPr>
                <w:sz w:val="20"/>
                <w:szCs w:val="20"/>
                <w:color w:val="auto"/>
              </w:rPr>
            </w:pPr>
            <w:r>
              <w:rPr>
                <w:rFonts w:ascii="Arial" w:cs="Arial" w:eastAsia="Arial" w:hAnsi="Arial"/>
                <w:sz w:val="14"/>
                <w:szCs w:val="14"/>
                <w:b w:val="1"/>
                <w:bCs w:val="1"/>
                <w:color w:val="auto"/>
                <w:w w:val="83"/>
              </w:rPr>
              <w:t>(in thousands, except percentage)</w:t>
            </w:r>
          </w:p>
        </w:tc>
        <w:tc>
          <w:tcPr>
            <w:tcW w:w="44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2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940" w:type="dxa"/>
            <w:vAlign w:val="bottom"/>
            <w:shd w:val="clear" w:color="auto" w:fill="CCEEFF"/>
          </w:tcPr>
          <w:p>
            <w:pPr>
              <w:jc w:val="right"/>
              <w:ind w:right="188"/>
              <w:spacing w:after="0"/>
              <w:rPr>
                <w:sz w:val="20"/>
                <w:szCs w:val="20"/>
                <w:color w:val="auto"/>
              </w:rPr>
            </w:pPr>
            <w:r>
              <w:rPr>
                <w:rFonts w:ascii="Arial" w:cs="Arial" w:eastAsia="Arial" w:hAnsi="Arial"/>
                <w:sz w:val="18"/>
                <w:szCs w:val="18"/>
                <w:color w:val="auto"/>
                <w:w w:val="87"/>
              </w:rPr>
              <w:t>$724,288</w:t>
            </w:r>
          </w:p>
        </w:tc>
        <w:tc>
          <w:tcPr>
            <w:tcW w:w="1420" w:type="dxa"/>
            <w:vAlign w:val="bottom"/>
            <w:gridSpan w:val="2"/>
            <w:shd w:val="clear" w:color="auto" w:fill="CCEEFF"/>
          </w:tcPr>
          <w:p>
            <w:pPr>
              <w:jc w:val="right"/>
              <w:ind w:right="480"/>
              <w:spacing w:after="0"/>
              <w:rPr>
                <w:sz w:val="20"/>
                <w:szCs w:val="20"/>
                <w:color w:val="auto"/>
              </w:rPr>
            </w:pPr>
            <w:r>
              <w:rPr>
                <w:rFonts w:ascii="Arial" w:cs="Arial" w:eastAsia="Arial" w:hAnsi="Arial"/>
                <w:sz w:val="18"/>
                <w:szCs w:val="18"/>
                <w:color w:val="auto"/>
              </w:rPr>
              <w:t>$957,830</w:t>
            </w:r>
          </w:p>
        </w:tc>
        <w:tc>
          <w:tcPr>
            <w:tcW w:w="70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8"/>
              </w:rPr>
              <w:t>(24.4)%</w:t>
            </w:r>
          </w:p>
        </w:tc>
        <w:tc>
          <w:tcPr>
            <w:tcW w:w="0" w:type="dxa"/>
            <w:vAlign w:val="bottom"/>
          </w:tcPr>
          <w:p>
            <w:pPr>
              <w:spacing w:after="0"/>
              <w:rPr>
                <w:sz w:val="1"/>
                <w:szCs w:val="1"/>
                <w:color w:val="auto"/>
              </w:rPr>
            </w:pPr>
          </w:p>
        </w:tc>
      </w:tr>
    </w:tbl>
    <w:p>
      <w:pPr>
        <w:spacing w:after="0" w:line="154" w:lineRule="exact"/>
        <w:rPr>
          <w:sz w:val="20"/>
          <w:szCs w:val="20"/>
          <w:color w:val="auto"/>
        </w:rPr>
      </w:pPr>
    </w:p>
    <w:p>
      <w:pPr>
        <w:jc w:val="both"/>
        <w:ind w:right="80" w:firstLine="456"/>
        <w:spacing w:after="0" w:line="323" w:lineRule="auto"/>
        <w:rPr>
          <w:sz w:val="20"/>
          <w:szCs w:val="20"/>
          <w:color w:val="auto"/>
        </w:rPr>
      </w:pPr>
      <w:r>
        <w:rPr>
          <w:rFonts w:ascii="Arial" w:cs="Arial" w:eastAsia="Arial" w:hAnsi="Arial"/>
          <w:sz w:val="15"/>
          <w:szCs w:val="15"/>
          <w:color w:val="auto"/>
        </w:rPr>
        <w:t>Net revenue for the three months ended May 2, 2015 decreased by $233.5 million compared to the three months ended May 3, 2014 mainly due to lower sales of our mobile and wireless products. The decrease in net revenue was further affected by lower sales of products for the storage market due to weaker than expected demand from customers in general, as economic conditions weakened overall in the semiconductor industry. Our networking revenue also declined in the three months ended May 2, 2015 compared to the three months ended May 3, 2014 from lower demand for enterprise switches and routers.</w:t>
      </w:r>
    </w:p>
    <w:p>
      <w:pPr>
        <w:spacing w:after="0" w:line="98" w:lineRule="exact"/>
        <w:rPr>
          <w:sz w:val="20"/>
          <w:szCs w:val="20"/>
          <w:color w:val="auto"/>
        </w:rPr>
      </w:pPr>
    </w:p>
    <w:p>
      <w:pPr>
        <w:jc w:val="both"/>
        <w:ind w:firstLine="456"/>
        <w:spacing w:after="0" w:line="259" w:lineRule="auto"/>
        <w:rPr>
          <w:sz w:val="20"/>
          <w:szCs w:val="20"/>
          <w:color w:val="auto"/>
        </w:rPr>
      </w:pPr>
      <w:r>
        <w:rPr>
          <w:rFonts w:ascii="Arial" w:cs="Arial" w:eastAsia="Arial" w:hAnsi="Arial"/>
          <w:sz w:val="18"/>
          <w:szCs w:val="18"/>
          <w:color w:val="auto"/>
        </w:rPr>
        <w:t>We currently expect overall net revenue for the three months ending August 1, 2015 to be in the range of $710 million to $740 million. We expect revenue from products for the storage end market to decline while revenue from products for the mobile and wireless, and the networking end markets is anticipated to be flat to slightly up.</w:t>
      </w:r>
    </w:p>
    <w:p>
      <w:pPr>
        <w:spacing w:after="0" w:line="127"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31</w:t>
      </w:r>
    </w:p>
    <w:p>
      <w:pPr>
        <w:sectPr>
          <w:pgSz w:w="11900" w:h="16838" w:orient="portrait"/>
          <w:cols w:equalWidth="0" w:num="1">
            <w:col w:w="11340"/>
          </w:cols>
          <w:pgMar w:left="240" w:top="459" w:right="31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Cost of Goods Sold</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560" w:type="dxa"/>
            <w:vAlign w:val="bottom"/>
          </w:tcPr>
          <w:p>
            <w:pPr>
              <w:spacing w:after="0"/>
              <w:rPr>
                <w:sz w:val="14"/>
                <w:szCs w:val="14"/>
                <w:color w:val="auto"/>
              </w:rPr>
            </w:pPr>
          </w:p>
        </w:tc>
        <w:tc>
          <w:tcPr>
            <w:tcW w:w="2440" w:type="dxa"/>
            <w:vAlign w:val="bottom"/>
            <w:gridSpan w:val="3"/>
          </w:tcPr>
          <w:p>
            <w:pPr>
              <w:jc w:val="right"/>
              <w:ind w:right="86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560" w:type="dxa"/>
            <w:vAlign w:val="bottom"/>
          </w:tcPr>
          <w:p>
            <w:pPr>
              <w:spacing w:after="0"/>
              <w:rPr>
                <w:sz w:val="11"/>
                <w:szCs w:val="11"/>
                <w:color w:val="auto"/>
              </w:rPr>
            </w:pPr>
          </w:p>
        </w:tc>
        <w:tc>
          <w:tcPr>
            <w:tcW w:w="1040" w:type="dxa"/>
            <w:vAlign w:val="bottom"/>
            <w:tcBorders>
              <w:top w:val="single" w:sz="8" w:color="auto"/>
            </w:tcBorders>
          </w:tcPr>
          <w:p>
            <w:pPr>
              <w:jc w:val="right"/>
              <w:ind w:right="426"/>
              <w:spacing w:after="0" w:line="129" w:lineRule="exact"/>
              <w:rPr>
                <w:sz w:val="20"/>
                <w:szCs w:val="20"/>
                <w:color w:val="auto"/>
              </w:rPr>
            </w:pPr>
            <w:r>
              <w:rPr>
                <w:rFonts w:ascii="Arial" w:cs="Arial" w:eastAsia="Arial" w:hAnsi="Arial"/>
                <w:sz w:val="14"/>
                <w:szCs w:val="14"/>
                <w:b w:val="1"/>
                <w:bCs w:val="1"/>
                <w:color w:val="auto"/>
              </w:rPr>
              <w:t>May 2,</w:t>
            </w:r>
          </w:p>
        </w:tc>
        <w:tc>
          <w:tcPr>
            <w:tcW w:w="88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3,</w:t>
            </w:r>
          </w:p>
        </w:tc>
        <w:tc>
          <w:tcPr>
            <w:tcW w:w="52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560" w:type="dxa"/>
            <w:vAlign w:val="bottom"/>
          </w:tcPr>
          <w:p>
            <w:pPr>
              <w:spacing w:after="0"/>
              <w:rPr>
                <w:sz w:val="14"/>
                <w:szCs w:val="14"/>
                <w:color w:val="auto"/>
              </w:rPr>
            </w:pPr>
          </w:p>
        </w:tc>
        <w:tc>
          <w:tcPr>
            <w:tcW w:w="1040" w:type="dxa"/>
            <w:vAlign w:val="bottom"/>
          </w:tcPr>
          <w:p>
            <w:pPr>
              <w:jc w:val="right"/>
              <w:ind w:right="486"/>
              <w:spacing w:after="0"/>
              <w:rPr>
                <w:sz w:val="20"/>
                <w:szCs w:val="20"/>
                <w:color w:val="auto"/>
              </w:rPr>
            </w:pPr>
            <w:r>
              <w:rPr>
                <w:rFonts w:ascii="Arial" w:cs="Arial" w:eastAsia="Arial" w:hAnsi="Arial"/>
                <w:sz w:val="14"/>
                <w:szCs w:val="14"/>
                <w:b w:val="1"/>
                <w:bCs w:val="1"/>
                <w:color w:val="auto"/>
              </w:rPr>
              <w:t>2015</w:t>
            </w:r>
          </w:p>
        </w:tc>
        <w:tc>
          <w:tcPr>
            <w:tcW w:w="880" w:type="dxa"/>
            <w:vAlign w:val="bottom"/>
          </w:tcPr>
          <w:p>
            <w:pPr>
              <w:jc w:val="right"/>
              <w:ind w:right="122"/>
              <w:spacing w:after="0"/>
              <w:rPr>
                <w:sz w:val="20"/>
                <w:szCs w:val="20"/>
                <w:color w:val="auto"/>
              </w:rPr>
            </w:pPr>
            <w:r>
              <w:rPr>
                <w:rFonts w:ascii="Arial" w:cs="Arial" w:eastAsia="Arial" w:hAnsi="Arial"/>
                <w:sz w:val="14"/>
                <w:szCs w:val="14"/>
                <w:b w:val="1"/>
                <w:bCs w:val="1"/>
                <w:color w:val="auto"/>
              </w:rPr>
              <w:t>2014</w:t>
            </w:r>
          </w:p>
        </w:tc>
        <w:tc>
          <w:tcPr>
            <w:tcW w:w="520" w:type="dxa"/>
            <w:vAlign w:val="bottom"/>
          </w:tcPr>
          <w:p>
            <w:pPr>
              <w:spacing w:after="0"/>
              <w:rPr>
                <w:sz w:val="14"/>
                <w:szCs w:val="14"/>
                <w:color w:val="auto"/>
              </w:rPr>
            </w:pPr>
          </w:p>
        </w:tc>
        <w:tc>
          <w:tcPr>
            <w:tcW w:w="580" w:type="dxa"/>
            <w:vAlign w:val="bottom"/>
            <w:gridSpan w:val="2"/>
          </w:tcPr>
          <w:p>
            <w:pPr>
              <w:jc w:val="center"/>
              <w:ind w:right="8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42"/>
        </w:trPr>
        <w:tc>
          <w:tcPr>
            <w:tcW w:w="6560" w:type="dxa"/>
            <w:vAlign w:val="bottom"/>
          </w:tcPr>
          <w:p>
            <w:pPr>
              <w:spacing w:after="0"/>
              <w:rPr>
                <w:sz w:val="12"/>
                <w:szCs w:val="12"/>
                <w:color w:val="auto"/>
              </w:rPr>
            </w:pPr>
          </w:p>
        </w:tc>
        <w:tc>
          <w:tcPr>
            <w:tcW w:w="244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56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1040" w:type="dxa"/>
            <w:vAlign w:val="bottom"/>
            <w:shd w:val="clear" w:color="auto" w:fill="CCEEFF"/>
          </w:tcPr>
          <w:p>
            <w:pPr>
              <w:jc w:val="right"/>
              <w:ind w:right="286"/>
              <w:spacing w:after="0"/>
              <w:rPr>
                <w:sz w:val="20"/>
                <w:szCs w:val="20"/>
                <w:color w:val="auto"/>
              </w:rPr>
            </w:pPr>
            <w:r>
              <w:rPr>
                <w:rFonts w:ascii="Arial" w:cs="Arial" w:eastAsia="Arial" w:hAnsi="Arial"/>
                <w:sz w:val="18"/>
                <w:szCs w:val="18"/>
                <w:color w:val="auto"/>
                <w:w w:val="87"/>
              </w:rPr>
              <w:t>$351,153</w:t>
            </w:r>
          </w:p>
        </w:tc>
        <w:tc>
          <w:tcPr>
            <w:tcW w:w="1400" w:type="dxa"/>
            <w:vAlign w:val="bottom"/>
            <w:gridSpan w:val="2"/>
            <w:shd w:val="clear" w:color="auto" w:fill="CCEEFF"/>
          </w:tcPr>
          <w:p>
            <w:pPr>
              <w:jc w:val="right"/>
              <w:ind w:right="520"/>
              <w:spacing w:after="0"/>
              <w:rPr>
                <w:sz w:val="20"/>
                <w:szCs w:val="20"/>
                <w:color w:val="auto"/>
              </w:rPr>
            </w:pPr>
            <w:r>
              <w:rPr>
                <w:rFonts w:ascii="Arial" w:cs="Arial" w:eastAsia="Arial" w:hAnsi="Arial"/>
                <w:sz w:val="18"/>
                <w:szCs w:val="18"/>
                <w:color w:val="auto"/>
              </w:rPr>
              <w:t>$493,860</w:t>
            </w:r>
          </w:p>
        </w:tc>
        <w:tc>
          <w:tcPr>
            <w:tcW w:w="58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(28.9)</w:t>
            </w:r>
          </w:p>
        </w:tc>
        <w:tc>
          <w:tcPr>
            <w:tcW w:w="0" w:type="dxa"/>
            <w:vAlign w:val="bottom"/>
          </w:tcPr>
          <w:p>
            <w:pPr>
              <w:spacing w:after="0"/>
              <w:rPr>
                <w:sz w:val="1"/>
                <w:szCs w:val="1"/>
                <w:color w:val="auto"/>
              </w:rPr>
            </w:pPr>
          </w:p>
        </w:tc>
      </w:tr>
      <w:tr>
        <w:trPr>
          <w:trHeight w:val="222"/>
        </w:trPr>
        <w:tc>
          <w:tcPr>
            <w:tcW w:w="6560" w:type="dxa"/>
            <w:vAlign w:val="bottom"/>
          </w:tcPr>
          <w:p>
            <w:pPr>
              <w:spacing w:after="0"/>
              <w:rPr>
                <w:sz w:val="20"/>
                <w:szCs w:val="20"/>
                <w:color w:val="auto"/>
              </w:rPr>
            </w:pPr>
            <w:r>
              <w:rPr>
                <w:rFonts w:ascii="Arial" w:cs="Arial" w:eastAsia="Arial" w:hAnsi="Arial"/>
                <w:sz w:val="18"/>
                <w:szCs w:val="18"/>
                <w:color w:val="auto"/>
              </w:rPr>
              <w:t>% of net revenue</w:t>
            </w:r>
          </w:p>
        </w:tc>
        <w:tc>
          <w:tcPr>
            <w:tcW w:w="1040" w:type="dxa"/>
            <w:vAlign w:val="bottom"/>
          </w:tcPr>
          <w:p>
            <w:pPr>
              <w:jc w:val="right"/>
              <w:ind w:right="126"/>
              <w:spacing w:after="0"/>
              <w:rPr>
                <w:sz w:val="20"/>
                <w:szCs w:val="20"/>
                <w:color w:val="auto"/>
              </w:rPr>
            </w:pPr>
            <w:r>
              <w:rPr>
                <w:rFonts w:ascii="Arial" w:cs="Arial" w:eastAsia="Arial" w:hAnsi="Arial"/>
                <w:sz w:val="18"/>
                <w:szCs w:val="18"/>
                <w:color w:val="auto"/>
              </w:rPr>
              <w:t>48.5%</w:t>
            </w:r>
          </w:p>
        </w:tc>
        <w:tc>
          <w:tcPr>
            <w:tcW w:w="1400" w:type="dxa"/>
            <w:vAlign w:val="bottom"/>
            <w:gridSpan w:val="2"/>
          </w:tcPr>
          <w:p>
            <w:pPr>
              <w:jc w:val="right"/>
              <w:ind w:right="380"/>
              <w:spacing w:after="0"/>
              <w:rPr>
                <w:sz w:val="20"/>
                <w:szCs w:val="20"/>
                <w:color w:val="auto"/>
              </w:rPr>
            </w:pPr>
            <w:r>
              <w:rPr>
                <w:rFonts w:ascii="Arial" w:cs="Arial" w:eastAsia="Arial" w:hAnsi="Arial"/>
                <w:sz w:val="18"/>
                <w:szCs w:val="18"/>
                <w:color w:val="auto"/>
              </w:rPr>
              <w:t>51.6%</w:t>
            </w:r>
          </w:p>
        </w:tc>
        <w:tc>
          <w:tcPr>
            <w:tcW w:w="4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91" w:lineRule="auto"/>
        <w:rPr>
          <w:sz w:val="20"/>
          <w:szCs w:val="20"/>
          <w:color w:val="auto"/>
        </w:rPr>
      </w:pPr>
      <w:r>
        <w:rPr>
          <w:rFonts w:ascii="Arial" w:cs="Arial" w:eastAsia="Arial" w:hAnsi="Arial"/>
          <w:sz w:val="16"/>
          <w:szCs w:val="16"/>
          <w:color w:val="auto"/>
        </w:rPr>
        <w:t>Cost of goods sold as a percentage of net revenue was lower for the three months ended May 2, 2015 primarily due to declining revenue from our mobile and wireless products which have higher average cost of goods sold as a percentage of revenue. In addition, we had lower write-downs of excess inventory and other manufacturing period costs. Our cost of goods sold as a percentage of net revenue may fluctuate in future periods due to, among other things, changes in the mix of products sold; the timing of production ramps of new products; increased pricing pressures from our customers and competitors, particularly in the consumer product markets that we are targeting; charges for obsolete or potentially excess inventory; changes in the costs charged by our foundry, assembly and test subcontractors; product warranty costs; changes in commodity prices such as gold; and the margin profiles of our new product introductions.</w:t>
      </w:r>
    </w:p>
    <w:p>
      <w:pPr>
        <w:spacing w:after="0" w:line="120" w:lineRule="exact"/>
        <w:rPr>
          <w:sz w:val="20"/>
          <w:szCs w:val="20"/>
          <w:color w:val="auto"/>
        </w:rPr>
      </w:pPr>
    </w:p>
    <w:p>
      <w:pPr>
        <w:ind w:right="300" w:firstLine="456"/>
        <w:spacing w:after="0" w:line="268" w:lineRule="auto"/>
        <w:rPr>
          <w:sz w:val="20"/>
          <w:szCs w:val="20"/>
          <w:color w:val="auto"/>
        </w:rPr>
      </w:pPr>
      <w:r>
        <w:rPr>
          <w:rFonts w:ascii="Arial" w:cs="Arial" w:eastAsia="Arial" w:hAnsi="Arial"/>
          <w:sz w:val="18"/>
          <w:szCs w:val="18"/>
          <w:color w:val="auto"/>
        </w:rPr>
        <w:t>We currently expect cost of goods sold as a percentage of net revenue for the three months ending August 1, 2015 to be slightly higher compared to the three months ended May 2, 2015.</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Share-Based Compensation Expense</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4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520" w:type="dxa"/>
            <w:vAlign w:val="bottom"/>
            <w:gridSpan w:val="5"/>
          </w:tcPr>
          <w:p>
            <w:pPr>
              <w:ind w:left="6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480" w:type="dxa"/>
            <w:vAlign w:val="bottom"/>
          </w:tcPr>
          <w:p>
            <w:pPr>
              <w:spacing w:after="0"/>
              <w:rPr>
                <w:sz w:val="11"/>
                <w:szCs w:val="11"/>
                <w:color w:val="auto"/>
              </w:rPr>
            </w:pPr>
          </w:p>
        </w:tc>
        <w:tc>
          <w:tcPr>
            <w:tcW w:w="258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480" w:type="dxa"/>
            <w:vAlign w:val="bottom"/>
            <w:tcBorders>
              <w:top w:val="single" w:sz="8" w:color="auto"/>
            </w:tcBorders>
          </w:tcPr>
          <w:p>
            <w:pPr>
              <w:jc w:val="right"/>
              <w:ind w:right="1"/>
              <w:spacing w:after="0" w:line="129" w:lineRule="exact"/>
              <w:rPr>
                <w:sz w:val="20"/>
                <w:szCs w:val="20"/>
                <w:color w:val="auto"/>
              </w:rPr>
            </w:pPr>
            <w:r>
              <w:rPr>
                <w:rFonts w:ascii="Arial" w:cs="Arial" w:eastAsia="Arial" w:hAnsi="Arial"/>
                <w:sz w:val="14"/>
                <w:szCs w:val="14"/>
                <w:b w:val="1"/>
                <w:bCs w:val="1"/>
                <w:color w:val="auto"/>
                <w:w w:val="88"/>
              </w:rPr>
              <w:t>May 2,</w:t>
            </w:r>
          </w:p>
        </w:tc>
        <w:tc>
          <w:tcPr>
            <w:tcW w:w="40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3,</w:t>
            </w:r>
          </w:p>
        </w:tc>
        <w:tc>
          <w:tcPr>
            <w:tcW w:w="60" w:type="dxa"/>
            <w:vAlign w:val="bottom"/>
          </w:tcPr>
          <w:p>
            <w:pPr>
              <w:spacing w:after="0"/>
              <w:rPr>
                <w:sz w:val="11"/>
                <w:szCs w:val="11"/>
                <w:color w:val="auto"/>
              </w:rPr>
            </w:pPr>
          </w:p>
        </w:tc>
      </w:tr>
      <w:tr>
        <w:trPr>
          <w:trHeight w:val="161"/>
        </w:trPr>
        <w:tc>
          <w:tcPr>
            <w:tcW w:w="4480" w:type="dxa"/>
            <w:vAlign w:val="bottom"/>
          </w:tcPr>
          <w:p>
            <w:pPr>
              <w:spacing w:after="0"/>
              <w:rPr>
                <w:sz w:val="14"/>
                <w:szCs w:val="14"/>
                <w:color w:val="auto"/>
              </w:rPr>
            </w:pPr>
          </w:p>
        </w:tc>
        <w:tc>
          <w:tcPr>
            <w:tcW w:w="258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81"/>
              <w:spacing w:after="0"/>
              <w:rPr>
                <w:sz w:val="20"/>
                <w:szCs w:val="20"/>
                <w:color w:val="auto"/>
              </w:rPr>
            </w:pPr>
            <w:r>
              <w:rPr>
                <w:rFonts w:ascii="Arial" w:cs="Arial" w:eastAsia="Arial" w:hAnsi="Arial"/>
                <w:sz w:val="14"/>
                <w:szCs w:val="14"/>
                <w:b w:val="1"/>
                <w:bCs w:val="1"/>
                <w:color w:val="auto"/>
                <w:w w:val="96"/>
              </w:rPr>
              <w:t>2015</w:t>
            </w:r>
          </w:p>
        </w:tc>
        <w:tc>
          <w:tcPr>
            <w:tcW w:w="4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60" w:type="dxa"/>
            <w:vAlign w:val="bottom"/>
          </w:tcPr>
          <w:p>
            <w:pPr>
              <w:spacing w:after="0"/>
              <w:rPr>
                <w:sz w:val="14"/>
                <w:szCs w:val="14"/>
                <w:color w:val="auto"/>
              </w:rPr>
            </w:pPr>
          </w:p>
        </w:tc>
      </w:tr>
      <w:tr>
        <w:trPr>
          <w:trHeight w:val="142"/>
        </w:trPr>
        <w:tc>
          <w:tcPr>
            <w:tcW w:w="4480" w:type="dxa"/>
            <w:vAlign w:val="bottom"/>
          </w:tcPr>
          <w:p>
            <w:pPr>
              <w:spacing w:after="0"/>
              <w:rPr>
                <w:sz w:val="12"/>
                <w:szCs w:val="12"/>
                <w:color w:val="auto"/>
              </w:rPr>
            </w:pPr>
          </w:p>
        </w:tc>
        <w:tc>
          <w:tcPr>
            <w:tcW w:w="25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right"/>
              <w:ind w:right="298"/>
              <w:spacing w:after="0" w:line="142" w:lineRule="exact"/>
              <w:rPr>
                <w:sz w:val="20"/>
                <w:szCs w:val="20"/>
                <w:color w:val="auto"/>
              </w:rPr>
            </w:pPr>
            <w:r>
              <w:rPr>
                <w:rFonts w:ascii="Arial" w:cs="Arial" w:eastAsia="Arial" w:hAnsi="Arial"/>
                <w:sz w:val="14"/>
                <w:szCs w:val="14"/>
                <w:b w:val="1"/>
                <w:bCs w:val="1"/>
                <w:color w:val="auto"/>
              </w:rPr>
              <w:t>(in thousands)</w:t>
            </w:r>
          </w:p>
        </w:tc>
        <w:tc>
          <w:tcPr>
            <w:tcW w:w="60" w:type="dxa"/>
            <w:vAlign w:val="bottom"/>
          </w:tcPr>
          <w:p>
            <w:pPr>
              <w:spacing w:after="0"/>
              <w:rPr>
                <w:sz w:val="12"/>
                <w:szCs w:val="12"/>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Cost of goods sold</w:t>
            </w:r>
          </w:p>
        </w:tc>
        <w:tc>
          <w:tcPr>
            <w:tcW w:w="2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1,547</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2,299</w:t>
            </w:r>
          </w:p>
        </w:tc>
        <w:tc>
          <w:tcPr>
            <w:tcW w:w="60" w:type="dxa"/>
            <w:vAlign w:val="bottom"/>
            <w:shd w:val="clear" w:color="auto" w:fill="CCEEFF"/>
          </w:tcPr>
          <w:p>
            <w:pPr>
              <w:spacing w:after="0"/>
              <w:rPr>
                <w:sz w:val="18"/>
                <w:szCs w:val="18"/>
                <w:color w:val="auto"/>
              </w:rPr>
            </w:pPr>
          </w:p>
        </w:tc>
      </w:tr>
      <w:tr>
        <w:trPr>
          <w:trHeight w:val="216"/>
        </w:trPr>
        <w:tc>
          <w:tcPr>
            <w:tcW w:w="448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24,781</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w w:val="87"/>
              </w:rPr>
              <w:t>20,368</w:t>
            </w:r>
          </w:p>
        </w:tc>
        <w:tc>
          <w:tcPr>
            <w:tcW w:w="60" w:type="dxa"/>
            <w:vAlign w:val="bottom"/>
          </w:tcPr>
          <w:p>
            <w:pPr>
              <w:spacing w:after="0"/>
              <w:rPr>
                <w:sz w:val="18"/>
                <w:szCs w:val="18"/>
                <w:color w:val="auto"/>
              </w:rPr>
            </w:pPr>
          </w:p>
        </w:tc>
      </w:tr>
      <w:tr>
        <w:trPr>
          <w:trHeight w:val="216"/>
        </w:trPr>
        <w:tc>
          <w:tcPr>
            <w:tcW w:w="448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2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2,577</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2,928</w:t>
            </w:r>
          </w:p>
        </w:tc>
        <w:tc>
          <w:tcPr>
            <w:tcW w:w="60" w:type="dxa"/>
            <w:vAlign w:val="bottom"/>
            <w:shd w:val="clear" w:color="auto" w:fill="CCEEFF"/>
          </w:tcPr>
          <w:p>
            <w:pPr>
              <w:spacing w:after="0"/>
              <w:rPr>
                <w:sz w:val="18"/>
                <w:szCs w:val="18"/>
                <w:color w:val="auto"/>
              </w:rPr>
            </w:pPr>
          </w:p>
        </w:tc>
      </w:tr>
      <w:tr>
        <w:trPr>
          <w:trHeight w:val="223"/>
        </w:trPr>
        <w:tc>
          <w:tcPr>
            <w:tcW w:w="448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5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4,316</w:t>
            </w:r>
          </w:p>
        </w:tc>
        <w:tc>
          <w:tcPr>
            <w:tcW w:w="4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4,374</w:t>
            </w:r>
          </w:p>
        </w:tc>
        <w:tc>
          <w:tcPr>
            <w:tcW w:w="60" w:type="dxa"/>
            <w:vAlign w:val="bottom"/>
          </w:tcPr>
          <w:p>
            <w:pPr>
              <w:spacing w:after="0"/>
              <w:rPr>
                <w:sz w:val="19"/>
                <w:szCs w:val="19"/>
                <w:color w:val="auto"/>
              </w:rPr>
            </w:pPr>
          </w:p>
        </w:tc>
      </w:tr>
      <w:tr>
        <w:trPr>
          <w:trHeight w:val="216"/>
        </w:trPr>
        <w:tc>
          <w:tcPr>
            <w:tcW w:w="4480" w:type="dxa"/>
            <w:vAlign w:val="bottom"/>
            <w:shd w:val="clear" w:color="auto" w:fill="CCEEFF"/>
          </w:tcPr>
          <w:p>
            <w:pPr>
              <w:spacing w:after="0"/>
              <w:rPr>
                <w:sz w:val="18"/>
                <w:szCs w:val="18"/>
                <w:color w:val="auto"/>
              </w:rPr>
            </w:pPr>
          </w:p>
        </w:tc>
        <w:tc>
          <w:tcPr>
            <w:tcW w:w="268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3"/>
              </w:rPr>
              <w:t>33,221</w:t>
            </w:r>
          </w:p>
        </w:tc>
        <w:tc>
          <w:tcPr>
            <w:tcW w:w="480" w:type="dxa"/>
            <w:vAlign w:val="bottom"/>
            <w:gridSpan w:val="2"/>
            <w:shd w:val="clear" w:color="auto" w:fill="CCEEFF"/>
          </w:tcPr>
          <w:p>
            <w:pPr>
              <w:jc w:val="right"/>
              <w:spacing w:after="0"/>
              <w:rPr>
                <w:sz w:val="20"/>
                <w:szCs w:val="20"/>
                <w:color w:val="auto"/>
              </w:rPr>
            </w:pPr>
            <w:r>
              <w:rPr>
                <w:rFonts w:ascii="Arial" w:cs="Arial" w:eastAsia="Arial" w:hAnsi="Arial"/>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29,969</w:t>
            </w:r>
          </w:p>
        </w:tc>
        <w:tc>
          <w:tcPr>
            <w:tcW w:w="60" w:type="dxa"/>
            <w:vAlign w:val="bottom"/>
            <w:shd w:val="clear" w:color="auto" w:fill="CCEEFF"/>
          </w:tcPr>
          <w:p>
            <w:pPr>
              <w:spacing w:after="0"/>
              <w:rPr>
                <w:sz w:val="18"/>
                <w:szCs w:val="18"/>
                <w:color w:val="auto"/>
              </w:rPr>
            </w:pPr>
          </w:p>
        </w:tc>
      </w:tr>
      <w:tr>
        <w:trPr>
          <w:trHeight w:val="20"/>
        </w:trPr>
        <w:tc>
          <w:tcPr>
            <w:tcW w:w="4480" w:type="dxa"/>
            <w:vAlign w:val="bottom"/>
          </w:tcPr>
          <w:p>
            <w:pPr>
              <w:spacing w:after="0" w:line="20" w:lineRule="exact"/>
              <w:rPr>
                <w:sz w:val="1"/>
                <w:szCs w:val="1"/>
                <w:color w:val="auto"/>
              </w:rPr>
            </w:pPr>
          </w:p>
        </w:tc>
        <w:tc>
          <w:tcPr>
            <w:tcW w:w="25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67"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Share-based compensation expense increased by $3.3 million for the three months ended May 2, 2015 compared to the three months ended May 3, 2014. The increase reflects higher share-based compensation expense related to the performance-based awards granted to our executive officers in April 2014. In addition, lower share-based compensation expense in the three months ended May 3, 2014 includes the reversal of previously recognized expense associated with unvested equity awards that were cancelled as a result of the resignation in February 2014 of our former Chief Technology Officer. No such credit is reflected in the share-based compensation expense in the three months ended May 2, 2015.</w:t>
      </w:r>
    </w:p>
    <w:p>
      <w:pPr>
        <w:spacing w:after="0" w:line="197"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Restructuring</w:t>
      </w:r>
    </w:p>
    <w:p>
      <w:pPr>
        <w:spacing w:after="0" w:line="207"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484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5"/>
          </w:tcPr>
          <w:p>
            <w:pPr>
              <w:ind w:left="80"/>
              <w:spacing w:after="0"/>
              <w:rPr>
                <w:sz w:val="20"/>
                <w:szCs w:val="20"/>
                <w:color w:val="auto"/>
              </w:rPr>
            </w:pPr>
            <w:r>
              <w:rPr>
                <w:rFonts w:ascii="Arial" w:cs="Arial" w:eastAsia="Arial" w:hAnsi="Arial"/>
                <w:sz w:val="14"/>
                <w:szCs w:val="14"/>
                <w:b w:val="1"/>
                <w:bCs w:val="1"/>
                <w:color w:val="auto"/>
              </w:rPr>
              <w:t>Three Months Ended</w:t>
            </w:r>
          </w:p>
        </w:tc>
      </w:tr>
      <w:tr>
        <w:trPr>
          <w:trHeight w:val="129"/>
        </w:trPr>
        <w:tc>
          <w:tcPr>
            <w:tcW w:w="4840" w:type="dxa"/>
            <w:vAlign w:val="bottom"/>
          </w:tcPr>
          <w:p>
            <w:pPr>
              <w:spacing w:after="0"/>
              <w:rPr>
                <w:sz w:val="11"/>
                <w:szCs w:val="11"/>
                <w:color w:val="auto"/>
              </w:rPr>
            </w:pPr>
          </w:p>
        </w:tc>
        <w:tc>
          <w:tcPr>
            <w:tcW w:w="2180" w:type="dxa"/>
            <w:vAlign w:val="bottom"/>
          </w:tcPr>
          <w:p>
            <w:pPr>
              <w:spacing w:after="0"/>
              <w:rPr>
                <w:sz w:val="11"/>
                <w:szCs w:val="11"/>
                <w:color w:val="auto"/>
              </w:rPr>
            </w:pPr>
          </w:p>
        </w:tc>
        <w:tc>
          <w:tcPr>
            <w:tcW w:w="460" w:type="dxa"/>
            <w:vAlign w:val="bottom"/>
            <w:tcBorders>
              <w:top w:val="single" w:sz="8" w:color="auto"/>
            </w:tcBorders>
            <w:gridSpan w:val="2"/>
          </w:tcPr>
          <w:p>
            <w:pPr>
              <w:ind w:left="20"/>
              <w:spacing w:after="0" w:line="129" w:lineRule="exact"/>
              <w:rPr>
                <w:sz w:val="20"/>
                <w:szCs w:val="20"/>
                <w:color w:val="auto"/>
              </w:rPr>
            </w:pPr>
            <w:r>
              <w:rPr>
                <w:rFonts w:ascii="Arial" w:cs="Arial" w:eastAsia="Arial" w:hAnsi="Arial"/>
                <w:sz w:val="14"/>
                <w:szCs w:val="14"/>
                <w:b w:val="1"/>
                <w:bCs w:val="1"/>
                <w:color w:val="auto"/>
                <w:w w:val="98"/>
              </w:rPr>
              <w:t>May 2,</w:t>
            </w:r>
          </w:p>
        </w:tc>
        <w:tc>
          <w:tcPr>
            <w:tcW w:w="5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500" w:type="dxa"/>
            <w:vAlign w:val="bottom"/>
            <w:tcBorders>
              <w:top w:val="single" w:sz="8" w:color="auto"/>
            </w:tcBorders>
          </w:tcPr>
          <w:p>
            <w:pPr>
              <w:jc w:val="right"/>
              <w:ind w:right="18"/>
              <w:spacing w:after="0" w:line="129" w:lineRule="exact"/>
              <w:rPr>
                <w:sz w:val="20"/>
                <w:szCs w:val="20"/>
                <w:color w:val="auto"/>
              </w:rPr>
            </w:pPr>
            <w:r>
              <w:rPr>
                <w:rFonts w:ascii="Arial" w:cs="Arial" w:eastAsia="Arial" w:hAnsi="Arial"/>
                <w:sz w:val="14"/>
                <w:szCs w:val="14"/>
                <w:b w:val="1"/>
                <w:bCs w:val="1"/>
                <w:color w:val="auto"/>
                <w:w w:val="88"/>
              </w:rPr>
              <w:t>May 3,</w:t>
            </w:r>
          </w:p>
        </w:tc>
        <w:tc>
          <w:tcPr>
            <w:tcW w:w="100" w:type="dxa"/>
            <w:vAlign w:val="bottom"/>
          </w:tcPr>
          <w:p>
            <w:pPr>
              <w:spacing w:after="0"/>
              <w:rPr>
                <w:sz w:val="11"/>
                <w:szCs w:val="11"/>
                <w:color w:val="auto"/>
              </w:rPr>
            </w:pPr>
          </w:p>
        </w:tc>
      </w:tr>
      <w:tr>
        <w:trPr>
          <w:trHeight w:val="161"/>
        </w:trPr>
        <w:tc>
          <w:tcPr>
            <w:tcW w:w="484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3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2015</w:t>
            </w:r>
          </w:p>
        </w:tc>
        <w:tc>
          <w:tcPr>
            <w:tcW w:w="5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Arial" w:cs="Arial" w:eastAsia="Arial" w:hAnsi="Arial"/>
                <w:sz w:val="14"/>
                <w:szCs w:val="14"/>
                <w:b w:val="1"/>
                <w:bCs w:val="1"/>
                <w:color w:val="auto"/>
              </w:rPr>
              <w:t>2014</w:t>
            </w:r>
          </w:p>
        </w:tc>
        <w:tc>
          <w:tcPr>
            <w:tcW w:w="100" w:type="dxa"/>
            <w:vAlign w:val="bottom"/>
          </w:tcPr>
          <w:p>
            <w:pPr>
              <w:spacing w:after="0"/>
              <w:rPr>
                <w:sz w:val="14"/>
                <w:szCs w:val="14"/>
                <w:color w:val="auto"/>
              </w:rPr>
            </w:pPr>
          </w:p>
        </w:tc>
      </w:tr>
      <w:tr>
        <w:trPr>
          <w:trHeight w:val="142"/>
        </w:trPr>
        <w:tc>
          <w:tcPr>
            <w:tcW w:w="4840" w:type="dxa"/>
            <w:vAlign w:val="bottom"/>
          </w:tcPr>
          <w:p>
            <w:pPr>
              <w:spacing w:after="0"/>
              <w:rPr>
                <w:sz w:val="12"/>
                <w:szCs w:val="12"/>
                <w:color w:val="auto"/>
              </w:rPr>
            </w:pPr>
          </w:p>
        </w:tc>
        <w:tc>
          <w:tcPr>
            <w:tcW w:w="21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480" w:type="dxa"/>
            <w:vAlign w:val="bottom"/>
            <w:gridSpan w:val="4"/>
          </w:tcPr>
          <w:p>
            <w:pPr>
              <w:jc w:val="right"/>
              <w:ind w:right="298"/>
              <w:spacing w:after="0" w:line="142" w:lineRule="exact"/>
              <w:rPr>
                <w:sz w:val="20"/>
                <w:szCs w:val="20"/>
                <w:color w:val="auto"/>
              </w:rPr>
            </w:pPr>
            <w:r>
              <w:rPr>
                <w:rFonts w:ascii="Arial" w:cs="Arial" w:eastAsia="Arial" w:hAnsi="Arial"/>
                <w:sz w:val="14"/>
                <w:szCs w:val="14"/>
                <w:b w:val="1"/>
                <w:bCs w:val="1"/>
                <w:color w:val="auto"/>
              </w:rPr>
              <w:t>(in thousands)</w:t>
            </w:r>
          </w:p>
        </w:tc>
        <w:tc>
          <w:tcPr>
            <w:tcW w:w="100" w:type="dxa"/>
            <w:vAlign w:val="bottom"/>
          </w:tcPr>
          <w:p>
            <w:pPr>
              <w:spacing w:after="0"/>
              <w:rPr>
                <w:sz w:val="12"/>
                <w:szCs w:val="12"/>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4,682</w:t>
            </w:r>
          </w:p>
        </w:tc>
        <w:tc>
          <w:tcPr>
            <w:tcW w:w="100" w:type="dxa"/>
            <w:vAlign w:val="bottom"/>
            <w:shd w:val="clear" w:color="auto" w:fill="CCEEFF"/>
          </w:tcPr>
          <w:p>
            <w:pPr>
              <w:spacing w:after="0"/>
              <w:rPr>
                <w:sz w:val="18"/>
                <w:szCs w:val="18"/>
                <w:color w:val="auto"/>
              </w:rPr>
            </w:pPr>
          </w:p>
        </w:tc>
      </w:tr>
      <w:tr>
        <w:trPr>
          <w:trHeight w:val="216"/>
        </w:trPr>
        <w:tc>
          <w:tcPr>
            <w:tcW w:w="4840" w:type="dxa"/>
            <w:vAlign w:val="bottom"/>
          </w:tcPr>
          <w:p>
            <w:pPr>
              <w:spacing w:after="0"/>
              <w:rPr>
                <w:sz w:val="20"/>
                <w:szCs w:val="20"/>
                <w:color w:val="auto"/>
              </w:rPr>
            </w:pPr>
            <w:r>
              <w:rPr>
                <w:rFonts w:ascii="Arial" w:cs="Arial" w:eastAsia="Arial" w:hAnsi="Arial"/>
                <w:sz w:val="18"/>
                <w:szCs w:val="18"/>
                <w:color w:val="auto"/>
              </w:rPr>
              <w:t>Selling and marketing</w:t>
            </w:r>
          </w:p>
        </w:tc>
        <w:tc>
          <w:tcPr>
            <w:tcW w:w="2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80" w:type="dxa"/>
            <w:vAlign w:val="bottom"/>
          </w:tcPr>
          <w:p>
            <w:pPr>
              <w:ind w:left="1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18"/>
                <w:szCs w:val="18"/>
                <w:color w:val="auto"/>
              </w:rPr>
            </w:pPr>
          </w:p>
        </w:tc>
      </w:tr>
      <w:tr>
        <w:trPr>
          <w:trHeight w:val="216"/>
        </w:trPr>
        <w:tc>
          <w:tcPr>
            <w:tcW w:w="484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21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6"/>
              </w:rPr>
              <w:t>592</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358</w:t>
            </w:r>
          </w:p>
        </w:tc>
        <w:tc>
          <w:tcPr>
            <w:tcW w:w="100" w:type="dxa"/>
            <w:vAlign w:val="bottom"/>
            <w:shd w:val="clear" w:color="auto" w:fill="CCEEFF"/>
          </w:tcPr>
          <w:p>
            <w:pPr>
              <w:spacing w:after="0"/>
              <w:rPr>
                <w:sz w:val="18"/>
                <w:szCs w:val="18"/>
                <w:color w:val="auto"/>
              </w:rPr>
            </w:pPr>
          </w:p>
        </w:tc>
      </w:tr>
      <w:tr>
        <w:trPr>
          <w:trHeight w:val="223"/>
        </w:trPr>
        <w:tc>
          <w:tcPr>
            <w:tcW w:w="4840" w:type="dxa"/>
            <w:vAlign w:val="bottom"/>
          </w:tcPr>
          <w:p>
            <w:pPr>
              <w:spacing w:after="0"/>
              <w:rPr>
                <w:sz w:val="20"/>
                <w:szCs w:val="20"/>
                <w:color w:val="auto"/>
              </w:rPr>
            </w:pPr>
            <w:r>
              <w:rPr>
                <w:rFonts w:ascii="Arial" w:cs="Arial" w:eastAsia="Arial" w:hAnsi="Arial"/>
                <w:sz w:val="18"/>
                <w:szCs w:val="18"/>
                <w:color w:val="auto"/>
              </w:rPr>
              <w:t>Write-off of acquired intangible assets</w:t>
            </w:r>
          </w:p>
        </w:tc>
        <w:tc>
          <w:tcPr>
            <w:tcW w:w="21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380" w:type="dxa"/>
            <w:vAlign w:val="bottom"/>
            <w:tcBorders>
              <w:bottom w:val="single" w:sz="8" w:color="auto"/>
            </w:tcBorders>
          </w:tcPr>
          <w:p>
            <w:pPr>
              <w:ind w:left="1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3,386</w:t>
            </w:r>
          </w:p>
        </w:tc>
        <w:tc>
          <w:tcPr>
            <w:tcW w:w="100" w:type="dxa"/>
            <w:vAlign w:val="bottom"/>
          </w:tcPr>
          <w:p>
            <w:pPr>
              <w:spacing w:after="0"/>
              <w:rPr>
                <w:sz w:val="19"/>
                <w:szCs w:val="19"/>
                <w:color w:val="auto"/>
              </w:rPr>
            </w:pPr>
          </w:p>
        </w:tc>
      </w:tr>
      <w:tr>
        <w:trPr>
          <w:trHeight w:val="216"/>
        </w:trPr>
        <w:tc>
          <w:tcPr>
            <w:tcW w:w="4840" w:type="dxa"/>
            <w:vAlign w:val="bottom"/>
            <w:shd w:val="clear" w:color="auto" w:fill="CCEEFF"/>
          </w:tcPr>
          <w:p>
            <w:pPr>
              <w:spacing w:after="0"/>
              <w:rPr>
                <w:sz w:val="18"/>
                <w:szCs w:val="18"/>
                <w:color w:val="auto"/>
              </w:rPr>
            </w:pPr>
          </w:p>
        </w:tc>
        <w:tc>
          <w:tcPr>
            <w:tcW w:w="22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380" w:type="dxa"/>
            <w:vAlign w:val="bottom"/>
            <w:shd w:val="clear" w:color="auto" w:fill="CCEEFF"/>
          </w:tcPr>
          <w:p>
            <w:pPr>
              <w:ind w:left="100"/>
              <w:spacing w:after="0"/>
              <w:rPr>
                <w:sz w:val="20"/>
                <w:szCs w:val="20"/>
                <w:color w:val="auto"/>
              </w:rPr>
            </w:pPr>
            <w:r>
              <w:rPr>
                <w:rFonts w:ascii="Arial" w:cs="Arial" w:eastAsia="Arial" w:hAnsi="Arial"/>
                <w:sz w:val="18"/>
                <w:szCs w:val="18"/>
                <w:color w:val="auto"/>
                <w:w w:val="86"/>
              </w:rPr>
              <w:t>592</w:t>
            </w:r>
          </w:p>
        </w:tc>
        <w:tc>
          <w:tcPr>
            <w:tcW w:w="600" w:type="dxa"/>
            <w:vAlign w:val="bottom"/>
            <w:gridSpan w:val="2"/>
            <w:shd w:val="clear" w:color="auto" w:fill="CCEEFF"/>
          </w:tcPr>
          <w:p>
            <w:pPr>
              <w:jc w:val="right"/>
              <w:ind w:right="20"/>
              <w:spacing w:after="0"/>
              <w:rPr>
                <w:sz w:val="20"/>
                <w:szCs w:val="20"/>
                <w:color w:val="auto"/>
              </w:rPr>
            </w:pPr>
            <w:r>
              <w:rPr>
                <w:rFonts w:ascii="Arial" w:cs="Arial" w:eastAsia="Arial" w:hAnsi="Arial"/>
                <w:sz w:val="18"/>
                <w:szCs w:val="18"/>
                <w:color w:val="auto"/>
              </w:rPr>
              <w:t>$</w:t>
            </w: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8,474</w:t>
            </w:r>
          </w:p>
        </w:tc>
        <w:tc>
          <w:tcPr>
            <w:tcW w:w="100" w:type="dxa"/>
            <w:vAlign w:val="bottom"/>
            <w:shd w:val="clear" w:color="auto" w:fill="CCEEFF"/>
          </w:tcPr>
          <w:p>
            <w:pPr>
              <w:spacing w:after="0"/>
              <w:rPr>
                <w:sz w:val="18"/>
                <w:szCs w:val="18"/>
                <w:color w:val="auto"/>
              </w:rPr>
            </w:pPr>
          </w:p>
        </w:tc>
      </w:tr>
      <w:tr>
        <w:trPr>
          <w:trHeight w:val="20"/>
        </w:trPr>
        <w:tc>
          <w:tcPr>
            <w:tcW w:w="4840" w:type="dxa"/>
            <w:vAlign w:val="bottom"/>
          </w:tcPr>
          <w:p>
            <w:pPr>
              <w:spacing w:after="0" w:line="20" w:lineRule="exact"/>
              <w:rPr>
                <w:sz w:val="1"/>
                <w:szCs w:val="1"/>
                <w:color w:val="auto"/>
              </w:rPr>
            </w:pPr>
          </w:p>
        </w:tc>
        <w:tc>
          <w:tcPr>
            <w:tcW w:w="21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7" w:lineRule="exact"/>
        <w:rPr>
          <w:sz w:val="20"/>
          <w:szCs w:val="20"/>
          <w:color w:val="auto"/>
        </w:rPr>
      </w:pPr>
    </w:p>
    <w:p>
      <w:pPr>
        <w:ind w:right="180" w:firstLine="456"/>
        <w:spacing w:after="0" w:line="370" w:lineRule="auto"/>
        <w:rPr>
          <w:sz w:val="20"/>
          <w:szCs w:val="20"/>
          <w:color w:val="auto"/>
        </w:rPr>
      </w:pPr>
      <w:r>
        <w:rPr>
          <w:rFonts w:ascii="Arial" w:cs="Arial" w:eastAsia="Arial" w:hAnsi="Arial"/>
          <w:sz w:val="15"/>
          <w:szCs w:val="15"/>
          <w:color w:val="auto"/>
        </w:rPr>
        <w:t>We recorded a total $0.6 restructuring charge in the three months ended May 2, 2015. There were no other significant activities that occurred in the three months ended May 2, 2015. See “Note 8 – Restructuring” in the Notes to the Unaudited Condensed Consolidated Financial Statements for further discussion.</w:t>
      </w:r>
    </w:p>
    <w:p>
      <w:pPr>
        <w:spacing w:after="0" w:line="49"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32</w:t>
      </w:r>
    </w:p>
    <w:p>
      <w:pPr>
        <w:sectPr>
          <w:pgSz w:w="11900" w:h="16838" w:orient="portrait"/>
          <w:cols w:equalWidth="0" w:num="1">
            <w:col w:w="11380"/>
          </w:cols>
          <w:pgMar w:left="240" w:top="459" w:right="27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Research and Development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120" w:type="dxa"/>
            <w:vAlign w:val="bottom"/>
          </w:tcPr>
          <w:p>
            <w:pPr>
              <w:spacing w:after="0"/>
              <w:rPr>
                <w:sz w:val="14"/>
                <w:szCs w:val="14"/>
                <w:color w:val="auto"/>
              </w:rPr>
            </w:pPr>
          </w:p>
        </w:tc>
        <w:tc>
          <w:tcPr>
            <w:tcW w:w="2200" w:type="dxa"/>
            <w:vAlign w:val="bottom"/>
          </w:tcPr>
          <w:p>
            <w:pPr>
              <w:spacing w:after="0"/>
              <w:rPr>
                <w:sz w:val="14"/>
                <w:szCs w:val="14"/>
                <w:color w:val="auto"/>
              </w:rPr>
            </w:pPr>
          </w:p>
        </w:tc>
        <w:tc>
          <w:tcPr>
            <w:tcW w:w="252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vMerge w:val="restart"/>
          </w:tcPr>
          <w:p>
            <w:pPr>
              <w:ind w:left="200"/>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120" w:type="dxa"/>
            <w:vAlign w:val="bottom"/>
          </w:tcPr>
          <w:p>
            <w:pPr>
              <w:spacing w:after="0"/>
              <w:rPr>
                <w:sz w:val="11"/>
                <w:szCs w:val="11"/>
                <w:color w:val="auto"/>
              </w:rPr>
            </w:pPr>
          </w:p>
        </w:tc>
        <w:tc>
          <w:tcPr>
            <w:tcW w:w="2200" w:type="dxa"/>
            <w:vAlign w:val="bottom"/>
          </w:tcPr>
          <w:p>
            <w:pPr>
              <w:spacing w:after="0"/>
              <w:rPr>
                <w:sz w:val="11"/>
                <w:szCs w:val="11"/>
                <w:color w:val="auto"/>
              </w:rPr>
            </w:pPr>
          </w:p>
        </w:tc>
        <w:tc>
          <w:tcPr>
            <w:tcW w:w="1040" w:type="dxa"/>
            <w:vAlign w:val="bottom"/>
            <w:tcBorders>
              <w:top w:val="single" w:sz="8" w:color="auto"/>
            </w:tcBorders>
          </w:tcPr>
          <w:p>
            <w:pPr>
              <w:jc w:val="right"/>
              <w:ind w:right="432"/>
              <w:spacing w:after="0" w:line="129" w:lineRule="exact"/>
              <w:rPr>
                <w:sz w:val="20"/>
                <w:szCs w:val="20"/>
                <w:color w:val="auto"/>
              </w:rPr>
            </w:pPr>
            <w:r>
              <w:rPr>
                <w:rFonts w:ascii="Arial" w:cs="Arial" w:eastAsia="Arial" w:hAnsi="Arial"/>
                <w:sz w:val="14"/>
                <w:szCs w:val="14"/>
                <w:b w:val="1"/>
                <w:bCs w:val="1"/>
                <w:color w:val="auto"/>
              </w:rPr>
              <w:t>May 2,</w:t>
            </w:r>
          </w:p>
        </w:tc>
        <w:tc>
          <w:tcPr>
            <w:tcW w:w="920" w:type="dxa"/>
            <w:vAlign w:val="bottom"/>
            <w:tcBorders>
              <w:top w:val="single" w:sz="8" w:color="auto"/>
            </w:tcBorders>
          </w:tcPr>
          <w:p>
            <w:pPr>
              <w:jc w:val="right"/>
              <w:ind w:right="62"/>
              <w:spacing w:after="0" w:line="129" w:lineRule="exact"/>
              <w:rPr>
                <w:sz w:val="20"/>
                <w:szCs w:val="20"/>
                <w:color w:val="auto"/>
              </w:rPr>
            </w:pPr>
            <w:r>
              <w:rPr>
                <w:rFonts w:ascii="Arial" w:cs="Arial" w:eastAsia="Arial" w:hAnsi="Arial"/>
                <w:sz w:val="14"/>
                <w:szCs w:val="14"/>
                <w:b w:val="1"/>
                <w:bCs w:val="1"/>
                <w:color w:val="auto"/>
              </w:rPr>
              <w:t>May 3,</w:t>
            </w:r>
          </w:p>
        </w:tc>
        <w:tc>
          <w:tcPr>
            <w:tcW w:w="560" w:type="dxa"/>
            <w:vAlign w:val="bottom"/>
          </w:tcPr>
          <w:p>
            <w:pPr>
              <w:spacing w:after="0"/>
              <w:rPr>
                <w:sz w:val="11"/>
                <w:szCs w:val="11"/>
                <w:color w:val="auto"/>
              </w:rPr>
            </w:pPr>
          </w:p>
        </w:tc>
        <w:tc>
          <w:tcPr>
            <w:tcW w:w="48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120" w:type="dxa"/>
            <w:vAlign w:val="bottom"/>
          </w:tcPr>
          <w:p>
            <w:pPr>
              <w:spacing w:after="0"/>
              <w:rPr>
                <w:sz w:val="14"/>
                <w:szCs w:val="14"/>
                <w:color w:val="auto"/>
              </w:rPr>
            </w:pPr>
          </w:p>
        </w:tc>
        <w:tc>
          <w:tcPr>
            <w:tcW w:w="3240" w:type="dxa"/>
            <w:vAlign w:val="bottom"/>
            <w:gridSpan w:val="2"/>
          </w:tcPr>
          <w:p>
            <w:pPr>
              <w:jc w:val="right"/>
              <w:ind w:right="492"/>
              <w:spacing w:after="0"/>
              <w:rPr>
                <w:sz w:val="20"/>
                <w:szCs w:val="20"/>
                <w:color w:val="auto"/>
              </w:rPr>
            </w:pPr>
            <w:r>
              <w:rPr>
                <w:rFonts w:ascii="Arial" w:cs="Arial" w:eastAsia="Arial" w:hAnsi="Arial"/>
                <w:sz w:val="14"/>
                <w:szCs w:val="14"/>
                <w:b w:val="1"/>
                <w:bCs w:val="1"/>
                <w:color w:val="auto"/>
              </w:rPr>
              <w:t>2015</w:t>
            </w:r>
          </w:p>
        </w:tc>
        <w:tc>
          <w:tcPr>
            <w:tcW w:w="920" w:type="dxa"/>
            <w:vAlign w:val="bottom"/>
          </w:tcPr>
          <w:p>
            <w:pPr>
              <w:jc w:val="right"/>
              <w:ind w:right="142"/>
              <w:spacing w:after="0"/>
              <w:rPr>
                <w:sz w:val="20"/>
                <w:szCs w:val="20"/>
                <w:color w:val="auto"/>
              </w:rPr>
            </w:pPr>
            <w:r>
              <w:rPr>
                <w:rFonts w:ascii="Arial" w:cs="Arial" w:eastAsia="Arial" w:hAnsi="Arial"/>
                <w:sz w:val="14"/>
                <w:szCs w:val="14"/>
                <w:b w:val="1"/>
                <w:bCs w:val="1"/>
                <w:color w:val="auto"/>
              </w:rPr>
              <w:t>2014</w:t>
            </w:r>
          </w:p>
        </w:tc>
        <w:tc>
          <w:tcPr>
            <w:tcW w:w="56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120" w:type="dxa"/>
            <w:vAlign w:val="bottom"/>
          </w:tcPr>
          <w:p>
            <w:pPr>
              <w:spacing w:after="0"/>
              <w:rPr>
                <w:sz w:val="12"/>
                <w:szCs w:val="12"/>
                <w:color w:val="auto"/>
              </w:rPr>
            </w:pPr>
          </w:p>
        </w:tc>
        <w:tc>
          <w:tcPr>
            <w:tcW w:w="2200" w:type="dxa"/>
            <w:vAlign w:val="bottom"/>
          </w:tcPr>
          <w:p>
            <w:pPr>
              <w:spacing w:after="0"/>
              <w:rPr>
                <w:sz w:val="12"/>
                <w:szCs w:val="12"/>
                <w:color w:val="auto"/>
              </w:rPr>
            </w:pPr>
          </w:p>
        </w:tc>
        <w:tc>
          <w:tcPr>
            <w:tcW w:w="2520" w:type="dxa"/>
            <w:vAlign w:val="bottom"/>
            <w:tcBorders>
              <w:top w:val="single" w:sz="8" w:color="auto"/>
            </w:tcBorders>
            <w:gridSpan w:val="3"/>
          </w:tcPr>
          <w:p>
            <w:pPr>
              <w:jc w:val="right"/>
              <w:ind w:right="6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8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Research and development</w:t>
            </w:r>
          </w:p>
        </w:tc>
        <w:tc>
          <w:tcPr>
            <w:tcW w:w="324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$280,114</w:t>
            </w:r>
          </w:p>
        </w:tc>
        <w:tc>
          <w:tcPr>
            <w:tcW w:w="1480" w:type="dxa"/>
            <w:vAlign w:val="bottom"/>
            <w:gridSpan w:val="2"/>
            <w:shd w:val="clear" w:color="auto" w:fill="CCEEFF"/>
          </w:tcPr>
          <w:p>
            <w:pPr>
              <w:jc w:val="right"/>
              <w:ind w:right="560"/>
              <w:spacing w:after="0"/>
              <w:rPr>
                <w:sz w:val="20"/>
                <w:szCs w:val="20"/>
                <w:color w:val="auto"/>
              </w:rPr>
            </w:pPr>
            <w:r>
              <w:rPr>
                <w:rFonts w:ascii="Arial" w:cs="Arial" w:eastAsia="Arial" w:hAnsi="Arial"/>
                <w:sz w:val="18"/>
                <w:szCs w:val="18"/>
                <w:color w:val="auto"/>
              </w:rPr>
              <w:t>$295,363</w:t>
            </w:r>
          </w:p>
        </w:tc>
        <w:tc>
          <w:tcPr>
            <w:tcW w:w="740" w:type="dxa"/>
            <w:vAlign w:val="bottom"/>
            <w:gridSpan w:val="2"/>
            <w:shd w:val="clear" w:color="auto" w:fill="CCEEFF"/>
          </w:tcPr>
          <w:p>
            <w:pPr>
              <w:ind w:left="200"/>
              <w:spacing w:after="0"/>
              <w:rPr>
                <w:sz w:val="20"/>
                <w:szCs w:val="20"/>
                <w:color w:val="auto"/>
              </w:rPr>
            </w:pPr>
            <w:r>
              <w:rPr>
                <w:rFonts w:ascii="Arial" w:cs="Arial" w:eastAsia="Arial" w:hAnsi="Arial"/>
                <w:sz w:val="18"/>
                <w:szCs w:val="18"/>
                <w:color w:val="auto"/>
                <w:w w:val="98"/>
              </w:rPr>
              <w:t>(5.2)%</w:t>
            </w:r>
          </w:p>
        </w:tc>
        <w:tc>
          <w:tcPr>
            <w:tcW w:w="0" w:type="dxa"/>
            <w:vAlign w:val="bottom"/>
          </w:tcPr>
          <w:p>
            <w:pPr>
              <w:spacing w:after="0"/>
              <w:rPr>
                <w:sz w:val="1"/>
                <w:szCs w:val="1"/>
                <w:color w:val="auto"/>
              </w:rPr>
            </w:pPr>
          </w:p>
        </w:tc>
      </w:tr>
      <w:tr>
        <w:trPr>
          <w:trHeight w:val="222"/>
        </w:trPr>
        <w:tc>
          <w:tcPr>
            <w:tcW w:w="4120" w:type="dxa"/>
            <w:vAlign w:val="bottom"/>
          </w:tcPr>
          <w:p>
            <w:pPr>
              <w:spacing w:after="0"/>
              <w:rPr>
                <w:sz w:val="20"/>
                <w:szCs w:val="20"/>
                <w:color w:val="auto"/>
              </w:rPr>
            </w:pPr>
            <w:r>
              <w:rPr>
                <w:rFonts w:ascii="Arial" w:cs="Arial" w:eastAsia="Arial" w:hAnsi="Arial"/>
                <w:sz w:val="18"/>
                <w:szCs w:val="18"/>
                <w:color w:val="auto"/>
              </w:rPr>
              <w:t>% of net revenue</w:t>
            </w:r>
          </w:p>
        </w:tc>
        <w:tc>
          <w:tcPr>
            <w:tcW w:w="3240" w:type="dxa"/>
            <w:vAlign w:val="bottom"/>
            <w:gridSpan w:val="2"/>
          </w:tcPr>
          <w:p>
            <w:pPr>
              <w:jc w:val="right"/>
              <w:ind w:right="152"/>
              <w:spacing w:after="0"/>
              <w:rPr>
                <w:sz w:val="20"/>
                <w:szCs w:val="20"/>
                <w:color w:val="auto"/>
              </w:rPr>
            </w:pPr>
            <w:r>
              <w:rPr>
                <w:rFonts w:ascii="Arial" w:cs="Arial" w:eastAsia="Arial" w:hAnsi="Arial"/>
                <w:sz w:val="18"/>
                <w:szCs w:val="18"/>
                <w:color w:val="auto"/>
              </w:rPr>
              <w:t>38.7%</w:t>
            </w:r>
          </w:p>
        </w:tc>
        <w:tc>
          <w:tcPr>
            <w:tcW w:w="1480" w:type="dxa"/>
            <w:vAlign w:val="bottom"/>
            <w:gridSpan w:val="2"/>
          </w:tcPr>
          <w:p>
            <w:pPr>
              <w:jc w:val="right"/>
              <w:ind w:right="420"/>
              <w:spacing w:after="0"/>
              <w:rPr>
                <w:sz w:val="20"/>
                <w:szCs w:val="20"/>
                <w:color w:val="auto"/>
              </w:rPr>
            </w:pPr>
            <w:r>
              <w:rPr>
                <w:rFonts w:ascii="Arial" w:cs="Arial" w:eastAsia="Arial" w:hAnsi="Arial"/>
                <w:sz w:val="18"/>
                <w:szCs w:val="18"/>
                <w:color w:val="auto"/>
              </w:rPr>
              <w:t>30.8%</w:t>
            </w:r>
          </w:p>
        </w:tc>
        <w:tc>
          <w:tcPr>
            <w:tcW w:w="4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40" w:firstLine="456"/>
        <w:spacing w:after="0" w:line="298" w:lineRule="auto"/>
        <w:rPr>
          <w:sz w:val="20"/>
          <w:szCs w:val="20"/>
          <w:color w:val="auto"/>
        </w:rPr>
      </w:pPr>
      <w:r>
        <w:rPr>
          <w:rFonts w:ascii="Arial" w:cs="Arial" w:eastAsia="Arial" w:hAnsi="Arial"/>
          <w:sz w:val="16"/>
          <w:szCs w:val="16"/>
          <w:color w:val="auto"/>
        </w:rPr>
        <w:t>Research and development expense decreased by $15.2 million for the three months ended May 2, 2015 compared to the three months ended May 3, 2014. The decrease was attributable to $10.6 million of lower personnel-related costs primarily due to headcount reduction that occurred in Israel to streamline operations to align with our overall strategic plan during fiscal 2015. Additionally, that action resulted in higher restructuring charges of $4.7 million included in the three months ended May 3, 2014 compared to $0.1 million in the three months ended May 2, 2015.</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Selling and Marketing</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00" w:type="dxa"/>
            <w:vAlign w:val="bottom"/>
          </w:tcPr>
          <w:p>
            <w:pPr>
              <w:spacing w:after="0"/>
              <w:rPr>
                <w:sz w:val="14"/>
                <w:szCs w:val="14"/>
                <w:color w:val="auto"/>
              </w:rPr>
            </w:pPr>
          </w:p>
        </w:tc>
        <w:tc>
          <w:tcPr>
            <w:tcW w:w="2420" w:type="dxa"/>
            <w:vAlign w:val="bottom"/>
            <w:gridSpan w:val="3"/>
          </w:tcPr>
          <w:p>
            <w:pPr>
              <w:jc w:val="right"/>
              <w:ind w:right="92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ind w:left="160"/>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600" w:type="dxa"/>
            <w:vAlign w:val="bottom"/>
          </w:tcPr>
          <w:p>
            <w:pPr>
              <w:spacing w:after="0"/>
              <w:rPr>
                <w:sz w:val="11"/>
                <w:szCs w:val="11"/>
                <w:color w:val="auto"/>
              </w:rPr>
            </w:pPr>
          </w:p>
        </w:tc>
        <w:tc>
          <w:tcPr>
            <w:tcW w:w="960" w:type="dxa"/>
            <w:vAlign w:val="bottom"/>
            <w:tcBorders>
              <w:top w:val="single" w:sz="8" w:color="auto"/>
            </w:tcBorders>
          </w:tcPr>
          <w:p>
            <w:pPr>
              <w:jc w:val="right"/>
              <w:ind w:right="406"/>
              <w:spacing w:after="0" w:line="129" w:lineRule="exact"/>
              <w:rPr>
                <w:sz w:val="20"/>
                <w:szCs w:val="20"/>
                <w:color w:val="auto"/>
              </w:rPr>
            </w:pPr>
            <w:r>
              <w:rPr>
                <w:rFonts w:ascii="Arial" w:cs="Arial" w:eastAsia="Arial" w:hAnsi="Arial"/>
                <w:sz w:val="14"/>
                <w:szCs w:val="14"/>
                <w:b w:val="1"/>
                <w:bCs w:val="1"/>
                <w:color w:val="auto"/>
              </w:rPr>
              <w:t>May 2,</w:t>
            </w:r>
          </w:p>
        </w:tc>
        <w:tc>
          <w:tcPr>
            <w:tcW w:w="840" w:type="dxa"/>
            <w:vAlign w:val="bottom"/>
            <w:tcBorders>
              <w:top w:val="single" w:sz="8" w:color="auto"/>
            </w:tcBorders>
          </w:tcPr>
          <w:p>
            <w:pPr>
              <w:jc w:val="right"/>
              <w:ind w:right="22"/>
              <w:spacing w:after="0" w:line="129" w:lineRule="exact"/>
              <w:rPr>
                <w:sz w:val="20"/>
                <w:szCs w:val="20"/>
                <w:color w:val="auto"/>
              </w:rPr>
            </w:pPr>
            <w:r>
              <w:rPr>
                <w:rFonts w:ascii="Arial" w:cs="Arial" w:eastAsia="Arial" w:hAnsi="Arial"/>
                <w:sz w:val="14"/>
                <w:szCs w:val="14"/>
                <w:b w:val="1"/>
                <w:bCs w:val="1"/>
                <w:color w:val="auto"/>
              </w:rPr>
              <w:t>May 3,</w:t>
            </w:r>
          </w:p>
        </w:tc>
        <w:tc>
          <w:tcPr>
            <w:tcW w:w="62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600" w:type="dxa"/>
            <w:vAlign w:val="bottom"/>
          </w:tcPr>
          <w:p>
            <w:pPr>
              <w:spacing w:after="0"/>
              <w:rPr>
                <w:sz w:val="14"/>
                <w:szCs w:val="14"/>
                <w:color w:val="auto"/>
              </w:rPr>
            </w:pPr>
          </w:p>
        </w:tc>
        <w:tc>
          <w:tcPr>
            <w:tcW w:w="960" w:type="dxa"/>
            <w:vAlign w:val="bottom"/>
          </w:tcPr>
          <w:p>
            <w:pPr>
              <w:jc w:val="right"/>
              <w:ind w:right="466"/>
              <w:spacing w:after="0"/>
              <w:rPr>
                <w:sz w:val="20"/>
                <w:szCs w:val="20"/>
                <w:color w:val="auto"/>
              </w:rPr>
            </w:pPr>
            <w:r>
              <w:rPr>
                <w:rFonts w:ascii="Arial" w:cs="Arial" w:eastAsia="Arial" w:hAnsi="Arial"/>
                <w:sz w:val="14"/>
                <w:szCs w:val="14"/>
                <w:b w:val="1"/>
                <w:bCs w:val="1"/>
                <w:color w:val="auto"/>
              </w:rPr>
              <w:t>2015</w:t>
            </w:r>
          </w:p>
        </w:tc>
        <w:tc>
          <w:tcPr>
            <w:tcW w:w="840" w:type="dxa"/>
            <w:vAlign w:val="bottom"/>
          </w:tcPr>
          <w:p>
            <w:pPr>
              <w:jc w:val="right"/>
              <w:ind w:right="82"/>
              <w:spacing w:after="0"/>
              <w:rPr>
                <w:sz w:val="20"/>
                <w:szCs w:val="20"/>
                <w:color w:val="auto"/>
              </w:rPr>
            </w:pPr>
            <w:r>
              <w:rPr>
                <w:rFonts w:ascii="Arial" w:cs="Arial" w:eastAsia="Arial" w:hAnsi="Arial"/>
                <w:sz w:val="14"/>
                <w:szCs w:val="14"/>
                <w:b w:val="1"/>
                <w:bCs w:val="1"/>
                <w:color w:val="auto"/>
              </w:rPr>
              <w:t>2014</w:t>
            </w:r>
          </w:p>
        </w:tc>
        <w:tc>
          <w:tcPr>
            <w:tcW w:w="620" w:type="dxa"/>
            <w:vAlign w:val="bottom"/>
          </w:tcPr>
          <w:p>
            <w:pPr>
              <w:spacing w:after="0"/>
              <w:rPr>
                <w:sz w:val="14"/>
                <w:szCs w:val="14"/>
                <w:color w:val="auto"/>
              </w:rPr>
            </w:pPr>
          </w:p>
        </w:tc>
        <w:tc>
          <w:tcPr>
            <w:tcW w:w="560" w:type="dxa"/>
            <w:vAlign w:val="bottom"/>
            <w:gridSpan w:val="2"/>
          </w:tcPr>
          <w:p>
            <w:pPr>
              <w:spacing w:after="0"/>
              <w:rPr>
                <w:sz w:val="20"/>
                <w:szCs w:val="20"/>
                <w:color w:val="auto"/>
              </w:rPr>
            </w:pPr>
            <w:r>
              <w:rPr>
                <w:rFonts w:ascii="Arial" w:cs="Arial" w:eastAsia="Arial" w:hAnsi="Arial"/>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6600" w:type="dxa"/>
            <w:vAlign w:val="bottom"/>
          </w:tcPr>
          <w:p>
            <w:pPr>
              <w:spacing w:after="0"/>
              <w:rPr>
                <w:sz w:val="12"/>
                <w:szCs w:val="12"/>
                <w:color w:val="auto"/>
              </w:rPr>
            </w:pPr>
          </w:p>
        </w:tc>
        <w:tc>
          <w:tcPr>
            <w:tcW w:w="242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600" w:type="dxa"/>
            <w:vAlign w:val="bottom"/>
            <w:shd w:val="clear" w:color="auto" w:fill="CCEEFF"/>
          </w:tcPr>
          <w:p>
            <w:pPr>
              <w:spacing w:after="0"/>
              <w:rPr>
                <w:sz w:val="20"/>
                <w:szCs w:val="20"/>
                <w:color w:val="auto"/>
              </w:rPr>
            </w:pPr>
            <w:r>
              <w:rPr>
                <w:rFonts w:ascii="Arial" w:cs="Arial" w:eastAsia="Arial" w:hAnsi="Arial"/>
                <w:sz w:val="18"/>
                <w:szCs w:val="18"/>
                <w:color w:val="auto"/>
              </w:rPr>
              <w:t>Selling and marketing</w:t>
            </w:r>
          </w:p>
        </w:tc>
        <w:tc>
          <w:tcPr>
            <w:tcW w:w="960" w:type="dxa"/>
            <w:vAlign w:val="bottom"/>
            <w:shd w:val="clear" w:color="auto" w:fill="CCEEFF"/>
          </w:tcPr>
          <w:p>
            <w:pPr>
              <w:jc w:val="right"/>
              <w:ind w:right="306"/>
              <w:spacing w:after="0"/>
              <w:rPr>
                <w:sz w:val="20"/>
                <w:szCs w:val="20"/>
                <w:color w:val="auto"/>
              </w:rPr>
            </w:pPr>
            <w:r>
              <w:rPr>
                <w:rFonts w:ascii="Arial" w:cs="Arial" w:eastAsia="Arial" w:hAnsi="Arial"/>
                <w:sz w:val="18"/>
                <w:szCs w:val="18"/>
                <w:color w:val="auto"/>
                <w:w w:val="86"/>
              </w:rPr>
              <w:t>$36,174</w:t>
            </w:r>
          </w:p>
        </w:tc>
        <w:tc>
          <w:tcPr>
            <w:tcW w:w="1460" w:type="dxa"/>
            <w:vAlign w:val="bottom"/>
            <w:gridSpan w:val="2"/>
            <w:shd w:val="clear" w:color="auto" w:fill="CCEEFF"/>
          </w:tcPr>
          <w:p>
            <w:pPr>
              <w:jc w:val="right"/>
              <w:ind w:right="620"/>
              <w:spacing w:after="0"/>
              <w:rPr>
                <w:sz w:val="20"/>
                <w:szCs w:val="20"/>
                <w:color w:val="auto"/>
              </w:rPr>
            </w:pPr>
            <w:r>
              <w:rPr>
                <w:rFonts w:ascii="Arial" w:cs="Arial" w:eastAsia="Arial" w:hAnsi="Arial"/>
                <w:sz w:val="18"/>
                <w:szCs w:val="18"/>
                <w:color w:val="auto"/>
              </w:rPr>
              <w:t>$38,358</w:t>
            </w:r>
          </w:p>
        </w:tc>
        <w:tc>
          <w:tcPr>
            <w:tcW w:w="560" w:type="dxa"/>
            <w:vAlign w:val="bottom"/>
            <w:gridSpan w:val="2"/>
            <w:shd w:val="clear" w:color="auto" w:fill="CCEEFF"/>
          </w:tcPr>
          <w:p>
            <w:pPr>
              <w:ind w:left="180"/>
              <w:spacing w:after="0"/>
              <w:rPr>
                <w:sz w:val="20"/>
                <w:szCs w:val="20"/>
                <w:color w:val="auto"/>
              </w:rPr>
            </w:pPr>
            <w:r>
              <w:rPr>
                <w:rFonts w:ascii="Arial" w:cs="Arial" w:eastAsia="Arial" w:hAnsi="Arial"/>
                <w:sz w:val="18"/>
                <w:szCs w:val="18"/>
                <w:color w:val="auto"/>
                <w:w w:val="97"/>
              </w:rPr>
              <w:t>(5.7)</w:t>
            </w:r>
          </w:p>
        </w:tc>
        <w:tc>
          <w:tcPr>
            <w:tcW w:w="0" w:type="dxa"/>
            <w:vAlign w:val="bottom"/>
          </w:tcPr>
          <w:p>
            <w:pPr>
              <w:spacing w:after="0"/>
              <w:rPr>
                <w:sz w:val="1"/>
                <w:szCs w:val="1"/>
                <w:color w:val="auto"/>
              </w:rPr>
            </w:pPr>
          </w:p>
        </w:tc>
      </w:tr>
      <w:tr>
        <w:trPr>
          <w:trHeight w:val="222"/>
        </w:trPr>
        <w:tc>
          <w:tcPr>
            <w:tcW w:w="6600" w:type="dxa"/>
            <w:vAlign w:val="bottom"/>
          </w:tcPr>
          <w:p>
            <w:pPr>
              <w:spacing w:after="0"/>
              <w:rPr>
                <w:sz w:val="20"/>
                <w:szCs w:val="20"/>
                <w:color w:val="auto"/>
              </w:rPr>
            </w:pPr>
            <w:r>
              <w:rPr>
                <w:rFonts w:ascii="Arial" w:cs="Arial" w:eastAsia="Arial" w:hAnsi="Arial"/>
                <w:sz w:val="18"/>
                <w:szCs w:val="18"/>
                <w:color w:val="auto"/>
              </w:rPr>
              <w:t>% of net revenue</w:t>
            </w:r>
          </w:p>
        </w:tc>
        <w:tc>
          <w:tcPr>
            <w:tcW w:w="960" w:type="dxa"/>
            <w:vAlign w:val="bottom"/>
          </w:tcPr>
          <w:p>
            <w:pPr>
              <w:jc w:val="right"/>
              <w:ind w:right="166"/>
              <w:spacing w:after="0"/>
              <w:rPr>
                <w:sz w:val="20"/>
                <w:szCs w:val="20"/>
                <w:color w:val="auto"/>
              </w:rPr>
            </w:pPr>
            <w:r>
              <w:rPr>
                <w:rFonts w:ascii="Arial" w:cs="Arial" w:eastAsia="Arial" w:hAnsi="Arial"/>
                <w:sz w:val="18"/>
                <w:szCs w:val="18"/>
                <w:color w:val="auto"/>
              </w:rPr>
              <w:t>5.0%</w:t>
            </w:r>
          </w:p>
        </w:tc>
        <w:tc>
          <w:tcPr>
            <w:tcW w:w="1460" w:type="dxa"/>
            <w:vAlign w:val="bottom"/>
            <w:gridSpan w:val="2"/>
          </w:tcPr>
          <w:p>
            <w:pPr>
              <w:jc w:val="right"/>
              <w:ind w:right="480"/>
              <w:spacing w:after="0"/>
              <w:rPr>
                <w:sz w:val="20"/>
                <w:szCs w:val="20"/>
                <w:color w:val="auto"/>
              </w:rPr>
            </w:pPr>
            <w:r>
              <w:rPr>
                <w:rFonts w:ascii="Arial" w:cs="Arial" w:eastAsia="Arial" w:hAnsi="Arial"/>
                <w:sz w:val="18"/>
                <w:szCs w:val="18"/>
                <w:color w:val="auto"/>
              </w:rPr>
              <w:t>4.0%</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Selling and marketing expense decreased by $2.2 million for the three months ended May 2, 2015 compared to the three months ended May 3, 2014. The decrease was attributable to $4.0 million of lower personnel-related costs due to lower headcount, which was partially offset by higher costs for certain marketing advertisement activities.</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General and Administrative</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260" w:type="dxa"/>
            <w:vAlign w:val="bottom"/>
          </w:tcPr>
          <w:p>
            <w:pPr>
              <w:spacing w:after="0"/>
              <w:rPr>
                <w:sz w:val="14"/>
                <w:szCs w:val="14"/>
                <w:color w:val="auto"/>
              </w:rPr>
            </w:pPr>
          </w:p>
        </w:tc>
        <w:tc>
          <w:tcPr>
            <w:tcW w:w="2360" w:type="dxa"/>
            <w:vAlign w:val="bottom"/>
          </w:tcPr>
          <w:p>
            <w:pPr>
              <w:spacing w:after="0"/>
              <w:rPr>
                <w:sz w:val="14"/>
                <w:szCs w:val="14"/>
                <w:color w:val="auto"/>
              </w:rPr>
            </w:pPr>
          </w:p>
        </w:tc>
        <w:tc>
          <w:tcPr>
            <w:tcW w:w="2400" w:type="dxa"/>
            <w:vAlign w:val="bottom"/>
            <w:gridSpan w:val="3"/>
          </w:tcPr>
          <w:p>
            <w:pPr>
              <w:jc w:val="right"/>
              <w:ind w:right="90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66"/>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260" w:type="dxa"/>
            <w:vAlign w:val="bottom"/>
          </w:tcPr>
          <w:p>
            <w:pPr>
              <w:spacing w:after="0"/>
              <w:rPr>
                <w:sz w:val="11"/>
                <w:szCs w:val="11"/>
                <w:color w:val="auto"/>
              </w:rPr>
            </w:pPr>
          </w:p>
        </w:tc>
        <w:tc>
          <w:tcPr>
            <w:tcW w:w="2360" w:type="dxa"/>
            <w:vAlign w:val="bottom"/>
          </w:tcPr>
          <w:p>
            <w:pPr>
              <w:spacing w:after="0"/>
              <w:rPr>
                <w:sz w:val="11"/>
                <w:szCs w:val="11"/>
                <w:color w:val="auto"/>
              </w:rPr>
            </w:pPr>
          </w:p>
        </w:tc>
        <w:tc>
          <w:tcPr>
            <w:tcW w:w="960" w:type="dxa"/>
            <w:vAlign w:val="bottom"/>
            <w:tcBorders>
              <w:top w:val="single" w:sz="8" w:color="auto"/>
            </w:tcBorders>
          </w:tcPr>
          <w:p>
            <w:pPr>
              <w:jc w:val="right"/>
              <w:ind w:right="412"/>
              <w:spacing w:after="0" w:line="129" w:lineRule="exact"/>
              <w:rPr>
                <w:sz w:val="20"/>
                <w:szCs w:val="20"/>
                <w:color w:val="auto"/>
              </w:rPr>
            </w:pPr>
            <w:r>
              <w:rPr>
                <w:rFonts w:ascii="Arial" w:cs="Arial" w:eastAsia="Arial" w:hAnsi="Arial"/>
                <w:sz w:val="14"/>
                <w:szCs w:val="14"/>
                <w:b w:val="1"/>
                <w:bCs w:val="1"/>
                <w:color w:val="auto"/>
              </w:rPr>
              <w:t>May 2,</w:t>
            </w:r>
          </w:p>
        </w:tc>
        <w:tc>
          <w:tcPr>
            <w:tcW w:w="820" w:type="dxa"/>
            <w:vAlign w:val="bottom"/>
            <w:tcBorders>
              <w:top w:val="single" w:sz="8" w:color="auto"/>
            </w:tcBorders>
          </w:tcPr>
          <w:p>
            <w:pPr>
              <w:jc w:val="right"/>
              <w:ind w:right="2"/>
              <w:spacing w:after="0" w:line="129" w:lineRule="exact"/>
              <w:rPr>
                <w:sz w:val="20"/>
                <w:szCs w:val="20"/>
                <w:color w:val="auto"/>
              </w:rPr>
            </w:pPr>
            <w:r>
              <w:rPr>
                <w:rFonts w:ascii="Arial" w:cs="Arial" w:eastAsia="Arial" w:hAnsi="Arial"/>
                <w:sz w:val="14"/>
                <w:szCs w:val="14"/>
                <w:b w:val="1"/>
                <w:bCs w:val="1"/>
                <w:color w:val="auto"/>
              </w:rPr>
              <w:t>May 3,</w:t>
            </w:r>
          </w:p>
        </w:tc>
        <w:tc>
          <w:tcPr>
            <w:tcW w:w="62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260" w:type="dxa"/>
            <w:vAlign w:val="bottom"/>
          </w:tcPr>
          <w:p>
            <w:pPr>
              <w:spacing w:after="0"/>
              <w:rPr>
                <w:sz w:val="14"/>
                <w:szCs w:val="14"/>
                <w:color w:val="auto"/>
              </w:rPr>
            </w:pPr>
          </w:p>
        </w:tc>
        <w:tc>
          <w:tcPr>
            <w:tcW w:w="332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2015</w:t>
            </w:r>
          </w:p>
        </w:tc>
        <w:tc>
          <w:tcPr>
            <w:tcW w:w="82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620" w:type="dxa"/>
            <w:vAlign w:val="bottom"/>
          </w:tcPr>
          <w:p>
            <w:pPr>
              <w:spacing w:after="0"/>
              <w:rPr>
                <w:sz w:val="14"/>
                <w:szCs w:val="14"/>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260" w:type="dxa"/>
            <w:vAlign w:val="bottom"/>
          </w:tcPr>
          <w:p>
            <w:pPr>
              <w:spacing w:after="0"/>
              <w:rPr>
                <w:sz w:val="12"/>
                <w:szCs w:val="12"/>
                <w:color w:val="auto"/>
              </w:rPr>
            </w:pPr>
          </w:p>
        </w:tc>
        <w:tc>
          <w:tcPr>
            <w:tcW w:w="2360" w:type="dxa"/>
            <w:vAlign w:val="bottom"/>
          </w:tcPr>
          <w:p>
            <w:pPr>
              <w:spacing w:after="0"/>
              <w:rPr>
                <w:sz w:val="12"/>
                <w:szCs w:val="12"/>
                <w:color w:val="auto"/>
              </w:rPr>
            </w:pPr>
          </w:p>
        </w:tc>
        <w:tc>
          <w:tcPr>
            <w:tcW w:w="240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260" w:type="dxa"/>
            <w:vAlign w:val="bottom"/>
            <w:shd w:val="clear" w:color="auto" w:fill="CCEEFF"/>
          </w:tcPr>
          <w:p>
            <w:pPr>
              <w:spacing w:after="0"/>
              <w:rPr>
                <w:sz w:val="20"/>
                <w:szCs w:val="20"/>
                <w:color w:val="auto"/>
              </w:rPr>
            </w:pPr>
            <w:r>
              <w:rPr>
                <w:rFonts w:ascii="Arial" w:cs="Arial" w:eastAsia="Arial" w:hAnsi="Arial"/>
                <w:sz w:val="18"/>
                <w:szCs w:val="18"/>
                <w:color w:val="auto"/>
              </w:rPr>
              <w:t>General and administrative</w:t>
            </w:r>
          </w:p>
        </w:tc>
        <w:tc>
          <w:tcPr>
            <w:tcW w:w="3320" w:type="dxa"/>
            <w:vAlign w:val="bottom"/>
            <w:gridSpan w:val="2"/>
            <w:shd w:val="clear" w:color="auto" w:fill="CCEEFF"/>
          </w:tcPr>
          <w:p>
            <w:pPr>
              <w:jc w:val="right"/>
              <w:ind w:right="312"/>
              <w:spacing w:after="0"/>
              <w:rPr>
                <w:sz w:val="20"/>
                <w:szCs w:val="20"/>
                <w:color w:val="auto"/>
              </w:rPr>
            </w:pPr>
            <w:r>
              <w:rPr>
                <w:rFonts w:ascii="Arial" w:cs="Arial" w:eastAsia="Arial" w:hAnsi="Arial"/>
                <w:sz w:val="18"/>
                <w:szCs w:val="18"/>
                <w:color w:val="auto"/>
              </w:rPr>
              <w:t>$41,027</w:t>
            </w: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$30,573</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260" w:type="dxa"/>
            <w:vAlign w:val="bottom"/>
          </w:tcPr>
          <w:p>
            <w:pPr>
              <w:spacing w:after="0"/>
              <w:rPr>
                <w:sz w:val="20"/>
                <w:szCs w:val="20"/>
                <w:color w:val="auto"/>
              </w:rPr>
            </w:pPr>
            <w:r>
              <w:rPr>
                <w:rFonts w:ascii="Arial" w:cs="Arial" w:eastAsia="Arial" w:hAnsi="Arial"/>
                <w:sz w:val="18"/>
                <w:szCs w:val="18"/>
                <w:color w:val="auto"/>
              </w:rPr>
              <w:t>% of net revenue</w:t>
            </w:r>
          </w:p>
        </w:tc>
        <w:tc>
          <w:tcPr>
            <w:tcW w:w="3320" w:type="dxa"/>
            <w:vAlign w:val="bottom"/>
            <w:gridSpan w:val="2"/>
          </w:tcPr>
          <w:p>
            <w:pPr>
              <w:jc w:val="right"/>
              <w:ind w:right="172"/>
              <w:spacing w:after="0"/>
              <w:rPr>
                <w:sz w:val="20"/>
                <w:szCs w:val="20"/>
                <w:color w:val="auto"/>
              </w:rPr>
            </w:pPr>
            <w:r>
              <w:rPr>
                <w:rFonts w:ascii="Arial" w:cs="Arial" w:eastAsia="Arial" w:hAnsi="Arial"/>
                <w:sz w:val="18"/>
                <w:szCs w:val="18"/>
                <w:color w:val="auto"/>
              </w:rPr>
              <w:t>5.7%</w:t>
            </w:r>
          </w:p>
        </w:tc>
        <w:tc>
          <w:tcPr>
            <w:tcW w:w="1440" w:type="dxa"/>
            <w:vAlign w:val="bottom"/>
            <w:gridSpan w:val="2"/>
          </w:tcPr>
          <w:p>
            <w:pPr>
              <w:jc w:val="right"/>
              <w:ind w:right="460"/>
              <w:spacing w:after="0"/>
              <w:rPr>
                <w:sz w:val="20"/>
                <w:szCs w:val="20"/>
                <w:color w:val="auto"/>
              </w:rPr>
            </w:pPr>
            <w:r>
              <w:rPr>
                <w:rFonts w:ascii="Arial" w:cs="Arial" w:eastAsia="Arial" w:hAnsi="Arial"/>
                <w:sz w:val="18"/>
                <w:szCs w:val="18"/>
                <w:color w:val="auto"/>
              </w:rPr>
              <w:t>3.2%</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60" w:firstLine="456"/>
        <w:spacing w:after="0" w:line="298" w:lineRule="auto"/>
        <w:rPr>
          <w:sz w:val="20"/>
          <w:szCs w:val="20"/>
          <w:color w:val="auto"/>
        </w:rPr>
      </w:pPr>
      <w:r>
        <w:rPr>
          <w:rFonts w:ascii="Arial" w:cs="Arial" w:eastAsia="Arial" w:hAnsi="Arial"/>
          <w:sz w:val="16"/>
          <w:szCs w:val="16"/>
          <w:color w:val="auto"/>
        </w:rPr>
        <w:t>General and administrative expense increased by $10.5 million for the three months ended May 2, 2015 compared to the three months ended May 3, 2014. The increase was mostly driven by the effect of a $15.4 million cash payment to our Chief Executive Officer (see “Note 13 – Related Party Transactions” in the Notes to the Unaudited Condensed Consolidated Financial Statements). This increase was partially offset by $3.4 million of lower legal expenses for on-going litigation matters, combined with slightly lower personnel-related costs due to lower headcount.</w:t>
      </w:r>
    </w:p>
    <w:p>
      <w:pPr>
        <w:spacing w:after="0" w:line="19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Amortization and Write-Off of Acquired Intangible Assets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6620" w:type="dxa"/>
            <w:vAlign w:val="bottom"/>
          </w:tcPr>
          <w:p>
            <w:pPr>
              <w:spacing w:after="0"/>
              <w:rPr>
                <w:sz w:val="14"/>
                <w:szCs w:val="14"/>
                <w:color w:val="auto"/>
              </w:rPr>
            </w:pPr>
          </w:p>
        </w:tc>
        <w:tc>
          <w:tcPr>
            <w:tcW w:w="240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620" w:type="dxa"/>
            <w:vAlign w:val="bottom"/>
          </w:tcPr>
          <w:p>
            <w:pPr>
              <w:spacing w:after="0"/>
              <w:rPr>
                <w:sz w:val="11"/>
                <w:szCs w:val="11"/>
                <w:color w:val="auto"/>
              </w:rPr>
            </w:pPr>
          </w:p>
        </w:tc>
        <w:tc>
          <w:tcPr>
            <w:tcW w:w="920" w:type="dxa"/>
            <w:vAlign w:val="bottom"/>
            <w:tcBorders>
              <w:top w:val="single" w:sz="8" w:color="auto"/>
            </w:tcBorders>
          </w:tcPr>
          <w:p>
            <w:pPr>
              <w:jc w:val="right"/>
              <w:ind w:right="386"/>
              <w:spacing w:after="0" w:line="129" w:lineRule="exact"/>
              <w:rPr>
                <w:sz w:val="20"/>
                <w:szCs w:val="20"/>
                <w:color w:val="auto"/>
              </w:rPr>
            </w:pPr>
            <w:r>
              <w:rPr>
                <w:rFonts w:ascii="Arial" w:cs="Arial" w:eastAsia="Arial" w:hAnsi="Arial"/>
                <w:sz w:val="14"/>
                <w:szCs w:val="14"/>
                <w:b w:val="1"/>
                <w:bCs w:val="1"/>
                <w:color w:val="auto"/>
              </w:rPr>
              <w:t>May 2,</w:t>
            </w:r>
          </w:p>
        </w:tc>
        <w:tc>
          <w:tcPr>
            <w:tcW w:w="78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3,</w:t>
            </w:r>
          </w:p>
        </w:tc>
        <w:tc>
          <w:tcPr>
            <w:tcW w:w="70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620" w:type="dxa"/>
            <w:vAlign w:val="bottom"/>
          </w:tcPr>
          <w:p>
            <w:pPr>
              <w:spacing w:after="0"/>
              <w:rPr>
                <w:sz w:val="14"/>
                <w:szCs w:val="14"/>
                <w:color w:val="auto"/>
              </w:rPr>
            </w:pPr>
          </w:p>
        </w:tc>
        <w:tc>
          <w:tcPr>
            <w:tcW w:w="920" w:type="dxa"/>
            <w:vAlign w:val="bottom"/>
          </w:tcPr>
          <w:p>
            <w:pPr>
              <w:jc w:val="right"/>
              <w:ind w:right="466"/>
              <w:spacing w:after="0"/>
              <w:rPr>
                <w:sz w:val="20"/>
                <w:szCs w:val="20"/>
                <w:color w:val="auto"/>
              </w:rPr>
            </w:pPr>
            <w:r>
              <w:rPr>
                <w:rFonts w:ascii="Arial" w:cs="Arial" w:eastAsia="Arial" w:hAnsi="Arial"/>
                <w:sz w:val="14"/>
                <w:szCs w:val="14"/>
                <w:b w:val="1"/>
                <w:bCs w:val="1"/>
                <w:color w:val="auto"/>
              </w:rPr>
              <w:t>2015</w:t>
            </w:r>
          </w:p>
        </w:tc>
        <w:tc>
          <w:tcPr>
            <w:tcW w:w="780" w:type="dxa"/>
            <w:vAlign w:val="bottom"/>
          </w:tcPr>
          <w:p>
            <w:pPr>
              <w:jc w:val="right"/>
              <w:ind w:right="22"/>
              <w:spacing w:after="0"/>
              <w:rPr>
                <w:sz w:val="20"/>
                <w:szCs w:val="20"/>
                <w:color w:val="auto"/>
              </w:rPr>
            </w:pPr>
            <w:r>
              <w:rPr>
                <w:rFonts w:ascii="Arial" w:cs="Arial" w:eastAsia="Arial" w:hAnsi="Arial"/>
                <w:sz w:val="14"/>
                <w:szCs w:val="14"/>
                <w:b w:val="1"/>
                <w:bCs w:val="1"/>
                <w:color w:val="auto"/>
              </w:rPr>
              <w:t>2014</w:t>
            </w:r>
          </w:p>
        </w:tc>
        <w:tc>
          <w:tcPr>
            <w:tcW w:w="700" w:type="dxa"/>
            <w:vAlign w:val="bottom"/>
          </w:tcPr>
          <w:p>
            <w:pPr>
              <w:spacing w:after="0"/>
              <w:rPr>
                <w:sz w:val="14"/>
                <w:szCs w:val="14"/>
                <w:color w:val="auto"/>
              </w:rPr>
            </w:pPr>
          </w:p>
        </w:tc>
        <w:tc>
          <w:tcPr>
            <w:tcW w:w="56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9"/>
              </w:rPr>
              <w:t>Change</w:t>
            </w:r>
          </w:p>
        </w:tc>
        <w:tc>
          <w:tcPr>
            <w:tcW w:w="0" w:type="dxa"/>
            <w:vAlign w:val="bottom"/>
          </w:tcPr>
          <w:p>
            <w:pPr>
              <w:spacing w:after="0"/>
              <w:rPr>
                <w:sz w:val="1"/>
                <w:szCs w:val="1"/>
                <w:color w:val="auto"/>
              </w:rPr>
            </w:pPr>
          </w:p>
        </w:tc>
      </w:tr>
      <w:tr>
        <w:trPr>
          <w:trHeight w:val="142"/>
        </w:trPr>
        <w:tc>
          <w:tcPr>
            <w:tcW w:w="6620" w:type="dxa"/>
            <w:vAlign w:val="bottom"/>
          </w:tcPr>
          <w:p>
            <w:pPr>
              <w:spacing w:after="0"/>
              <w:rPr>
                <w:sz w:val="12"/>
                <w:szCs w:val="12"/>
                <w:color w:val="auto"/>
              </w:rPr>
            </w:pPr>
          </w:p>
        </w:tc>
        <w:tc>
          <w:tcPr>
            <w:tcW w:w="2400" w:type="dxa"/>
            <w:vAlign w:val="bottom"/>
            <w:tcBorders>
              <w:top w:val="single" w:sz="8" w:color="auto"/>
            </w:tcBorders>
            <w:gridSpan w:val="3"/>
          </w:tcPr>
          <w:p>
            <w:pPr>
              <w:jc w:val="right"/>
              <w:ind w:right="2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4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6620" w:type="dxa"/>
            <w:vAlign w:val="bottom"/>
            <w:shd w:val="clear" w:color="auto" w:fill="CCEEFF"/>
          </w:tcPr>
          <w:p>
            <w:pPr>
              <w:spacing w:after="0"/>
              <w:rPr>
                <w:sz w:val="20"/>
                <w:szCs w:val="20"/>
                <w:color w:val="auto"/>
              </w:rPr>
            </w:pPr>
            <w:r>
              <w:rPr>
                <w:rFonts w:ascii="Arial" w:cs="Arial" w:eastAsia="Arial" w:hAnsi="Arial"/>
                <w:sz w:val="18"/>
                <w:szCs w:val="18"/>
                <w:color w:val="auto"/>
              </w:rPr>
              <w:t>Amortization and write-off of acquired intangible assets</w:t>
            </w:r>
          </w:p>
        </w:tc>
        <w:tc>
          <w:tcPr>
            <w:tcW w:w="920" w:type="dxa"/>
            <w:vAlign w:val="bottom"/>
            <w:shd w:val="clear" w:color="auto" w:fill="CCEEFF"/>
          </w:tcPr>
          <w:p>
            <w:pPr>
              <w:jc w:val="right"/>
              <w:ind w:right="346"/>
              <w:spacing w:after="0"/>
              <w:rPr>
                <w:sz w:val="20"/>
                <w:szCs w:val="20"/>
                <w:color w:val="auto"/>
              </w:rPr>
            </w:pPr>
            <w:r>
              <w:rPr>
                <w:rFonts w:ascii="Arial" w:cs="Arial" w:eastAsia="Arial" w:hAnsi="Arial"/>
                <w:sz w:val="18"/>
                <w:szCs w:val="18"/>
                <w:color w:val="auto"/>
                <w:w w:val="87"/>
              </w:rPr>
              <w:t>$2,568</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$6,689</w:t>
            </w:r>
          </w:p>
        </w:tc>
        <w:tc>
          <w:tcPr>
            <w:tcW w:w="700" w:type="dxa"/>
            <w:vAlign w:val="bottom"/>
            <w:shd w:val="clear" w:color="auto" w:fill="CCEEFF"/>
          </w:tcPr>
          <w:p>
            <w:pPr>
              <w:spacing w:after="0"/>
              <w:rPr>
                <w:sz w:val="18"/>
                <w:szCs w:val="18"/>
                <w:color w:val="auto"/>
              </w:rPr>
            </w:pPr>
          </w:p>
        </w:tc>
        <w:tc>
          <w:tcPr>
            <w:tcW w:w="56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(61.6)</w:t>
            </w:r>
          </w:p>
        </w:tc>
        <w:tc>
          <w:tcPr>
            <w:tcW w:w="0" w:type="dxa"/>
            <w:vAlign w:val="bottom"/>
          </w:tcPr>
          <w:p>
            <w:pPr>
              <w:spacing w:after="0"/>
              <w:rPr>
                <w:sz w:val="1"/>
                <w:szCs w:val="1"/>
                <w:color w:val="auto"/>
              </w:rPr>
            </w:pPr>
          </w:p>
        </w:tc>
      </w:tr>
      <w:tr>
        <w:trPr>
          <w:trHeight w:val="222"/>
        </w:trPr>
        <w:tc>
          <w:tcPr>
            <w:tcW w:w="6620" w:type="dxa"/>
            <w:vAlign w:val="bottom"/>
          </w:tcPr>
          <w:p>
            <w:pPr>
              <w:spacing w:after="0"/>
              <w:rPr>
                <w:sz w:val="20"/>
                <w:szCs w:val="20"/>
                <w:color w:val="auto"/>
              </w:rPr>
            </w:pPr>
            <w:r>
              <w:rPr>
                <w:rFonts w:ascii="Arial" w:cs="Arial" w:eastAsia="Arial" w:hAnsi="Arial"/>
                <w:sz w:val="18"/>
                <w:szCs w:val="18"/>
                <w:color w:val="auto"/>
              </w:rPr>
              <w:t>% of net revenue</w:t>
            </w:r>
          </w:p>
        </w:tc>
        <w:tc>
          <w:tcPr>
            <w:tcW w:w="920" w:type="dxa"/>
            <w:vAlign w:val="bottom"/>
          </w:tcPr>
          <w:p>
            <w:pPr>
              <w:jc w:val="right"/>
              <w:ind w:right="206"/>
              <w:spacing w:after="0"/>
              <w:rPr>
                <w:sz w:val="20"/>
                <w:szCs w:val="20"/>
                <w:color w:val="auto"/>
              </w:rPr>
            </w:pPr>
            <w:r>
              <w:rPr>
                <w:rFonts w:ascii="Arial" w:cs="Arial" w:eastAsia="Arial" w:hAnsi="Arial"/>
                <w:sz w:val="18"/>
                <w:szCs w:val="18"/>
                <w:color w:val="auto"/>
              </w:rPr>
              <w:t>0.3%</w:t>
            </w:r>
          </w:p>
        </w:tc>
        <w:tc>
          <w:tcPr>
            <w:tcW w:w="1480" w:type="dxa"/>
            <w:vAlign w:val="bottom"/>
            <w:gridSpan w:val="2"/>
          </w:tcPr>
          <w:p>
            <w:pPr>
              <w:jc w:val="right"/>
              <w:ind w:right="540"/>
              <w:spacing w:after="0"/>
              <w:rPr>
                <w:sz w:val="20"/>
                <w:szCs w:val="20"/>
                <w:color w:val="auto"/>
              </w:rPr>
            </w:pPr>
            <w:r>
              <w:rPr>
                <w:rFonts w:ascii="Arial" w:cs="Arial" w:eastAsia="Arial" w:hAnsi="Arial"/>
                <w:sz w:val="18"/>
                <w:szCs w:val="18"/>
                <w:color w:val="auto"/>
              </w:rPr>
              <w:t>0.7%</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Amortization and write-off of acquired intangible assets decreased by $4.1 million for the three months ended May 2, 2015 compared to the three months ended May 3, 2014. The decrease reflects the effect of a charge included in the three months ended May 3, 2014 to write off $3.4 million of in-process research and development. There was no such charge in the three months ended May 2, 2015. In addition, amortization expense of acquired intangible assets declined $0.7 million as certain intangible assets have become fully amortized.</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Interest and Other Income, Net</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36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2400" w:type="dxa"/>
            <w:vAlign w:val="bottom"/>
            <w:gridSpan w:val="3"/>
          </w:tcPr>
          <w:p>
            <w:pPr>
              <w:jc w:val="right"/>
              <w:ind w:right="940"/>
              <w:spacing w:after="0"/>
              <w:rPr>
                <w:sz w:val="20"/>
                <w:szCs w:val="20"/>
                <w:color w:val="auto"/>
              </w:rPr>
            </w:pPr>
            <w:r>
              <w:rPr>
                <w:rFonts w:ascii="Arial" w:cs="Arial" w:eastAsia="Arial" w:hAnsi="Arial"/>
                <w:sz w:val="14"/>
                <w:szCs w:val="14"/>
                <w:b w:val="1"/>
                <w:bCs w:val="1"/>
                <w:color w:val="auto"/>
              </w:rPr>
              <w:t>Three Months Ended</w:t>
            </w:r>
          </w:p>
        </w:tc>
        <w:tc>
          <w:tcPr>
            <w:tcW w:w="460" w:type="dxa"/>
            <w:vAlign w:val="bottom"/>
            <w:vMerge w:val="restart"/>
          </w:tcPr>
          <w:p>
            <w:pPr>
              <w:jc w:val="right"/>
              <w:ind w:right="86"/>
              <w:spacing w:after="0"/>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360" w:type="dxa"/>
            <w:vAlign w:val="bottom"/>
          </w:tcPr>
          <w:p>
            <w:pPr>
              <w:spacing w:after="0"/>
              <w:rPr>
                <w:sz w:val="11"/>
                <w:szCs w:val="11"/>
                <w:color w:val="auto"/>
              </w:rPr>
            </w:pPr>
          </w:p>
        </w:tc>
        <w:tc>
          <w:tcPr>
            <w:tcW w:w="2260" w:type="dxa"/>
            <w:vAlign w:val="bottom"/>
          </w:tcPr>
          <w:p>
            <w:pPr>
              <w:spacing w:after="0"/>
              <w:rPr>
                <w:sz w:val="11"/>
                <w:szCs w:val="11"/>
                <w:color w:val="auto"/>
              </w:rPr>
            </w:pPr>
          </w:p>
        </w:tc>
        <w:tc>
          <w:tcPr>
            <w:tcW w:w="920" w:type="dxa"/>
            <w:vAlign w:val="bottom"/>
            <w:tcBorders>
              <w:top w:val="single" w:sz="8" w:color="auto"/>
            </w:tcBorders>
          </w:tcPr>
          <w:p>
            <w:pPr>
              <w:jc w:val="right"/>
              <w:ind w:right="412"/>
              <w:spacing w:after="0" w:line="129" w:lineRule="exact"/>
              <w:rPr>
                <w:sz w:val="20"/>
                <w:szCs w:val="20"/>
                <w:color w:val="auto"/>
              </w:rPr>
            </w:pPr>
            <w:r>
              <w:rPr>
                <w:rFonts w:ascii="Arial" w:cs="Arial" w:eastAsia="Arial" w:hAnsi="Arial"/>
                <w:sz w:val="14"/>
                <w:szCs w:val="14"/>
                <w:b w:val="1"/>
                <w:bCs w:val="1"/>
                <w:color w:val="auto"/>
                <w:w w:val="98"/>
              </w:rPr>
              <w:t>May 2,</w:t>
            </w:r>
          </w:p>
        </w:tc>
        <w:tc>
          <w:tcPr>
            <w:tcW w:w="780" w:type="dxa"/>
            <w:vAlign w:val="bottom"/>
            <w:tcBorders>
              <w:top w:val="single" w:sz="8" w:color="auto"/>
            </w:tcBorders>
          </w:tcPr>
          <w:p>
            <w:pPr>
              <w:jc w:val="center"/>
              <w:ind w:left="182"/>
              <w:spacing w:after="0" w:line="129" w:lineRule="exact"/>
              <w:rPr>
                <w:sz w:val="20"/>
                <w:szCs w:val="20"/>
                <w:color w:val="auto"/>
              </w:rPr>
            </w:pPr>
            <w:r>
              <w:rPr>
                <w:rFonts w:ascii="Arial" w:cs="Arial" w:eastAsia="Arial" w:hAnsi="Arial"/>
                <w:sz w:val="14"/>
                <w:szCs w:val="14"/>
                <w:b w:val="1"/>
                <w:bCs w:val="1"/>
                <w:color w:val="auto"/>
                <w:w w:val="93"/>
              </w:rPr>
              <w:t>May 3,</w:t>
            </w:r>
          </w:p>
        </w:tc>
        <w:tc>
          <w:tcPr>
            <w:tcW w:w="700" w:type="dxa"/>
            <w:vAlign w:val="bottom"/>
          </w:tcPr>
          <w:p>
            <w:pPr>
              <w:spacing w:after="0"/>
              <w:rPr>
                <w:sz w:val="11"/>
                <w:szCs w:val="11"/>
                <w:color w:val="auto"/>
              </w:rPr>
            </w:pPr>
          </w:p>
        </w:tc>
        <w:tc>
          <w:tcPr>
            <w:tcW w:w="46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360" w:type="dxa"/>
            <w:vAlign w:val="bottom"/>
          </w:tcPr>
          <w:p>
            <w:pPr>
              <w:spacing w:after="0"/>
              <w:rPr>
                <w:sz w:val="14"/>
                <w:szCs w:val="14"/>
                <w:color w:val="auto"/>
              </w:rPr>
            </w:pPr>
          </w:p>
        </w:tc>
        <w:tc>
          <w:tcPr>
            <w:tcW w:w="3180" w:type="dxa"/>
            <w:vAlign w:val="bottom"/>
            <w:gridSpan w:val="2"/>
          </w:tcPr>
          <w:p>
            <w:pPr>
              <w:jc w:val="right"/>
              <w:ind w:right="472"/>
              <w:spacing w:after="0"/>
              <w:rPr>
                <w:sz w:val="20"/>
                <w:szCs w:val="20"/>
                <w:color w:val="auto"/>
              </w:rPr>
            </w:pPr>
            <w:r>
              <w:rPr>
                <w:rFonts w:ascii="Arial" w:cs="Arial" w:eastAsia="Arial" w:hAnsi="Arial"/>
                <w:sz w:val="14"/>
                <w:szCs w:val="14"/>
                <w:b w:val="1"/>
                <w:bCs w:val="1"/>
                <w:color w:val="auto"/>
              </w:rPr>
              <w:t>2015</w:t>
            </w:r>
          </w:p>
        </w:tc>
        <w:tc>
          <w:tcPr>
            <w:tcW w:w="780" w:type="dxa"/>
            <w:vAlign w:val="bottom"/>
          </w:tcPr>
          <w:p>
            <w:pPr>
              <w:jc w:val="center"/>
              <w:ind w:left="182"/>
              <w:spacing w:after="0"/>
              <w:rPr>
                <w:sz w:val="20"/>
                <w:szCs w:val="20"/>
                <w:color w:val="auto"/>
              </w:rPr>
            </w:pPr>
            <w:r>
              <w:rPr>
                <w:rFonts w:ascii="Arial" w:cs="Arial" w:eastAsia="Arial" w:hAnsi="Arial"/>
                <w:sz w:val="14"/>
                <w:szCs w:val="14"/>
                <w:b w:val="1"/>
                <w:bCs w:val="1"/>
                <w:color w:val="auto"/>
                <w:w w:val="89"/>
              </w:rPr>
              <w:t>2014</w:t>
            </w:r>
          </w:p>
        </w:tc>
        <w:tc>
          <w:tcPr>
            <w:tcW w:w="700" w:type="dxa"/>
            <w:vAlign w:val="bottom"/>
          </w:tcPr>
          <w:p>
            <w:pPr>
              <w:spacing w:after="0"/>
              <w:rPr>
                <w:sz w:val="14"/>
                <w:szCs w:val="14"/>
                <w:color w:val="auto"/>
              </w:rPr>
            </w:pPr>
          </w:p>
        </w:tc>
        <w:tc>
          <w:tcPr>
            <w:tcW w:w="5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360" w:type="dxa"/>
            <w:vAlign w:val="bottom"/>
          </w:tcPr>
          <w:p>
            <w:pPr>
              <w:spacing w:after="0"/>
              <w:rPr>
                <w:sz w:val="12"/>
                <w:szCs w:val="12"/>
                <w:color w:val="auto"/>
              </w:rPr>
            </w:pPr>
          </w:p>
        </w:tc>
        <w:tc>
          <w:tcPr>
            <w:tcW w:w="2260" w:type="dxa"/>
            <w:vAlign w:val="bottom"/>
          </w:tcPr>
          <w:p>
            <w:pPr>
              <w:spacing w:after="0"/>
              <w:rPr>
                <w:sz w:val="12"/>
                <w:szCs w:val="12"/>
                <w:color w:val="auto"/>
              </w:rPr>
            </w:pPr>
          </w:p>
        </w:tc>
        <w:tc>
          <w:tcPr>
            <w:tcW w:w="2400" w:type="dxa"/>
            <w:vAlign w:val="bottom"/>
            <w:tcBorders>
              <w:top w:val="single" w:sz="8" w:color="auto"/>
            </w:tcBorders>
            <w:gridSpan w:val="3"/>
          </w:tcPr>
          <w:p>
            <w:pPr>
              <w:jc w:val="center"/>
              <w:ind w:left="372"/>
              <w:spacing w:after="0" w:line="142" w:lineRule="exact"/>
              <w:rPr>
                <w:sz w:val="20"/>
                <w:szCs w:val="20"/>
                <w:color w:val="auto"/>
              </w:rPr>
            </w:pPr>
            <w:r>
              <w:rPr>
                <w:rFonts w:ascii="Arial" w:cs="Arial" w:eastAsia="Arial" w:hAnsi="Arial"/>
                <w:sz w:val="14"/>
                <w:szCs w:val="14"/>
                <w:b w:val="1"/>
                <w:bCs w:val="1"/>
                <w:color w:val="auto"/>
                <w:w w:val="84"/>
              </w:rPr>
              <w:t>(in thousands, except percentage)</w:t>
            </w:r>
          </w:p>
        </w:tc>
        <w:tc>
          <w:tcPr>
            <w:tcW w:w="460" w:type="dxa"/>
            <w:vAlign w:val="bottom"/>
            <w:tcBorders>
              <w:top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3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318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$5,167</w:t>
            </w:r>
          </w:p>
        </w:tc>
        <w:tc>
          <w:tcPr>
            <w:tcW w:w="14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$1,925</w:t>
            </w:r>
          </w:p>
        </w:tc>
        <w:tc>
          <w:tcPr>
            <w:tcW w:w="4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7"/>
              </w:rPr>
              <w:t>168.4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360" w:type="dxa"/>
            <w:vAlign w:val="bottom"/>
          </w:tcPr>
          <w:p>
            <w:pPr>
              <w:spacing w:after="0"/>
              <w:rPr>
                <w:sz w:val="20"/>
                <w:szCs w:val="20"/>
                <w:color w:val="auto"/>
              </w:rPr>
            </w:pPr>
            <w:r>
              <w:rPr>
                <w:rFonts w:ascii="Arial" w:cs="Arial" w:eastAsia="Arial" w:hAnsi="Arial"/>
                <w:sz w:val="18"/>
                <w:szCs w:val="18"/>
                <w:color w:val="auto"/>
              </w:rPr>
              <w:t>% of net revenue</w:t>
            </w:r>
          </w:p>
        </w:tc>
        <w:tc>
          <w:tcPr>
            <w:tcW w:w="3180" w:type="dxa"/>
            <w:vAlign w:val="bottom"/>
            <w:gridSpan w:val="2"/>
          </w:tcPr>
          <w:p>
            <w:pPr>
              <w:jc w:val="right"/>
              <w:ind w:right="212"/>
              <w:spacing w:after="0"/>
              <w:rPr>
                <w:sz w:val="20"/>
                <w:szCs w:val="20"/>
                <w:color w:val="auto"/>
              </w:rPr>
            </w:pPr>
            <w:r>
              <w:rPr>
                <w:rFonts w:ascii="Arial" w:cs="Arial" w:eastAsia="Arial" w:hAnsi="Arial"/>
                <w:sz w:val="18"/>
                <w:szCs w:val="18"/>
                <w:color w:val="auto"/>
              </w:rPr>
              <w:t>0.7%</w:t>
            </w:r>
          </w:p>
        </w:tc>
        <w:tc>
          <w:tcPr>
            <w:tcW w:w="1480" w:type="dxa"/>
            <w:vAlign w:val="bottom"/>
            <w:gridSpan w:val="2"/>
          </w:tcPr>
          <w:p>
            <w:pPr>
              <w:jc w:val="right"/>
              <w:ind w:right="560"/>
              <w:spacing w:after="0"/>
              <w:rPr>
                <w:sz w:val="20"/>
                <w:szCs w:val="20"/>
                <w:color w:val="auto"/>
              </w:rPr>
            </w:pPr>
            <w:r>
              <w:rPr>
                <w:rFonts w:ascii="Arial" w:cs="Arial" w:eastAsia="Arial" w:hAnsi="Arial"/>
                <w:sz w:val="18"/>
                <w:szCs w:val="18"/>
                <w:color w:val="auto"/>
              </w:rPr>
              <w:t>0.2%</w:t>
            </w:r>
          </w:p>
        </w:tc>
        <w:tc>
          <w:tcPr>
            <w:tcW w:w="4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4" w:lineRule="exact"/>
        <w:rPr>
          <w:sz w:val="20"/>
          <w:szCs w:val="20"/>
          <w:color w:val="auto"/>
        </w:rPr>
      </w:pPr>
    </w:p>
    <w:p>
      <w:pPr>
        <w:sectPr>
          <w:pgSz w:w="11900" w:h="16838" w:orient="portrait"/>
          <w:cols w:equalWidth="0" w:num="1">
            <w:col w:w="11380"/>
          </w:cols>
          <w:pgMar w:left="240" w:top="459" w:right="279" w:bottom="1440" w:gutter="0" w:footer="0" w:header="0"/>
        </w:sectPr>
      </w:pPr>
    </w:p>
    <w:p>
      <w:pPr>
        <w:jc w:val="center"/>
        <w:ind w:right="-39"/>
        <w:spacing w:after="0"/>
        <w:rPr>
          <w:sz w:val="20"/>
          <w:szCs w:val="20"/>
          <w:color w:val="auto"/>
        </w:rPr>
      </w:pPr>
      <w:r>
        <w:rPr>
          <w:rFonts w:ascii="Arial" w:cs="Arial" w:eastAsia="Arial" w:hAnsi="Arial"/>
          <w:sz w:val="16"/>
          <w:szCs w:val="16"/>
          <w:color w:val="auto"/>
        </w:rPr>
        <w:t>33</w:t>
      </w:r>
    </w:p>
    <w:p>
      <w:pPr>
        <w:sectPr>
          <w:pgSz w:w="11900" w:h="16838" w:orient="portrait"/>
          <w:cols w:equalWidth="0" w:num="1">
            <w:col w:w="11380"/>
          </w:cols>
          <w:pgMar w:left="240" w:top="459" w:right="27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Interest and other income, net, increased by $3.2 million for the three months ended May 2, 2015 compared to the three months ended May 3, 2014, primarily due to the recognition of foreign currency gains from the revaluation of our foreign currency denominated tax liabilities as the U.S. dollar strengthened during the three months ended May 2, 2015 compared to the three months ended May 3, 2014. In addition, we had higher interest income due to overall higher interest rates and average cash balances.</w:t>
      </w:r>
    </w:p>
    <w:p>
      <w:pPr>
        <w:spacing w:after="0" w:line="224"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Provision (benefit) for Income Taxes</w:t>
      </w:r>
    </w:p>
    <w:p>
      <w:pPr>
        <w:spacing w:after="0" w:line="207"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44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2500" w:type="dxa"/>
            <w:vAlign w:val="bottom"/>
            <w:gridSpan w:val="3"/>
          </w:tcPr>
          <w:p>
            <w:pPr>
              <w:jc w:val="right"/>
              <w:ind w:right="1000"/>
              <w:spacing w:after="0"/>
              <w:rPr>
                <w:sz w:val="20"/>
                <w:szCs w:val="20"/>
                <w:color w:val="auto"/>
              </w:rPr>
            </w:pPr>
            <w:r>
              <w:rPr>
                <w:rFonts w:ascii="Arial" w:cs="Arial" w:eastAsia="Arial" w:hAnsi="Arial"/>
                <w:sz w:val="14"/>
                <w:szCs w:val="14"/>
                <w:b w:val="1"/>
                <w:bCs w:val="1"/>
                <w:color w:val="auto"/>
              </w:rPr>
              <w:t>Three Months Ended</w:t>
            </w:r>
          </w:p>
        </w:tc>
        <w:tc>
          <w:tcPr>
            <w:tcW w:w="500" w:type="dxa"/>
            <w:vAlign w:val="bottom"/>
            <w:vMerge w:val="restart"/>
          </w:tcPr>
          <w:p>
            <w:pPr>
              <w:jc w:val="right"/>
              <w:ind w:right="106"/>
              <w:spacing w:after="0"/>
              <w:rPr>
                <w:sz w:val="20"/>
                <w:szCs w:val="20"/>
                <w:color w:val="auto"/>
              </w:rPr>
            </w:pPr>
            <w:r>
              <w:rPr>
                <w:rFonts w:ascii="Arial" w:cs="Arial" w:eastAsia="Arial" w:hAnsi="Arial"/>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444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920" w:type="dxa"/>
            <w:vAlign w:val="bottom"/>
            <w:tcBorders>
              <w:top w:val="single" w:sz="8" w:color="auto"/>
            </w:tcBorders>
          </w:tcPr>
          <w:p>
            <w:pPr>
              <w:jc w:val="right"/>
              <w:ind w:right="392"/>
              <w:spacing w:after="0" w:line="129" w:lineRule="exact"/>
              <w:rPr>
                <w:sz w:val="20"/>
                <w:szCs w:val="20"/>
                <w:color w:val="auto"/>
              </w:rPr>
            </w:pPr>
            <w:r>
              <w:rPr>
                <w:rFonts w:ascii="Arial" w:cs="Arial" w:eastAsia="Arial" w:hAnsi="Arial"/>
                <w:sz w:val="14"/>
                <w:szCs w:val="14"/>
                <w:b w:val="1"/>
                <w:bCs w:val="1"/>
                <w:color w:val="auto"/>
              </w:rPr>
              <w:t>May 2,</w:t>
            </w:r>
          </w:p>
        </w:tc>
        <w:tc>
          <w:tcPr>
            <w:tcW w:w="820" w:type="dxa"/>
            <w:vAlign w:val="bottom"/>
            <w:tcBorders>
              <w:top w:val="single" w:sz="8" w:color="auto"/>
            </w:tcBorders>
          </w:tcPr>
          <w:p>
            <w:pPr>
              <w:jc w:val="right"/>
              <w:spacing w:after="0" w:line="129" w:lineRule="exact"/>
              <w:rPr>
                <w:sz w:val="20"/>
                <w:szCs w:val="20"/>
                <w:color w:val="auto"/>
              </w:rPr>
            </w:pPr>
            <w:r>
              <w:rPr>
                <w:rFonts w:ascii="Arial" w:cs="Arial" w:eastAsia="Arial" w:hAnsi="Arial"/>
                <w:sz w:val="14"/>
                <w:szCs w:val="14"/>
                <w:b w:val="1"/>
                <w:bCs w:val="1"/>
                <w:color w:val="auto"/>
              </w:rPr>
              <w:t>May 3,</w:t>
            </w:r>
          </w:p>
        </w:tc>
        <w:tc>
          <w:tcPr>
            <w:tcW w:w="7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4440" w:type="dxa"/>
            <w:vAlign w:val="bottom"/>
          </w:tcPr>
          <w:p>
            <w:pPr>
              <w:spacing w:after="0"/>
              <w:rPr>
                <w:sz w:val="14"/>
                <w:szCs w:val="14"/>
                <w:color w:val="auto"/>
              </w:rPr>
            </w:pPr>
          </w:p>
        </w:tc>
        <w:tc>
          <w:tcPr>
            <w:tcW w:w="2800" w:type="dxa"/>
            <w:vAlign w:val="bottom"/>
            <w:gridSpan w:val="2"/>
          </w:tcPr>
          <w:p>
            <w:pPr>
              <w:jc w:val="right"/>
              <w:ind w:right="452"/>
              <w:spacing w:after="0"/>
              <w:rPr>
                <w:sz w:val="20"/>
                <w:szCs w:val="20"/>
                <w:color w:val="auto"/>
              </w:rPr>
            </w:pPr>
            <w:r>
              <w:rPr>
                <w:rFonts w:ascii="Arial" w:cs="Arial" w:eastAsia="Arial" w:hAnsi="Arial"/>
                <w:sz w:val="14"/>
                <w:szCs w:val="14"/>
                <w:b w:val="1"/>
                <w:bCs w:val="1"/>
                <w:color w:val="auto"/>
              </w:rPr>
              <w:t>2015</w:t>
            </w:r>
          </w:p>
        </w:tc>
        <w:tc>
          <w:tcPr>
            <w:tcW w:w="820" w:type="dxa"/>
            <w:vAlign w:val="bottom"/>
          </w:tcPr>
          <w:p>
            <w:pPr>
              <w:jc w:val="right"/>
              <w:ind w:right="62"/>
              <w:spacing w:after="0"/>
              <w:rPr>
                <w:sz w:val="20"/>
                <w:szCs w:val="20"/>
                <w:color w:val="auto"/>
              </w:rPr>
            </w:pPr>
            <w:r>
              <w:rPr>
                <w:rFonts w:ascii="Arial" w:cs="Arial" w:eastAsia="Arial" w:hAnsi="Arial"/>
                <w:sz w:val="14"/>
                <w:szCs w:val="14"/>
                <w:b w:val="1"/>
                <w:bCs w:val="1"/>
                <w:color w:val="auto"/>
              </w:rPr>
              <w:t>2014</w:t>
            </w:r>
          </w:p>
        </w:tc>
        <w:tc>
          <w:tcPr>
            <w:tcW w:w="760" w:type="dxa"/>
            <w:vAlign w:val="bottom"/>
          </w:tcPr>
          <w:p>
            <w:pPr>
              <w:spacing w:after="0"/>
              <w:rPr>
                <w:sz w:val="14"/>
                <w:szCs w:val="14"/>
                <w:color w:val="auto"/>
              </w:rPr>
            </w:pPr>
          </w:p>
        </w:tc>
        <w:tc>
          <w:tcPr>
            <w:tcW w:w="76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85"/>
              </w:rPr>
              <w:t>Change</w:t>
            </w:r>
          </w:p>
        </w:tc>
        <w:tc>
          <w:tcPr>
            <w:tcW w:w="0" w:type="dxa"/>
            <w:vAlign w:val="bottom"/>
          </w:tcPr>
          <w:p>
            <w:pPr>
              <w:spacing w:after="0"/>
              <w:rPr>
                <w:sz w:val="1"/>
                <w:szCs w:val="1"/>
                <w:color w:val="auto"/>
              </w:rPr>
            </w:pPr>
          </w:p>
        </w:tc>
      </w:tr>
      <w:tr>
        <w:trPr>
          <w:trHeight w:val="142"/>
        </w:trPr>
        <w:tc>
          <w:tcPr>
            <w:tcW w:w="444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2500" w:type="dxa"/>
            <w:vAlign w:val="bottom"/>
            <w:tcBorders>
              <w:top w:val="single" w:sz="8" w:color="auto"/>
            </w:tcBorders>
            <w:gridSpan w:val="3"/>
          </w:tcPr>
          <w:p>
            <w:pPr>
              <w:jc w:val="right"/>
              <w:ind w:right="40"/>
              <w:spacing w:after="0" w:line="142" w:lineRule="exact"/>
              <w:rPr>
                <w:sz w:val="20"/>
                <w:szCs w:val="20"/>
                <w:color w:val="auto"/>
              </w:rPr>
            </w:pPr>
            <w:r>
              <w:rPr>
                <w:rFonts w:ascii="Arial" w:cs="Arial" w:eastAsia="Arial" w:hAnsi="Arial"/>
                <w:sz w:val="14"/>
                <w:szCs w:val="14"/>
                <w:b w:val="1"/>
                <w:bCs w:val="1"/>
                <w:color w:val="auto"/>
              </w:rPr>
              <w:t>(in thousands, except percentage)</w:t>
            </w:r>
          </w:p>
        </w:tc>
        <w:tc>
          <w:tcPr>
            <w:tcW w:w="5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44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2800" w:type="dxa"/>
            <w:vAlign w:val="bottom"/>
            <w:gridSpan w:val="2"/>
            <w:shd w:val="clear" w:color="auto" w:fill="CCEEFF"/>
          </w:tcPr>
          <w:p>
            <w:pPr>
              <w:jc w:val="right"/>
              <w:ind w:right="352"/>
              <w:spacing w:after="0"/>
              <w:rPr>
                <w:sz w:val="20"/>
                <w:szCs w:val="20"/>
                <w:color w:val="auto"/>
              </w:rPr>
            </w:pPr>
            <w:r>
              <w:rPr>
                <w:rFonts w:ascii="Arial" w:cs="Arial" w:eastAsia="Arial" w:hAnsi="Arial"/>
                <w:sz w:val="18"/>
                <w:szCs w:val="18"/>
                <w:color w:val="auto"/>
              </w:rPr>
              <w:t>$4,329</w:t>
            </w:r>
          </w:p>
        </w:tc>
        <w:tc>
          <w:tcPr>
            <w:tcW w:w="1580" w:type="dxa"/>
            <w:vAlign w:val="bottom"/>
            <w:gridSpan w:val="2"/>
            <w:shd w:val="clear" w:color="auto" w:fill="CCEEFF"/>
          </w:tcPr>
          <w:p>
            <w:pPr>
              <w:jc w:val="right"/>
              <w:ind w:right="700"/>
              <w:spacing w:after="0"/>
              <w:rPr>
                <w:sz w:val="20"/>
                <w:szCs w:val="20"/>
                <w:color w:val="auto"/>
              </w:rPr>
            </w:pPr>
            <w:r>
              <w:rPr>
                <w:rFonts w:ascii="Arial" w:cs="Arial" w:eastAsia="Arial" w:hAnsi="Arial"/>
                <w:sz w:val="18"/>
                <w:szCs w:val="18"/>
                <w:color w:val="auto"/>
              </w:rPr>
              <w:t>$(4,567)</w:t>
            </w:r>
          </w:p>
        </w:tc>
        <w:tc>
          <w:tcPr>
            <w:tcW w:w="7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3"/>
              </w:rPr>
              <w:t>(194.8)%</w:t>
            </w:r>
          </w:p>
        </w:tc>
        <w:tc>
          <w:tcPr>
            <w:tcW w:w="0" w:type="dxa"/>
            <w:vAlign w:val="bottom"/>
          </w:tcPr>
          <w:p>
            <w:pPr>
              <w:spacing w:after="0"/>
              <w:rPr>
                <w:sz w:val="1"/>
                <w:szCs w:val="1"/>
                <w:color w:val="auto"/>
              </w:rPr>
            </w:pPr>
          </w:p>
        </w:tc>
      </w:tr>
      <w:tr>
        <w:trPr>
          <w:trHeight w:val="222"/>
        </w:trPr>
        <w:tc>
          <w:tcPr>
            <w:tcW w:w="4440" w:type="dxa"/>
            <w:vAlign w:val="bottom"/>
          </w:tcPr>
          <w:p>
            <w:pPr>
              <w:spacing w:after="0"/>
              <w:rPr>
                <w:sz w:val="20"/>
                <w:szCs w:val="20"/>
                <w:color w:val="auto"/>
              </w:rPr>
            </w:pPr>
            <w:r>
              <w:rPr>
                <w:rFonts w:ascii="Arial" w:cs="Arial" w:eastAsia="Arial" w:hAnsi="Arial"/>
                <w:sz w:val="18"/>
                <w:szCs w:val="18"/>
                <w:color w:val="auto"/>
              </w:rPr>
              <w:t>% of net revenue</w:t>
            </w:r>
          </w:p>
        </w:tc>
        <w:tc>
          <w:tcPr>
            <w:tcW w:w="2800" w:type="dxa"/>
            <w:vAlign w:val="bottom"/>
            <w:gridSpan w:val="2"/>
          </w:tcPr>
          <w:p>
            <w:pPr>
              <w:jc w:val="right"/>
              <w:ind w:right="192"/>
              <w:spacing w:after="0"/>
              <w:rPr>
                <w:sz w:val="20"/>
                <w:szCs w:val="20"/>
                <w:color w:val="auto"/>
              </w:rPr>
            </w:pPr>
            <w:r>
              <w:rPr>
                <w:rFonts w:ascii="Arial" w:cs="Arial" w:eastAsia="Arial" w:hAnsi="Arial"/>
                <w:sz w:val="18"/>
                <w:szCs w:val="18"/>
                <w:color w:val="auto"/>
              </w:rPr>
              <w:t>0.6%</w:t>
            </w:r>
          </w:p>
        </w:tc>
        <w:tc>
          <w:tcPr>
            <w:tcW w:w="1580" w:type="dxa"/>
            <w:vAlign w:val="bottom"/>
            <w:gridSpan w:val="2"/>
          </w:tcPr>
          <w:p>
            <w:pPr>
              <w:jc w:val="right"/>
              <w:ind w:right="540"/>
              <w:spacing w:after="0"/>
              <w:rPr>
                <w:sz w:val="20"/>
                <w:szCs w:val="20"/>
                <w:color w:val="auto"/>
              </w:rPr>
            </w:pPr>
            <w:r>
              <w:rPr>
                <w:rFonts w:ascii="Arial" w:cs="Arial" w:eastAsia="Arial" w:hAnsi="Arial"/>
                <w:sz w:val="18"/>
                <w:szCs w:val="18"/>
                <w:color w:val="auto"/>
              </w:rPr>
              <w:t>(0.5)%</w:t>
            </w:r>
          </w:p>
        </w:tc>
        <w:tc>
          <w:tcPr>
            <w:tcW w:w="5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47" w:lineRule="exact"/>
        <w:rPr>
          <w:sz w:val="20"/>
          <w:szCs w:val="20"/>
          <w:color w:val="auto"/>
        </w:rPr>
      </w:pPr>
    </w:p>
    <w:p>
      <w:pPr>
        <w:ind w:right="100" w:firstLine="456"/>
        <w:spacing w:after="0" w:line="254" w:lineRule="auto"/>
        <w:rPr>
          <w:sz w:val="20"/>
          <w:szCs w:val="20"/>
          <w:color w:val="auto"/>
        </w:rPr>
      </w:pPr>
      <w:r>
        <w:rPr>
          <w:rFonts w:ascii="Arial" w:cs="Arial" w:eastAsia="Arial" w:hAnsi="Arial"/>
          <w:sz w:val="18"/>
          <w:szCs w:val="18"/>
          <w:color w:val="auto"/>
        </w:rPr>
        <w:t>We had an effective tax rate of 23.5% in the three months ended May 2, 2015. Our income tax provision for the three months ended May 2, 2015 included the current income tax liability of $4.3 million, plus an additional provision of $3.1 million related to a $15.4 million cash payment to the Company’s Chief Executive Officer (see “Note 13 – Related Party Transactions” in the Notes to the Unaudited Condensed Consolidated Financial Statements), which were offset by a net reduction in unrecognized tax benefits of $3.1 million. The net reduction in unrecognized tax benefits arose from the release of $4.0 million due to expiration of the statue of limitations in a non-U.S. jurisdiction, which was partially offset by penalties and interest of $0.9 million accrued on the outstanding unrecognized tax benefit balance.</w:t>
      </w:r>
    </w:p>
    <w:p>
      <w:pPr>
        <w:spacing w:after="0" w:line="144" w:lineRule="exact"/>
        <w:rPr>
          <w:sz w:val="20"/>
          <w:szCs w:val="20"/>
          <w:color w:val="auto"/>
        </w:rPr>
      </w:pPr>
    </w:p>
    <w:p>
      <w:pPr>
        <w:ind w:firstLine="456"/>
        <w:spacing w:after="0" w:line="254" w:lineRule="auto"/>
        <w:rPr>
          <w:sz w:val="20"/>
          <w:szCs w:val="20"/>
          <w:color w:val="auto"/>
        </w:rPr>
      </w:pPr>
      <w:r>
        <w:rPr>
          <w:rFonts w:ascii="Arial" w:cs="Arial" w:eastAsia="Arial" w:hAnsi="Arial"/>
          <w:sz w:val="18"/>
          <w:szCs w:val="18"/>
          <w:color w:val="auto"/>
        </w:rPr>
        <w:t>The income tax benefit for the three months ended May 3, 2014 had an effective tax rate of 4.8% and included the current income tax liability of $5.7 million, which was offset by tax benefits of $2.5 million from a net reduction in unrecognized tax benefits and $7.8 million from an increase in the net deferred tax assets because of the continued discussion with the Singapore tax authorities that resulted in an agreement for a major portion of the pre-tax income to be taxed at a new DEI. The net reduction in unrecognized tax benefits arose from the release of $4.9 million due to expiration of the statute of limitations, which was reduced by an increase in current unrecognized tax benefit estimates of $1.1 million and a $1.3 million tax expense related to the fiscal year 2014 tax return of a non-U.S. jurisdiction.</w:t>
      </w:r>
    </w:p>
    <w:p>
      <w:pPr>
        <w:spacing w:after="0" w:line="144" w:lineRule="exact"/>
        <w:rPr>
          <w:sz w:val="20"/>
          <w:szCs w:val="20"/>
          <w:color w:val="auto"/>
        </w:rPr>
      </w:pPr>
    </w:p>
    <w:p>
      <w:pPr>
        <w:ind w:right="60" w:firstLine="456"/>
        <w:spacing w:after="0" w:line="294" w:lineRule="auto"/>
        <w:rPr>
          <w:sz w:val="20"/>
          <w:szCs w:val="20"/>
          <w:color w:val="auto"/>
        </w:rPr>
      </w:pPr>
      <w:r>
        <w:rPr>
          <w:rFonts w:ascii="Arial" w:cs="Arial" w:eastAsia="Arial" w:hAnsi="Arial"/>
          <w:sz w:val="16"/>
          <w:szCs w:val="16"/>
          <w:color w:val="auto"/>
        </w:rPr>
        <w:t>It is reasonably possible that the amount of unrecognized tax benefits could increase or decrease significantly due to changes in tax law in various jurisdictions, new tax audits and changes in the U.S. dollar as compared to foreign currencies within the next 12 months. Excluding these factors, uncertain tax positions may decrease by as much as $11 million from the lapse of statutes of limitation in various jurisdictions during the next 12 months. Government tax authorities from several non-U.S. jurisdictions are also examining returns. We believe that we have adequately provided for any reasonably foreseeable outcomes related to our tax audits and that any settlement will not have a material effect on our results at this time.</w:t>
      </w:r>
    </w:p>
    <w:p>
      <w:pPr>
        <w:spacing w:after="0" w:line="116"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operate under tax incentives in certain countries, which may be extended if certain additional requirements are satisfied. The tax incentives are conditional upon meeting certain employment and investment thresholds. The impact of these tax incentives decreased foreign taxes by $3.3 million in each of the three months ended May 2, 2015 and May 3, 2014. The benefit of the tax incentives on net income per share was $0.01 per share for the three months ended May 2, 2015 and less than $0.01 per share May 3, 2014.</w:t>
      </w:r>
    </w:p>
    <w:p>
      <w:pPr>
        <w:spacing w:after="0" w:line="13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34</w:t>
      </w:r>
    </w:p>
    <w:p>
      <w:pPr>
        <w:sectPr>
          <w:pgSz w:w="11900" w:h="16838" w:orient="portrait"/>
          <w:cols w:equalWidth="0" w:num="1">
            <w:col w:w="11400"/>
          </w:cols>
          <w:pgMar w:left="240" w:top="45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96" w:lineRule="exact"/>
        <w:rPr>
          <w:sz w:val="20"/>
          <w:szCs w:val="20"/>
          <w:color w:val="auto"/>
        </w:rPr>
      </w:pPr>
    </w:p>
    <w:p>
      <w:pPr>
        <w:ind w:firstLine="456"/>
        <w:spacing w:after="0" w:line="284" w:lineRule="auto"/>
        <w:rPr>
          <w:sz w:val="20"/>
          <w:szCs w:val="20"/>
          <w:color w:val="auto"/>
        </w:rPr>
      </w:pPr>
      <w:r>
        <w:rPr>
          <w:rFonts w:ascii="Arial" w:cs="Arial" w:eastAsia="Arial" w:hAnsi="Arial"/>
          <w:sz w:val="16"/>
          <w:szCs w:val="16"/>
          <w:color w:val="auto"/>
        </w:rPr>
        <w:t>Our principal source of liquidity as of May 2, 2015 consisted of approximately $2.5 billion of cash, cash equivalents and short-term investments, of which approximately $900 million was held by foreign subsidiaries (outside Bermuda). Approximately $500 million of this amount held by foreign subsidiaries is related to undistributed earnings, which have been indefinitely reinvested outside of Bermuda. These funds are primarily held in China, Israel, the United States and Switzerland. We have plans to use such amounts to fund various activities outside of Bermuda including working capital requirements, capital expenditures for expansion, funding of future acquisitions, or other financing activities. If such funds were needed by the parent company in Bermuda or if the amounts were otherwise no longer considered indefinitely reinvested, we would incur a tax expense of approximately $150 million.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any declared dividends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interest, post-judgment interest, attorneys’ fees, and an injunction and/or ongoing royalties. Based on a series of post-trial rulings, the District Court calculated the damages including enhancement to total approximately $1.54 billion, and held that, under its decision, CMU is entitled to post judgment interest and an ongoing royalty. Based on the royalty rate assessed by the District Court, such additional royalties for the period of time commencing on the date ordered by the District Court, January 15, 2013, through May 2, 2015 could be as much as $450 million. On May 7, 2014, the District Court entered final judgment, from which we filed a notice of appeal to the U.S. Court of Appeals for the Federal Circuit in Washington, D.C., which held a hearing for oral argument on April 7, 2015. We have secured certain surety bonds for the duration of the appeal to stay execution of judgment pending the appeal. See “Note 10 – Commitments and Contingencies – Surety Bonds” in the Notes to the Unaudited Condensed Consolidated Financial Statements for a further discussion of these surety bonds. We strongly believe that we do not infringe on the methods described in the CMU patents and that our products use our own internally developed patented read channel technology. See the section entitled “Off-Balance Sheet Arrangements” below for a discussion of the effects on liquidity from the CMU litigation.</w:t>
      </w:r>
    </w:p>
    <w:p>
      <w:pPr>
        <w:spacing w:after="0" w:line="126" w:lineRule="exact"/>
        <w:rPr>
          <w:sz w:val="20"/>
          <w:szCs w:val="20"/>
          <w:color w:val="auto"/>
        </w:rPr>
      </w:pPr>
    </w:p>
    <w:p>
      <w:pPr>
        <w:ind w:right="140" w:firstLine="456"/>
        <w:spacing w:after="0" w:line="253" w:lineRule="auto"/>
        <w:rPr>
          <w:sz w:val="20"/>
          <w:szCs w:val="20"/>
          <w:color w:val="auto"/>
        </w:rPr>
      </w:pPr>
      <w:r>
        <w:rPr>
          <w:rFonts w:ascii="Arial" w:cs="Arial" w:eastAsia="Arial" w:hAnsi="Arial"/>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also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147" w:lineRule="exact"/>
        <w:rPr>
          <w:sz w:val="20"/>
          <w:szCs w:val="20"/>
          <w:color w:val="auto"/>
        </w:rPr>
      </w:pPr>
    </w:p>
    <w:p>
      <w:pPr>
        <w:ind w:right="20" w:firstLine="456"/>
        <w:spacing w:after="0" w:line="268" w:lineRule="auto"/>
        <w:rPr>
          <w:sz w:val="20"/>
          <w:szCs w:val="20"/>
          <w:color w:val="auto"/>
        </w:rPr>
      </w:pPr>
      <w:r>
        <w:rPr>
          <w:rFonts w:ascii="Arial" w:cs="Arial" w:eastAsia="Arial" w:hAnsi="Arial"/>
          <w:sz w:val="18"/>
          <w:szCs w:val="18"/>
          <w:color w:val="auto"/>
        </w:rPr>
        <w:t>On May 21, 2015, the Company announced that its board of directors declared a cash dividend of $0.06 per share to be paid on July 1, 2015 to shareholders of record as of Jun 11, 2015.</w:t>
      </w:r>
    </w:p>
    <w:p>
      <w:pPr>
        <w:spacing w:after="0" w:line="213"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Provided by Operating Activities</w:t>
      </w:r>
    </w:p>
    <w:p>
      <w:pPr>
        <w:spacing w:after="0" w:line="90" w:lineRule="exact"/>
        <w:rPr>
          <w:sz w:val="20"/>
          <w:szCs w:val="20"/>
          <w:color w:val="auto"/>
        </w:rPr>
      </w:pPr>
    </w:p>
    <w:p>
      <w:pPr>
        <w:ind w:right="160" w:firstLine="456"/>
        <w:spacing w:after="0" w:line="291" w:lineRule="auto"/>
        <w:rPr>
          <w:sz w:val="20"/>
          <w:szCs w:val="20"/>
          <w:color w:val="auto"/>
        </w:rPr>
      </w:pPr>
      <w:r>
        <w:rPr>
          <w:rFonts w:ascii="Arial" w:cs="Arial" w:eastAsia="Arial" w:hAnsi="Arial"/>
          <w:sz w:val="16"/>
          <w:szCs w:val="16"/>
          <w:color w:val="auto"/>
        </w:rPr>
        <w:t>Net cash provided by operating activities was $58.9 million for the three months ended May 2, 2015. The cash inflows from operations for the three months ended May 2, 2015 were due to $77.9 million of net income adjusted for non-cash items and a negative effect from changes in working capital of $19.0 million. The cash outflow from working capital for the three months ended May 2, 2015 was primarily driven by an increase in inventory due to weaker than expected short-term demand, combined with decreases in accrued employee compensation primarily from the payment of the annual incentive compensation offset by additional employee stock purchase plan withholdings. The negative effect on working capital was partially offset by a decrease in accounts receivable due to lower sales and an increase in accounts payable.</w:t>
      </w:r>
    </w:p>
    <w:p>
      <w:pPr>
        <w:spacing w:after="0" w:line="120" w:lineRule="exact"/>
        <w:rPr>
          <w:sz w:val="20"/>
          <w:szCs w:val="20"/>
          <w:color w:val="auto"/>
        </w:rPr>
      </w:pPr>
    </w:p>
    <w:p>
      <w:pPr>
        <w:ind w:right="100" w:firstLine="456"/>
        <w:spacing w:after="0" w:line="259" w:lineRule="auto"/>
        <w:rPr>
          <w:sz w:val="20"/>
          <w:szCs w:val="20"/>
          <w:color w:val="auto"/>
        </w:rPr>
      </w:pPr>
      <w:r>
        <w:rPr>
          <w:rFonts w:ascii="Arial" w:cs="Arial" w:eastAsia="Arial" w:hAnsi="Arial"/>
          <w:sz w:val="18"/>
          <w:szCs w:val="18"/>
          <w:color w:val="auto"/>
        </w:rPr>
        <w:t>Net cash provided by operating activities was $235.1 million for the three months ended May 3, 2014. The cash inflows from operations for the three months ended May 3, 2014 were primarily due to $165.0 million of net income adjusted for non-cash items and a positive effect from changes in working capital of $70.1 million.</w:t>
      </w:r>
    </w:p>
    <w:p>
      <w:pPr>
        <w:spacing w:after="0" w:line="221"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Investing Activities</w:t>
      </w:r>
    </w:p>
    <w:p>
      <w:pPr>
        <w:spacing w:after="0" w:line="90" w:lineRule="exact"/>
        <w:rPr>
          <w:sz w:val="20"/>
          <w:szCs w:val="20"/>
          <w:color w:val="auto"/>
        </w:rPr>
      </w:pPr>
    </w:p>
    <w:p>
      <w:pPr>
        <w:ind w:right="40" w:firstLine="456"/>
        <w:spacing w:after="0" w:line="294" w:lineRule="auto"/>
        <w:rPr>
          <w:sz w:val="20"/>
          <w:szCs w:val="20"/>
          <w:color w:val="auto"/>
        </w:rPr>
      </w:pPr>
      <w:r>
        <w:rPr>
          <w:rFonts w:ascii="Arial" w:cs="Arial" w:eastAsia="Arial" w:hAnsi="Arial"/>
          <w:sz w:val="16"/>
          <w:szCs w:val="16"/>
          <w:color w:val="auto"/>
        </w:rPr>
        <w:t>Net cash used in investing activities was $166.6 million for the three months ended May 2, 2015 compared to net cash used in investing activities of $24.3 million for the three months ended May 3, 2014. For the three months ended May 2, 2015, net cash used in investing activities was primarily due to payment of $10.2 million purchase of equipment previously leased, $7.3 million for the purchase of property and equipment, and $3.6 million for the purchase of technology licenses. In addition to these payments, net cash used in investing activities for the three months ended May 2, 2015 included net cash outflows from purchases of available-for-sales securities of $392.9 million less the sales and maturities of available-for-sale securities of $247.5 million.</w:t>
      </w:r>
    </w:p>
    <w:p>
      <w:pPr>
        <w:spacing w:after="0" w:line="11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For the three months ended May 3, 2014, net cash used in investing activities of $24.3 was primarily from the payment of $16.1 million for the purchase of property and equipment and $8.1 million for the purchase of technology licenses.</w:t>
      </w:r>
    </w:p>
    <w:p>
      <w:pPr>
        <w:sectPr>
          <w:pgSz w:w="11900" w:h="16838" w:orient="portrait"/>
          <w:cols w:equalWidth="0" w:num="1">
            <w:col w:w="11420"/>
          </w:cols>
          <w:pgMar w:left="240" w:top="459" w:right="239" w:bottom="1440" w:gutter="0" w:footer="0" w:header="0"/>
        </w:sectPr>
      </w:pP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6"/>
          <w:szCs w:val="16"/>
          <w:color w:val="auto"/>
        </w:rPr>
        <w:t>35</w:t>
      </w:r>
    </w:p>
    <w:p>
      <w:pPr>
        <w:sectPr>
          <w:pgSz w:w="11900" w:h="16838" w:orient="portrait"/>
          <w:cols w:equalWidth="0" w:num="1">
            <w:col w:w="11420"/>
          </w:cols>
          <w:pgMar w:left="240" w:top="459" w:right="239" w:bottom="1440" w:gutter="0" w:footer="0" w:header="0"/>
          <w:type w:val="continuous"/>
        </w:sectPr>
      </w:pPr>
    </w:p>
    <w:bookmarkStart w:id="35" w:name="page36"/>
    <w:bookmarkEnd w:id="3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460"/>
        <w:spacing w:after="0"/>
        <w:rPr>
          <w:sz w:val="20"/>
          <w:szCs w:val="20"/>
          <w:color w:val="auto"/>
        </w:rPr>
      </w:pPr>
      <w:r>
        <w:rPr>
          <w:rFonts w:ascii="Arial" w:cs="Arial" w:eastAsia="Arial" w:hAnsi="Arial"/>
          <w:sz w:val="18"/>
          <w:szCs w:val="18"/>
          <w:b w:val="1"/>
          <w:bCs w:val="1"/>
          <w:i w:val="1"/>
          <w:iCs w:val="1"/>
          <w:color w:val="auto"/>
        </w:rPr>
        <w:t>Net Cash Used in Financing Activities</w:t>
      </w:r>
    </w:p>
    <w:p>
      <w:pPr>
        <w:spacing w:after="0" w:line="90" w:lineRule="exact"/>
        <w:rPr>
          <w:sz w:val="20"/>
          <w:szCs w:val="20"/>
          <w:color w:val="auto"/>
        </w:rPr>
      </w:pPr>
    </w:p>
    <w:p>
      <w:pPr>
        <w:ind w:right="140" w:firstLine="456"/>
        <w:spacing w:after="0" w:line="254" w:lineRule="auto"/>
        <w:rPr>
          <w:sz w:val="20"/>
          <w:szCs w:val="20"/>
          <w:color w:val="auto"/>
        </w:rPr>
      </w:pPr>
      <w:r>
        <w:rPr>
          <w:rFonts w:ascii="Arial" w:cs="Arial" w:eastAsia="Arial" w:hAnsi="Arial"/>
          <w:sz w:val="18"/>
          <w:szCs w:val="18"/>
          <w:color w:val="auto"/>
        </w:rPr>
        <w:t>Net cash used in financing activities was $64.5 million for the three months ended May 2, 2015 compared to net cash used in financing activities of $35.3 million for the three months ended May 3, 2014. For the three months ended May 2, 2015, net cash used in financing activities was primarily attributable to payments of our quarterly dividends of $30.9 million and repurchase of our common shares in the open market for $20.3 million under our share repurchase program. Net cash used in financing activities for the three months ended May 2, 2015 was also attributable to a $22.3 million minimum tax withholding payments on behalf of employees for net share settlements. These cash outflows were partially offset by net proceeds of $13.0 million from the issuance of our common shares under our share-based plans.</w:t>
      </w:r>
    </w:p>
    <w:p>
      <w:pPr>
        <w:spacing w:after="0" w:line="144" w:lineRule="exact"/>
        <w:rPr>
          <w:sz w:val="20"/>
          <w:szCs w:val="20"/>
          <w:color w:val="auto"/>
        </w:rPr>
      </w:pPr>
    </w:p>
    <w:p>
      <w:pPr>
        <w:jc w:val="both"/>
        <w:ind w:right="380" w:firstLine="456"/>
        <w:spacing w:after="0" w:line="306" w:lineRule="auto"/>
        <w:rPr>
          <w:sz w:val="20"/>
          <w:szCs w:val="20"/>
          <w:color w:val="auto"/>
        </w:rPr>
      </w:pPr>
      <w:r>
        <w:rPr>
          <w:rFonts w:ascii="Arial" w:cs="Arial" w:eastAsia="Arial" w:hAnsi="Arial"/>
          <w:sz w:val="16"/>
          <w:szCs w:val="16"/>
          <w:color w:val="auto"/>
        </w:rPr>
        <w:t>Net cash used in financing activities of $35.3 million for the three months ended May 3, 2014 was primarily attributable to payments of our quarterly dividends of $30.2 million. In addition, we paid $24.3 million for the minimum tax withholding on behalf of employees for net share settlements, which was partially offset by $19.1 million proceeds from the issuance of our common shares under our share-based plans.</w:t>
      </w:r>
    </w:p>
    <w:p>
      <w:pPr>
        <w:spacing w:after="0" w:line="107" w:lineRule="exact"/>
        <w:rPr>
          <w:sz w:val="20"/>
          <w:szCs w:val="20"/>
          <w:color w:val="auto"/>
        </w:rPr>
      </w:pPr>
    </w:p>
    <w:p>
      <w:pPr>
        <w:ind w:right="140" w:firstLine="456"/>
        <w:spacing w:after="0" w:line="268" w:lineRule="auto"/>
        <w:rPr>
          <w:sz w:val="20"/>
          <w:szCs w:val="20"/>
          <w:color w:val="auto"/>
        </w:rPr>
      </w:pPr>
      <w:r>
        <w:rPr>
          <w:rFonts w:ascii="Arial" w:cs="Arial" w:eastAsia="Arial" w:hAnsi="Arial"/>
          <w:sz w:val="18"/>
          <w:szCs w:val="18"/>
          <w:color w:val="auto"/>
        </w:rPr>
        <w:t>Subsequent to the end of the quarter through May 28, 2015, the Company repurchased an additional 0.9 million of its common shares for $12.9 million at an average price per share of $13.84.</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Off-Balance Sheet Arrangements</w:t>
      </w:r>
    </w:p>
    <w:p>
      <w:pPr>
        <w:spacing w:after="0" w:line="96" w:lineRule="exact"/>
        <w:rPr>
          <w:sz w:val="20"/>
          <w:szCs w:val="20"/>
          <w:color w:val="auto"/>
        </w:rPr>
      </w:pPr>
    </w:p>
    <w:p>
      <w:pPr>
        <w:ind w:firstLine="456"/>
        <w:spacing w:after="0" w:line="306" w:lineRule="auto"/>
        <w:rPr>
          <w:sz w:val="20"/>
          <w:szCs w:val="20"/>
          <w:color w:val="auto"/>
        </w:rPr>
      </w:pPr>
      <w:r>
        <w:rPr>
          <w:rFonts w:ascii="Arial" w:cs="Arial" w:eastAsia="Arial" w:hAnsi="Arial"/>
          <w:sz w:val="16"/>
          <w:szCs w:val="16"/>
          <w:color w:val="auto"/>
        </w:rPr>
        <w:t>As part of our ongoing business, we do not participate in transactions that generate relationships with unconsolidated entities of financial partnerships, such as entities often referred to as structured finance or special purpose entities (“SPEs”), which would have been established for the purpose of facilitating off-balance sheet arrangements or other contractually narrow or limited purposes. As of May 2, 2015, we were not involved in any unconsolidated SPE transactions.</w:t>
      </w:r>
    </w:p>
    <w:p>
      <w:pPr>
        <w:spacing w:after="0" w:line="107" w:lineRule="exact"/>
        <w:rPr>
          <w:sz w:val="20"/>
          <w:szCs w:val="20"/>
          <w:color w:val="auto"/>
        </w:rPr>
      </w:pPr>
    </w:p>
    <w:p>
      <w:pPr>
        <w:ind w:right="60" w:firstLine="456"/>
        <w:spacing w:after="0" w:line="288" w:lineRule="auto"/>
        <w:rPr>
          <w:sz w:val="20"/>
          <w:szCs w:val="20"/>
          <w:color w:val="auto"/>
        </w:rPr>
      </w:pPr>
      <w:r>
        <w:rPr>
          <w:rFonts w:ascii="Arial" w:cs="Arial" w:eastAsia="Arial" w:hAnsi="Arial"/>
          <w:sz w:val="16"/>
          <w:szCs w:val="16"/>
          <w:color w:val="auto"/>
        </w:rPr>
        <w:t>On May 14, 2014, we filed a Notice of Appeal to appeal the final judgment issued by the District Court in the CMU litigation. In order to stay the execution of the final judgment pending its appeal,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 See also “Note 10 – Commitments and Contingencies” in the Notes to the Unaudited Condensed Consolidated Financial Statements for a further discussion of this matter.</w:t>
      </w:r>
    </w:p>
    <w:p>
      <w:pPr>
        <w:spacing w:after="0" w:line="120"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May 2, 2015 could be as much as $450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$138 million at May 2, 2015. We and CMU have agreed that the second bond and commitment satisfy the security for ongoing royalties while the appeal is pending.</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Contractual Obligations</w:t>
      </w:r>
    </w:p>
    <w:p>
      <w:pPr>
        <w:spacing w:after="0" w:line="96" w:lineRule="exact"/>
        <w:rPr>
          <w:sz w:val="20"/>
          <w:szCs w:val="20"/>
          <w:color w:val="auto"/>
        </w:rPr>
      </w:pPr>
    </w:p>
    <w:p>
      <w:pPr>
        <w:ind w:right="240" w:firstLine="456"/>
        <w:spacing w:after="0" w:line="259" w:lineRule="auto"/>
        <w:rPr>
          <w:sz w:val="20"/>
          <w:szCs w:val="20"/>
          <w:color w:val="auto"/>
        </w:rPr>
      </w:pPr>
      <w:r>
        <w:rPr>
          <w:rFonts w:ascii="Arial" w:cs="Arial" w:eastAsia="Arial" w:hAnsi="Arial"/>
          <w:sz w:val="18"/>
          <w:szCs w:val="18"/>
          <w:color w:val="auto"/>
        </w:rPr>
        <w:t>We presented our contractual obligations at January 31, 2015 in our Annual Report on Form 10-K for the fiscal year then ended. There have been no material changes outside the ordinary course of business in those obligations during the three months ended May 2, 2015, other than as noted under the section entitled “Off-Balance Sheet Arrangements” above.</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96"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See “Note 10 – Commitments and Contingencies” in the Notes to the Unaudited Condensed Consolidated Financial Statements of this Quarterly Report on Form 10-Q.</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96" w:lineRule="exact"/>
        <w:rPr>
          <w:sz w:val="20"/>
          <w:szCs w:val="20"/>
          <w:color w:val="auto"/>
        </w:rPr>
      </w:pPr>
    </w:p>
    <w:p>
      <w:pPr>
        <w:ind w:right="40" w:firstLine="456"/>
        <w:spacing w:after="0" w:line="289" w:lineRule="auto"/>
        <w:rPr>
          <w:sz w:val="20"/>
          <w:szCs w:val="20"/>
          <w:color w:val="auto"/>
        </w:rPr>
      </w:pPr>
      <w:r>
        <w:rPr>
          <w:rFonts w:ascii="Arial" w:cs="Arial" w:eastAsia="Arial" w:hAnsi="Arial"/>
          <w:sz w:val="16"/>
          <w:szCs w:val="16"/>
          <w:i w:val="1"/>
          <w:iCs w:val="1"/>
          <w:color w:val="auto"/>
        </w:rPr>
        <w:t>Interest Rate Risk</w:t>
      </w:r>
      <w:r>
        <w:rPr>
          <w:rFonts w:ascii="Arial" w:cs="Arial" w:eastAsia="Arial" w:hAnsi="Arial"/>
          <w:sz w:val="16"/>
          <w:szCs w:val="16"/>
          <w:color w:val="auto"/>
        </w:rPr>
        <w:t>. Our interest rate risk relates primarily to our fixed income short-term investment portfolio as we did not have any outstanding debt as of</w:t>
      </w:r>
      <w:r>
        <w:rPr>
          <w:rFonts w:ascii="Arial" w:cs="Arial" w:eastAsia="Arial" w:hAnsi="Arial"/>
          <w:sz w:val="16"/>
          <w:szCs w:val="16"/>
          <w:i w:val="1"/>
          <w:iCs w:val="1"/>
          <w:color w:val="auto"/>
        </w:rPr>
        <w:t xml:space="preserve"> </w:t>
      </w:r>
      <w:r>
        <w:rPr>
          <w:rFonts w:ascii="Arial" w:cs="Arial" w:eastAsia="Arial" w:hAnsi="Arial"/>
          <w:sz w:val="16"/>
          <w:szCs w:val="16"/>
          <w:color w:val="auto"/>
        </w:rPr>
        <w:t>May 2, 2015.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asset backed securities, corporate debt securities and municipal debt securities. These investments are classified as available-for-sale and, consequently, are recorded on our balance sheets at fair market value with their related unrealized gain or loss reflected as a component of accumulated other comprehensive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ectPr>
          <w:pgSz w:w="11900" w:h="16838" w:orient="portrait"/>
          <w:cols w:equalWidth="0" w:num="1">
            <w:col w:w="11400"/>
          </w:cols>
          <w:pgMar w:left="240" w:top="459" w:right="259" w:bottom="1440" w:gutter="0" w:footer="0" w:header="0"/>
        </w:sectPr>
      </w:pPr>
    </w:p>
    <w:p>
      <w:pPr>
        <w:spacing w:after="0" w:line="105"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36</w:t>
      </w:r>
    </w:p>
    <w:p>
      <w:pPr>
        <w:sectPr>
          <w:pgSz w:w="11900" w:h="16838" w:orient="portrait"/>
          <w:cols w:equalWidth="0" w:num="1">
            <w:col w:w="11400"/>
          </w:cols>
          <w:pgMar w:left="240" w:top="459" w:right="259" w:bottom="1440" w:gutter="0" w:footer="0" w:header="0"/>
          <w:type w:val="continuous"/>
        </w:sectPr>
      </w:pPr>
    </w:p>
    <w:bookmarkStart w:id="36" w:name="page37"/>
    <w:bookmarkEnd w:id="3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May 2, 2015, a hypothetical 100 basis point increase in interest rates across all maturities would result in a $20.8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43" w:lineRule="exact"/>
        <w:rPr>
          <w:sz w:val="20"/>
          <w:szCs w:val="20"/>
          <w:color w:val="auto"/>
        </w:rPr>
      </w:pPr>
    </w:p>
    <w:p>
      <w:pPr>
        <w:ind w:right="80" w:firstLine="456"/>
        <w:spacing w:after="0" w:line="294" w:lineRule="auto"/>
        <w:rPr>
          <w:sz w:val="20"/>
          <w:szCs w:val="20"/>
          <w:color w:val="auto"/>
        </w:rPr>
      </w:pPr>
      <w:r>
        <w:rPr>
          <w:rFonts w:ascii="Arial" w:cs="Arial" w:eastAsia="Arial" w:hAnsi="Arial"/>
          <w:sz w:val="16"/>
          <w:szCs w:val="16"/>
          <w:color w:val="auto"/>
        </w:rPr>
        <w:t>As of May 2, 2015, our investment portfolio included $12.5 million in par value of auction rate securities classified as long-term investments. Although these securities have continued to pay interest,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The fair value of these auction rate securities as of May 2, 2015, was $2.4 million less than par value.</w:t>
      </w:r>
    </w:p>
    <w:p>
      <w:pPr>
        <w:spacing w:after="0" w:line="116" w:lineRule="exact"/>
        <w:rPr>
          <w:sz w:val="20"/>
          <w:szCs w:val="20"/>
          <w:color w:val="auto"/>
        </w:rPr>
      </w:pPr>
    </w:p>
    <w:p>
      <w:pPr>
        <w:ind w:right="80" w:firstLine="456"/>
        <w:spacing w:after="0" w:line="256" w:lineRule="auto"/>
        <w:rPr>
          <w:sz w:val="20"/>
          <w:szCs w:val="20"/>
          <w:color w:val="auto"/>
        </w:rPr>
      </w:pPr>
      <w:r>
        <w:rPr>
          <w:rFonts w:ascii="Arial" w:cs="Arial" w:eastAsia="Arial" w:hAnsi="Arial"/>
          <w:sz w:val="18"/>
          <w:szCs w:val="18"/>
          <w:color w:val="auto"/>
        </w:rPr>
        <w:t>Based on our balance of approximately $2.5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income, a component of shareholders’ equity.</w:t>
      </w:r>
    </w:p>
    <w:p>
      <w:pPr>
        <w:spacing w:after="0" w:line="143"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 held companies for strategic purposes. We account for these investments under the cost</w:t>
      </w:r>
      <w:r>
        <w:rPr>
          <w:rFonts w:ascii="Arial" w:cs="Arial" w:eastAsia="Arial" w:hAnsi="Arial"/>
          <w:sz w:val="18"/>
          <w:szCs w:val="18"/>
          <w:i w:val="1"/>
          <w:iCs w:val="1"/>
          <w:color w:val="auto"/>
        </w:rPr>
        <w:t xml:space="preserve"> </w:t>
      </w:r>
      <w:r>
        <w:rPr>
          <w:rFonts w:ascii="Arial" w:cs="Arial" w:eastAsia="Arial" w:hAnsi="Arial"/>
          <w:sz w:val="18"/>
          <w:szCs w:val="18"/>
          <w:color w:val="auto"/>
        </w:rPr>
        <w:t>method when we do not have the ability to exercise significant influence or control over the operations of these companies and under the equity method when we have the ability to exercise significant influence, but do not have control. Carrying value of these equity investments was $9.3 million at May 2, 2015, and was included in other non-current assets in our balance sheets. We monitor these investments for impairment and make appropriate reductions in carrying value when an impairment is deemed to be other-than-temporary.</w:t>
      </w:r>
    </w:p>
    <w:p>
      <w:pPr>
        <w:spacing w:after="0" w:line="143" w:lineRule="exact"/>
        <w:rPr>
          <w:sz w:val="20"/>
          <w:szCs w:val="20"/>
          <w:color w:val="auto"/>
        </w:rPr>
      </w:pPr>
    </w:p>
    <w:p>
      <w:pPr>
        <w:ind w:right="80" w:firstLine="456"/>
        <w:spacing w:after="0" w:line="289"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 countries,</w:t>
      </w:r>
      <w:r>
        <w:rPr>
          <w:rFonts w:ascii="Arial" w:cs="Arial" w:eastAsia="Arial" w:hAnsi="Arial"/>
          <w:sz w:val="16"/>
          <w:szCs w:val="16"/>
          <w:i w:val="1"/>
          <w:iCs w:val="1"/>
          <w:color w:val="auto"/>
        </w:rPr>
        <w:t xml:space="preserve"> </w:t>
      </w:r>
      <w:r>
        <w:rPr>
          <w:rFonts w:ascii="Arial" w:cs="Arial" w:eastAsia="Arial" w:hAnsi="Arial"/>
          <w:sz w:val="16"/>
          <w:szCs w:val="16"/>
          <w:color w:val="auto"/>
        </w:rPr>
        <w:t>we pay certain payroll and other operating expenses in local currencies and these expenses may be higher or lower in U.S. dollar terms. Furthermore, our operations in Israel and China represent a large portion of our total foreign currency exposure. In the most recent quarter and after effects of hedging, the US dollar strength has resulted in 2% lower operating expenses. Additionally we may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There is also a risk that our customers may be negatively impacted in their ability to purchase our products priced in U.S. dollars when there has been significant volatility in foreign currency exchange rates.</w:t>
      </w:r>
    </w:p>
    <w:p>
      <w:pPr>
        <w:spacing w:after="0" w:line="118" w:lineRule="exact"/>
        <w:rPr>
          <w:sz w:val="20"/>
          <w:szCs w:val="20"/>
          <w:color w:val="auto"/>
        </w:rPr>
      </w:pPr>
    </w:p>
    <w:p>
      <w:pPr>
        <w:ind w:right="20" w:firstLine="456"/>
        <w:spacing w:after="0" w:line="288" w:lineRule="auto"/>
        <w:rPr>
          <w:sz w:val="20"/>
          <w:szCs w:val="20"/>
          <w:color w:val="auto"/>
        </w:rPr>
      </w:pPr>
      <w:r>
        <w:rPr>
          <w:rFonts w:ascii="Arial" w:cs="Arial" w:eastAsia="Arial" w:hAnsi="Arial"/>
          <w:sz w:val="16"/>
          <w:szCs w:val="16"/>
          <w:color w:val="auto"/>
        </w:rPr>
        <w:t>We engage in hedging transactions to help mitigate some of the volatility to forecasted cash flows due to changes in foreign exchange rates, and in particular hedge a portion of the forecasted Israeli shekel and Chinese yuan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Financial instruments not designated as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20" w:lineRule="exact"/>
        <w:rPr>
          <w:sz w:val="20"/>
          <w:szCs w:val="20"/>
          <w:color w:val="auto"/>
        </w:rPr>
      </w:pPr>
    </w:p>
    <w:p>
      <w:pPr>
        <w:ind w:right="20" w:firstLine="456"/>
        <w:spacing w:after="0" w:line="256"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4.3%. We expect our hedges of foreign currency exposures to be highly effective and offset a significant portion of the short-term impact of changes in exchange rates.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9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96" w:lineRule="exact"/>
        <w:rPr>
          <w:sz w:val="20"/>
          <w:szCs w:val="20"/>
          <w:color w:val="auto"/>
        </w:rPr>
      </w:pPr>
    </w:p>
    <w:p>
      <w:pPr>
        <w:ind w:right="60" w:firstLine="456"/>
        <w:spacing w:after="0" w:line="291" w:lineRule="auto"/>
        <w:rPr>
          <w:sz w:val="20"/>
          <w:szCs w:val="20"/>
          <w:color w:val="auto"/>
        </w:rPr>
      </w:pPr>
      <w:r>
        <w:rPr>
          <w:rFonts w:ascii="Arial" w:cs="Arial" w:eastAsia="Arial" w:hAnsi="Arial"/>
          <w:sz w:val="16"/>
          <w:szCs w:val="16"/>
          <w:color w:val="auto"/>
        </w:rPr>
        <w:t>Our management, with the participation of our Chief Executive Officer and our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and that such information is accumulated and communicated to management, including the Chief Executive Officer and Chief Financial Officer, as appropriate, to allow timely decisions regarding required disclosure. Based on this evaluation, our Chief Executive Officer and Chief Financial Officer concluded that, as of May 2, 2015, our disclosure controls and procedures were effective.</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37</w:t>
      </w:r>
    </w:p>
    <w:p>
      <w:pPr>
        <w:sectPr>
          <w:pgSz w:w="11900" w:h="16838" w:orient="portrait"/>
          <w:cols w:equalWidth="0" w:num="1">
            <w:col w:w="11420"/>
          </w:cols>
          <w:pgMar w:left="240" w:top="45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96" w:lineRule="exact"/>
        <w:rPr>
          <w:sz w:val="20"/>
          <w:szCs w:val="20"/>
          <w:color w:val="auto"/>
        </w:rPr>
      </w:pPr>
    </w:p>
    <w:p>
      <w:pPr>
        <w:ind w:right="400" w:firstLine="456"/>
        <w:spacing w:after="0" w:line="268" w:lineRule="auto"/>
        <w:rPr>
          <w:sz w:val="20"/>
          <w:szCs w:val="20"/>
          <w:color w:val="auto"/>
        </w:rPr>
      </w:pPr>
      <w:r>
        <w:rPr>
          <w:rFonts w:ascii="Arial" w:cs="Arial" w:eastAsia="Arial" w:hAnsi="Arial"/>
          <w:sz w:val="18"/>
          <w:szCs w:val="18"/>
          <w:color w:val="auto"/>
        </w:rPr>
        <w:t>There were no changes in our internal control over financial reporting during the three months ended May 2, 2015 that have materially affected, or are reasonably likely to materially affect, our internal control over financial reporting.</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Limitation on Effectiveness of Controls</w:t>
      </w:r>
    </w:p>
    <w:p>
      <w:pPr>
        <w:spacing w:after="0" w:line="96"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38</w:t>
      </w:r>
    </w:p>
    <w:p>
      <w:pPr>
        <w:sectPr>
          <w:pgSz w:w="11900" w:h="16838" w:orient="portrait"/>
          <w:cols w:equalWidth="0" w:num="1">
            <w:col w:w="11420"/>
          </w:cols>
          <w:pgMar w:left="240" w:top="45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17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96"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The information under the caption “Contingencies” as set forth in “Note 10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96" w:lineRule="exact"/>
        <w:rPr>
          <w:sz w:val="20"/>
          <w:szCs w:val="20"/>
          <w:color w:val="auto"/>
        </w:rPr>
      </w:pPr>
    </w:p>
    <w:p>
      <w:pPr>
        <w:ind w:right="80" w:firstLine="456"/>
        <w:spacing w:after="0" w:line="255" w:lineRule="auto"/>
        <w:rPr>
          <w:sz w:val="20"/>
          <w:szCs w:val="20"/>
          <w:color w:val="auto"/>
        </w:rPr>
      </w:pPr>
      <w:r>
        <w:rPr>
          <w:rFonts w:ascii="Arial" w:cs="Arial" w:eastAsia="Arial" w:hAnsi="Arial"/>
          <w:sz w:val="18"/>
          <w:szCs w:val="18"/>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Securities and Exchange Commission (“SEC”), including our Annual Report on Form 10-K for the year ended January 31, 2015 and subsequent reports on Forms 10-Q and 8-K. Many of these risks and uncertainties are beyond our control, including business cycles and seasonal trends of the computing, semiconductor and other industries in which we compete.</w:t>
      </w:r>
    </w:p>
    <w:p>
      <w:pPr>
        <w:spacing w:after="0" w:line="224" w:lineRule="exact"/>
        <w:rPr>
          <w:sz w:val="20"/>
          <w:szCs w:val="20"/>
          <w:color w:val="auto"/>
        </w:rPr>
      </w:pPr>
    </w:p>
    <w:p>
      <w:pPr>
        <w:spacing w:after="0"/>
        <w:rPr>
          <w:sz w:val="20"/>
          <w:szCs w:val="20"/>
          <w:color w:val="auto"/>
        </w:rPr>
      </w:pPr>
      <w:r>
        <w:rPr>
          <w:rFonts w:ascii="Arial" w:cs="Arial" w:eastAsia="Arial" w:hAnsi="Arial"/>
          <w:sz w:val="16"/>
          <w:szCs w:val="16"/>
          <w:b w:val="1"/>
          <w:bCs w:val="1"/>
          <w:i w:val="1"/>
          <w:iCs w:val="1"/>
          <w:color w:val="auto"/>
        </w:rPr>
        <w:t>Our financial condition and results of operations may vary from quarter to quarter, which may cause the price of our common shares to decline.</w:t>
      </w:r>
    </w:p>
    <w:p>
      <w:pPr>
        <w:spacing w:after="0" w:line="113" w:lineRule="exact"/>
        <w:rPr>
          <w:sz w:val="20"/>
          <w:szCs w:val="20"/>
          <w:color w:val="auto"/>
        </w:rPr>
      </w:pPr>
    </w:p>
    <w:p>
      <w:pPr>
        <w:ind w:right="240" w:firstLine="456"/>
        <w:spacing w:after="0" w:line="268" w:lineRule="auto"/>
        <w:rPr>
          <w:sz w:val="20"/>
          <w:szCs w:val="20"/>
          <w:color w:val="auto"/>
        </w:rPr>
      </w:pPr>
      <w:r>
        <w:rPr>
          <w:rFonts w:ascii="Arial" w:cs="Arial" w:eastAsia="Arial" w:hAnsi="Arial"/>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32" w:lineRule="exact"/>
        <w:rPr>
          <w:sz w:val="20"/>
          <w:szCs w:val="20"/>
          <w:color w:val="auto"/>
        </w:rPr>
      </w:pPr>
    </w:p>
    <w:p>
      <w:pPr>
        <w:ind w:right="40" w:firstLine="456"/>
        <w:spacing w:after="0" w:line="268" w:lineRule="auto"/>
        <w:rPr>
          <w:sz w:val="20"/>
          <w:szCs w:val="20"/>
          <w:color w:val="auto"/>
        </w:rPr>
      </w:pPr>
      <w:r>
        <w:rPr>
          <w:rFonts w:ascii="Arial" w:cs="Arial" w:eastAsia="Arial" w:hAnsi="Arial"/>
          <w:sz w:val="18"/>
          <w:szCs w:val="18"/>
          <w:color w:val="auto"/>
        </w:rPr>
        <w:t>Fluctuations in our results of operations may be due to a number of factors, including, but not limited to, those listed below and those identified throughout this “Risk Factors” section:</w:t>
      </w:r>
    </w:p>
    <w:p>
      <w:pPr>
        <w:spacing w:after="0" w:line="51" w:lineRule="exact"/>
        <w:rPr>
          <w:sz w:val="20"/>
          <w:szCs w:val="20"/>
          <w:color w:val="auto"/>
        </w:rPr>
      </w:pPr>
    </w:p>
    <w:p>
      <w:pPr>
        <w:ind w:left="900" w:right="36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the conditions in the end markets we address, including the continuing volatility in the technology sector and semiconductor industry;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highly competitive nature of the end markets we serve, particularly within the semiconductor industry;</w:t>
      </w:r>
    </w:p>
    <w:p>
      <w:pPr>
        <w:spacing w:after="0" w:line="90" w:lineRule="exact"/>
        <w:rPr>
          <w:rFonts w:ascii="Arial" w:cs="Arial" w:eastAsia="Arial" w:hAnsi="Arial"/>
          <w:sz w:val="18"/>
          <w:szCs w:val="18"/>
          <w:color w:val="auto"/>
        </w:rPr>
      </w:pPr>
    </w:p>
    <w:p>
      <w:pPr>
        <w:ind w:left="900" w:right="4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any current and future litigation that could result in substantial costs and a diversion of management’s attention and resources that are needed to successfully maintain and grow our business;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dependence on a few customers for a significant portion of our revenue;</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maintain a competitive cost structure for our manufacturing and assembly and test processes and our reliance on third parties to produce our products;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cancellations, rescheduling or deferrals of significant customer orders or shipments, as well as the ability of our customers to manage inventory;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gain or loss of a design win or key customer;</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seasonality in sales of consumer devices in which our products are incorporated;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qualify our products or our suppliers’ manufacturing lines;</w:t>
      </w:r>
    </w:p>
    <w:p>
      <w:pPr>
        <w:spacing w:after="0" w:line="90" w:lineRule="exact"/>
        <w:rPr>
          <w:rFonts w:ascii="Arial" w:cs="Arial" w:eastAsia="Arial" w:hAnsi="Arial"/>
          <w:sz w:val="18"/>
          <w:szCs w:val="18"/>
          <w:color w:val="auto"/>
        </w:rPr>
      </w:pPr>
    </w:p>
    <w:p>
      <w:pPr>
        <w:ind w:left="900" w:right="340" w:hanging="325"/>
        <w:spacing w:after="0" w:line="268" w:lineRule="auto"/>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develop and introduce new and enhanced products in a timely and effective manner, as well as our ability to anticipate and adapt to changes in technology;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failure to protect our intellectual property;</w:t>
      </w:r>
    </w:p>
    <w:p>
      <w:pPr>
        <w:spacing w:after="0" w:line="90" w:lineRule="exact"/>
        <w:rPr>
          <w:rFonts w:ascii="Arial" w:cs="Arial" w:eastAsia="Arial" w:hAnsi="Arial"/>
          <w:sz w:val="18"/>
          <w:szCs w:val="18"/>
          <w:color w:val="auto"/>
        </w:rPr>
      </w:pPr>
    </w:p>
    <w:p>
      <w:pPr>
        <w:ind w:left="900" w:right="540" w:hanging="325"/>
        <w:spacing w:after="0" w:line="332" w:lineRule="auto"/>
        <w:tabs>
          <w:tab w:leader="none" w:pos="900" w:val="left"/>
        </w:tabs>
        <w:numPr>
          <w:ilvl w:val="0"/>
          <w:numId w:val="8"/>
        </w:numPr>
        <w:rPr>
          <w:rFonts w:ascii="Arial" w:cs="Arial" w:eastAsia="Arial" w:hAnsi="Arial"/>
          <w:sz w:val="16"/>
          <w:szCs w:val="16"/>
          <w:color w:val="auto"/>
        </w:rPr>
      </w:pPr>
      <w:r>
        <w:rPr>
          <w:rFonts w:ascii="Arial" w:cs="Arial" w:eastAsia="Arial" w:hAnsi="Arial"/>
          <w:sz w:val="16"/>
          <w:szCs w:val="16"/>
          <w:color w:val="auto"/>
        </w:rPr>
        <w:t>impact of a significant natural disaster, including earthquakes, floods and tsunamis, particularly in certain regions in which we operate or own buildings, such as Santa Clara, and where our third party suppliers operate, such as Taiwan and elsewhere in the Pacific Rim; and</w:t>
      </w:r>
    </w:p>
    <w:p>
      <w:pPr>
        <w:spacing w:after="0" w:line="4" w:lineRule="exact"/>
        <w:rPr>
          <w:rFonts w:ascii="Arial" w:cs="Arial" w:eastAsia="Arial" w:hAnsi="Arial"/>
          <w:sz w:val="16"/>
          <w:szCs w:val="16"/>
          <w:color w:val="auto"/>
        </w:rPr>
      </w:pPr>
    </w:p>
    <w:p>
      <w:pPr>
        <w:ind w:left="900" w:hanging="325"/>
        <w:spacing w:after="0"/>
        <w:tabs>
          <w:tab w:leader="none" w:pos="90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ectPr>
          <w:pgSz w:w="11900" w:h="16838" w:orient="portrait"/>
          <w:cols w:equalWidth="0" w:num="1">
            <w:col w:w="11400"/>
          </w:cols>
          <w:pgMar w:left="240" w:top="459" w:right="259" w:bottom="1440" w:gutter="0" w:footer="0" w:header="0"/>
        </w:sectPr>
      </w:pPr>
    </w:p>
    <w:bookmarkStart w:id="39" w:name="page40"/>
    <w:bookmarkEnd w:id="3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Due to fluctuations in our quarterly results of operations and other factors, the price at which our common shares will trade is likely to continue to be highly volatile. From January 28, 2012 through May 2, 2015, our common shares traded as low as $6.98 and as high as $16.86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operate in intensely competitive markets, and our failure to compete effectively would harm our results of operations.</w:t>
      </w:r>
    </w:p>
    <w:p>
      <w:pPr>
        <w:spacing w:after="0" w:line="90"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expect competition to continue to increase as industry standards continue to evolve and become better known, and others realize the market potential of this trend to platform integration. We currently compete with a number of large domestic and international companies in the business of designing integrated circuits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LTE market. Additionally, customer expectations and requirements have been evolving rapidly. For example, customers now expect us to provide turnkey solutions. Some of our competitors may be better situated to meet changing customer needs.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21" w:lineRule="exact"/>
        <w:rPr>
          <w:sz w:val="20"/>
          <w:szCs w:val="20"/>
          <w:color w:val="auto"/>
        </w:rPr>
      </w:pPr>
    </w:p>
    <w:p>
      <w:pPr>
        <w:ind w:right="140" w:firstLine="456"/>
        <w:spacing w:after="0" w:line="255" w:lineRule="auto"/>
        <w:rPr>
          <w:sz w:val="20"/>
          <w:szCs w:val="20"/>
          <w:color w:val="auto"/>
        </w:rPr>
      </w:pPr>
      <w:r>
        <w:rPr>
          <w:rFonts w:ascii="Arial" w:cs="Arial" w:eastAsia="Arial" w:hAnsi="Arial"/>
          <w:sz w:val="18"/>
          <w:szCs w:val="18"/>
          <w:color w:val="auto"/>
        </w:rPr>
        <w:t>In addition, semiconductor providers have experienced consolidation over the past several years. For example, Broadcom Corporation acquired NetLogic Microsystems in February 2011, Qualcomm Inc. acquired Atheros Communications Inc. in May 2011, Texas Instruments Incorporated acquired National Semiconductor in September 2011 and Avago Technologies Limited (“Avago”) acquired LSI Corporation (“LSI”) in May 2014. Other pending transactions may further consolidate competition in our industry. Consolidation among our competitors could lead to a changing competitive landscape, capabilities and market share, which could harm our results of operations.</w:t>
      </w:r>
    </w:p>
    <w:p>
      <w:pPr>
        <w:spacing w:after="0" w:line="224" w:lineRule="exact"/>
        <w:rPr>
          <w:sz w:val="20"/>
          <w:szCs w:val="20"/>
          <w:color w:val="auto"/>
        </w:rPr>
      </w:pPr>
    </w:p>
    <w:p>
      <w:pPr>
        <w:spacing w:after="0" w:line="268" w:lineRule="auto"/>
        <w:rPr>
          <w:sz w:val="20"/>
          <w:szCs w:val="20"/>
          <w:color w:val="auto"/>
        </w:rPr>
      </w:pPr>
      <w:r>
        <w:rPr>
          <w:rFonts w:ascii="Arial" w:cs="Arial" w:eastAsia="Arial" w:hAnsi="Arial"/>
          <w:sz w:val="18"/>
          <w:szCs w:val="18"/>
          <w:b w:val="1"/>
          <w:bCs w:val="1"/>
          <w:i w:val="1"/>
          <w:iCs w:val="1"/>
          <w:color w:val="auto"/>
        </w:rPr>
        <w:t>We are currently involved in a patent litigation action involving Carnegie Mellon University, and, if we do not prevail on appeal of the district court judgment, we could be liable for substantial damages.</w:t>
      </w:r>
    </w:p>
    <w:p>
      <w:pPr>
        <w:spacing w:after="0" w:line="51" w:lineRule="exact"/>
        <w:rPr>
          <w:sz w:val="20"/>
          <w:szCs w:val="20"/>
          <w:color w:val="auto"/>
        </w:rPr>
      </w:pPr>
    </w:p>
    <w:p>
      <w:pPr>
        <w:ind w:right="40" w:firstLine="456"/>
        <w:spacing w:after="0" w:line="284" w:lineRule="auto"/>
        <w:rPr>
          <w:sz w:val="20"/>
          <w:szCs w:val="20"/>
          <w:color w:val="auto"/>
        </w:rPr>
      </w:pPr>
      <w:r>
        <w:rPr>
          <w:rFonts w:ascii="Arial" w:cs="Arial" w:eastAsia="Arial" w:hAnsi="Arial"/>
          <w:sz w:val="16"/>
          <w:szCs w:val="16"/>
          <w:color w:val="auto"/>
        </w:rPr>
        <w:t>On March 6, 2009, Carnegie Mellon University (“CMU”) filed a complaint in the U.S. District Court for the Western District of Pennsylvania naming Marvell Semiconductor, Inc. and us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CMU sought in its post-trial motions enhanced damages up to three times the jury verdict, pre-judgment interest up to $322 million, post-judgment interest, supplemental damages, attorneys’ fees, and an injunction and/or ongoing royalties. Post-trial motions were heard on May 1 and 2, 2013. On June 26, 2013, the District Court denied CMU’s post-trial motion for attorney fees without prejudice. On August 23, 2013, the District Court denied our motion for mistrial. On September 23, 2013, the District Court denied our motion for judgment as a matter of law or a new trial on non-infringement, invalidity and other non-damages issues as well as our motion for reduced damages. On the same day, the District Court granted-in-part CMU’s motion for a finding of willful infringement and enhanced damages, reserving its further rulings on any enhancement of the verdict for a separate opinion. On January 14, 2014, the District Court denied our post-trial motion on laches. On March 31, 2014, the District Court rejected CMU’s motion for an injunction. The District Court also denied CMU’s request for pre-judgment interest, and substantially scaled back CMU’s request for enhanced damages. Based on these decisions, the Court calculated the damages including enhancement to total approximately $1.54 billion, and held that, under its decision, CMU is entitled to post judgment interest and an ongoing royalty. On May 7, 2014, the District Court entered final judgment, from which we filed a notice of appeal on May 14, 2014 to the U.S. Court of Appeals for the Federal Circuit in Washington, D.C. We filed our opening appeal brief on August 4, 2014. CMU filed its opposition brief on October 20, 2014 and we filed our reply brief on November 20, 2014. We believe that there are strong grounds for appeal and we are currently pursuing an appeal to the U.S. Court of Appeals for the Federal Circuit in Washington, D.C., which held hearing for oral argument on April 7, 2015. There is no guarantee that we will be successful on appeal. If we are required to pay most or all of the damages calculated by the District Court after all appeals have been exhausted, this could have a material adverse effect on our business, financial condition, results of operations and cash flows.</w:t>
      </w:r>
    </w:p>
    <w:p>
      <w:pPr>
        <w:spacing w:after="0" w:line="1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40</w:t>
      </w:r>
    </w:p>
    <w:p>
      <w:pPr>
        <w:sectPr>
          <w:pgSz w:w="11900" w:h="16838" w:orient="portrait"/>
          <w:cols w:equalWidth="0" w:num="1">
            <w:col w:w="11420"/>
          </w:cols>
          <w:pgMar w:left="240" w:top="459" w:right="239" w:bottom="1440" w:gutter="0" w:footer="0" w:header="0"/>
        </w:sectPr>
      </w:pPr>
    </w:p>
    <w:bookmarkStart w:id="40" w:name="page41"/>
    <w:bookmarkEnd w:id="4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In order to stay the execution of the final judgment pending its appeal before the U.S. Court of Appeals, we filed a supersedeas bond for $1.54 billion with the District Court. The bond was issued by a consortium of sureties authorized by the U.S. Treasury. If the judgment is affirmed after the completion of all appellate proceedings, and we do not thereafter fully satisfy the judgment within thirty days, the sureties are obligated under the bond to make payment to CMU. In support of the bond, we entered into separate indemnity agreements with each of the sureties to indemnify the sureties from all costs and payments made under the bond. The indemnity agreements did not require collateral to be posted at the time of the issuance of the bond. Therefore no cash is considered restricted as of the date of this filing. However, the indemnity agreements provide that each of the sureties have the right to demand to be placed in funds or call for collateral under pre-defined events. The indemnity agreements will remain outstanding for as long as the underlying bond remains outstanding.</w:t>
      </w:r>
    </w:p>
    <w:p>
      <w:pPr>
        <w:spacing w:after="0" w:line="118"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The Court has required us to report ongoing royalties under the current judgment. Based on the royalty rate assessed by the District Court, such additional royalties for the period of time commencing on the date ordered by the District Court, January 15, 2013, through May 2, 2015 could be as much as $450 million. On November 14, 2014, we filed a second surety bond for $216 million and filed a commitment letter from the sureties to issue up to an additional $95 million in bonding under certain conditions. The second bond and commitment are secured by our campus located in Santa Clara, California, which has a carrying value of $138 million at May 2, 2015. We and CMU have agreed that the second bond and commitment satisfy the security for ongoing royalties while the appeal is pending.</w:t>
      </w:r>
    </w:p>
    <w:p>
      <w:pPr>
        <w:spacing w:after="0" w:line="225" w:lineRule="exact"/>
        <w:rPr>
          <w:sz w:val="20"/>
          <w:szCs w:val="20"/>
          <w:color w:val="auto"/>
        </w:rPr>
      </w:pPr>
    </w:p>
    <w:p>
      <w:pPr>
        <w:ind w:right="540"/>
        <w:spacing w:after="0" w:line="268" w:lineRule="auto"/>
        <w:rPr>
          <w:sz w:val="20"/>
          <w:szCs w:val="20"/>
          <w:color w:val="auto"/>
        </w:rPr>
      </w:pPr>
      <w:r>
        <w:rPr>
          <w:rFonts w:ascii="Arial" w:cs="Arial" w:eastAsia="Arial" w:hAnsi="Arial"/>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51"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40" w:lineRule="exact"/>
        <w:rPr>
          <w:sz w:val="20"/>
          <w:szCs w:val="20"/>
          <w:color w:val="auto"/>
        </w:rPr>
      </w:pPr>
    </w:p>
    <w:p>
      <w:pPr>
        <w:ind w:right="120" w:firstLine="456"/>
        <w:spacing w:after="0" w:line="259" w:lineRule="auto"/>
        <w:rPr>
          <w:sz w:val="20"/>
          <w:szCs w:val="20"/>
          <w:color w:val="auto"/>
        </w:rPr>
      </w:pPr>
      <w:r>
        <w:rPr>
          <w:rFonts w:ascii="Arial" w:cs="Arial" w:eastAsia="Arial" w:hAnsi="Arial"/>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40" w:lineRule="exact"/>
        <w:rPr>
          <w:sz w:val="20"/>
          <w:szCs w:val="20"/>
          <w:color w:val="auto"/>
        </w:rPr>
      </w:pPr>
    </w:p>
    <w:p>
      <w:pPr>
        <w:ind w:firstLine="456"/>
        <w:spacing w:after="0" w:line="294" w:lineRule="auto"/>
        <w:rPr>
          <w:sz w:val="20"/>
          <w:szCs w:val="20"/>
          <w:color w:val="auto"/>
        </w:rPr>
      </w:pPr>
      <w:r>
        <w:rPr>
          <w:rFonts w:ascii="Arial" w:cs="Arial" w:eastAsia="Arial" w:hAnsi="Arial"/>
          <w:sz w:val="16"/>
          <w:szCs w:val="16"/>
          <w:color w:val="auto"/>
        </w:rPr>
        <w:t>In addition, the HDD industry has experienced consolidation over the past several years. For example, during fiscal 2010, Toshiba acquired the HDD operations of Fujitsu. In December 2011, Seagate Technology plc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If we are unable to leverage our technology and customer relationships, we may not capitalize on the increased opportunities for our products within the combined company.</w:t>
      </w:r>
    </w:p>
    <w:p>
      <w:pPr>
        <w:spacing w:after="0" w:line="116" w:lineRule="exact"/>
        <w:rPr>
          <w:sz w:val="20"/>
          <w:szCs w:val="20"/>
          <w:color w:val="auto"/>
        </w:rPr>
      </w:pPr>
    </w:p>
    <w:p>
      <w:pPr>
        <w:ind w:right="220" w:firstLine="456"/>
        <w:spacing w:after="0" w:line="294" w:lineRule="auto"/>
        <w:rPr>
          <w:sz w:val="20"/>
          <w:szCs w:val="20"/>
          <w:color w:val="auto"/>
        </w:rPr>
      </w:pPr>
      <w:r>
        <w:rPr>
          <w:rFonts w:ascii="Arial" w:cs="Arial" w:eastAsia="Arial" w:hAnsi="Arial"/>
          <w:sz w:val="16"/>
          <w:szCs w:val="16"/>
          <w:color w:val="auto"/>
        </w:rPr>
        <w:t>Furthermore, future changes in the nature of information storage products could reduce demand for traditional HDDs. For example, products using solid state drives (“SSDs”) have become a source of competition to manufacturers of HDDs. Although we offer SSD controllers, leveraging our technology in hard drives, we cannot ensure we will be able to maintain significant market share if demand for traditional HDDs decreases. Additionally, we depend on a few customers for our SSD controllers and as such, the loss of any SSD controller customer or a significant reduction in sales we make to them (for example, as a result of a significant drop in market share) may harm our financial condition and results of operations.</w:t>
      </w:r>
    </w:p>
    <w:p>
      <w:pPr>
        <w:spacing w:after="0" w:line="197" w:lineRule="exact"/>
        <w:rPr>
          <w:sz w:val="20"/>
          <w:szCs w:val="20"/>
          <w:color w:val="auto"/>
        </w:rPr>
      </w:pPr>
    </w:p>
    <w:p>
      <w:pPr>
        <w:ind w:right="200"/>
        <w:spacing w:after="0" w:line="332" w:lineRule="auto"/>
        <w:rPr>
          <w:sz w:val="20"/>
          <w:szCs w:val="20"/>
          <w:color w:val="auto"/>
        </w:rPr>
      </w:pPr>
      <w:r>
        <w:rPr>
          <w:rFonts w:ascii="Arial" w:cs="Arial" w:eastAsia="Arial" w:hAnsi="Arial"/>
          <w:sz w:val="16"/>
          <w:szCs w:val="16"/>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4" w:lineRule="exact"/>
        <w:rPr>
          <w:sz w:val="20"/>
          <w:szCs w:val="20"/>
          <w:color w:val="auto"/>
        </w:rPr>
      </w:pPr>
    </w:p>
    <w:p>
      <w:pPr>
        <w:ind w:right="20" w:firstLine="456"/>
        <w:spacing w:after="0" w:line="289" w:lineRule="auto"/>
        <w:rPr>
          <w:sz w:val="20"/>
          <w:szCs w:val="20"/>
          <w:color w:val="auto"/>
        </w:rPr>
      </w:pPr>
      <w:r>
        <w:rPr>
          <w:rFonts w:ascii="Arial" w:cs="Arial" w:eastAsia="Arial" w:hAnsi="Arial"/>
          <w:sz w:val="16"/>
          <w:szCs w:val="16"/>
          <w:color w:val="auto"/>
        </w:rPr>
        <w:t>We receive a significant amount of our revenues from a limited number of customers. Net revenue from our two largest customers represented 34% and 30% of our net revenue for the three months ended May 2, 2015 and May 3, 2014,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 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37" w:lineRule="exact"/>
        <w:rPr>
          <w:sz w:val="20"/>
          <w:szCs w:val="20"/>
          <w:color w:val="auto"/>
        </w:rPr>
      </w:pPr>
    </w:p>
    <w:p>
      <w:pPr>
        <w:ind w:left="900" w:right="480" w:hanging="325"/>
        <w:spacing w:after="0" w:line="268" w:lineRule="auto"/>
        <w:tabs>
          <w:tab w:leader="none" w:pos="900" w:val="left"/>
        </w:tabs>
        <w:numPr>
          <w:ilvl w:val="0"/>
          <w:numId w:val="9"/>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permits our customers to cancel, change or delay product purchase commitments with relatively short notice to us;</w:t>
      </w:r>
    </w:p>
    <w:p>
      <w:pPr>
        <w:spacing w:after="0" w:line="11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41</w:t>
      </w:r>
    </w:p>
    <w:p>
      <w:pPr>
        <w:sectPr>
          <w:pgSz w:w="11900" w:h="16838" w:orient="portrait"/>
          <w:cols w:equalWidth="0" w:num="1">
            <w:col w:w="11380"/>
          </w:cols>
          <w:pgMar w:left="240" w:top="459" w:right="279" w:bottom="1440" w:gutter="0" w:footer="0" w:header="0"/>
        </w:sectPr>
      </w:pPr>
    </w:p>
    <w:bookmarkStart w:id="41" w:name="page42"/>
    <w:bookmarkEnd w:id="4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purchase integrated circuits from our competitors;</w:t>
      </w:r>
    </w:p>
    <w:p>
      <w:pPr>
        <w:spacing w:after="0" w:line="90" w:lineRule="exact"/>
        <w:rPr>
          <w:rFonts w:ascii="Arial" w:cs="Arial" w:eastAsia="Arial" w:hAnsi="Arial"/>
          <w:sz w:val="18"/>
          <w:szCs w:val="18"/>
          <w:color w:val="auto"/>
        </w:rPr>
      </w:pPr>
    </w:p>
    <w:p>
      <w:pPr>
        <w:ind w:left="90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 (for example, a significant customer of our SSD products has recently seen a significant drop in its market share);</w:t>
      </w:r>
    </w:p>
    <w:p>
      <w:pPr>
        <w:spacing w:after="0" w:line="50" w:lineRule="exact"/>
        <w:rPr>
          <w:rFonts w:ascii="Arial" w:cs="Arial" w:eastAsia="Arial" w:hAnsi="Arial"/>
          <w:sz w:val="18"/>
          <w:szCs w:val="18"/>
          <w:color w:val="auto"/>
        </w:rPr>
      </w:pPr>
    </w:p>
    <w:p>
      <w:pPr>
        <w:ind w:left="900" w:right="620" w:hanging="325"/>
        <w:spacing w:after="0" w:line="268" w:lineRule="auto"/>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develop their own solutions or acquire fully developed solutions from third-parties (for example, in September 2014, Seagate acquired the LSI SSD business from Avago); or</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w:t>
      </w:r>
    </w:p>
    <w:p>
      <w:pPr>
        <w:spacing w:after="0" w:line="252" w:lineRule="exact"/>
        <w:rPr>
          <w:sz w:val="20"/>
          <w:szCs w:val="20"/>
          <w:color w:val="auto"/>
        </w:rPr>
      </w:pPr>
    </w:p>
    <w:p>
      <w:pPr>
        <w:ind w:right="180"/>
        <w:spacing w:after="0" w:line="259" w:lineRule="auto"/>
        <w:rPr>
          <w:sz w:val="20"/>
          <w:szCs w:val="20"/>
          <w:color w:val="auto"/>
        </w:rPr>
      </w:pPr>
      <w:r>
        <w:rPr>
          <w:rFonts w:ascii="Arial" w:cs="Arial" w:eastAsia="Arial" w:hAnsi="Arial"/>
          <w:sz w:val="18"/>
          <w:szCs w:val="18"/>
          <w:b w:val="1"/>
          <w:bCs w:val="1"/>
          <w:i w:val="1"/>
          <w:iCs w:val="1"/>
          <w:color w:val="auto"/>
        </w:rPr>
        <w:t>We have been named as a party to several lawsuits and may be named in additional litigation in the future, including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59" w:lineRule="exact"/>
        <w:rPr>
          <w:sz w:val="20"/>
          <w:szCs w:val="20"/>
          <w:color w:val="auto"/>
        </w:rPr>
      </w:pPr>
    </w:p>
    <w:p>
      <w:pPr>
        <w:ind w:right="220" w:firstLine="456"/>
        <w:spacing w:after="0" w:line="254" w:lineRule="auto"/>
        <w:rPr>
          <w:sz w:val="20"/>
          <w:szCs w:val="20"/>
          <w:color w:val="auto"/>
        </w:rPr>
      </w:pPr>
      <w:r>
        <w:rPr>
          <w:rFonts w:ascii="Arial" w:cs="Arial" w:eastAsia="Arial" w:hAnsi="Arial"/>
          <w:sz w:val="18"/>
          <w:szCs w:val="18"/>
          <w:color w:val="auto"/>
        </w:rPr>
        <w:t>We have been named as a party to several lawsuits and we may be named in additional litigation in the future. Please see “Note 10 – Commitments and Contingencies” of our Notes to Unaudited Condensed Consolidated Financial Statements set forth in Part I, Item 1 of this Quarterly Report on Form 10-Q for a more detailed description of a number of the litigation matters we are currently engaged in. 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w:t>
      </w:r>
    </w:p>
    <w:p>
      <w:pPr>
        <w:spacing w:after="0" w:line="144" w:lineRule="exact"/>
        <w:rPr>
          <w:sz w:val="20"/>
          <w:szCs w:val="20"/>
          <w:color w:val="auto"/>
        </w:rPr>
      </w:pPr>
    </w:p>
    <w:p>
      <w:pPr>
        <w:ind w:right="20" w:firstLine="456"/>
        <w:spacing w:after="0" w:line="294" w:lineRule="auto"/>
        <w:rPr>
          <w:sz w:val="20"/>
          <w:szCs w:val="20"/>
          <w:color w:val="auto"/>
        </w:rPr>
      </w:pPr>
      <w:r>
        <w:rPr>
          <w:rFonts w:ascii="Arial" w:cs="Arial" w:eastAsia="Arial" w:hAnsi="Arial"/>
          <w:sz w:val="16"/>
          <w:szCs w:val="16"/>
          <w:color w:val="auto"/>
        </w:rPr>
        <w:t>From time to time our subsidiaries and customers receive, and may continue to receive in the future, standards-based infringement claims, as well as claims against us and our subsidiaries’ proprietary technologies, particularly those related to storage technology, microprocessors and other circuit components. Our subsidiaries and customers could face claims of infringement for certain patent licenses that have not been renewed.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35" w:lineRule="exact"/>
        <w:rPr>
          <w:sz w:val="20"/>
          <w:szCs w:val="20"/>
          <w:color w:val="auto"/>
        </w:rPr>
      </w:pPr>
    </w:p>
    <w:p>
      <w:pPr>
        <w:ind w:left="900" w:right="44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90" w:lineRule="exact"/>
        <w:rPr>
          <w:rFonts w:ascii="Arial" w:cs="Arial" w:eastAsia="Arial" w:hAnsi="Arial"/>
          <w:sz w:val="18"/>
          <w:szCs w:val="18"/>
          <w:color w:val="auto"/>
        </w:rPr>
      </w:pPr>
    </w:p>
    <w:p>
      <w:pPr>
        <w:ind w:left="900" w:right="20" w:hanging="325"/>
        <w:spacing w:after="0" w:line="268" w:lineRule="auto"/>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171" w:lineRule="exact"/>
        <w:rPr>
          <w:sz w:val="20"/>
          <w:szCs w:val="20"/>
          <w:color w:val="auto"/>
        </w:rPr>
      </w:pPr>
    </w:p>
    <w:p>
      <w:pPr>
        <w:ind w:right="20" w:firstLine="456"/>
        <w:spacing w:after="0" w:line="298" w:lineRule="auto"/>
        <w:rPr>
          <w:sz w:val="20"/>
          <w:szCs w:val="20"/>
          <w:color w:val="auto"/>
        </w:rPr>
      </w:pPr>
      <w:r>
        <w:rPr>
          <w:rFonts w:ascii="Arial" w:cs="Arial" w:eastAsia="Arial" w:hAnsi="Arial"/>
          <w:sz w:val="16"/>
          <w:szCs w:val="16"/>
          <w:color w:val="auto"/>
        </w:rPr>
        <w:t>Under certain circumstances, we have contractual and other legal obligations to indemnify and to incur legal expenses for current and former directors and officers. Additionally, from time to time, we have agreed to indemnify select customers for claims made against our products, where such claims allege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13" w:lineRule="exact"/>
        <w:rPr>
          <w:sz w:val="20"/>
          <w:szCs w:val="20"/>
          <w:color w:val="auto"/>
        </w:rPr>
      </w:pPr>
    </w:p>
    <w:p>
      <w:pPr>
        <w:ind w:firstLine="456"/>
        <w:spacing w:after="0" w:line="256" w:lineRule="auto"/>
        <w:rPr>
          <w:sz w:val="20"/>
          <w:szCs w:val="20"/>
          <w:color w:val="auto"/>
        </w:rPr>
      </w:pPr>
      <w:r>
        <w:rPr>
          <w:rFonts w:ascii="Arial" w:cs="Arial" w:eastAsia="Arial" w:hAnsi="Arial"/>
          <w:sz w:val="18"/>
          <w:szCs w:val="18"/>
          <w:color w:val="auto"/>
        </w:rPr>
        <w:t>In addition, due to the high volatility of our stock price, we may be vulnerable to securities class action litigation. Furthermore,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43" w:lineRule="exact"/>
        <w:rPr>
          <w:sz w:val="20"/>
          <w:szCs w:val="20"/>
          <w:color w:val="auto"/>
        </w:rPr>
      </w:pPr>
    </w:p>
    <w:p>
      <w:pPr>
        <w:ind w:right="60" w:firstLine="456"/>
        <w:spacing w:after="0" w:line="255" w:lineRule="auto"/>
        <w:rPr>
          <w:sz w:val="20"/>
          <w:szCs w:val="20"/>
          <w:color w:val="auto"/>
        </w:rPr>
      </w:pPr>
      <w:r>
        <w:rPr>
          <w:rFonts w:ascii="Arial" w:cs="Arial" w:eastAsia="Arial" w:hAnsi="Arial"/>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our stock price may be materially and adversely affected.</w:t>
      </w:r>
    </w:p>
    <w:p>
      <w:pPr>
        <w:spacing w:after="0" w:line="12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ectPr>
          <w:pgSz w:w="11900" w:h="16838" w:orient="portrait"/>
          <w:cols w:equalWidth="0" w:num="1">
            <w:col w:w="11420"/>
          </w:cols>
          <w:pgMar w:left="240" w:top="459" w:right="239" w:bottom="1440" w:gutter="0" w:footer="0" w:header="0"/>
        </w:sectPr>
      </w:pPr>
    </w:p>
    <w:bookmarkStart w:id="42" w:name="page43"/>
    <w:bookmarkEnd w:id="4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2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ability to grow our business.</w:t>
      </w:r>
    </w:p>
    <w:p>
      <w:pPr>
        <w:spacing w:after="0" w:line="59" w:lineRule="exact"/>
        <w:rPr>
          <w:sz w:val="20"/>
          <w:szCs w:val="20"/>
          <w:color w:val="auto"/>
        </w:rPr>
      </w:pPr>
    </w:p>
    <w:p>
      <w:pPr>
        <w:ind w:right="400" w:firstLine="456"/>
        <w:spacing w:after="0" w:line="306" w:lineRule="auto"/>
        <w:rPr>
          <w:sz w:val="20"/>
          <w:szCs w:val="20"/>
          <w:color w:val="auto"/>
        </w:rPr>
      </w:pPr>
      <w:r>
        <w:rPr>
          <w:rFonts w:ascii="Arial" w:cs="Arial" w:eastAsia="Arial" w:hAnsi="Arial"/>
          <w:sz w:val="16"/>
          <w:szCs w:val="16"/>
          <w:color w:val="auto"/>
        </w:rPr>
        <w:t>We do not have our own manufacturing or assembly facilities and have very limited in-house testing facilities. Therefore, we currently rely on several third-party foundries to produce our integrated circuit products. We also currently rely on several third-party assembly and test subcontractors to assemble, package and test our products. This exposes us to a variety of risks, including the following:</w:t>
      </w:r>
    </w:p>
    <w:p>
      <w:pPr>
        <w:spacing w:after="0" w:line="188"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Regional Concentration</w:t>
      </w:r>
    </w:p>
    <w:p>
      <w:pPr>
        <w:spacing w:after="0" w:line="90"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Substantially all of our products are manufactured by third-party foundries located in Taiwan, and other sources are located in China and Singapore. In addition, substantially all of our third-party assembly and testing facilities are located in Singapore, Taiwan, Malaysia and the Philippines. Because of the geographic concentration of these third-party foundries, as well as our assembly and test subcontractors, we are exposed to the risk that their operations may be disrupted by regional disasters including, for example, earthquakes (particularly in Taiwan and elsewhere in the Pacific Rim close to fault lines), tsunamis or typhoons, or by political, social or economic instability. In the case of such an event,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199"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No Guarantee of Capacity or Supply</w:t>
      </w:r>
    </w:p>
    <w:p>
      <w:pPr>
        <w:spacing w:after="0" w:line="90" w:lineRule="exact"/>
        <w:rPr>
          <w:sz w:val="20"/>
          <w:szCs w:val="20"/>
          <w:color w:val="auto"/>
        </w:rPr>
      </w:pPr>
    </w:p>
    <w:p>
      <w:pPr>
        <w:ind w:right="40" w:firstLine="456"/>
        <w:spacing w:after="0" w:line="286" w:lineRule="auto"/>
        <w:rPr>
          <w:sz w:val="20"/>
          <w:szCs w:val="20"/>
          <w:color w:val="auto"/>
        </w:rPr>
      </w:pPr>
      <w:r>
        <w:rPr>
          <w:rFonts w:ascii="Arial" w:cs="Arial" w:eastAsia="Arial" w:hAnsi="Arial"/>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In particular, as we and others in our industry transition to smaller geometries, our manufacturing partners may be supply constrained or may charge premiums for these advanced technologies, which may harm our business or results of operations. See “We may experience difficulties in transitioning to smaller geometry process technologies or in achieving higher levels of design integration, which may result in reduced manufacturing yields, delays in product deliveries and increased expenses.” Moreover, if any of our third-party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21" w:lineRule="exact"/>
        <w:rPr>
          <w:sz w:val="20"/>
          <w:szCs w:val="20"/>
          <w:color w:val="auto"/>
        </w:rPr>
      </w:pPr>
    </w:p>
    <w:p>
      <w:pPr>
        <w:ind w:right="80" w:firstLine="456"/>
        <w:spacing w:after="0" w:line="298" w:lineRule="auto"/>
        <w:rPr>
          <w:sz w:val="20"/>
          <w:szCs w:val="20"/>
          <w:color w:val="auto"/>
        </w:rPr>
      </w:pPr>
      <w:r>
        <w:rPr>
          <w:rFonts w:ascii="Arial" w:cs="Arial" w:eastAsia="Arial" w:hAnsi="Arial"/>
          <w:sz w:val="16"/>
          <w:szCs w:val="16"/>
          <w:color w:val="auto"/>
        </w:rPr>
        <w:t>Despite our strategy to move to multiple sources,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13"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225"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Uncertain Yields and Quality</w:t>
      </w:r>
    </w:p>
    <w:p>
      <w:pPr>
        <w:spacing w:after="0" w:line="90"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which could result in a product liability claim, which would likely be time consuming and costly to defend. In addition, defects could result in significant costs. See “Costs related to defective products could have a material adverse effect on us.”</w:t>
      </w:r>
    </w:p>
    <w:p>
      <w:pPr>
        <w:spacing w:after="0" w:line="10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43</w:t>
      </w:r>
    </w:p>
    <w:p>
      <w:pPr>
        <w:sectPr>
          <w:pgSz w:w="11900" w:h="16838" w:orient="portrait"/>
          <w:cols w:equalWidth="0" w:num="1">
            <w:col w:w="11380"/>
          </w:cols>
          <w:pgMar w:left="240" w:top="459" w:right="279" w:bottom="1440" w:gutter="0" w:footer="0" w:header="0"/>
        </w:sectPr>
      </w:pPr>
    </w:p>
    <w:bookmarkStart w:id="43" w:name="page44"/>
    <w:bookmarkEnd w:id="4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20" w:firstLine="456"/>
        <w:spacing w:after="0" w:line="370" w:lineRule="auto"/>
        <w:rPr>
          <w:sz w:val="20"/>
          <w:szCs w:val="20"/>
          <w:color w:val="auto"/>
        </w:rPr>
      </w:pPr>
      <w:r>
        <w:rPr>
          <w:rFonts w:ascii="Arial" w:cs="Arial" w:eastAsia="Arial" w:hAnsi="Arial"/>
          <w:sz w:val="15"/>
          <w:szCs w:val="15"/>
          <w:color w:val="auto"/>
        </w:rPr>
        <w:t>To the extent that we rely on outside suppliers to manufacture or assemble and test our products, we may have a reduced ability to directly control product delivery schedules and quality assurance, which could result in product shortages or quality assurance problems that could delay shipments or increase costs.</w:t>
      </w:r>
    </w:p>
    <w:p>
      <w:pPr>
        <w:spacing w:after="0" w:line="143" w:lineRule="exact"/>
        <w:rPr>
          <w:sz w:val="20"/>
          <w:szCs w:val="20"/>
          <w:color w:val="auto"/>
        </w:rPr>
      </w:pPr>
    </w:p>
    <w:p>
      <w:pPr>
        <w:ind w:left="460"/>
        <w:spacing w:after="0"/>
        <w:rPr>
          <w:sz w:val="20"/>
          <w:szCs w:val="20"/>
          <w:color w:val="auto"/>
        </w:rPr>
      </w:pPr>
      <w:r>
        <w:rPr>
          <w:rFonts w:ascii="Arial" w:cs="Arial" w:eastAsia="Arial" w:hAnsi="Arial"/>
          <w:sz w:val="18"/>
          <w:szCs w:val="18"/>
          <w:i w:val="1"/>
          <w:iCs w:val="1"/>
          <w:color w:val="auto"/>
        </w:rPr>
        <w:t>Commodity Prices</w:t>
      </w:r>
    </w:p>
    <w:p>
      <w:pPr>
        <w:spacing w:after="0" w:line="90" w:lineRule="exact"/>
        <w:rPr>
          <w:sz w:val="20"/>
          <w:szCs w:val="20"/>
          <w:color w:val="auto"/>
        </w:rPr>
      </w:pPr>
    </w:p>
    <w:p>
      <w:pPr>
        <w:ind w:right="20" w:firstLine="456"/>
        <w:spacing w:after="0" w:line="259" w:lineRule="auto"/>
        <w:rPr>
          <w:sz w:val="20"/>
          <w:szCs w:val="20"/>
          <w:color w:val="auto"/>
        </w:rPr>
      </w:pPr>
      <w:r>
        <w:rPr>
          <w:rFonts w:ascii="Arial" w:cs="Arial" w:eastAsia="Arial" w:hAnsi="Arial"/>
          <w:sz w:val="18"/>
          <w:szCs w:val="18"/>
          <w:color w:val="auto"/>
        </w:rPr>
        <w:t>We are also subject to risk from fluctuating market prices of certain commodity raw materials that are incorporated into our end products or used by our suppliers to manufacture our end products. Supplies for such commodities may from time to time become restricted, or general market factors and conditions may affect pricing of such commodities.</w:t>
      </w:r>
    </w:p>
    <w:p>
      <w:pPr>
        <w:spacing w:after="0" w:line="221"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51" w:lineRule="exact"/>
        <w:rPr>
          <w:sz w:val="20"/>
          <w:szCs w:val="20"/>
          <w:color w:val="auto"/>
        </w:rPr>
      </w:pPr>
    </w:p>
    <w:p>
      <w:pPr>
        <w:ind w:right="20" w:firstLine="456"/>
        <w:spacing w:after="0" w:line="307" w:lineRule="auto"/>
        <w:rPr>
          <w:sz w:val="20"/>
          <w:szCs w:val="20"/>
          <w:color w:val="auto"/>
        </w:rPr>
      </w:pPr>
      <w:r>
        <w:rPr>
          <w:rFonts w:ascii="Arial" w:cs="Arial" w:eastAsia="Arial" w:hAnsi="Arial"/>
          <w:sz w:val="15"/>
          <w:szCs w:val="15"/>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For example, we believe the success of Final-level-Cache (“FLC”) technology may be an important factor in the future growth of the company. If FLC technology fails to function in actual product development at the level required for market acceptance, or if our customers do not readily embrace the technology as quickly as we would anticipate, our future results may be impacted. 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193"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51" w:lineRule="exact"/>
        <w:rPr>
          <w:sz w:val="20"/>
          <w:szCs w:val="20"/>
          <w:color w:val="auto"/>
        </w:rPr>
      </w:pPr>
    </w:p>
    <w:p>
      <w:pPr>
        <w:ind w:right="100" w:firstLine="456"/>
        <w:spacing w:after="0" w:line="298" w:lineRule="auto"/>
        <w:rPr>
          <w:sz w:val="20"/>
          <w:szCs w:val="20"/>
          <w:color w:val="auto"/>
        </w:rPr>
      </w:pPr>
      <w:r>
        <w:rPr>
          <w:rFonts w:ascii="Arial" w:cs="Arial" w:eastAsia="Arial" w:hAnsi="Arial"/>
          <w:sz w:val="16"/>
          <w:szCs w:val="16"/>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13"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To attract new customers or retain existing customers, we may offer certain customers certain price concessions,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that we will continue to have to reduce prices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20" w:lineRule="exact"/>
        <w:rPr>
          <w:sz w:val="20"/>
          <w:szCs w:val="20"/>
          <w:color w:val="auto"/>
        </w:rPr>
      </w:pPr>
    </w:p>
    <w:p>
      <w:pPr>
        <w:ind w:right="620" w:firstLine="456"/>
        <w:spacing w:after="0" w:line="332" w:lineRule="auto"/>
        <w:rPr>
          <w:sz w:val="20"/>
          <w:szCs w:val="20"/>
          <w:color w:val="auto"/>
        </w:rPr>
      </w:pPr>
      <w:r>
        <w:rPr>
          <w:rFonts w:ascii="Arial" w:cs="Arial" w:eastAsia="Arial" w:hAnsi="Arial"/>
          <w:sz w:val="16"/>
          <w:szCs w:val="16"/>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w:t>
      </w:r>
    </w:p>
    <w:p>
      <w:pPr>
        <w:spacing w:after="0" w:line="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ectPr>
          <w:pgSz w:w="11900" w:h="16838" w:orient="portrait"/>
          <w:cols w:equalWidth="0" w:num="1">
            <w:col w:w="11420"/>
          </w:cols>
          <w:pgMar w:left="240" w:top="459" w:right="239" w:bottom="1440" w:gutter="0" w:footer="0" w:header="0"/>
        </w:sectPr>
      </w:pPr>
    </w:p>
    <w:bookmarkStart w:id="44" w:name="page45"/>
    <w:bookmarkEnd w:id="4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59" w:lineRule="exact"/>
        <w:rPr>
          <w:sz w:val="20"/>
          <w:szCs w:val="20"/>
          <w:color w:val="auto"/>
        </w:rPr>
      </w:pPr>
    </w:p>
    <w:p>
      <w:pPr>
        <w:ind w:firstLine="456"/>
        <w:spacing w:after="0" w:line="285" w:lineRule="auto"/>
        <w:rPr>
          <w:sz w:val="20"/>
          <w:szCs w:val="20"/>
          <w:color w:val="auto"/>
        </w:rPr>
      </w:pPr>
      <w:r>
        <w:rPr>
          <w:rFonts w:ascii="Arial" w:cs="Arial" w:eastAsia="Arial" w:hAnsi="Arial"/>
          <w:sz w:val="16"/>
          <w:szCs w:val="16"/>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28" w:lineRule="exact"/>
        <w:rPr>
          <w:sz w:val="20"/>
          <w:szCs w:val="20"/>
          <w:color w:val="auto"/>
        </w:rPr>
      </w:pPr>
    </w:p>
    <w:p>
      <w:pPr>
        <w:ind w:right="100" w:firstLine="456"/>
        <w:spacing w:after="0" w:line="255" w:lineRule="auto"/>
        <w:rPr>
          <w:sz w:val="20"/>
          <w:szCs w:val="20"/>
          <w:color w:val="auto"/>
        </w:rPr>
      </w:pPr>
      <w:r>
        <w:rPr>
          <w:rFonts w:ascii="Arial" w:cs="Arial" w:eastAsia="Arial" w:hAnsi="Arial"/>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43"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devices designed for consumer electronics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5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23" w:lineRule="exact"/>
        <w:rPr>
          <w:sz w:val="20"/>
          <w:szCs w:val="20"/>
          <w:color w:val="auto"/>
        </w:rPr>
      </w:pPr>
    </w:p>
    <w:p>
      <w:pPr>
        <w:ind w:right="140" w:firstLine="456"/>
        <w:spacing w:after="0" w:line="288" w:lineRule="auto"/>
        <w:rPr>
          <w:sz w:val="20"/>
          <w:szCs w:val="20"/>
          <w:color w:val="auto"/>
        </w:rPr>
      </w:pPr>
      <w:r>
        <w:rPr>
          <w:rFonts w:ascii="Arial" w:cs="Arial" w:eastAsia="Arial" w:hAnsi="Arial"/>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0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ectPr>
          <w:pgSz w:w="11900" w:h="16838" w:orient="portrait"/>
          <w:cols w:equalWidth="0" w:num="1">
            <w:col w:w="11420"/>
          </w:cols>
          <w:pgMar w:left="240" w:top="459" w:right="239" w:bottom="1440" w:gutter="0" w:footer="0" w:header="0"/>
        </w:sectPr>
      </w:pPr>
    </w:p>
    <w:bookmarkStart w:id="45" w:name="page46"/>
    <w:bookmarkEnd w:id="45"/>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80"/>
        <w:spacing w:after="0" w:line="268" w:lineRule="auto"/>
        <w:rPr>
          <w:sz w:val="20"/>
          <w:szCs w:val="20"/>
          <w:color w:val="auto"/>
        </w:rPr>
      </w:pPr>
      <w:r>
        <w:rPr>
          <w:rFonts w:ascii="Arial" w:cs="Arial" w:eastAsia="Arial" w:hAnsi="Arial"/>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51" w:lineRule="exact"/>
        <w:rPr>
          <w:sz w:val="20"/>
          <w:szCs w:val="20"/>
          <w:color w:val="auto"/>
        </w:rPr>
      </w:pPr>
    </w:p>
    <w:p>
      <w:pPr>
        <w:ind w:firstLine="456"/>
        <w:spacing w:after="0" w:line="310" w:lineRule="auto"/>
        <w:rPr>
          <w:sz w:val="20"/>
          <w:szCs w:val="20"/>
          <w:color w:val="auto"/>
        </w:rPr>
      </w:pPr>
      <w:r>
        <w:rPr>
          <w:rFonts w:ascii="Arial" w:cs="Arial" w:eastAsia="Arial" w:hAnsi="Arial"/>
          <w:sz w:val="15"/>
          <w:szCs w:val="15"/>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 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08" w:lineRule="exact"/>
        <w:rPr>
          <w:sz w:val="20"/>
          <w:szCs w:val="20"/>
          <w:color w:val="auto"/>
        </w:rPr>
      </w:pPr>
    </w:p>
    <w:p>
      <w:pPr>
        <w:ind w:right="140" w:firstLine="456"/>
        <w:spacing w:after="0" w:line="256" w:lineRule="auto"/>
        <w:rPr>
          <w:sz w:val="20"/>
          <w:szCs w:val="20"/>
          <w:color w:val="auto"/>
        </w:rPr>
      </w:pPr>
      <w:r>
        <w:rPr>
          <w:rFonts w:ascii="Arial" w:cs="Arial" w:eastAsia="Arial" w:hAnsi="Arial"/>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exposed to potential impairment charges on certain assets.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had approximately $2.0 billion of goodwill and $27.6 million of acquired intangible assets, net on our balance sheet as of May 2, 2015.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may have an impairment of goodwill in one of our reporting units.</w:t>
      </w:r>
    </w:p>
    <w:p>
      <w:pPr>
        <w:spacing w:after="0" w:line="120" w:lineRule="exact"/>
        <w:rPr>
          <w:sz w:val="20"/>
          <w:szCs w:val="20"/>
          <w:color w:val="auto"/>
        </w:rPr>
      </w:pPr>
    </w:p>
    <w:p>
      <w:pPr>
        <w:ind w:right="100" w:firstLine="456"/>
        <w:spacing w:after="0" w:line="323" w:lineRule="auto"/>
        <w:rPr>
          <w:sz w:val="20"/>
          <w:szCs w:val="20"/>
          <w:color w:val="auto"/>
        </w:rPr>
      </w:pPr>
      <w:r>
        <w:rPr>
          <w:rFonts w:ascii="Arial" w:cs="Arial" w:eastAsia="Arial" w:hAnsi="Arial"/>
          <w:sz w:val="15"/>
          <w:szCs w:val="15"/>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179" w:lineRule="exact"/>
        <w:rPr>
          <w:sz w:val="20"/>
          <w:szCs w:val="20"/>
          <w:color w:val="auto"/>
        </w:rPr>
      </w:pPr>
    </w:p>
    <w:p>
      <w:pPr>
        <w:ind w:right="60"/>
        <w:spacing w:after="0" w:line="268" w:lineRule="auto"/>
        <w:rPr>
          <w:sz w:val="20"/>
          <w:szCs w:val="20"/>
          <w:color w:val="auto"/>
        </w:rPr>
      </w:pPr>
      <w:r>
        <w:rPr>
          <w:rFonts w:ascii="Arial" w:cs="Arial" w:eastAsia="Arial" w:hAnsi="Arial"/>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51"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46</w:t>
      </w:r>
    </w:p>
    <w:p>
      <w:pPr>
        <w:sectPr>
          <w:pgSz w:w="11900" w:h="16838" w:orient="portrait"/>
          <w:cols w:equalWidth="0" w:num="1">
            <w:col w:w="11420"/>
          </w:cols>
          <w:pgMar w:left="240" w:top="459" w:right="239" w:bottom="1440" w:gutter="0" w:footer="0" w:header="0"/>
        </w:sectPr>
      </w:pPr>
    </w:p>
    <w:bookmarkStart w:id="46" w:name="page47"/>
    <w:bookmarkEnd w:id="46"/>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60"/>
        <w:spacing w:after="0" w:line="268" w:lineRule="auto"/>
        <w:rPr>
          <w:sz w:val="20"/>
          <w:szCs w:val="20"/>
          <w:color w:val="auto"/>
        </w:rPr>
      </w:pPr>
      <w:r>
        <w:rPr>
          <w:rFonts w:ascii="Arial" w:cs="Arial" w:eastAsia="Arial" w:hAnsi="Arial"/>
          <w:sz w:val="18"/>
          <w:szCs w:val="18"/>
          <w:b w:val="1"/>
          <w:bCs w:val="1"/>
          <w:i w:val="1"/>
          <w:iCs w:val="1"/>
          <w:color w:val="auto"/>
        </w:rPr>
        <w:t>We depend on key personnel to manage our business, and if we are unable to retain our current personnel or attract additional personnel, our ability to develop and successfully market our products could be harmed.</w:t>
      </w:r>
    </w:p>
    <w:p>
      <w:pPr>
        <w:spacing w:after="0" w:line="51" w:lineRule="exact"/>
        <w:rPr>
          <w:sz w:val="20"/>
          <w:szCs w:val="20"/>
          <w:color w:val="auto"/>
        </w:rPr>
      </w:pPr>
    </w:p>
    <w:p>
      <w:pPr>
        <w:ind w:right="20" w:firstLine="456"/>
        <w:spacing w:after="0" w:line="254" w:lineRule="auto"/>
        <w:rPr>
          <w:sz w:val="20"/>
          <w:szCs w:val="20"/>
          <w:color w:val="auto"/>
        </w:rPr>
      </w:pPr>
      <w:r>
        <w:rPr>
          <w:rFonts w:ascii="Arial" w:cs="Arial" w:eastAsia="Arial" w:hAnsi="Arial"/>
          <w:sz w:val="18"/>
          <w:szCs w:val="18"/>
          <w:color w:val="auto"/>
        </w:rPr>
        <w:t>We believe our future success will depend in large part upon our ability to attract and retain highly skilled managerial, engineering, sales and marketing personnel. The competition for qualified technical personnel with significant experience in the design, development, manufacturing, marketing and sales of integrated circuits is intense, and the inability to attract qualified personnel, including hardware and software engineers and sales and marketing personnel could delay the development and introduction of and harm our ability to sell our products. Additionally, we typically do not enter into employment agreements with any of our key technical personnel and the loss of such personnel could harm our business, as their knowledge of our business and industry would be extremely difficult to replace.</w:t>
      </w:r>
    </w:p>
    <w:p>
      <w:pPr>
        <w:spacing w:after="0" w:line="225"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51" w:lineRule="exact"/>
        <w:rPr>
          <w:sz w:val="20"/>
          <w:szCs w:val="20"/>
          <w:color w:val="auto"/>
        </w:rPr>
      </w:pPr>
    </w:p>
    <w:p>
      <w:pPr>
        <w:ind w:right="120" w:firstLine="456"/>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95% of our net revenue in the three months ended May 2, 2015, 96% of our net revenue in fiscal 2015 and 95% of our net revenue in fiscal 2014.</w:t>
      </w:r>
    </w:p>
    <w:p>
      <w:pPr>
        <w:spacing w:after="0" w:line="116" w:lineRule="exact"/>
        <w:rPr>
          <w:sz w:val="20"/>
          <w:szCs w:val="20"/>
          <w:color w:val="auto"/>
        </w:rPr>
      </w:pPr>
    </w:p>
    <w:p>
      <w:pPr>
        <w:ind w:right="200" w:firstLine="456"/>
        <w:spacing w:after="0" w:line="298" w:lineRule="auto"/>
        <w:rPr>
          <w:sz w:val="20"/>
          <w:szCs w:val="20"/>
          <w:color w:val="auto"/>
        </w:rPr>
      </w:pPr>
      <w:r>
        <w:rPr>
          <w:rFonts w:ascii="Arial" w:cs="Arial" w:eastAsia="Arial" w:hAnsi="Arial"/>
          <w:sz w:val="16"/>
          <w:szCs w:val="16"/>
          <w:color w:val="auto"/>
        </w:rPr>
        <w:t>We also have substantial operations outside of the United States. These operations are directly influenced by the political and economic conditions of the region in which they are located, and with respect to Israel, possible military hostilities, such as the recent turmoil in the region,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32" w:lineRule="exact"/>
        <w:rPr>
          <w:sz w:val="20"/>
          <w:szCs w:val="20"/>
          <w:color w:val="auto"/>
        </w:rPr>
      </w:pPr>
    </w:p>
    <w:p>
      <w:pPr>
        <w:ind w:left="900" w:hanging="325"/>
        <w:spacing w:after="0"/>
        <w:tabs>
          <w:tab w:leader="none" w:pos="900" w:val="left"/>
        </w:tabs>
        <w:numPr>
          <w:ilvl w:val="0"/>
          <w:numId w:val="12"/>
        </w:numPr>
        <w:rPr>
          <w:rFonts w:ascii="Arial" w:cs="Arial" w:eastAsia="Arial" w:hAnsi="Arial"/>
          <w:sz w:val="16"/>
          <w:szCs w:val="16"/>
          <w:color w:val="auto"/>
        </w:rPr>
      </w:pPr>
      <w:r>
        <w:rPr>
          <w:rFonts w:ascii="Arial" w:cs="Arial" w:eastAsia="Arial" w:hAnsi="Arial"/>
          <w:sz w:val="16"/>
          <w:szCs w:val="16"/>
          <w:color w:val="auto"/>
        </w:rPr>
        <w:t>political, social and economic instability, including wars, terrorism, political unrest, boycotts, curtailment of trade and other business restrictions;</w:t>
      </w:r>
    </w:p>
    <w:p>
      <w:pPr>
        <w:spacing w:after="0" w:line="113" w:lineRule="exact"/>
        <w:rPr>
          <w:rFonts w:ascii="Arial" w:cs="Arial" w:eastAsia="Arial" w:hAnsi="Arial"/>
          <w:sz w:val="16"/>
          <w:szCs w:val="16"/>
          <w:color w:val="auto"/>
        </w:rPr>
      </w:pPr>
    </w:p>
    <w:p>
      <w:pPr>
        <w:ind w:left="900" w:right="14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50" w:lineRule="exact"/>
        <w:rPr>
          <w:rFonts w:ascii="Arial" w:cs="Arial" w:eastAsia="Arial" w:hAnsi="Arial"/>
          <w:sz w:val="18"/>
          <w:szCs w:val="18"/>
          <w:color w:val="auto"/>
        </w:rPr>
      </w:pPr>
    </w:p>
    <w:p>
      <w:pPr>
        <w:ind w:left="900" w:right="380" w:hanging="325"/>
        <w:spacing w:after="0" w:line="268" w:lineRule="auto"/>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natural disasters, including earthquakes, tsunamis and floods;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difficulties of managing distributors;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inadequate local infrastructure; and</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2"/>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171" w:lineRule="exact"/>
        <w:rPr>
          <w:sz w:val="20"/>
          <w:szCs w:val="20"/>
          <w:color w:val="auto"/>
        </w:rPr>
      </w:pPr>
    </w:p>
    <w:p>
      <w:pPr>
        <w:ind w:right="320" w:firstLine="456"/>
        <w:spacing w:after="0" w:line="298" w:lineRule="auto"/>
        <w:rPr>
          <w:sz w:val="20"/>
          <w:szCs w:val="20"/>
          <w:color w:val="auto"/>
        </w:rPr>
      </w:pPr>
      <w:r>
        <w:rPr>
          <w:rFonts w:ascii="Arial" w:cs="Arial" w:eastAsia="Arial" w:hAnsi="Arial"/>
          <w:sz w:val="16"/>
          <w:szCs w:val="16"/>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For example,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13" w:lineRule="exact"/>
        <w:rPr>
          <w:sz w:val="20"/>
          <w:szCs w:val="20"/>
          <w:color w:val="auto"/>
        </w:rPr>
      </w:pPr>
    </w:p>
    <w:p>
      <w:pPr>
        <w:ind w:firstLine="456"/>
        <w:spacing w:after="0" w:line="298" w:lineRule="auto"/>
        <w:rPr>
          <w:sz w:val="20"/>
          <w:szCs w:val="20"/>
          <w:color w:val="auto"/>
        </w:rPr>
      </w:pPr>
      <w:r>
        <w:rPr>
          <w:rFonts w:ascii="Arial" w:cs="Arial" w:eastAsia="Arial" w:hAnsi="Arial"/>
          <w:sz w:val="16"/>
          <w:szCs w:val="16"/>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ectPr>
          <w:pgSz w:w="11900" w:h="16838" w:orient="portrait"/>
          <w:cols w:equalWidth="0" w:num="1">
            <w:col w:w="11400"/>
          </w:cols>
          <w:pgMar w:left="240" w:top="459" w:right="259" w:bottom="1440" w:gutter="0" w:footer="0" w:header="0"/>
        </w:sectPr>
      </w:pPr>
    </w:p>
    <w:bookmarkStart w:id="47" w:name="page48"/>
    <w:bookmarkEnd w:id="47"/>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Costs related to defective products could have a material adverse effect on us.</w:t>
      </w:r>
    </w:p>
    <w:p>
      <w:pPr>
        <w:spacing w:after="0" w:line="90" w:lineRule="exact"/>
        <w:rPr>
          <w:sz w:val="20"/>
          <w:szCs w:val="20"/>
          <w:color w:val="auto"/>
        </w:rPr>
      </w:pPr>
    </w:p>
    <w:p>
      <w:pPr>
        <w:ind w:firstLine="456"/>
        <w:spacing w:after="0" w:line="288" w:lineRule="auto"/>
        <w:rPr>
          <w:sz w:val="20"/>
          <w:szCs w:val="20"/>
          <w:color w:val="auto"/>
        </w:rPr>
      </w:pPr>
      <w:r>
        <w:rPr>
          <w:rFonts w:ascii="Arial" w:cs="Arial" w:eastAsia="Arial" w:hAnsi="Arial"/>
          <w:sz w:val="16"/>
          <w:szCs w:val="16"/>
          <w:color w:val="auto"/>
        </w:rPr>
        <w:t>We have experienced, from time to time, hardware and software defects and bugs associated with the introduction of our highly complex products. Despite our testing procedures, we cannot assure you that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the process of identifying a recalled product in devices that have been widely distributed may be lengthy and require significant resources and we may have difficulty identifying the end customers of the defective products in the field, which may cause us to incur significant replacement costs, contract damage claims from our customers and further reputational harm. Any of these problems could materially adversely affect our results of operations.</w:t>
      </w:r>
    </w:p>
    <w:p>
      <w:pPr>
        <w:spacing w:after="0" w:line="201"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Any potential future acquisitions, strategic investments, divestitures, mergers or joint ventures may subject us to significant risks, any of which could harm our business.</w:t>
      </w:r>
    </w:p>
    <w:p>
      <w:pPr>
        <w:spacing w:after="0" w:line="51" w:lineRule="exact"/>
        <w:rPr>
          <w:sz w:val="20"/>
          <w:szCs w:val="20"/>
          <w:color w:val="auto"/>
        </w:rPr>
      </w:pPr>
    </w:p>
    <w:p>
      <w:pPr>
        <w:ind w:right="100" w:firstLine="456"/>
        <w:spacing w:after="0" w:line="256" w:lineRule="auto"/>
        <w:rPr>
          <w:sz w:val="20"/>
          <w:szCs w:val="20"/>
          <w:color w:val="auto"/>
        </w:rPr>
      </w:pPr>
      <w:r>
        <w:rPr>
          <w:rFonts w:ascii="Arial" w:cs="Arial" w:eastAsia="Arial" w:hAnsi="Arial"/>
          <w:sz w:val="18"/>
          <w:szCs w:val="18"/>
          <w:color w:val="auto"/>
        </w:rPr>
        <w:t>Our long-term strategy may include identifying and acquiring, investing in or merging with suitable candidates on acceptable terms, or divesting of certain business lines or activities. In particular, over time, we may acquire, make investments in, or merge with providers of product offerings that complement our business or may terminate such activities. Mergers, acquisitions and divestitures include a number of risks and present financial, managerial and operational challenges, including but not limited to:</w:t>
      </w:r>
    </w:p>
    <w:p>
      <w:pPr>
        <w:spacing w:after="0" w:line="62" w:lineRule="exact"/>
        <w:rPr>
          <w:sz w:val="20"/>
          <w:szCs w:val="20"/>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diversion of management attention from running our existing business;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possible material weaknesses in internal control over financial reporting;</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increased expenses including legal, administrative and compensation expenses related to newly hired or terminated employees;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increased costs to integrate the technology, personnel, customer base and business practices of the acquired company with us;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potential exposure to material liabilities not discovered in the due diligence process;</w:t>
      </w:r>
    </w:p>
    <w:p>
      <w:pPr>
        <w:spacing w:after="0" w:line="90" w:lineRule="exact"/>
        <w:rPr>
          <w:rFonts w:ascii="Arial" w:cs="Arial" w:eastAsia="Arial" w:hAnsi="Arial"/>
          <w:sz w:val="18"/>
          <w:szCs w:val="18"/>
          <w:color w:val="auto"/>
        </w:rPr>
      </w:pPr>
    </w:p>
    <w:p>
      <w:pPr>
        <w:ind w:left="900" w:right="920" w:hanging="325"/>
        <w:spacing w:after="0" w:line="268" w:lineRule="auto"/>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potential adverse effects on reported operating results due to possible write-down of goodwill and other intangible assets associated with acquisitions; and</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3"/>
        </w:numPr>
        <w:rPr>
          <w:rFonts w:ascii="Arial" w:cs="Arial" w:eastAsia="Arial" w:hAnsi="Arial"/>
          <w:sz w:val="18"/>
          <w:szCs w:val="18"/>
          <w:color w:val="auto"/>
        </w:rPr>
      </w:pPr>
      <w:r>
        <w:rPr>
          <w:rFonts w:ascii="Arial" w:cs="Arial" w:eastAsia="Arial" w:hAnsi="Arial"/>
          <w:sz w:val="18"/>
          <w:szCs w:val="18"/>
          <w:color w:val="auto"/>
        </w:rPr>
        <w:t>unavailability of acquisition financing or unavailability of such financing on reasonable terms.</w:t>
      </w:r>
    </w:p>
    <w:p>
      <w:pPr>
        <w:spacing w:after="0" w:line="17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Any acquired business, technology, service or product could significantly under-perform relative to our expectations, and may not achieve the benefits we expect from possible acquisitions. For all these reasons, our pursuit of an acquisition, investment, divestiture, merger or joint venture could cause its actual results to differ materially from those anticipated.</w:t>
      </w:r>
    </w:p>
    <w:p>
      <w:pPr>
        <w:spacing w:after="0" w:line="221"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and the failure of these distributors and manufacturers’ representatives to perform as expected could reduce our future sales.</w:t>
      </w:r>
    </w:p>
    <w:p>
      <w:pPr>
        <w:spacing w:after="0" w:line="51" w:lineRule="exact"/>
        <w:rPr>
          <w:sz w:val="20"/>
          <w:szCs w:val="20"/>
          <w:color w:val="auto"/>
        </w:rPr>
      </w:pPr>
    </w:p>
    <w:p>
      <w:pPr>
        <w:ind w:right="40" w:firstLine="456"/>
        <w:spacing w:after="0" w:line="254" w:lineRule="auto"/>
        <w:rPr>
          <w:sz w:val="20"/>
          <w:szCs w:val="20"/>
          <w:color w:val="auto"/>
        </w:rPr>
      </w:pPr>
      <w:r>
        <w:rPr>
          <w:rFonts w:ascii="Arial" w:cs="Arial" w:eastAsia="Arial" w:hAnsi="Arial"/>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Changes in existing taxation benefits, rules or practices may adversely affect our financial results.</w:t>
      </w:r>
    </w:p>
    <w:p>
      <w:pPr>
        <w:spacing w:after="0" w:line="90" w:lineRule="exact"/>
        <w:rPr>
          <w:sz w:val="20"/>
          <w:szCs w:val="20"/>
          <w:color w:val="auto"/>
        </w:rPr>
      </w:pPr>
    </w:p>
    <w:p>
      <w:pPr>
        <w:ind w:right="20" w:firstLine="456"/>
        <w:spacing w:after="0" w:line="286" w:lineRule="auto"/>
        <w:rPr>
          <w:sz w:val="20"/>
          <w:szCs w:val="20"/>
          <w:color w:val="auto"/>
        </w:rPr>
      </w:pPr>
      <w:r>
        <w:rPr>
          <w:rFonts w:ascii="Arial" w:cs="Arial" w:eastAsia="Arial" w:hAnsi="Arial"/>
          <w:sz w:val="16"/>
          <w:szCs w:val="16"/>
          <w:color w:val="auto"/>
        </w:rPr>
        <w:t>Changes in existing taxation benefits, rules or practices may also have a significant effect on our reported results.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Furthermore, in prior years, we have entered into agreements in certain foreign jurisdictions that if certain criteria are met, the foreign jurisdiction will provide a more favorable tax rate than their current statutory rate. For example, we have obtained an undertaking from the Minister of Finance of Bermuda that in the event Bermuda enacts legislation imposing tax computed on profits, income, or capital asset, gain or appreciation, then the imposition of any such taxes will not apply to us until March 31, 2035. Additionally, our Singapore subsidiary qualified for Pioneer status until it expired in June 2014. However, we re-negotiated with the Singapore government and in fiscal 2015, they extended the Development and Expansion Incentive (“DEI”) until June 2019. Furthermore, under the Israeli Encouragement law of “approved or benefited enterprise,” two branches of Marvell Israel (M.I.S.L) Ltd. are entitled to, and have certain existing programs that qualify as, approved and benefited tax programs that include reduced tax rates and exemption of certain income through fiscal 2027. Our subsidiary in Switzerland also has tax incentives on revenues from research and design and wafer supply trading activities that expire in fiscal 2016. If any of our tax agreements in any of these foreign jurisdictions were terminated, our results of our operations and profitability would be harmed.</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48</w:t>
      </w:r>
    </w:p>
    <w:p>
      <w:pPr>
        <w:sectPr>
          <w:pgSz w:w="11900" w:h="16838" w:orient="portrait"/>
          <w:cols w:equalWidth="0" w:num="1">
            <w:col w:w="11420"/>
          </w:cols>
          <w:pgMar w:left="240" w:top="459" w:right="239" w:bottom="1440" w:gutter="0" w:footer="0" w:header="0"/>
        </w:sectPr>
      </w:pPr>
    </w:p>
    <w:bookmarkStart w:id="48" w:name="page49"/>
    <w:bookmarkEnd w:id="48"/>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20"/>
        <w:spacing w:after="0" w:line="357" w:lineRule="auto"/>
        <w:rPr>
          <w:sz w:val="20"/>
          <w:szCs w:val="20"/>
          <w:color w:val="auto"/>
        </w:rPr>
      </w:pPr>
      <w:r>
        <w:rPr>
          <w:rFonts w:ascii="Arial" w:cs="Arial" w:eastAsia="Arial" w:hAnsi="Arial"/>
          <w:sz w:val="15"/>
          <w:szCs w:val="15"/>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ind w:firstLine="456"/>
        <w:spacing w:after="0" w:line="289" w:lineRule="auto"/>
        <w:rPr>
          <w:sz w:val="20"/>
          <w:szCs w:val="20"/>
          <w:color w:val="auto"/>
        </w:rPr>
      </w:pPr>
      <w:r>
        <w:rPr>
          <w:rFonts w:ascii="Arial" w:cs="Arial" w:eastAsia="Arial" w:hAnsi="Arial"/>
          <w:sz w:val="16"/>
          <w:szCs w:val="16"/>
          <w:color w:val="auto"/>
        </w:rPr>
        <w:t>We are heavily dependent on our technology infrastructure and maintain and rely upon certain critical information systems for the effective operation of our business. These information technology systems are subject to damage or interruption from a number of potential sources including natural disasters, viruses, destructive or inadequate code, malware, power failures, cyber attacks, and other events. We have implemented processes for systems under our control to mitigate risks and while we believe these systems are appropriately controlled, processes for information systems cannot be guaranteed to be failsafe. We may incur significant costs in order to implement, maintain and/or update security systems that we feel are necessary to protect our information systems or we may miscalculate the level investment necessary to protect our systems adequately. To the extent that any system failure, accident or security breach results in disruptions or interruptions to our operations or the theft, loss or disclosure of, or damage to our data or confidential information, including our intellectual property, our reputation, business, results of operations and/or financial condition could be materially adversely affected.</w:t>
      </w:r>
    </w:p>
    <w:p>
      <w:pPr>
        <w:spacing w:after="0" w:line="19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90" w:lineRule="exact"/>
        <w:rPr>
          <w:sz w:val="20"/>
          <w:szCs w:val="20"/>
          <w:color w:val="auto"/>
        </w:rPr>
      </w:pPr>
    </w:p>
    <w:p>
      <w:pPr>
        <w:ind w:right="100" w:firstLine="456"/>
        <w:spacing w:after="0" w:line="289"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In addition, we may not be able to recognize the full revenue stream from technologies for which an employee is the listed inventor of the intellectual property, one example of which is the original FLC intellectual property, for which our CEO, Dr. Sehat Sutardja, is listed as the sole inventor.</w:t>
      </w:r>
    </w:p>
    <w:p>
      <w:pPr>
        <w:spacing w:after="0" w:line="118" w:lineRule="exact"/>
        <w:rPr>
          <w:sz w:val="20"/>
          <w:szCs w:val="20"/>
          <w:color w:val="auto"/>
        </w:rPr>
      </w:pPr>
    </w:p>
    <w:p>
      <w:pPr>
        <w:ind w:right="20" w:firstLine="456"/>
        <w:spacing w:after="0" w:line="253" w:lineRule="auto"/>
        <w:rPr>
          <w:sz w:val="20"/>
          <w:szCs w:val="20"/>
          <w:color w:val="auto"/>
        </w:rPr>
      </w:pPr>
      <w:r>
        <w:rPr>
          <w:rFonts w:ascii="Arial" w:cs="Arial" w:eastAsia="Arial" w:hAnsi="Arial"/>
          <w:sz w:val="18"/>
          <w:szCs w:val="18"/>
          <w:color w:val="auto"/>
        </w:rPr>
        <w:t>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14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199"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must comply with a variety of existing and future laws and regulations that could impose substantial costs on us and may adversely affect our business.</w:t>
      </w:r>
    </w:p>
    <w:p>
      <w:pPr>
        <w:spacing w:after="0" w:line="125" w:lineRule="exact"/>
        <w:rPr>
          <w:sz w:val="20"/>
          <w:szCs w:val="20"/>
          <w:color w:val="auto"/>
        </w:rPr>
      </w:pPr>
    </w:p>
    <w:p>
      <w:pPr>
        <w:ind w:right="60" w:firstLine="456"/>
        <w:spacing w:after="0" w:line="254" w:lineRule="auto"/>
        <w:rPr>
          <w:sz w:val="20"/>
          <w:szCs w:val="20"/>
          <w:color w:val="auto"/>
        </w:rPr>
      </w:pPr>
      <w:r>
        <w:rPr>
          <w:rFonts w:ascii="Arial" w:cs="Arial" w:eastAsia="Arial" w:hAnsi="Arial"/>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ectPr>
          <w:pgSz w:w="11900" w:h="16838" w:orient="portrait"/>
          <w:cols w:equalWidth="0" w:num="1">
            <w:col w:w="11420"/>
          </w:cols>
          <w:pgMar w:left="240" w:top="459" w:right="239" w:bottom="1440" w:gutter="0" w:footer="0" w:header="0"/>
        </w:sectPr>
      </w:pPr>
    </w:p>
    <w:bookmarkStart w:id="49" w:name="page50"/>
    <w:bookmarkEnd w:id="49"/>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456"/>
        <w:spacing w:after="0" w:line="306" w:lineRule="auto"/>
        <w:rPr>
          <w:sz w:val="20"/>
          <w:szCs w:val="20"/>
          <w:color w:val="auto"/>
        </w:rPr>
      </w:pPr>
      <w:r>
        <w:rPr>
          <w:rFonts w:ascii="Arial" w:cs="Arial" w:eastAsia="Arial" w:hAnsi="Arial"/>
          <w:sz w:val="16"/>
          <w:szCs w:val="16"/>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07"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also subject to the “conflict mineral rules” promulgated by the SEC, which impose disclosure requirements on us regarding the use of conflict minerals mined from the Democratic Republic of Congo and adjoining countries in our products and the procedures our manufacturer’s use to prevent the sourcing of such conflict minerals. The ongoing implementation of these requirements could affect the sourcing, availability and pricing of minerals used in the manufacture of semiconductor devices, including our products. As a result, there may only be a limited pool of suppliers who provide conflict-free metals, and we cannot assure you that we will be able to obtain products in sufficient quantities or at competitive prices, which could adversely affect our operations and product margins. Additionally, if we are unable to sufficiently source conflict-free metals, we may face difficulties in satisfying customers who may require that the products they purchase from us are conflict-free, which may harm our sales and operating results.</w:t>
      </w:r>
    </w:p>
    <w:p>
      <w:pPr>
        <w:spacing w:after="0" w:line="118"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costs of complying (including the costs of any investigations, auditing and monitoring) with these laws could adversely affect our current or future business. In addition, future regulations may become more stringent or costly and our compliance costs and potential liabilities could increase, which may harm our current or future business.</w:t>
      </w:r>
    </w:p>
    <w:p>
      <w:pPr>
        <w:spacing w:after="0" w:line="221" w:lineRule="exact"/>
        <w:rPr>
          <w:sz w:val="20"/>
          <w:szCs w:val="20"/>
          <w:color w:val="auto"/>
        </w:rPr>
      </w:pPr>
    </w:p>
    <w:p>
      <w:pPr>
        <w:ind w:right="360"/>
        <w:spacing w:after="0" w:line="268" w:lineRule="auto"/>
        <w:rPr>
          <w:sz w:val="20"/>
          <w:szCs w:val="20"/>
          <w:color w:val="auto"/>
        </w:rPr>
      </w:pPr>
      <w:r>
        <w:rPr>
          <w:rFonts w:ascii="Arial" w:cs="Arial" w:eastAsia="Arial" w:hAnsi="Arial"/>
          <w:sz w:val="18"/>
          <w:szCs w:val="18"/>
          <w:b w:val="1"/>
          <w:bCs w:val="1"/>
          <w:i w:val="1"/>
          <w:iCs w:val="1"/>
          <w:color w:val="auto"/>
        </w:rPr>
        <w:t>There can be no assurance that we will continue to declare cash dividends at all or in any particular amount, and statutory requirements under Bermuda Law, as well as ongoing litigation, may require us to defer payment of declared dividends.</w:t>
      </w:r>
    </w:p>
    <w:p>
      <w:pPr>
        <w:spacing w:after="0" w:line="5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In May 2012, we announced the declaration of our first quarterly cash dividend. Future payment of a regular quarterly cash dividend on our common shares will be subject to, among other things, the best interests of our company, our results of operations, cash balances and future cash requirements, financial condition, statutory requirements under Bermuda law, developments in our ongoing litigation with CMU and other factors that the board of directors may deem relevant. Our dividend payments may change from time to time, and we cannot provide assurance that we will continue to declare dividends at all or in any particular amounts. In addition, developments in ongoing litigation could affect our ability to make a dividend payment on a declared payment date until such time as we can meet statutory requirements under Bermuda law. A reduction in, a delay of, or elimination of our dividend payments could have a negative effect on our share price.</w:t>
      </w:r>
    </w:p>
    <w:p>
      <w:pPr>
        <w:spacing w:after="0" w:line="228" w:lineRule="exact"/>
        <w:rPr>
          <w:sz w:val="20"/>
          <w:szCs w:val="20"/>
          <w:color w:val="auto"/>
        </w:rPr>
      </w:pPr>
    </w:p>
    <w:p>
      <w:pPr>
        <w:jc w:val="both"/>
        <w:ind w:right="200"/>
        <w:spacing w:after="0" w:line="259" w:lineRule="auto"/>
        <w:rPr>
          <w:sz w:val="20"/>
          <w:szCs w:val="20"/>
          <w:color w:val="auto"/>
        </w:rPr>
      </w:pPr>
      <w:r>
        <w:rPr>
          <w:rFonts w:ascii="Arial" w:cs="Arial" w:eastAsia="Arial" w:hAnsi="Arial"/>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59" w:lineRule="exact"/>
        <w:rPr>
          <w:sz w:val="20"/>
          <w:szCs w:val="20"/>
          <w:color w:val="auto"/>
        </w:rPr>
      </w:pPr>
    </w:p>
    <w:p>
      <w:pPr>
        <w:ind w:right="80" w:firstLine="456"/>
        <w:spacing w:after="0" w:line="288" w:lineRule="auto"/>
        <w:rPr>
          <w:sz w:val="20"/>
          <w:szCs w:val="20"/>
          <w:color w:val="auto"/>
        </w:rPr>
      </w:pPr>
      <w:r>
        <w:rPr>
          <w:rFonts w:ascii="Arial" w:cs="Arial" w:eastAsia="Arial" w:hAnsi="Arial"/>
          <w:sz w:val="16"/>
          <w:szCs w:val="16"/>
          <w:color w:val="auto"/>
        </w:rPr>
        <w:t>We believe that effective internal controls are necessary for us to provide reliable financial reports and effectively prevent fraud. However, a control system, no matter how well designed and operated, can provide only reasonable, not absolute, assurance that the control system’s objectives will be met. Because of its inherent limitations, internal control over financial reporting will not necessarily prevent all error and all fraud. Controls can also be circumvented by the individual acts of some persons, by collusion of two or more people, or by management override of the controls. In addition, we may modify the design and operating effectiveness of our internal controls, which could affect the overall effectiveness or evaluation of the control system in the future by us or our independent registered public accounting firm. Additionally, we cannot assure you that any design will succeed in achieving its stated goals under all potential future conditions, as controls may become inadequate due to changes in conditions or deterioration in the degree of compliance. Any failure to maintain an effective system of internal control over financial reporting could limit our ability to provide reliance financial reports, or to detect and prevent fraud, which would harm our business.</w:t>
      </w:r>
    </w:p>
    <w:p>
      <w:pPr>
        <w:spacing w:after="0" w:line="201" w:lineRule="exact"/>
        <w:rPr>
          <w:sz w:val="20"/>
          <w:szCs w:val="20"/>
          <w:color w:val="auto"/>
        </w:rPr>
      </w:pPr>
    </w:p>
    <w:p>
      <w:pPr>
        <w:ind w:right="160"/>
        <w:spacing w:after="0" w:line="332" w:lineRule="auto"/>
        <w:rPr>
          <w:sz w:val="20"/>
          <w:szCs w:val="20"/>
          <w:color w:val="auto"/>
        </w:rPr>
      </w:pPr>
      <w:r>
        <w:rPr>
          <w:rFonts w:ascii="Arial" w:cs="Arial" w:eastAsia="Arial" w:hAnsi="Arial"/>
          <w:sz w:val="16"/>
          <w:szCs w:val="16"/>
          <w:b w:val="1"/>
          <w:bCs w:val="1"/>
          <w:i w:val="1"/>
          <w:iCs w:val="1"/>
          <w:color w:val="auto"/>
        </w:rPr>
        <w:t>Two of our officers own a large percentage of our voting stock and are related by marriage. These factors may allow the officers and directors as a group or the related individuals to influence the election of directors and the approval or disapproval of significant corporate actions.</w:t>
      </w:r>
    </w:p>
    <w:p>
      <w:pPr>
        <w:spacing w:after="0" w:line="4" w:lineRule="exact"/>
        <w:rPr>
          <w:sz w:val="20"/>
          <w:szCs w:val="20"/>
          <w:color w:val="auto"/>
        </w:rPr>
      </w:pPr>
    </w:p>
    <w:p>
      <w:pPr>
        <w:ind w:right="360" w:firstLine="456"/>
        <w:spacing w:after="0" w:line="294" w:lineRule="auto"/>
        <w:rPr>
          <w:sz w:val="20"/>
          <w:szCs w:val="20"/>
          <w:color w:val="auto"/>
        </w:rPr>
      </w:pPr>
      <w:r>
        <w:rPr>
          <w:rFonts w:ascii="Arial" w:cs="Arial" w:eastAsia="Arial" w:hAnsi="Arial"/>
          <w:sz w:val="16"/>
          <w:szCs w:val="16"/>
          <w:color w:val="auto"/>
        </w:rPr>
        <w:t>Dr. Sehat Sutardja, our Chairman and Chief Executive Officer, and Weili Dai, who serves as our President, are husband and wife. Together, these two officers held approximately 13% of our outstanding common shares as of April 1, 2015.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ectPr>
          <w:pgSz w:w="11900" w:h="16838" w:orient="portrait"/>
          <w:cols w:equalWidth="0" w:num="1">
            <w:col w:w="11420"/>
          </w:cols>
          <w:pgMar w:left="240" w:top="459" w:right="239" w:bottom="1440" w:gutter="0" w:footer="0" w:header="0"/>
        </w:sectPr>
      </w:pPr>
    </w:p>
    <w:bookmarkStart w:id="50" w:name="page51"/>
    <w:bookmarkEnd w:id="50"/>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firstLine="456"/>
        <w:spacing w:after="0" w:line="287"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although there is some suggestion that their use may be gaining favor. Bermuda law permits, in exceptional circumstances, the bringing of derivative actions, i.e., for a shareholder to bring an action in our name, when it would otherwise be an action that the company would bring itself. In order to bring a derivative action, a shareholder would have to show (i) “fraud on the minority,” that is acts which amount to an unconscionable use of majority power resulting or likely to result in loss or unfair discriminatory treatment of the minority; and (ii) that the alleged wrongdoers have control of the company. In addition, a shareholder may be able to bring a claim when the shareholder alleges that the wrong has been done to the shareholder personally in his or her capacity as shareholder. Typically, shareholders’ personal claims arise from a breach or threatened breach of the bye-laws.</w:t>
      </w:r>
    </w:p>
    <w:p>
      <w:pPr>
        <w:spacing w:after="0" w:line="123" w:lineRule="exact"/>
        <w:rPr>
          <w:sz w:val="20"/>
          <w:szCs w:val="20"/>
          <w:color w:val="auto"/>
        </w:rPr>
      </w:pPr>
    </w:p>
    <w:p>
      <w:pPr>
        <w:ind w:right="120" w:firstLine="456"/>
        <w:spacing w:after="0" w:line="323" w:lineRule="auto"/>
        <w:rPr>
          <w:sz w:val="20"/>
          <w:szCs w:val="20"/>
          <w:color w:val="auto"/>
        </w:rPr>
      </w:pPr>
      <w:r>
        <w:rPr>
          <w:rFonts w:ascii="Arial" w:cs="Arial" w:eastAsia="Arial" w:hAnsi="Arial"/>
          <w:sz w:val="15"/>
          <w:szCs w:val="15"/>
          <w:color w:val="auto"/>
        </w:rPr>
        <w:t>The Companies Act 1981 of Bermuda, as amended, provides that when one or more shareholders believes the affairs of a company are being conducted in a manner which is oppressive or prejudicial to the interest of some of such shareholders and others,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subject to the risks of owning real property.</w:t>
      </w:r>
    </w:p>
    <w:p>
      <w:pPr>
        <w:spacing w:after="0" w:line="90"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fixing any environmental problems;</w:t>
      </w:r>
    </w:p>
    <w:p>
      <w:pPr>
        <w:spacing w:after="0" w:line="90" w:lineRule="exact"/>
        <w:rPr>
          <w:rFonts w:ascii="Arial" w:cs="Arial" w:eastAsia="Arial" w:hAnsi="Arial"/>
          <w:sz w:val="18"/>
          <w:szCs w:val="18"/>
          <w:color w:val="auto"/>
        </w:rPr>
      </w:pPr>
    </w:p>
    <w:p>
      <w:pPr>
        <w:ind w:left="900" w:right="16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adverse changes in the value of these properties, due to interest rate changes, changes in the neighborhood in which the property is located, or other factors;</w:t>
      </w:r>
    </w:p>
    <w:p>
      <w:pPr>
        <w:spacing w:after="0" w:line="5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potential disruption of our business and operations arising from or connected with a relocation due to moving to or renovating the facility;</w:t>
      </w:r>
    </w:p>
    <w:p>
      <w:pPr>
        <w:spacing w:after="0" w:line="113" w:lineRule="exact"/>
        <w:rPr>
          <w:rFonts w:ascii="Arial" w:cs="Arial" w:eastAsia="Arial" w:hAnsi="Arial"/>
          <w:sz w:val="16"/>
          <w:szCs w:val="16"/>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90" w:lineRule="exact"/>
        <w:rPr>
          <w:rFonts w:ascii="Arial" w:cs="Arial" w:eastAsia="Arial" w:hAnsi="Arial"/>
          <w:sz w:val="18"/>
          <w:szCs w:val="18"/>
          <w:color w:val="auto"/>
        </w:rPr>
      </w:pPr>
    </w:p>
    <w:p>
      <w:pPr>
        <w:ind w:left="900" w:hanging="325"/>
        <w:spacing w:after="0"/>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possible disputes with tenants or other third parties related to the buildings or the property or both; and</w:t>
      </w:r>
    </w:p>
    <w:p>
      <w:pPr>
        <w:spacing w:after="0" w:line="90" w:lineRule="exact"/>
        <w:rPr>
          <w:rFonts w:ascii="Arial" w:cs="Arial" w:eastAsia="Arial" w:hAnsi="Arial"/>
          <w:sz w:val="18"/>
          <w:szCs w:val="18"/>
          <w:color w:val="auto"/>
        </w:rPr>
      </w:pPr>
    </w:p>
    <w:p>
      <w:pPr>
        <w:ind w:left="900" w:right="60" w:hanging="325"/>
        <w:spacing w:after="0" w:line="268" w:lineRule="auto"/>
        <w:tabs>
          <w:tab w:leader="none" w:pos="90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32" w:lineRule="exact"/>
        <w:rPr>
          <w:sz w:val="20"/>
          <w:szCs w:val="20"/>
          <w:color w:val="auto"/>
        </w:rPr>
      </w:pPr>
    </w:p>
    <w:p>
      <w:pPr>
        <w:ind w:firstLine="456"/>
        <w:spacing w:after="0" w:line="259" w:lineRule="auto"/>
        <w:rPr>
          <w:sz w:val="20"/>
          <w:szCs w:val="20"/>
          <w:color w:val="auto"/>
        </w:rPr>
      </w:pPr>
      <w:r>
        <w:rPr>
          <w:rFonts w:ascii="Arial" w:cs="Arial" w:eastAsia="Arial" w:hAnsi="Arial"/>
          <w:sz w:val="18"/>
          <w:szCs w:val="18"/>
          <w:color w:val="auto"/>
        </w:rPr>
        <w:t>Additionally, the second surety bond and commitment from the sureties are secured by our campus located in Santa Clara, California. See “We are currently involved in a patent litigation action involving CMU, and, if we do not prevail on appeal of the district court judgment, we could be liable for substantial damages.”</w:t>
      </w:r>
    </w:p>
    <w:p>
      <w:pPr>
        <w:spacing w:after="0" w:line="221"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51" w:lineRule="exact"/>
        <w:rPr>
          <w:sz w:val="20"/>
          <w:szCs w:val="20"/>
          <w:color w:val="auto"/>
        </w:rPr>
      </w:pPr>
    </w:p>
    <w:p>
      <w:pPr>
        <w:ind w:right="120" w:firstLine="456"/>
        <w:spacing w:after="0" w:line="291" w:lineRule="auto"/>
        <w:rPr>
          <w:sz w:val="20"/>
          <w:szCs w:val="20"/>
          <w:color w:val="auto"/>
        </w:rPr>
      </w:pPr>
      <w:r>
        <w:rPr>
          <w:rFonts w:ascii="Arial" w:cs="Arial" w:eastAsia="Arial" w:hAnsi="Arial"/>
          <w:sz w:val="16"/>
          <w:szCs w:val="16"/>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10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51</w:t>
      </w:r>
    </w:p>
    <w:p>
      <w:pPr>
        <w:sectPr>
          <w:pgSz w:w="11900" w:h="16838" w:orient="portrait"/>
          <w:cols w:equalWidth="0" w:num="1">
            <w:col w:w="11420"/>
          </w:cols>
          <w:pgMar w:left="240" w:top="459" w:right="239" w:bottom="1440" w:gutter="0" w:footer="0" w:header="0"/>
        </w:sectPr>
      </w:pPr>
    </w:p>
    <w:bookmarkStart w:id="51" w:name="page52"/>
    <w:bookmarkEnd w:id="51"/>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306" w:lineRule="auto"/>
        <w:rPr>
          <w:sz w:val="20"/>
          <w:szCs w:val="20"/>
          <w:color w:val="auto"/>
        </w:rPr>
      </w:pPr>
      <w:r>
        <w:rPr>
          <w:rFonts w:ascii="Arial" w:cs="Arial" w:eastAsia="Arial" w:hAnsi="Arial"/>
          <w:sz w:val="16"/>
          <w:szCs w:val="16"/>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26" w:lineRule="exact"/>
        <w:rPr>
          <w:sz w:val="20"/>
          <w:szCs w:val="20"/>
          <w:color w:val="auto"/>
        </w:rPr>
      </w:pPr>
    </w:p>
    <w:p>
      <w:pPr>
        <w:ind w:right="20" w:firstLine="456"/>
        <w:spacing w:after="0" w:line="290"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1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federal securities laws. This waiver will limit the rights of our shareholders to assert claims against our officers and directors unless the act complained of involves fraud or dishonesty or arises as a result of a breach of U.S. federal securities laws. Therefore, so long as acts of business judgment do not involve fraud or dishonesty or arise as a result of a breach of U.S. federal securities laws, they will not be subject to shareholder claims under Bermuda law. For example, shareholders will not have claims against officers and directors for a breach of trust, unless the breach rises to the level of fraud or dishonesty, or arises as a result of a breach of U.S. federal securities laws.</w:t>
      </w:r>
    </w:p>
    <w:p>
      <w:pPr>
        <w:spacing w:after="0" w:line="199" w:lineRule="exact"/>
        <w:rPr>
          <w:sz w:val="20"/>
          <w:szCs w:val="20"/>
          <w:color w:val="auto"/>
        </w:rPr>
      </w:pPr>
    </w:p>
    <w:p>
      <w:pPr>
        <w:ind w:right="60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5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 and</w:t>
      </w:r>
    </w:p>
    <w:p>
      <w:pPr>
        <w:spacing w:after="0" w:line="90" w:lineRule="exact"/>
        <w:rPr>
          <w:rFonts w:ascii="Arial" w:cs="Arial" w:eastAsia="Arial" w:hAnsi="Arial"/>
          <w:sz w:val="18"/>
          <w:szCs w:val="18"/>
          <w:color w:val="auto"/>
        </w:rPr>
      </w:pPr>
    </w:p>
    <w:p>
      <w:pPr>
        <w:ind w:left="900" w:right="420" w:hanging="325"/>
        <w:spacing w:after="0" w:line="332" w:lineRule="auto"/>
        <w:tabs>
          <w:tab w:leader="none" w:pos="900" w:val="left"/>
        </w:tabs>
        <w:numPr>
          <w:ilvl w:val="0"/>
          <w:numId w:val="15"/>
        </w:numPr>
        <w:rPr>
          <w:rFonts w:ascii="Arial" w:cs="Arial" w:eastAsia="Arial" w:hAnsi="Arial"/>
          <w:sz w:val="16"/>
          <w:szCs w:val="16"/>
          <w:color w:val="auto"/>
        </w:rPr>
      </w:pPr>
      <w:r>
        <w:rPr>
          <w:rFonts w:ascii="Arial" w:cs="Arial" w:eastAsia="Arial" w:hAnsi="Arial"/>
          <w:sz w:val="16"/>
          <w:szCs w:val="16"/>
          <w:color w:val="auto"/>
        </w:rPr>
        <w:t>a shareholder vote requiring the approval of two-thirds of votes cast in person or by proxy to approve any business combination in the event the action is not approved by at least 66</w:t>
      </w:r>
      <w:r>
        <w:rPr>
          <w:rFonts w:ascii="Arial" w:cs="Arial" w:eastAsia="Arial" w:hAnsi="Arial"/>
          <w:sz w:val="10"/>
          <w:szCs w:val="10"/>
          <w:color w:val="auto"/>
        </w:rPr>
        <w:t>2/3</w:t>
      </w:r>
      <w:r>
        <w:rPr>
          <w:rFonts w:ascii="Arial" w:cs="Arial" w:eastAsia="Arial" w:hAnsi="Arial"/>
          <w:sz w:val="16"/>
          <w:szCs w:val="16"/>
          <w:color w:val="auto"/>
        </w:rPr>
        <w:t>% of the directors holding office at the date of the Board meeting to approve the action.</w:t>
      </w:r>
    </w:p>
    <w:p>
      <w:pPr>
        <w:spacing w:after="0" w:line="85" w:lineRule="exact"/>
        <w:rPr>
          <w:sz w:val="20"/>
          <w:szCs w:val="20"/>
          <w:color w:val="auto"/>
        </w:rPr>
      </w:pPr>
    </w:p>
    <w:p>
      <w:pPr>
        <w:jc w:val="center"/>
        <w:ind w:right="480"/>
        <w:spacing w:after="0" w:line="440" w:lineRule="auto"/>
        <w:rPr>
          <w:sz w:val="20"/>
          <w:szCs w:val="20"/>
          <w:color w:val="auto"/>
        </w:rPr>
      </w:pPr>
      <w:r>
        <w:rPr>
          <w:rFonts w:ascii="Arial" w:cs="Arial" w:eastAsia="Arial" w:hAnsi="Arial"/>
          <w:sz w:val="18"/>
          <w:szCs w:val="18"/>
          <w:color w:val="auto"/>
        </w:rPr>
        <w:t>These foregoing provisions could make it more difficult for a third party to acquire us, even if doing so would be a benefit to our shareholders. 52</w:t>
      </w:r>
    </w:p>
    <w:p>
      <w:pPr>
        <w:sectPr>
          <w:pgSz w:w="11900" w:h="16838" w:orient="portrait"/>
          <w:cols w:equalWidth="0" w:num="1">
            <w:col w:w="11420"/>
          </w:cols>
          <w:pgMar w:left="240" w:top="459" w:right="239" w:bottom="1440" w:gutter="0" w:footer="0" w:header="0"/>
        </w:sectPr>
      </w:pPr>
    </w:p>
    <w:bookmarkStart w:id="52" w:name="page53"/>
    <w:bookmarkEnd w:id="52"/>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There were no sales of unregistered securities during the three months ended May 2, 2015.</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6"/>
          <w:szCs w:val="16"/>
          <w:color w:val="auto"/>
        </w:rPr>
        <w:t>The following table presents details of our share repurchases during the three months ended May 2, 2015 (in thousands, except per share data):</w: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390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700" w:type="dxa"/>
            <w:vAlign w:val="bottom"/>
          </w:tcPr>
          <w:p>
            <w:pPr>
              <w:jc w:val="center"/>
              <w:spacing w:after="0"/>
              <w:rPr>
                <w:sz w:val="20"/>
                <w:szCs w:val="20"/>
                <w:color w:val="auto"/>
              </w:rPr>
            </w:pPr>
            <w:r>
              <w:rPr>
                <w:rFonts w:ascii="Arial" w:cs="Arial" w:eastAsia="Arial" w:hAnsi="Arial"/>
                <w:sz w:val="14"/>
                <w:szCs w:val="14"/>
                <w:b w:val="1"/>
                <w:bCs w:val="1"/>
                <w:color w:val="auto"/>
                <w:w w:val="87"/>
              </w:rPr>
              <w:t>Total Number of Shares</w:t>
            </w:r>
          </w:p>
        </w:tc>
        <w:tc>
          <w:tcPr>
            <w:tcW w:w="180" w:type="dxa"/>
            <w:vAlign w:val="bottom"/>
          </w:tcPr>
          <w:p>
            <w:pPr>
              <w:spacing w:after="0"/>
              <w:rPr>
                <w:sz w:val="14"/>
                <w:szCs w:val="14"/>
                <w:color w:val="auto"/>
              </w:rPr>
            </w:pPr>
          </w:p>
        </w:tc>
        <w:tc>
          <w:tcPr>
            <w:tcW w:w="176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87"/>
              </w:rPr>
              <w:t>Approximate Dollar Value 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390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Purchased as Part of Publicly</w:t>
            </w:r>
          </w:p>
        </w:tc>
        <w:tc>
          <w:tcPr>
            <w:tcW w:w="1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6"/>
              </w:rPr>
              <w:t>Shares that May Yet Be</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600" w:type="dxa"/>
            <w:vAlign w:val="bottom"/>
            <w:vMerge w:val="restart"/>
          </w:tcPr>
          <w:p>
            <w:pPr>
              <w:spacing w:after="0"/>
              <w:rPr>
                <w:sz w:val="20"/>
                <w:szCs w:val="20"/>
                <w:color w:val="auto"/>
              </w:rPr>
            </w:pPr>
            <w:r>
              <w:rPr>
                <w:rFonts w:ascii="Arial" w:cs="Arial" w:eastAsia="Arial" w:hAnsi="Arial"/>
                <w:sz w:val="14"/>
                <w:szCs w:val="14"/>
                <w:b w:val="1"/>
                <w:bCs w:val="1"/>
                <w:color w:val="auto"/>
                <w:w w:val="89"/>
              </w:rPr>
              <w:t>Period (1)</w:t>
            </w:r>
          </w:p>
        </w:tc>
        <w:tc>
          <w:tcPr>
            <w:tcW w:w="4000" w:type="dxa"/>
            <w:vAlign w:val="bottom"/>
            <w:gridSpan w:val="2"/>
            <w:vMerge w:val="restart"/>
          </w:tcPr>
          <w:p>
            <w:pPr>
              <w:spacing w:after="0"/>
              <w:rPr>
                <w:sz w:val="12"/>
                <w:szCs w:val="12"/>
                <w:color w:val="auto"/>
              </w:rPr>
            </w:pPr>
          </w:p>
        </w:tc>
        <w:tc>
          <w:tcPr>
            <w:tcW w:w="1120" w:type="dxa"/>
            <w:vAlign w:val="bottom"/>
            <w:gridSpan w:val="2"/>
          </w:tcPr>
          <w:p>
            <w:pPr>
              <w:jc w:val="center"/>
              <w:ind w:right="80"/>
              <w:spacing w:after="0" w:line="149" w:lineRule="exact"/>
              <w:rPr>
                <w:sz w:val="20"/>
                <w:szCs w:val="20"/>
                <w:color w:val="auto"/>
              </w:rPr>
            </w:pPr>
            <w:r>
              <w:rPr>
                <w:rFonts w:ascii="Arial" w:cs="Arial" w:eastAsia="Arial" w:hAnsi="Arial"/>
                <w:sz w:val="14"/>
                <w:szCs w:val="14"/>
                <w:b w:val="1"/>
                <w:bCs w:val="1"/>
                <w:color w:val="auto"/>
                <w:w w:val="89"/>
              </w:rPr>
              <w:t>Total Number of</w:t>
            </w:r>
          </w:p>
        </w:tc>
        <w:tc>
          <w:tcPr>
            <w:tcW w:w="100" w:type="dxa"/>
            <w:vAlign w:val="bottom"/>
          </w:tcPr>
          <w:p>
            <w:pPr>
              <w:spacing w:after="0"/>
              <w:rPr>
                <w:sz w:val="12"/>
                <w:szCs w:val="12"/>
                <w:color w:val="auto"/>
              </w:rPr>
            </w:pPr>
          </w:p>
        </w:tc>
        <w:tc>
          <w:tcPr>
            <w:tcW w:w="1040" w:type="dxa"/>
            <w:vAlign w:val="bottom"/>
            <w:gridSpan w:val="3"/>
          </w:tcPr>
          <w:p>
            <w:pPr>
              <w:ind w:left="20"/>
              <w:spacing w:after="0" w:line="149" w:lineRule="exact"/>
              <w:rPr>
                <w:sz w:val="20"/>
                <w:szCs w:val="20"/>
                <w:color w:val="auto"/>
              </w:rPr>
            </w:pPr>
            <w:r>
              <w:rPr>
                <w:rFonts w:ascii="Arial" w:cs="Arial" w:eastAsia="Arial" w:hAnsi="Arial"/>
                <w:sz w:val="14"/>
                <w:szCs w:val="14"/>
                <w:b w:val="1"/>
                <w:bCs w:val="1"/>
                <w:color w:val="auto"/>
              </w:rPr>
              <w:t>Average Price</w:t>
            </w:r>
          </w:p>
        </w:tc>
        <w:tc>
          <w:tcPr>
            <w:tcW w:w="170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86"/>
              </w:rPr>
              <w:t>Announced Plans or</w:t>
            </w:r>
          </w:p>
        </w:tc>
        <w:tc>
          <w:tcPr>
            <w:tcW w:w="180" w:type="dxa"/>
            <w:vAlign w:val="bottom"/>
          </w:tcPr>
          <w:p>
            <w:pPr>
              <w:spacing w:after="0"/>
              <w:rPr>
                <w:sz w:val="12"/>
                <w:szCs w:val="12"/>
                <w:color w:val="auto"/>
              </w:rPr>
            </w:pPr>
          </w:p>
        </w:tc>
        <w:tc>
          <w:tcPr>
            <w:tcW w:w="1760" w:type="dxa"/>
            <w:vAlign w:val="bottom"/>
            <w:gridSpan w:val="3"/>
          </w:tcPr>
          <w:p>
            <w:pPr>
              <w:jc w:val="center"/>
              <w:ind w:right="100"/>
              <w:spacing w:after="0" w:line="149" w:lineRule="exact"/>
              <w:rPr>
                <w:sz w:val="20"/>
                <w:szCs w:val="20"/>
                <w:color w:val="auto"/>
              </w:rPr>
            </w:pPr>
            <w:r>
              <w:rPr>
                <w:rFonts w:ascii="Arial" w:cs="Arial" w:eastAsia="Arial" w:hAnsi="Arial"/>
                <w:sz w:val="14"/>
                <w:szCs w:val="14"/>
                <w:b w:val="1"/>
                <w:bCs w:val="1"/>
                <w:color w:val="auto"/>
                <w:w w:val="86"/>
              </w:rPr>
              <w:t>Purchased Under the Plans</w:t>
            </w:r>
          </w:p>
        </w:tc>
        <w:tc>
          <w:tcPr>
            <w:tcW w:w="0" w:type="dxa"/>
            <w:vAlign w:val="bottom"/>
          </w:tcPr>
          <w:p>
            <w:pPr>
              <w:spacing w:after="0"/>
              <w:rPr>
                <w:sz w:val="1"/>
                <w:szCs w:val="1"/>
                <w:color w:val="auto"/>
              </w:rPr>
            </w:pPr>
          </w:p>
        </w:tc>
      </w:tr>
      <w:tr>
        <w:trPr>
          <w:trHeight w:val="168"/>
        </w:trPr>
        <w:tc>
          <w:tcPr>
            <w:tcW w:w="460" w:type="dxa"/>
            <w:vAlign w:val="bottom"/>
            <w:vMerge w:val="continue"/>
          </w:tcPr>
          <w:p>
            <w:pPr>
              <w:spacing w:after="0"/>
              <w:rPr>
                <w:sz w:val="14"/>
                <w:szCs w:val="14"/>
                <w:color w:val="auto"/>
              </w:rPr>
            </w:pPr>
          </w:p>
        </w:tc>
        <w:tc>
          <w:tcPr>
            <w:tcW w:w="600" w:type="dxa"/>
            <w:vAlign w:val="bottom"/>
            <w:tcBorders>
              <w:bottom w:val="single" w:sz="8" w:color="auto"/>
            </w:tcBorders>
            <w:vMerge w:val="continue"/>
          </w:tcPr>
          <w:p>
            <w:pPr>
              <w:spacing w:after="0"/>
              <w:rPr>
                <w:sz w:val="14"/>
                <w:szCs w:val="14"/>
                <w:color w:val="auto"/>
              </w:rPr>
            </w:pPr>
          </w:p>
        </w:tc>
        <w:tc>
          <w:tcPr>
            <w:tcW w:w="4000" w:type="dxa"/>
            <w:vAlign w:val="bottom"/>
            <w:gridSpan w:val="2"/>
            <w:vMerge w:val="continue"/>
          </w:tcPr>
          <w:p>
            <w:pPr>
              <w:spacing w:after="0"/>
              <w:rPr>
                <w:sz w:val="14"/>
                <w:szCs w:val="14"/>
                <w:color w:val="auto"/>
              </w:rPr>
            </w:pPr>
          </w:p>
        </w:tc>
        <w:tc>
          <w:tcPr>
            <w:tcW w:w="1120" w:type="dxa"/>
            <w:vAlign w:val="bottom"/>
            <w:gridSpan w:val="2"/>
          </w:tcPr>
          <w:p>
            <w:pPr>
              <w:jc w:val="center"/>
              <w:ind w:right="80"/>
              <w:spacing w:after="0" w:line="148" w:lineRule="exact"/>
              <w:rPr>
                <w:sz w:val="20"/>
                <w:szCs w:val="20"/>
                <w:color w:val="auto"/>
              </w:rPr>
            </w:pPr>
            <w:r>
              <w:rPr>
                <w:rFonts w:ascii="Arial" w:cs="Arial" w:eastAsia="Arial" w:hAnsi="Arial"/>
                <w:sz w:val="14"/>
                <w:szCs w:val="14"/>
                <w:b w:val="1"/>
                <w:bCs w:val="1"/>
                <w:color w:val="auto"/>
                <w:w w:val="85"/>
              </w:rPr>
              <w:t>Shares Purchased</w:t>
            </w:r>
          </w:p>
        </w:tc>
        <w:tc>
          <w:tcPr>
            <w:tcW w:w="100" w:type="dxa"/>
            <w:vAlign w:val="bottom"/>
          </w:tcPr>
          <w:p>
            <w:pPr>
              <w:spacing w:after="0"/>
              <w:rPr>
                <w:sz w:val="14"/>
                <w:szCs w:val="14"/>
                <w:color w:val="auto"/>
              </w:rPr>
            </w:pPr>
          </w:p>
        </w:tc>
        <w:tc>
          <w:tcPr>
            <w:tcW w:w="1040" w:type="dxa"/>
            <w:vAlign w:val="bottom"/>
            <w:gridSpan w:val="3"/>
          </w:tcPr>
          <w:p>
            <w:pPr>
              <w:spacing w:after="0" w:line="148" w:lineRule="exact"/>
              <w:rPr>
                <w:sz w:val="20"/>
                <w:szCs w:val="20"/>
                <w:color w:val="auto"/>
              </w:rPr>
            </w:pPr>
            <w:r>
              <w:rPr>
                <w:rFonts w:ascii="Arial" w:cs="Arial" w:eastAsia="Arial" w:hAnsi="Arial"/>
                <w:sz w:val="14"/>
                <w:szCs w:val="14"/>
                <w:b w:val="1"/>
                <w:bCs w:val="1"/>
                <w:color w:val="auto"/>
              </w:rPr>
              <w:t>Paid per Share</w:t>
            </w:r>
          </w:p>
        </w:tc>
        <w:tc>
          <w:tcPr>
            <w:tcW w:w="1700" w:type="dxa"/>
            <w:vAlign w:val="bottom"/>
          </w:tcPr>
          <w:p>
            <w:pPr>
              <w:jc w:val="center"/>
              <w:spacing w:after="0" w:line="148" w:lineRule="exact"/>
              <w:rPr>
                <w:sz w:val="20"/>
                <w:szCs w:val="20"/>
                <w:color w:val="auto"/>
              </w:rPr>
            </w:pPr>
            <w:r>
              <w:rPr>
                <w:rFonts w:ascii="Arial" w:cs="Arial" w:eastAsia="Arial" w:hAnsi="Arial"/>
                <w:sz w:val="14"/>
                <w:szCs w:val="14"/>
                <w:b w:val="1"/>
                <w:bCs w:val="1"/>
                <w:color w:val="auto"/>
                <w:w w:val="85"/>
              </w:rPr>
              <w:t>Programs</w:t>
            </w:r>
          </w:p>
        </w:tc>
        <w:tc>
          <w:tcPr>
            <w:tcW w:w="1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640" w:type="dxa"/>
            <w:vAlign w:val="bottom"/>
            <w:gridSpan w:val="2"/>
          </w:tcPr>
          <w:p>
            <w:pPr>
              <w:jc w:val="center"/>
              <w:ind w:right="240"/>
              <w:spacing w:after="0" w:line="148" w:lineRule="exact"/>
              <w:rPr>
                <w:sz w:val="20"/>
                <w:szCs w:val="20"/>
                <w:color w:val="auto"/>
              </w:rPr>
            </w:pPr>
            <w:r>
              <w:rPr>
                <w:rFonts w:ascii="Arial" w:cs="Arial" w:eastAsia="Arial" w:hAnsi="Arial"/>
                <w:sz w:val="14"/>
                <w:szCs w:val="14"/>
                <w:b w:val="1"/>
                <w:bCs w:val="1"/>
                <w:color w:val="auto"/>
                <w:w w:val="88"/>
              </w:rPr>
              <w:t>or Programs (2)</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600" w:type="dxa"/>
            <w:vAlign w:val="bottom"/>
            <w:tcBorders>
              <w:top w:val="single" w:sz="8" w:color="CCEEFF"/>
            </w:tcBorders>
            <w:gridSpan w:val="3"/>
            <w:shd w:val="clear" w:color="auto" w:fill="CCEEFF"/>
          </w:tcPr>
          <w:p>
            <w:pPr>
              <w:spacing w:after="0" w:line="202" w:lineRule="exact"/>
              <w:rPr>
                <w:sz w:val="20"/>
                <w:szCs w:val="20"/>
                <w:color w:val="auto"/>
              </w:rPr>
            </w:pPr>
            <w:r>
              <w:rPr>
                <w:rFonts w:ascii="Arial" w:cs="Arial" w:eastAsia="Arial" w:hAnsi="Arial"/>
                <w:sz w:val="18"/>
                <w:szCs w:val="18"/>
                <w:color w:val="auto"/>
              </w:rPr>
              <w:t>February 1 – February 28, 2015</w:t>
            </w:r>
          </w:p>
        </w:tc>
        <w:tc>
          <w:tcPr>
            <w:tcW w:w="10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111,880</w:t>
            </w:r>
          </w:p>
        </w:tc>
        <w:tc>
          <w:tcPr>
            <w:tcW w:w="8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line="203" w:lineRule="exact"/>
              <w:rPr>
                <w:sz w:val="20"/>
                <w:szCs w:val="20"/>
                <w:color w:val="auto"/>
              </w:rPr>
            </w:pPr>
            <w:r>
              <w:rPr>
                <w:rFonts w:ascii="Arial" w:cs="Arial" w:eastAsia="Arial" w:hAnsi="Arial"/>
                <w:sz w:val="18"/>
                <w:szCs w:val="18"/>
                <w:color w:val="auto"/>
              </w:rPr>
              <w:t>$</w:t>
            </w:r>
          </w:p>
        </w:tc>
        <w:tc>
          <w:tcPr>
            <w:tcW w:w="58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16.13</w:t>
            </w:r>
          </w:p>
        </w:tc>
        <w:tc>
          <w:tcPr>
            <w:tcW w:w="180" w:type="dxa"/>
            <w:vAlign w:val="bottom"/>
            <w:tcBorders>
              <w:top w:val="single" w:sz="8" w:color="CCEEFF"/>
            </w:tcBorders>
            <w:shd w:val="clear" w:color="auto" w:fill="CCEEFF"/>
          </w:tcPr>
          <w:p>
            <w:pPr>
              <w:spacing w:after="0"/>
              <w:rPr>
                <w:sz w:val="17"/>
                <w:szCs w:val="17"/>
                <w:color w:val="auto"/>
              </w:rPr>
            </w:pPr>
          </w:p>
        </w:tc>
        <w:tc>
          <w:tcPr>
            <w:tcW w:w="17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111,880</w:t>
            </w:r>
          </w:p>
        </w:tc>
        <w:tc>
          <w:tcPr>
            <w:tcW w:w="18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154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rPr>
              <w:t>441,652</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600" w:type="dxa"/>
            <w:vAlign w:val="bottom"/>
            <w:gridSpan w:val="3"/>
          </w:tcPr>
          <w:p>
            <w:pPr>
              <w:spacing w:after="0"/>
              <w:rPr>
                <w:sz w:val="20"/>
                <w:szCs w:val="20"/>
                <w:color w:val="auto"/>
              </w:rPr>
            </w:pPr>
            <w:r>
              <w:rPr>
                <w:rFonts w:ascii="Arial" w:cs="Arial" w:eastAsia="Arial" w:hAnsi="Arial"/>
                <w:sz w:val="18"/>
                <w:szCs w:val="18"/>
                <w:color w:val="auto"/>
              </w:rPr>
              <w:t>March 1 – March 28, 2015</w:t>
            </w:r>
          </w:p>
        </w:tc>
        <w:tc>
          <w:tcPr>
            <w:tcW w:w="1040" w:type="dxa"/>
            <w:vAlign w:val="bottom"/>
          </w:tcPr>
          <w:p>
            <w:pPr>
              <w:jc w:val="right"/>
              <w:spacing w:after="0"/>
              <w:rPr>
                <w:sz w:val="20"/>
                <w:szCs w:val="20"/>
                <w:color w:val="auto"/>
              </w:rPr>
            </w:pPr>
            <w:r>
              <w:rPr>
                <w:rFonts w:ascii="Arial" w:cs="Arial" w:eastAsia="Arial" w:hAnsi="Arial"/>
                <w:sz w:val="18"/>
                <w:szCs w:val="18"/>
                <w:color w:val="auto"/>
              </w:rPr>
              <w:t>877,950</w:t>
            </w:r>
          </w:p>
        </w:tc>
        <w:tc>
          <w:tcPr>
            <w:tcW w:w="80" w:type="dxa"/>
            <w:vAlign w:val="bottom"/>
          </w:tcPr>
          <w:p>
            <w:pPr>
              <w:spacing w:after="0"/>
              <w:rPr>
                <w:sz w:val="18"/>
                <w:szCs w:val="18"/>
                <w:color w:val="auto"/>
              </w:rPr>
            </w:pPr>
          </w:p>
        </w:tc>
        <w:tc>
          <w:tcPr>
            <w:tcW w:w="38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15.93</w:t>
            </w:r>
          </w:p>
        </w:tc>
        <w:tc>
          <w:tcPr>
            <w:tcW w:w="180" w:type="dxa"/>
            <w:vAlign w:val="bottom"/>
          </w:tcPr>
          <w:p>
            <w:pPr>
              <w:spacing w:after="0"/>
              <w:rPr>
                <w:sz w:val="18"/>
                <w:szCs w:val="18"/>
                <w:color w:val="auto"/>
              </w:rPr>
            </w:pPr>
          </w:p>
        </w:tc>
        <w:tc>
          <w:tcPr>
            <w:tcW w:w="1700" w:type="dxa"/>
            <w:vAlign w:val="bottom"/>
          </w:tcPr>
          <w:p>
            <w:pPr>
              <w:jc w:val="right"/>
              <w:spacing w:after="0"/>
              <w:rPr>
                <w:sz w:val="20"/>
                <w:szCs w:val="20"/>
                <w:color w:val="auto"/>
              </w:rPr>
            </w:pPr>
            <w:r>
              <w:rPr>
                <w:rFonts w:ascii="Arial" w:cs="Arial" w:eastAsia="Arial" w:hAnsi="Arial"/>
                <w:sz w:val="18"/>
                <w:szCs w:val="18"/>
                <w:color w:val="auto"/>
              </w:rPr>
              <w:t>877,950</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427,668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600" w:type="dxa"/>
            <w:vAlign w:val="bottom"/>
            <w:gridSpan w:val="3"/>
            <w:shd w:val="clear" w:color="auto" w:fill="CCEEFF"/>
          </w:tcPr>
          <w:p>
            <w:pPr>
              <w:spacing w:after="0"/>
              <w:rPr>
                <w:sz w:val="20"/>
                <w:szCs w:val="20"/>
                <w:color w:val="auto"/>
              </w:rPr>
            </w:pPr>
            <w:r>
              <w:rPr>
                <w:rFonts w:ascii="Arial" w:cs="Arial" w:eastAsia="Arial" w:hAnsi="Arial"/>
                <w:sz w:val="18"/>
                <w:szCs w:val="18"/>
                <w:color w:val="auto"/>
              </w:rPr>
              <w:t>March 29 – May 2, 2015</w:t>
            </w: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432,132</w:t>
            </w:r>
          </w:p>
        </w:tc>
        <w:tc>
          <w:tcPr>
            <w:tcW w:w="80" w:type="dxa"/>
            <w:vAlign w:val="bottom"/>
            <w:shd w:val="clear" w:color="auto" w:fill="CCEEFF"/>
          </w:tcPr>
          <w:p>
            <w:pPr>
              <w:spacing w:after="0"/>
              <w:rPr>
                <w:sz w:val="18"/>
                <w:szCs w:val="18"/>
                <w:color w:val="auto"/>
              </w:rPr>
            </w:pPr>
          </w:p>
        </w:tc>
        <w:tc>
          <w:tcPr>
            <w:tcW w:w="380" w:type="dxa"/>
            <w:vAlign w:val="bottom"/>
            <w:gridSpan w:val="2"/>
            <w:shd w:val="clear" w:color="auto" w:fill="CCEEFF"/>
          </w:tcPr>
          <w:p>
            <w:pPr>
              <w:ind w:left="1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14.54</w:t>
            </w:r>
          </w:p>
        </w:tc>
        <w:tc>
          <w:tcPr>
            <w:tcW w:w="180" w:type="dxa"/>
            <w:vAlign w:val="bottom"/>
            <w:shd w:val="clear" w:color="auto" w:fill="CCEEFF"/>
          </w:tcPr>
          <w:p>
            <w:pPr>
              <w:spacing w:after="0"/>
              <w:rPr>
                <w:sz w:val="18"/>
                <w:szCs w:val="18"/>
                <w:color w:val="auto"/>
              </w:rPr>
            </w:pPr>
          </w:p>
        </w:tc>
        <w:tc>
          <w:tcPr>
            <w:tcW w:w="17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432,132</w:t>
            </w:r>
          </w:p>
        </w:tc>
        <w:tc>
          <w:tcPr>
            <w:tcW w:w="3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5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421,385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5060" w:type="dxa"/>
            <w:vAlign w:val="bottom"/>
            <w:gridSpan w:val="4"/>
          </w:tcPr>
          <w:p>
            <w:pPr>
              <w:ind w:left="460"/>
              <w:spacing w:after="0"/>
              <w:rPr>
                <w:sz w:val="20"/>
                <w:szCs w:val="20"/>
                <w:color w:val="auto"/>
              </w:rPr>
            </w:pPr>
            <w:r>
              <w:rPr>
                <w:rFonts w:ascii="Arial" w:cs="Arial" w:eastAsia="Arial" w:hAnsi="Arial"/>
                <w:sz w:val="18"/>
                <w:szCs w:val="18"/>
                <w:color w:val="auto"/>
              </w:rPr>
              <w:t>Total</w:t>
            </w: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1,421,962</w:t>
            </w:r>
          </w:p>
        </w:tc>
        <w:tc>
          <w:tcPr>
            <w:tcW w:w="80" w:type="dxa"/>
            <w:vAlign w:val="bottom"/>
          </w:tcPr>
          <w:p>
            <w:pPr>
              <w:spacing w:after="0"/>
              <w:rPr>
                <w:sz w:val="19"/>
                <w:szCs w:val="19"/>
                <w:color w:val="auto"/>
              </w:rPr>
            </w:pPr>
          </w:p>
        </w:tc>
        <w:tc>
          <w:tcPr>
            <w:tcW w:w="380" w:type="dxa"/>
            <w:vAlign w:val="bottom"/>
            <w:gridSpan w:val="2"/>
          </w:tcPr>
          <w:p>
            <w:pPr>
              <w:ind w:left="100"/>
              <w:spacing w:after="0"/>
              <w:rPr>
                <w:sz w:val="20"/>
                <w:szCs w:val="20"/>
                <w:color w:val="auto"/>
              </w:rPr>
            </w:pPr>
            <w:r>
              <w:rPr>
                <w:rFonts w:ascii="Arial" w:cs="Arial" w:eastAsia="Arial" w:hAnsi="Arial"/>
                <w:sz w:val="18"/>
                <w:szCs w:val="18"/>
                <w:color w:val="auto"/>
              </w:rPr>
              <w:t>$</w:t>
            </w:r>
          </w:p>
        </w:tc>
        <w:tc>
          <w:tcPr>
            <w:tcW w:w="580" w:type="dxa"/>
            <w:vAlign w:val="bottom"/>
          </w:tcPr>
          <w:p>
            <w:pPr>
              <w:jc w:val="right"/>
              <w:spacing w:after="0"/>
              <w:rPr>
                <w:sz w:val="20"/>
                <w:szCs w:val="20"/>
                <w:color w:val="auto"/>
              </w:rPr>
            </w:pPr>
            <w:r>
              <w:rPr>
                <w:rFonts w:ascii="Arial" w:cs="Arial" w:eastAsia="Arial" w:hAnsi="Arial"/>
                <w:sz w:val="18"/>
                <w:szCs w:val="18"/>
                <w:color w:val="auto"/>
              </w:rPr>
              <w:t>15.52</w:t>
            </w:r>
          </w:p>
        </w:tc>
        <w:tc>
          <w:tcPr>
            <w:tcW w:w="180" w:type="dxa"/>
            <w:vAlign w:val="bottom"/>
          </w:tcPr>
          <w:p>
            <w:pPr>
              <w:spacing w:after="0"/>
              <w:rPr>
                <w:sz w:val="19"/>
                <w:szCs w:val="19"/>
                <w:color w:val="auto"/>
              </w:rPr>
            </w:pP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1,421,962</w:t>
            </w:r>
          </w:p>
        </w:tc>
        <w:tc>
          <w:tcPr>
            <w:tcW w:w="3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540" w:type="dxa"/>
            <w:vAlign w:val="bottom"/>
          </w:tcPr>
          <w:p>
            <w:pPr>
              <w:jc w:val="right"/>
              <w:spacing w:after="0"/>
              <w:rPr>
                <w:sz w:val="20"/>
                <w:szCs w:val="20"/>
                <w:color w:val="auto"/>
              </w:rPr>
            </w:pPr>
            <w:r>
              <w:rPr>
                <w:rFonts w:ascii="Arial" w:cs="Arial" w:eastAsia="Arial" w:hAnsi="Arial"/>
                <w:sz w:val="18"/>
                <w:szCs w:val="18"/>
                <w:color w:val="auto"/>
              </w:rPr>
              <w:t>421,385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900" w:type="dxa"/>
            <w:vAlign w:val="bottom"/>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7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5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600" w:type="dxa"/>
            <w:vAlign w:val="bottom"/>
            <w:tcBorders>
              <w:bottom w:val="single" w:sz="8" w:color="auto"/>
            </w:tcBorders>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3900" w:type="dxa"/>
            <w:vAlign w:val="bottom"/>
          </w:tcPr>
          <w:p>
            <w:pPr>
              <w:spacing w:after="0"/>
              <w:rPr>
                <w:sz w:val="8"/>
                <w:szCs w:val="8"/>
                <w:color w:val="auto"/>
              </w:rPr>
            </w:pPr>
          </w:p>
        </w:tc>
        <w:tc>
          <w:tcPr>
            <w:tcW w:w="104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180" w:type="dxa"/>
            <w:vAlign w:val="bottom"/>
          </w:tcPr>
          <w:p>
            <w:pPr>
              <w:spacing w:after="0"/>
              <w:rPr>
                <w:sz w:val="8"/>
                <w:szCs w:val="8"/>
                <w:color w:val="auto"/>
              </w:rPr>
            </w:pPr>
          </w:p>
        </w:tc>
        <w:tc>
          <w:tcPr>
            <w:tcW w:w="17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20" w:type="dxa"/>
            <w:vAlign w:val="bottom"/>
          </w:tcPr>
          <w:p>
            <w:pPr>
              <w:spacing w:after="0"/>
              <w:rPr>
                <w:sz w:val="8"/>
                <w:szCs w:val="8"/>
                <w:color w:val="auto"/>
              </w:rPr>
            </w:pPr>
          </w:p>
        </w:tc>
        <w:tc>
          <w:tcPr>
            <w:tcW w:w="15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9" w:lineRule="exact"/>
        <w:rPr>
          <w:sz w:val="20"/>
          <w:szCs w:val="20"/>
          <w:color w:val="auto"/>
        </w:rPr>
      </w:pPr>
    </w:p>
    <w:p>
      <w:pPr>
        <w:ind w:left="460" w:right="180" w:hanging="452"/>
        <w:spacing w:after="0" w:line="254" w:lineRule="auto"/>
        <w:tabs>
          <w:tab w:leader="none" w:pos="4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monthly periods presented above for the three months ended May 2, 2015, are based on our fiscal accounting periods which follow a quarterly 4-4-5 week fiscal accounting period.</w:t>
      </w:r>
    </w:p>
    <w:p>
      <w:pPr>
        <w:ind w:left="460" w:hanging="452"/>
        <w:spacing w:after="0" w:line="288" w:lineRule="auto"/>
        <w:tabs>
          <w:tab w:leader="none" w:pos="460" w:val="left"/>
        </w:tabs>
        <w:numPr>
          <w:ilvl w:val="0"/>
          <w:numId w:val="16"/>
        </w:numPr>
        <w:rPr>
          <w:rFonts w:ascii="Arial" w:cs="Arial" w:eastAsia="Arial" w:hAnsi="Arial"/>
          <w:sz w:val="16"/>
          <w:szCs w:val="16"/>
          <w:color w:val="auto"/>
        </w:rPr>
      </w:pPr>
      <w:r>
        <w:rPr>
          <w:rFonts w:ascii="Arial" w:cs="Arial" w:eastAsia="Arial" w:hAnsi="Arial"/>
          <w:sz w:val="16"/>
          <w:szCs w:val="16"/>
          <w:color w:val="auto"/>
        </w:rPr>
        <w:t>In August 2010, our board of directors initially authorized our current share repurchase program to repurchase up to $500 million of our outstanding common shares. Our board of directors authorized an additional $1.5 billion in fiscal 2012 and $1.0 billion in fiscal 2013 and $250 million in fiscal 2015 to be used to repurchase our outstanding common shares under the share repurchase program for a total available under the program of $3.25 billion. We intend to effect share repurchases in accordance with the conditions of Rule 10b-18 under the Exchange Act, but may also make repurchases in the open market outside of Rule 10b-18 or in privately negotiated transactions. The share repurchase program will be subject to market conditions and other factors and does not obligate us to repurchase any dollar amount or number of our common shares and the repurchase program may be extended, modified, suspended or discontinued at any time.</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96" w:lineRule="exact"/>
        <w:rPr>
          <w:sz w:val="20"/>
          <w:szCs w:val="20"/>
          <w:color w:val="auto"/>
        </w:rPr>
      </w:pPr>
    </w:p>
    <w:p>
      <w:pPr>
        <w:ind w:left="460"/>
        <w:spacing w:after="0"/>
        <w:rPr>
          <w:sz w:val="20"/>
          <w:szCs w:val="20"/>
          <w:color w:val="auto"/>
        </w:rPr>
      </w:pPr>
      <w:r>
        <w:rPr>
          <w:rFonts w:ascii="Arial" w:cs="Arial" w:eastAsia="Arial" w:hAnsi="Arial"/>
          <w:sz w:val="18"/>
          <w:szCs w:val="18"/>
          <w:color w:val="auto"/>
        </w:rPr>
        <w:t>See the “Index to Exhibits” immediately following the signature page of this Quarterly Report on Form 10-Q.</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53</w:t>
      </w:r>
    </w:p>
    <w:p>
      <w:pPr>
        <w:sectPr>
          <w:pgSz w:w="11900" w:h="16838" w:orient="portrait"/>
          <w:cols w:equalWidth="0" w:num="1">
            <w:col w:w="11380"/>
          </w:cols>
          <w:pgMar w:left="240" w:top="459" w:right="279" w:bottom="1440" w:gutter="0" w:footer="0" w:header="0"/>
        </w:sectPr>
      </w:pPr>
    </w:p>
    <w:bookmarkStart w:id="53" w:name="page54"/>
    <w:bookmarkEnd w:id="53"/>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SIGNATURES</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2" w:lineRule="exact"/>
        <w:rPr>
          <w:sz w:val="20"/>
          <w:szCs w:val="20"/>
          <w:color w:val="auto"/>
        </w:rPr>
      </w:pPr>
    </w:p>
    <w:p>
      <w:pPr>
        <w:ind w:left="582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4,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Sukhi Nagesh</w:t>
      </w:r>
    </w:p>
    <w:p>
      <w:pPr>
        <w:spacing w:after="0" w:line="17"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-130175</wp:posOffset>
            </wp:positionV>
            <wp:extent cx="33274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1" w:lineRule="exact"/>
        <w:rPr>
          <w:sz w:val="20"/>
          <w:szCs w:val="20"/>
          <w:color w:val="auto"/>
        </w:rPr>
      </w:pPr>
    </w:p>
    <w:p>
      <w:pPr>
        <w:ind w:left="6280"/>
        <w:spacing w:after="0"/>
        <w:rPr>
          <w:sz w:val="20"/>
          <w:szCs w:val="20"/>
          <w:color w:val="auto"/>
        </w:rPr>
      </w:pPr>
      <w:r>
        <w:rPr>
          <w:rFonts w:ascii="Arial" w:cs="Arial" w:eastAsia="Arial" w:hAnsi="Arial"/>
          <w:sz w:val="18"/>
          <w:szCs w:val="18"/>
          <w:b w:val="1"/>
          <w:bCs w:val="1"/>
          <w:i w:val="1"/>
          <w:i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pacing w:after="0" w:line="15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54</w:t>
      </w:r>
    </w:p>
    <w:p>
      <w:pPr>
        <w:sectPr>
          <w:pgSz w:w="11900" w:h="16838" w:orient="portrait"/>
          <w:cols w:equalWidth="0" w:num="1">
            <w:col w:w="11400"/>
          </w:cols>
          <w:pgMar w:left="240" w:top="459" w:right="259" w:bottom="1440" w:gutter="0" w:footer="0" w:header="0"/>
        </w:sectPr>
      </w:pPr>
    </w:p>
    <w:bookmarkStart w:id="54" w:name="page55"/>
    <w:bookmarkEnd w:id="54"/>
    <w:p>
      <w:pPr>
        <w:spacing w:after="0"/>
        <w:rPr>
          <w:rFonts w:ascii="Arial" w:cs="Arial" w:eastAsia="Arial" w:hAnsi="Arial"/>
          <w:sz w:val="18"/>
          <w:szCs w:val="18"/>
          <w:b w:val="1"/>
          <w:bCs w:val="1"/>
          <w:u w:val="single" w:color="auto"/>
          <w:color w:val="0000EE"/>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spacing w:after="0"/>
              <w:rPr>
                <w:sz w:val="19"/>
                <w:szCs w:val="19"/>
                <w:color w:val="auto"/>
              </w:rPr>
            </w:pPr>
          </w:p>
        </w:tc>
        <w:tc>
          <w:tcPr>
            <w:tcW w:w="8580" w:type="dxa"/>
            <w:vAlign w:val="bottom"/>
          </w:tcPr>
          <w:p>
            <w:pPr>
              <w:ind w:left="4120"/>
              <w:spacing w:after="0"/>
              <w:rPr>
                <w:sz w:val="20"/>
                <w:szCs w:val="20"/>
                <w:color w:val="auto"/>
              </w:rPr>
            </w:pPr>
            <w:r>
              <w:rPr>
                <w:rFonts w:ascii="Arial" w:cs="Arial" w:eastAsia="Arial" w:hAnsi="Arial"/>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Arial" w:cs="Arial" w:eastAsia="Arial" w:hAnsi="Arial"/>
                <w:sz w:val="18"/>
                <w:szCs w:val="18"/>
                <w:color w:val="auto"/>
              </w:rPr>
              <w:t>31.1</w:t>
            </w:r>
          </w:p>
        </w:tc>
        <w:tc>
          <w:tcPr>
            <w:tcW w:w="8580" w:type="dxa"/>
            <w:vAlign w:val="bottom"/>
          </w:tcPr>
          <w:p>
            <w:pPr>
              <w:ind w:left="240"/>
              <w:spacing w:after="0"/>
              <w:rPr>
                <w:sz w:val="20"/>
                <w:szCs w:val="20"/>
                <w:color w:val="auto"/>
              </w:rPr>
            </w:pPr>
            <w:r>
              <w:rPr>
                <w:rFonts w:ascii="Arial" w:cs="Arial" w:eastAsia="Arial" w:hAnsi="Arial"/>
                <w:sz w:val="18"/>
                <w:szCs w:val="18"/>
                <w:color w:val="auto"/>
                <w:w w:val="95"/>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31.2</w:t>
            </w:r>
          </w:p>
        </w:tc>
        <w:tc>
          <w:tcPr>
            <w:tcW w:w="8580" w:type="dxa"/>
            <w:vAlign w:val="bottom"/>
          </w:tcPr>
          <w:p>
            <w:pPr>
              <w:ind w:left="240"/>
              <w:spacing w:after="0"/>
              <w:rPr>
                <w:sz w:val="20"/>
                <w:szCs w:val="20"/>
                <w:color w:val="auto"/>
              </w:rPr>
            </w:pPr>
            <w:r>
              <w:rPr>
                <w:rFonts w:ascii="Arial" w:cs="Arial" w:eastAsia="Arial" w:hAnsi="Arial"/>
                <w:sz w:val="18"/>
                <w:szCs w:val="18"/>
                <w:color w:val="auto"/>
                <w:w w:val="89"/>
              </w:rPr>
              <w:t>Certification of Interim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32.1*</w:t>
            </w:r>
          </w:p>
        </w:tc>
        <w:tc>
          <w:tcPr>
            <w:tcW w:w="8580" w:type="dxa"/>
            <w:vAlign w:val="bottom"/>
          </w:tcPr>
          <w:p>
            <w:pPr>
              <w:ind w:left="240"/>
              <w:spacing w:after="0"/>
              <w:rPr>
                <w:sz w:val="20"/>
                <w:szCs w:val="20"/>
                <w:color w:val="auto"/>
              </w:rPr>
            </w:pPr>
            <w:r>
              <w:rPr>
                <w:rFonts w:ascii="Arial" w:cs="Arial" w:eastAsia="Arial" w:hAnsi="Arial"/>
                <w:sz w:val="18"/>
                <w:szCs w:val="18"/>
                <w:color w:val="auto"/>
                <w:w w:val="95"/>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Arial" w:cs="Arial" w:eastAsia="Arial" w:hAnsi="Arial"/>
                <w:sz w:val="18"/>
                <w:szCs w:val="18"/>
                <w:color w:val="auto"/>
              </w:rPr>
              <w:t>32.2*</w:t>
            </w:r>
          </w:p>
        </w:tc>
        <w:tc>
          <w:tcPr>
            <w:tcW w:w="8580" w:type="dxa"/>
            <w:vAlign w:val="bottom"/>
          </w:tcPr>
          <w:p>
            <w:pPr>
              <w:ind w:left="240"/>
              <w:spacing w:after="0"/>
              <w:rPr>
                <w:sz w:val="20"/>
                <w:szCs w:val="20"/>
                <w:color w:val="auto"/>
              </w:rPr>
            </w:pPr>
            <w:r>
              <w:rPr>
                <w:rFonts w:ascii="Arial" w:cs="Arial" w:eastAsia="Arial" w:hAnsi="Arial"/>
                <w:sz w:val="18"/>
                <w:szCs w:val="18"/>
                <w:color w:val="auto"/>
                <w:w w:val="89"/>
              </w:rPr>
              <w:t>Certification of Interim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101.INS</w:t>
            </w:r>
          </w:p>
        </w:tc>
        <w:tc>
          <w:tcPr>
            <w:tcW w:w="8580" w:type="dxa"/>
            <w:vAlign w:val="bottom"/>
          </w:tcPr>
          <w:p>
            <w:pPr>
              <w:ind w:left="240"/>
              <w:spacing w:after="0"/>
              <w:rPr>
                <w:sz w:val="20"/>
                <w:szCs w:val="20"/>
                <w:color w:val="auto"/>
              </w:rPr>
            </w:pPr>
            <w:r>
              <w:rPr>
                <w:rFonts w:ascii="Arial" w:cs="Arial" w:eastAsia="Arial" w:hAnsi="Arial"/>
                <w:sz w:val="18"/>
                <w:szCs w:val="18"/>
                <w:color w:val="auto"/>
              </w:rPr>
              <w:t>XBRL Instance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101.SCH</w:t>
            </w:r>
          </w:p>
        </w:tc>
        <w:tc>
          <w:tcPr>
            <w:tcW w:w="8580" w:type="dxa"/>
            <w:vAlign w:val="bottom"/>
          </w:tcPr>
          <w:p>
            <w:pPr>
              <w:ind w:left="240"/>
              <w:spacing w:after="0"/>
              <w:rPr>
                <w:sz w:val="20"/>
                <w:szCs w:val="20"/>
                <w:color w:val="auto"/>
              </w:rPr>
            </w:pPr>
            <w:r>
              <w:rPr>
                <w:rFonts w:ascii="Arial" w:cs="Arial" w:eastAsia="Arial" w:hAnsi="Arial"/>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101.CAL</w:t>
            </w:r>
          </w:p>
        </w:tc>
        <w:tc>
          <w:tcPr>
            <w:tcW w:w="8580" w:type="dxa"/>
            <w:vAlign w:val="bottom"/>
          </w:tcPr>
          <w:p>
            <w:pPr>
              <w:ind w:left="240"/>
              <w:spacing w:after="0"/>
              <w:rPr>
                <w:sz w:val="20"/>
                <w:szCs w:val="20"/>
                <w:color w:val="auto"/>
              </w:rPr>
            </w:pPr>
            <w:r>
              <w:rPr>
                <w:rFonts w:ascii="Arial" w:cs="Arial" w:eastAsia="Arial" w:hAnsi="Arial"/>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101.DEF</w:t>
            </w:r>
          </w:p>
        </w:tc>
        <w:tc>
          <w:tcPr>
            <w:tcW w:w="8580" w:type="dxa"/>
            <w:vAlign w:val="bottom"/>
          </w:tcPr>
          <w:p>
            <w:pPr>
              <w:ind w:left="240"/>
              <w:spacing w:after="0"/>
              <w:rPr>
                <w:sz w:val="20"/>
                <w:szCs w:val="20"/>
                <w:color w:val="auto"/>
              </w:rPr>
            </w:pPr>
            <w:r>
              <w:rPr>
                <w:rFonts w:ascii="Arial" w:cs="Arial" w:eastAsia="Arial" w:hAnsi="Arial"/>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101.LAB</w:t>
            </w:r>
          </w:p>
        </w:tc>
        <w:tc>
          <w:tcPr>
            <w:tcW w:w="8580" w:type="dxa"/>
            <w:vAlign w:val="bottom"/>
          </w:tcPr>
          <w:p>
            <w:pPr>
              <w:ind w:left="240"/>
              <w:spacing w:after="0"/>
              <w:rPr>
                <w:sz w:val="20"/>
                <w:szCs w:val="20"/>
                <w:color w:val="auto"/>
              </w:rPr>
            </w:pPr>
            <w:r>
              <w:rPr>
                <w:rFonts w:ascii="Arial" w:cs="Arial" w:eastAsia="Arial" w:hAnsi="Arial"/>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Arial" w:cs="Arial" w:eastAsia="Arial" w:hAnsi="Arial"/>
                <w:sz w:val="18"/>
                <w:szCs w:val="18"/>
                <w:color w:val="auto"/>
              </w:rPr>
              <w:t>101.PRE</w:t>
            </w:r>
          </w:p>
        </w:tc>
        <w:tc>
          <w:tcPr>
            <w:tcW w:w="8580" w:type="dxa"/>
            <w:vAlign w:val="bottom"/>
          </w:tcPr>
          <w:p>
            <w:pPr>
              <w:ind w:left="240"/>
              <w:spacing w:after="0"/>
              <w:rPr>
                <w:sz w:val="20"/>
                <w:szCs w:val="20"/>
                <w:color w:val="auto"/>
              </w:rPr>
            </w:pPr>
            <w:r>
              <w:rPr>
                <w:rFonts w:ascii="Arial" w:cs="Arial" w:eastAsia="Arial" w:hAnsi="Arial"/>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22" w:lineRule="exact"/>
        <w:rPr>
          <w:sz w:val="20"/>
          <w:szCs w:val="20"/>
          <w:color w:val="auto"/>
        </w:rPr>
      </w:pPr>
    </w:p>
    <w:p>
      <w:pPr>
        <w:jc w:val="both"/>
        <w:ind w:left="220" w:hanging="212"/>
        <w:spacing w:after="0" w:line="306" w:lineRule="auto"/>
        <w:tabs>
          <w:tab w:leader="none" w:pos="220" w:val="left"/>
        </w:tabs>
        <w:numPr>
          <w:ilvl w:val="0"/>
          <w:numId w:val="17"/>
        </w:numPr>
        <w:rPr>
          <w:rFonts w:ascii="Arial" w:cs="Arial" w:eastAsia="Arial" w:hAnsi="Arial"/>
          <w:sz w:val="16"/>
          <w:szCs w:val="16"/>
          <w:color w:val="auto"/>
        </w:rPr>
      </w:pPr>
      <w:r>
        <w:rPr>
          <w:rFonts w:ascii="Arial" w:cs="Arial" w:eastAsia="Arial" w:hAnsi="Arial"/>
          <w:sz w:val="16"/>
          <w:szCs w:val="16"/>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9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55</w:t>
      </w:r>
    </w:p>
    <w:p>
      <w:pPr>
        <w:sectPr>
          <w:pgSz w:w="11900" w:h="16838" w:orient="portrait"/>
          <w:cols w:equalWidth="0" w:num="1">
            <w:col w:w="10760"/>
          </w:cols>
          <w:pgMar w:left="240" w:top="459" w:right="899" w:bottom="1440" w:gutter="0" w:footer="0" w:header="0"/>
        </w:sectPr>
      </w:pPr>
    </w:p>
    <w:bookmarkStart w:id="55" w:name="page56"/>
    <w:bookmarkEnd w:id="55"/>
    <w:p>
      <w:pPr>
        <w:jc w:val="right"/>
        <w:spacing w:after="0"/>
        <w:rPr>
          <w:sz w:val="20"/>
          <w:szCs w:val="20"/>
          <w:color w:val="auto"/>
        </w:rPr>
      </w:pPr>
      <w:r>
        <w:rPr>
          <w:rFonts w:ascii="Arial" w:cs="Arial" w:eastAsia="Arial" w:hAnsi="Arial"/>
          <w:sz w:val="18"/>
          <w:szCs w:val="18"/>
          <w:b w:val="1"/>
          <w:bCs w:val="1"/>
          <w:color w:val="auto"/>
        </w:rPr>
        <w:t>Exhibit 31.1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certify that:</w:t>
      </w:r>
    </w:p>
    <w:p>
      <w:pPr>
        <w:spacing w:after="0" w:line="131" w:lineRule="exact"/>
        <w:rPr>
          <w:sz w:val="20"/>
          <w:szCs w:val="20"/>
          <w:color w:val="auto"/>
        </w:rPr>
      </w:pPr>
    </w:p>
    <w:p>
      <w:pPr>
        <w:ind w:left="460" w:hanging="452"/>
        <w:spacing w:after="0"/>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8"/>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ind w:left="900" w:right="820" w:hanging="446"/>
        <w:spacing w:after="0" w:line="342" w:lineRule="auto"/>
        <w:tabs>
          <w:tab w:leader="none" w:pos="900" w:val="left"/>
        </w:tabs>
        <w:numPr>
          <w:ilvl w:val="1"/>
          <w:numId w:val="18"/>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8"/>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8"/>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4,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6" w:name="page57"/>
    <w:bookmarkEnd w:id="56"/>
    <w:p>
      <w:pPr>
        <w:jc w:val="right"/>
        <w:spacing w:after="0"/>
        <w:rPr>
          <w:sz w:val="20"/>
          <w:szCs w:val="20"/>
          <w:color w:val="auto"/>
        </w:rPr>
      </w:pPr>
      <w:r>
        <w:rPr>
          <w:rFonts w:ascii="Arial" w:cs="Arial" w:eastAsia="Arial" w:hAnsi="Arial"/>
          <w:sz w:val="18"/>
          <w:szCs w:val="18"/>
          <w:b w:val="1"/>
          <w:bCs w:val="1"/>
          <w:color w:val="auto"/>
        </w:rPr>
        <w:t>Exhibit 31.2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I, Sukhi Nagesh, certify that:</w:t>
      </w:r>
    </w:p>
    <w:p>
      <w:pPr>
        <w:spacing w:after="0" w:line="131" w:lineRule="exact"/>
        <w:rPr>
          <w:sz w:val="20"/>
          <w:szCs w:val="20"/>
          <w:color w:val="auto"/>
        </w:rPr>
      </w:pPr>
    </w:p>
    <w:p>
      <w:pPr>
        <w:ind w:left="460" w:hanging="452"/>
        <w:spacing w:after="0"/>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130" w:lineRule="exact"/>
        <w:rPr>
          <w:rFonts w:ascii="Arial" w:cs="Arial" w:eastAsia="Arial" w:hAnsi="Arial"/>
          <w:sz w:val="18"/>
          <w:szCs w:val="18"/>
          <w:color w:val="auto"/>
        </w:rPr>
      </w:pPr>
    </w:p>
    <w:p>
      <w:pPr>
        <w:jc w:val="both"/>
        <w:ind w:left="460" w:right="500" w:hanging="452"/>
        <w:spacing w:after="0" w:line="264"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86" w:lineRule="exact"/>
        <w:rPr>
          <w:rFonts w:ascii="Arial" w:cs="Arial" w:eastAsia="Arial" w:hAnsi="Arial"/>
          <w:sz w:val="18"/>
          <w:szCs w:val="18"/>
          <w:color w:val="auto"/>
        </w:rPr>
      </w:pPr>
    </w:p>
    <w:p>
      <w:pPr>
        <w:ind w:left="460" w:right="460" w:hanging="452"/>
        <w:spacing w:after="0" w:line="308" w:lineRule="auto"/>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51" w:lineRule="exact"/>
        <w:rPr>
          <w:rFonts w:ascii="Arial" w:cs="Arial" w:eastAsia="Arial" w:hAnsi="Arial"/>
          <w:sz w:val="17"/>
          <w:szCs w:val="17"/>
          <w:color w:val="auto"/>
        </w:rPr>
      </w:pPr>
    </w:p>
    <w:p>
      <w:pPr>
        <w:ind w:left="460" w:right="80" w:hanging="452"/>
        <w:spacing w:after="0" w:line="264" w:lineRule="auto"/>
        <w:tabs>
          <w:tab w:leader="none" w:pos="46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86" w:lineRule="exact"/>
        <w:rPr>
          <w:rFonts w:ascii="Arial" w:cs="Arial" w:eastAsia="Arial" w:hAnsi="Arial"/>
          <w:sz w:val="18"/>
          <w:szCs w:val="18"/>
          <w:color w:val="auto"/>
        </w:rPr>
      </w:pPr>
    </w:p>
    <w:p>
      <w:pPr>
        <w:ind w:left="900" w:right="30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86" w:lineRule="exact"/>
        <w:rPr>
          <w:rFonts w:ascii="Arial" w:cs="Arial" w:eastAsia="Arial" w:hAnsi="Arial"/>
          <w:sz w:val="18"/>
          <w:szCs w:val="18"/>
          <w:color w:val="auto"/>
        </w:rPr>
      </w:pPr>
    </w:p>
    <w:p>
      <w:pPr>
        <w:ind w:left="900" w:right="62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86" w:lineRule="exact"/>
        <w:rPr>
          <w:rFonts w:ascii="Arial" w:cs="Arial" w:eastAsia="Arial" w:hAnsi="Arial"/>
          <w:sz w:val="18"/>
          <w:szCs w:val="18"/>
          <w:color w:val="auto"/>
        </w:rPr>
      </w:pPr>
    </w:p>
    <w:p>
      <w:pPr>
        <w:ind w:left="900" w:right="820" w:hanging="446"/>
        <w:spacing w:after="0" w:line="342" w:lineRule="auto"/>
        <w:tabs>
          <w:tab w:leader="none" w:pos="900" w:val="left"/>
        </w:tabs>
        <w:numPr>
          <w:ilvl w:val="1"/>
          <w:numId w:val="19"/>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w:t>
      </w:r>
    </w:p>
    <w:p>
      <w:pPr>
        <w:spacing w:after="0" w:line="29" w:lineRule="exact"/>
        <w:rPr>
          <w:rFonts w:ascii="Arial" w:cs="Arial" w:eastAsia="Arial" w:hAnsi="Arial"/>
          <w:sz w:val="16"/>
          <w:szCs w:val="16"/>
          <w:color w:val="auto"/>
        </w:rPr>
      </w:pPr>
    </w:p>
    <w:p>
      <w:pPr>
        <w:ind w:left="900" w:right="20" w:hanging="446"/>
        <w:spacing w:after="0" w:line="264"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86" w:lineRule="exact"/>
        <w:rPr>
          <w:rFonts w:ascii="Arial" w:cs="Arial" w:eastAsia="Arial" w:hAnsi="Arial"/>
          <w:sz w:val="18"/>
          <w:szCs w:val="18"/>
          <w:color w:val="auto"/>
        </w:rPr>
      </w:pPr>
    </w:p>
    <w:p>
      <w:pPr>
        <w:ind w:left="460" w:right="380" w:hanging="452"/>
        <w:spacing w:after="0" w:line="308" w:lineRule="auto"/>
        <w:tabs>
          <w:tab w:leader="none" w:pos="460" w:val="left"/>
        </w:tabs>
        <w:numPr>
          <w:ilvl w:val="0"/>
          <w:numId w:val="19"/>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51" w:lineRule="exact"/>
        <w:rPr>
          <w:rFonts w:ascii="Arial" w:cs="Arial" w:eastAsia="Arial" w:hAnsi="Arial"/>
          <w:sz w:val="17"/>
          <w:szCs w:val="17"/>
          <w:color w:val="auto"/>
        </w:rPr>
      </w:pPr>
    </w:p>
    <w:p>
      <w:pPr>
        <w:ind w:left="900" w:right="200" w:hanging="446"/>
        <w:spacing w:after="0" w:line="277"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75" w:lineRule="exact"/>
        <w:rPr>
          <w:rFonts w:ascii="Arial" w:cs="Arial" w:eastAsia="Arial" w:hAnsi="Arial"/>
          <w:sz w:val="18"/>
          <w:szCs w:val="18"/>
          <w:color w:val="auto"/>
        </w:rPr>
      </w:pPr>
    </w:p>
    <w:p>
      <w:pPr>
        <w:ind w:left="900" w:right="160" w:hanging="446"/>
        <w:spacing w:after="0" w:line="277" w:lineRule="auto"/>
        <w:tabs>
          <w:tab w:leader="none" w:pos="9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197"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4,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Sukhi Nagesh</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p>
      <w:pPr>
        <w:sectPr>
          <w:pgSz w:w="11900" w:h="16838" w:orient="portrait"/>
          <w:cols w:equalWidth="0" w:num="1">
            <w:col w:w="11420"/>
          </w:cols>
          <w:pgMar w:left="240" w:top="121" w:right="239" w:bottom="1440" w:gutter="0" w:footer="0" w:header="0"/>
        </w:sectPr>
      </w:pPr>
    </w:p>
    <w:bookmarkStart w:id="57" w:name="page58"/>
    <w:bookmarkEnd w:id="57"/>
    <w:p>
      <w:pPr>
        <w:jc w:val="right"/>
        <w:spacing w:after="0"/>
        <w:rPr>
          <w:sz w:val="20"/>
          <w:szCs w:val="20"/>
          <w:color w:val="auto"/>
        </w:rPr>
      </w:pPr>
      <w:r>
        <w:rPr>
          <w:rFonts w:ascii="Arial" w:cs="Arial" w:eastAsia="Arial" w:hAnsi="Arial"/>
          <w:sz w:val="18"/>
          <w:szCs w:val="18"/>
          <w:b w:val="1"/>
          <w:bCs w:val="1"/>
          <w:color w:val="auto"/>
        </w:rPr>
        <w:t>Exhibit 32.1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I, Dr. Sehat Sutardja, the Chief Executive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2,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0"/>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4,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Sehat Sutardja</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Executive Officer)</w:t>
      </w:r>
    </w:p>
    <w:p>
      <w:pPr>
        <w:sectPr>
          <w:pgSz w:w="11900" w:h="16838" w:orient="portrait"/>
          <w:cols w:equalWidth="0" w:num="1">
            <w:col w:w="11420"/>
          </w:cols>
          <w:pgMar w:left="240" w:top="121" w:right="239" w:bottom="1440" w:gutter="0" w:footer="0" w:header="0"/>
        </w:sectPr>
      </w:pPr>
    </w:p>
    <w:bookmarkStart w:id="58" w:name="page59"/>
    <w:bookmarkEnd w:id="58"/>
    <w:p>
      <w:pPr>
        <w:jc w:val="right"/>
        <w:spacing w:after="0"/>
        <w:rPr>
          <w:sz w:val="20"/>
          <w:szCs w:val="20"/>
          <w:color w:val="auto"/>
        </w:rPr>
      </w:pPr>
      <w:r>
        <w:rPr>
          <w:rFonts w:ascii="Arial" w:cs="Arial" w:eastAsia="Arial" w:hAnsi="Arial"/>
          <w:sz w:val="18"/>
          <w:szCs w:val="18"/>
          <w:b w:val="1"/>
          <w:bCs w:val="1"/>
          <w:color w:val="auto"/>
        </w:rPr>
        <w:t>Exhibit 32.2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29"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I, Sukhi Nagesh, the Interim Chief Financial Officer of Marvell Technology Group Ltd. (the “Company”), certify for the purposes of 18 U.S.C. Section 1350, as adopted pursuant to Section 906 of the Sarbanes-Oxley Act of 2002, that, to the best of my knowledge,</w:t>
      </w:r>
    </w:p>
    <w:p>
      <w:pPr>
        <w:spacing w:after="0" w:line="76" w:lineRule="exact"/>
        <w:rPr>
          <w:sz w:val="20"/>
          <w:szCs w:val="20"/>
          <w:color w:val="auto"/>
        </w:rPr>
      </w:pPr>
    </w:p>
    <w:p>
      <w:pPr>
        <w:ind w:left="900" w:right="980" w:hanging="446"/>
        <w:spacing w:after="0" w:line="277" w:lineRule="auto"/>
        <w:tabs>
          <w:tab w:leader="none" w:pos="9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Quarterly Report of the Company on Form 10-Q for the fiscal quarter ended May 2, 2015 (the “Report”), fully complies with the requirements of Section 13(a) or 15(d) of the Securities Exchange Act of 1934, as amended; and</w:t>
      </w:r>
    </w:p>
    <w:p>
      <w:pPr>
        <w:spacing w:after="0" w:line="75" w:lineRule="exact"/>
        <w:rPr>
          <w:rFonts w:ascii="Arial" w:cs="Arial" w:eastAsia="Arial" w:hAnsi="Arial"/>
          <w:sz w:val="18"/>
          <w:szCs w:val="18"/>
          <w:color w:val="auto"/>
        </w:rPr>
      </w:pPr>
    </w:p>
    <w:p>
      <w:pPr>
        <w:ind w:left="900" w:hanging="446"/>
        <w:spacing w:after="0"/>
        <w:tabs>
          <w:tab w:leader="none" w:pos="900" w:val="left"/>
        </w:tabs>
        <w:numPr>
          <w:ilvl w:val="0"/>
          <w:numId w:val="21"/>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Company.</w:t>
      </w:r>
    </w:p>
    <w:p>
      <w:pPr>
        <w:spacing w:after="0" w:line="275" w:lineRule="exact"/>
        <w:rPr>
          <w:sz w:val="20"/>
          <w:szCs w:val="20"/>
          <w:color w:val="auto"/>
        </w:rPr>
      </w:pPr>
    </w:p>
    <w:p>
      <w:pPr>
        <w:spacing w:after="0"/>
        <w:tabs>
          <w:tab w:leader="none" w:pos="5800" w:val="left"/>
          <w:tab w:leader="none" w:pos="6260" w:val="left"/>
        </w:tabs>
        <w:rPr>
          <w:sz w:val="20"/>
          <w:szCs w:val="20"/>
          <w:color w:val="auto"/>
        </w:rPr>
      </w:pPr>
      <w:r>
        <w:rPr>
          <w:rFonts w:ascii="Arial" w:cs="Arial" w:eastAsia="Arial" w:hAnsi="Arial"/>
          <w:sz w:val="18"/>
          <w:szCs w:val="18"/>
          <w:color w:val="auto"/>
        </w:rPr>
        <w:t>Date: June 4,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Sukhi Nagesh</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Arial" w:cs="Arial" w:eastAsia="Arial" w:hAnsi="Arial"/>
          <w:sz w:val="18"/>
          <w:szCs w:val="18"/>
          <w:b w:val="1"/>
          <w:bCs w:val="1"/>
          <w:color w:val="auto"/>
        </w:rPr>
        <w:t>(Principal Financial Officer)</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abstractNum>
  <w:abstractNum w:abstractNumId="1">
    <w:nsid w:val="1190CDE7"/>
    <w:multiLevelType w:val="hybridMultilevel"/>
    <w:lvl w:ilvl="0">
      <w:lvlJc w:val="left"/>
      <w:lvlText w:val="☐"/>
      <w:numFmt w:val="bullet"/>
      <w:start w:val="1"/>
    </w:lvl>
  </w:abstractNum>
  <w:abstractNum w:abstractNumId="2">
    <w:nsid w:val="66EF438D"/>
    <w:multiLevelType w:val="hybridMultilevel"/>
    <w:lvl w:ilvl="0">
      <w:lvlJc w:val="left"/>
      <w:lvlText w:val="•"/>
      <w:numFmt w:val="bullet"/>
      <w:start w:val="1"/>
    </w:lvl>
  </w:abstractNum>
  <w:abstractNum w:abstractNumId="3">
    <w:nsid w:val="140E0F76"/>
    <w:multiLevelType w:val="hybridMultilevel"/>
    <w:lvl w:ilvl="0">
      <w:lvlJc w:val="left"/>
      <w:lvlText w:val="•"/>
      <w:numFmt w:val="bullet"/>
      <w:start w:val="1"/>
    </w:lvl>
  </w:abstractNum>
  <w:abstractNum w:abstractNumId="4">
    <w:nsid w:val="3352255A"/>
    <w:multiLevelType w:val="hybridMultilevel"/>
    <w:lvl w:ilvl="0">
      <w:lvlJc w:val="left"/>
      <w:lvlText w:val="•"/>
      <w:numFmt w:val="bullet"/>
      <w:start w:val="1"/>
    </w:lvl>
  </w:abstractNum>
  <w:abstractNum w:abstractNumId="5">
    <w:nsid w:val="109CF92E"/>
    <w:multiLevelType w:val="hybridMultilevel"/>
    <w:lvl w:ilvl="0">
      <w:lvlJc w:val="left"/>
      <w:lvlText w:val="•"/>
      <w:numFmt w:val="bullet"/>
      <w:start w:val="1"/>
    </w:lvl>
  </w:abstractNum>
  <w:abstractNum w:abstractNumId="6">
    <w:nsid w:val="DED7263"/>
    <w:multiLevelType w:val="hybridMultilevel"/>
    <w:lvl w:ilvl="0">
      <w:lvlJc w:val="left"/>
      <w:lvlText w:val="•"/>
      <w:numFmt w:val="bullet"/>
      <w:start w:val="1"/>
    </w:lvl>
  </w:abstractNum>
  <w:abstractNum w:abstractNumId="7">
    <w:nsid w:val="7FDCC233"/>
    <w:multiLevelType w:val="hybridMultilevel"/>
    <w:lvl w:ilvl="0">
      <w:lvlJc w:val="left"/>
      <w:lvlText w:val="•"/>
      <w:numFmt w:val="bullet"/>
      <w:start w:val="1"/>
    </w:lvl>
  </w:abstractNum>
  <w:abstractNum w:abstractNumId="8">
    <w:nsid w:val="1BEFD79F"/>
    <w:multiLevelType w:val="hybridMultilevel"/>
    <w:lvl w:ilvl="0">
      <w:lvlJc w:val="left"/>
      <w:lvlText w:val="•"/>
      <w:numFmt w:val="bullet"/>
      <w:start w:val="1"/>
    </w:lvl>
  </w:abstractNum>
  <w:abstractNum w:abstractNumId="9">
    <w:nsid w:val="41A7C4C9"/>
    <w:multiLevelType w:val="hybridMultilevel"/>
    <w:lvl w:ilvl="0">
      <w:lvlJc w:val="left"/>
      <w:lvlText w:val="•"/>
      <w:numFmt w:val="bullet"/>
      <w:start w:val="1"/>
    </w:lvl>
  </w:abstractNum>
  <w:abstractNum w:abstractNumId="10">
    <w:nsid w:val="6B68079A"/>
    <w:multiLevelType w:val="hybridMultilevel"/>
    <w:lvl w:ilvl="0">
      <w:lvlJc w:val="left"/>
      <w:lvlText w:val="•"/>
      <w:numFmt w:val="bullet"/>
      <w:start w:val="1"/>
    </w:lvl>
  </w:abstractNum>
  <w:abstractNum w:abstractNumId="11">
    <w:nsid w:val="4E6AFB66"/>
    <w:multiLevelType w:val="hybridMultilevel"/>
    <w:lvl w:ilvl="0">
      <w:lvlJc w:val="left"/>
      <w:lvlText w:val="•"/>
      <w:numFmt w:val="bullet"/>
      <w:start w:val="1"/>
    </w:lvl>
  </w:abstractNum>
  <w:abstractNum w:abstractNumId="12">
    <w:nsid w:val="25E45D32"/>
    <w:multiLevelType w:val="hybridMultilevel"/>
    <w:lvl w:ilvl="0">
      <w:lvlJc w:val="left"/>
      <w:lvlText w:val="•"/>
      <w:numFmt w:val="bullet"/>
      <w:start w:val="1"/>
    </w:lvl>
  </w:abstractNum>
  <w:abstractNum w:abstractNumId="13">
    <w:nsid w:val="519B500D"/>
    <w:multiLevelType w:val="hybridMultilevel"/>
    <w:lvl w:ilvl="0">
      <w:lvlJc w:val="left"/>
      <w:lvlText w:val="•"/>
      <w:numFmt w:val="bullet"/>
      <w:start w:val="1"/>
    </w:lvl>
  </w:abstractNum>
  <w:abstractNum w:abstractNumId="14">
    <w:nsid w:val="431BD7B7"/>
    <w:multiLevelType w:val="hybridMultilevel"/>
    <w:lvl w:ilvl="0">
      <w:lvlJc w:val="left"/>
      <w:lvlText w:val="•"/>
      <w:numFmt w:val="bullet"/>
      <w:start w:val="1"/>
    </w:lvl>
  </w:abstractNum>
  <w:abstractNum w:abstractNumId="15">
    <w:nsid w:val="3F2DBA31"/>
    <w:multiLevelType w:val="hybridMultilevel"/>
    <w:lvl w:ilvl="0">
      <w:lvlJc w:val="left"/>
      <w:lvlText w:val="(%1)"/>
      <w:numFmt w:val="decimal"/>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1."/>
      <w:numFmt w:val="decimal"/>
      <w:start w:val="1"/>
    </w:lvl>
    <w:lvl w:ilvl="1">
      <w:lvlJc w:val="left"/>
      <w:lvlText w:val="%2)"/>
      <w:numFmt w:val="lowerLetter"/>
      <w:start w:val="1"/>
    </w:lvl>
  </w:abstractNum>
  <w:abstractNum w:abstractNumId="18">
    <w:nsid w:val="62BBD95A"/>
    <w:multiLevelType w:val="hybridMultilevel"/>
    <w:lvl w:ilvl="0">
      <w:lvlJc w:val="left"/>
      <w:lvlText w:val="%1."/>
      <w:numFmt w:val="decimal"/>
      <w:start w:val="1"/>
    </w:lvl>
    <w:lvl w:ilvl="1">
      <w:lvlJc w:val="left"/>
      <w:lvlText w:val="%2)"/>
      <w:numFmt w:val="lowerLetter"/>
      <w:start w:val="1"/>
    </w:lvl>
  </w:abstractNum>
  <w:abstractNum w:abstractNumId="19">
    <w:nsid w:val="436C6125"/>
    <w:multiLevelType w:val="hybridMultilevel"/>
    <w:lvl w:ilvl="0">
      <w:lvlJc w:val="left"/>
      <w:lvlText w:val="(%1)"/>
      <w:numFmt w:val="lowerRoman"/>
      <w:start w:val="1"/>
    </w:lvl>
  </w:abstractNum>
  <w:abstractNum w:abstractNumId="20">
    <w:nsid w:val="628C895D"/>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2019-12-29T17:52:06Z</dcterms:created>
  <dcterms:modified xsi:type="dcterms:W3CDTF">2019-12-29T17:52:06Z</dcterms:modified>
</cp:coreProperties>
</file>