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9320"/>
        <w:spacing w:after="0"/>
        <w:rPr>
          <w:sz w:val="20"/>
          <w:szCs w:val="20"/>
          <w:color w:val="auto"/>
        </w:rPr>
      </w:pPr>
      <w:r>
        <w:rPr>
          <w:rFonts w:ascii="Arial" w:cs="Arial" w:eastAsia="Arial" w:hAnsi="Arial"/>
          <w:sz w:val="18"/>
          <w:szCs w:val="18"/>
          <w:color w:val="auto"/>
        </w:rPr>
        <w:t>OMB APPROVAL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5441950</wp:posOffset>
            </wp:positionH>
            <wp:positionV relativeFrom="paragraph">
              <wp:posOffset>-130175</wp:posOffset>
            </wp:positionV>
            <wp:extent cx="1818005" cy="1311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818005" cy="1311910"/>
                    </a:xfrm>
                    <a:prstGeom prst="rect">
                      <a:avLst/>
                    </a:prstGeom>
                    <a:noFill/>
                  </pic:spPr>
                </pic:pic>
              </a:graphicData>
            </a:graphic>
          </wp:anchor>
        </w:drawing>
      </w:r>
    </w:p>
    <w:p>
      <w:pPr>
        <w:spacing w:after="0" w:line="3" w:lineRule="exact"/>
        <w:rPr>
          <w:sz w:val="24"/>
          <w:szCs w:val="24"/>
          <w:color w:val="auto"/>
        </w:rPr>
      </w:pPr>
    </w:p>
    <w:tbl>
      <w:tblPr>
        <w:tblLayout w:type="fixed"/>
        <w:tblInd w:w="8580" w:type="dxa"/>
        <w:tblCellMar>
          <w:top w:w="0" w:type="dxa"/>
          <w:left w:w="0" w:type="dxa"/>
          <w:bottom w:w="0" w:type="dxa"/>
          <w:right w:w="0" w:type="dxa"/>
        </w:tblCellMar>
      </w:tblPr>
      <w:tr>
        <w:trPr>
          <w:trHeight w:val="230"/>
        </w:trPr>
        <w:tc>
          <w:tcPr>
            <w:tcW w:w="1240" w:type="dxa"/>
            <w:vAlign w:val="bottom"/>
            <w:tcBorders>
              <w:bottom w:val="single" w:sz="8" w:color="auto"/>
            </w:tcBorders>
          </w:tcPr>
          <w:p>
            <w:pPr>
              <w:ind w:left="140"/>
              <w:spacing w:after="0"/>
              <w:rPr>
                <w:sz w:val="20"/>
                <w:szCs w:val="20"/>
                <w:color w:val="auto"/>
              </w:rPr>
            </w:pPr>
            <w:r>
              <w:rPr>
                <w:rFonts w:ascii="Arial" w:cs="Arial" w:eastAsia="Arial" w:hAnsi="Arial"/>
                <w:sz w:val="18"/>
                <w:szCs w:val="18"/>
                <w:color w:val="auto"/>
                <w:w w:val="93"/>
              </w:rPr>
              <w:t>OMB Number:</w:t>
            </w:r>
          </w:p>
        </w:tc>
        <w:tc>
          <w:tcPr>
            <w:tcW w:w="56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ind w:right="70"/>
              <w:spacing w:after="0"/>
              <w:rPr>
                <w:sz w:val="20"/>
                <w:szCs w:val="20"/>
                <w:color w:val="auto"/>
              </w:rPr>
            </w:pPr>
            <w:r>
              <w:rPr>
                <w:rFonts w:ascii="Arial" w:cs="Arial" w:eastAsia="Arial" w:hAnsi="Arial"/>
                <w:sz w:val="18"/>
                <w:szCs w:val="18"/>
                <w:color w:val="auto"/>
              </w:rPr>
              <w:t>3235-0058</w:t>
            </w:r>
          </w:p>
        </w:tc>
      </w:tr>
      <w:tr>
        <w:trPr>
          <w:trHeight w:val="210"/>
        </w:trPr>
        <w:tc>
          <w:tcPr>
            <w:tcW w:w="1240" w:type="dxa"/>
            <w:vAlign w:val="bottom"/>
            <w:tcBorders>
              <w:bottom w:val="single" w:sz="8" w:color="auto"/>
            </w:tcBorders>
          </w:tcPr>
          <w:p>
            <w:pPr>
              <w:ind w:left="140"/>
              <w:spacing w:after="0"/>
              <w:rPr>
                <w:sz w:val="20"/>
                <w:szCs w:val="20"/>
                <w:color w:val="auto"/>
              </w:rPr>
            </w:pPr>
            <w:r>
              <w:rPr>
                <w:rFonts w:ascii="Arial" w:cs="Arial" w:eastAsia="Arial" w:hAnsi="Arial"/>
                <w:sz w:val="18"/>
                <w:szCs w:val="18"/>
                <w:color w:val="auto"/>
              </w:rPr>
              <w:t>Expires:</w:t>
            </w:r>
          </w:p>
        </w:tc>
        <w:tc>
          <w:tcPr>
            <w:tcW w:w="1620" w:type="dxa"/>
            <w:vAlign w:val="bottom"/>
            <w:tcBorders>
              <w:bottom w:val="single" w:sz="8" w:color="auto"/>
            </w:tcBorders>
            <w:gridSpan w:val="2"/>
          </w:tcPr>
          <w:p>
            <w:pPr>
              <w:jc w:val="right"/>
              <w:ind w:right="70"/>
              <w:spacing w:after="0"/>
              <w:rPr>
                <w:sz w:val="20"/>
                <w:szCs w:val="20"/>
                <w:color w:val="auto"/>
              </w:rPr>
            </w:pPr>
            <w:r>
              <w:rPr>
                <w:rFonts w:ascii="Arial" w:cs="Arial" w:eastAsia="Arial" w:hAnsi="Arial"/>
                <w:sz w:val="18"/>
                <w:szCs w:val="18"/>
                <w:color w:val="auto"/>
                <w:w w:val="88"/>
              </w:rPr>
              <w:t>September 30, 2015</w:t>
            </w:r>
          </w:p>
        </w:tc>
      </w:tr>
      <w:tr>
        <w:trPr>
          <w:trHeight w:val="195"/>
        </w:trPr>
        <w:tc>
          <w:tcPr>
            <w:tcW w:w="2860" w:type="dxa"/>
            <w:vAlign w:val="bottom"/>
            <w:gridSpan w:val="3"/>
          </w:tcPr>
          <w:p>
            <w:pPr>
              <w:ind w:left="140"/>
              <w:spacing w:after="0" w:line="195" w:lineRule="exact"/>
              <w:rPr>
                <w:sz w:val="20"/>
                <w:szCs w:val="20"/>
                <w:color w:val="auto"/>
              </w:rPr>
            </w:pPr>
            <w:r>
              <w:rPr>
                <w:rFonts w:ascii="Arial" w:cs="Arial" w:eastAsia="Arial" w:hAnsi="Arial"/>
                <w:sz w:val="18"/>
                <w:szCs w:val="18"/>
                <w:color w:val="auto"/>
              </w:rPr>
              <w:t>Estimated average burden</w:t>
            </w:r>
          </w:p>
        </w:tc>
      </w:tr>
      <w:tr>
        <w:trPr>
          <w:trHeight w:val="230"/>
        </w:trPr>
        <w:tc>
          <w:tcPr>
            <w:tcW w:w="1800" w:type="dxa"/>
            <w:vAlign w:val="bottom"/>
            <w:gridSpan w:val="2"/>
          </w:tcPr>
          <w:p>
            <w:pPr>
              <w:ind w:left="140"/>
              <w:spacing w:after="0"/>
              <w:rPr>
                <w:sz w:val="20"/>
                <w:szCs w:val="20"/>
                <w:color w:val="auto"/>
              </w:rPr>
            </w:pPr>
            <w:r>
              <w:rPr>
                <w:rFonts w:ascii="Arial" w:cs="Arial" w:eastAsia="Arial" w:hAnsi="Arial"/>
                <w:sz w:val="18"/>
                <w:szCs w:val="18"/>
                <w:color w:val="auto"/>
                <w:w w:val="94"/>
              </w:rPr>
              <w:t>hours per response…</w:t>
            </w:r>
          </w:p>
        </w:tc>
        <w:tc>
          <w:tcPr>
            <w:tcW w:w="1060" w:type="dxa"/>
            <w:vAlign w:val="bottom"/>
          </w:tcPr>
          <w:p>
            <w:pPr>
              <w:jc w:val="right"/>
              <w:ind w:right="70"/>
              <w:spacing w:after="0"/>
              <w:rPr>
                <w:sz w:val="20"/>
                <w:szCs w:val="20"/>
                <w:color w:val="auto"/>
              </w:rPr>
            </w:pPr>
            <w:r>
              <w:rPr>
                <w:rFonts w:ascii="Arial" w:cs="Arial" w:eastAsia="Arial" w:hAnsi="Arial"/>
                <w:sz w:val="18"/>
                <w:szCs w:val="18"/>
                <w:color w:val="auto"/>
              </w:rPr>
              <w:t>2.50</w:t>
            </w:r>
          </w:p>
        </w:tc>
      </w:tr>
    </w:tbl>
    <w:p>
      <w:pPr>
        <w:jc w:val="center"/>
        <w:ind w:left="8580"/>
        <w:spacing w:after="0"/>
        <w:rPr>
          <w:sz w:val="20"/>
          <w:szCs w:val="20"/>
          <w:color w:val="auto"/>
        </w:rPr>
      </w:pPr>
      <w:r>
        <w:rPr>
          <w:rFonts w:ascii="Arial" w:cs="Arial" w:eastAsia="Arial" w:hAnsi="Arial"/>
          <w:sz w:val="18"/>
          <w:szCs w:val="18"/>
          <w:color w:val="auto"/>
        </w:rPr>
        <w:t>SEC FILE NUMBER</w:t>
      </w:r>
    </w:p>
    <w:p>
      <w:pPr>
        <w:spacing w:after="0" w:line="23" w:lineRule="exact"/>
        <w:rPr>
          <w:sz w:val="24"/>
          <w:szCs w:val="24"/>
          <w:color w:val="auto"/>
        </w:rPr>
      </w:pPr>
    </w:p>
    <w:p>
      <w:pPr>
        <w:jc w:val="center"/>
        <w:ind w:left="8580"/>
        <w:spacing w:after="0"/>
        <w:rPr>
          <w:sz w:val="20"/>
          <w:szCs w:val="20"/>
          <w:color w:val="auto"/>
        </w:rPr>
      </w:pPr>
      <w:r>
        <w:rPr>
          <w:rFonts w:ascii="Arial" w:cs="Arial" w:eastAsia="Arial" w:hAnsi="Arial"/>
          <w:sz w:val="18"/>
          <w:szCs w:val="18"/>
          <w:color w:val="auto"/>
        </w:rPr>
        <w:t>000-30877</w:t>
      </w:r>
    </w:p>
    <w:p>
      <w:pPr>
        <w:spacing w:after="0" w:line="22" w:lineRule="exact"/>
        <w:rPr>
          <w:sz w:val="24"/>
          <w:szCs w:val="24"/>
          <w:color w:val="auto"/>
        </w:rPr>
      </w:pPr>
    </w:p>
    <w:p>
      <w:pPr>
        <w:jc w:val="center"/>
        <w:ind w:left="8580"/>
        <w:spacing w:after="0"/>
        <w:rPr>
          <w:sz w:val="20"/>
          <w:szCs w:val="20"/>
          <w:color w:val="auto"/>
        </w:rPr>
      </w:pPr>
      <w:r>
        <w:rPr>
          <w:rFonts w:ascii="Arial" w:cs="Arial" w:eastAsia="Arial" w:hAnsi="Arial"/>
          <w:sz w:val="18"/>
          <w:szCs w:val="18"/>
          <w:color w:val="auto"/>
        </w:rPr>
        <w:t>CUSIP NUMBER</w:t>
      </w:r>
    </w:p>
    <w:p>
      <w:pPr>
        <w:spacing w:after="0" w:line="23" w:lineRule="exact"/>
        <w:rPr>
          <w:sz w:val="24"/>
          <w:szCs w:val="24"/>
          <w:color w:val="auto"/>
        </w:rPr>
      </w:pPr>
    </w:p>
    <w:p>
      <w:pPr>
        <w:jc w:val="center"/>
        <w:ind w:left="8580"/>
        <w:spacing w:after="0"/>
        <w:rPr>
          <w:sz w:val="20"/>
          <w:szCs w:val="20"/>
          <w:color w:val="auto"/>
        </w:rPr>
      </w:pPr>
      <w:r>
        <w:rPr>
          <w:rFonts w:ascii="Arial" w:cs="Arial" w:eastAsia="Arial" w:hAnsi="Arial"/>
          <w:sz w:val="18"/>
          <w:szCs w:val="18"/>
          <w:color w:val="auto"/>
        </w:rPr>
        <w:t>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83185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125730</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67"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UNITED STATES</w:t>
      </w:r>
    </w:p>
    <w:p>
      <w:pPr>
        <w:spacing w:after="0" w:line="31"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2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FORM 12b-25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255270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85" w:lineRule="exact"/>
        <w:rPr>
          <w:sz w:val="24"/>
          <w:szCs w:val="24"/>
          <w:color w:val="auto"/>
        </w:rPr>
      </w:pPr>
    </w:p>
    <w:p>
      <w:pPr>
        <w:jc w:val="center"/>
        <w:ind w:right="20"/>
        <w:spacing w:after="0"/>
        <w:rPr>
          <w:sz w:val="20"/>
          <w:szCs w:val="20"/>
          <w:color w:val="auto"/>
        </w:rPr>
      </w:pPr>
      <w:r>
        <w:rPr>
          <w:rFonts w:ascii="Arial" w:cs="Arial" w:eastAsia="Arial" w:hAnsi="Arial"/>
          <w:sz w:val="22"/>
          <w:szCs w:val="22"/>
          <w:b w:val="1"/>
          <w:bCs w:val="1"/>
          <w:color w:val="auto"/>
        </w:rPr>
        <w:t>NOTIFICATION OF LATE FILING</w:t>
      </w:r>
    </w:p>
    <w:p>
      <w:pPr>
        <w:sectPr>
          <w:pgSz w:w="11900" w:h="16838" w:orient="portrait"/>
          <w:cols w:equalWidth="0" w:num="1">
            <w:col w:w="11440"/>
          </w:cols>
          <w:pgMar w:left="240" w:top="247" w:right="219" w:bottom="0" w:gutter="0" w:footer="0" w:header="0"/>
        </w:sectPr>
      </w:pPr>
    </w:p>
    <w:p>
      <w:pPr>
        <w:spacing w:after="0" w:line="246" w:lineRule="exact"/>
        <w:rPr>
          <w:sz w:val="24"/>
          <w:szCs w:val="24"/>
          <w:color w:val="auto"/>
        </w:rPr>
      </w:pPr>
    </w:p>
    <w:p>
      <w:pPr>
        <w:ind w:left="2100"/>
        <w:spacing w:after="0"/>
        <w:rPr>
          <w:sz w:val="20"/>
          <w:szCs w:val="20"/>
          <w:color w:val="auto"/>
        </w:rPr>
      </w:pPr>
      <w:r>
        <w:rPr>
          <w:rFonts w:ascii="Arial" w:cs="Arial" w:eastAsia="Arial" w:hAnsi="Arial"/>
          <w:sz w:val="16"/>
          <w:szCs w:val="16"/>
          <w:color w:val="auto"/>
        </w:rPr>
        <w:t>(Check one):</w:t>
      </w:r>
    </w:p>
    <w:p>
      <w:pPr>
        <w:spacing w:after="0" w:line="20" w:lineRule="exact"/>
        <w:rPr>
          <w:sz w:val="24"/>
          <w:szCs w:val="24"/>
          <w:color w:val="auto"/>
        </w:rPr>
      </w:pPr>
      <w:r>
        <w:rPr>
          <w:sz w:val="24"/>
          <w:szCs w:val="24"/>
          <w:color w:val="auto"/>
        </w:rPr>
        <w:br w:type="column"/>
      </w:r>
    </w:p>
    <w:p>
      <w:pPr>
        <w:spacing w:after="0" w:line="194" w:lineRule="exact"/>
        <w:rPr>
          <w:sz w:val="24"/>
          <w:szCs w:val="24"/>
          <w:color w:val="auto"/>
        </w:rPr>
      </w:pPr>
    </w:p>
    <w:p>
      <w:pPr>
        <w:spacing w:after="0" w:line="250"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Form 10-K </w:t>
      </w:r>
      <w:r>
        <w:rPr>
          <w:rFonts w:ascii="MS PGothic" w:cs="MS PGothic" w:eastAsia="MS PGothic" w:hAnsi="MS PGothic"/>
          <w:sz w:val="18"/>
          <w:szCs w:val="18"/>
          <w:color w:val="auto"/>
        </w:rPr>
        <w:t>☐</w:t>
      </w:r>
      <w:r>
        <w:rPr>
          <w:rFonts w:ascii="Arial" w:cs="Arial" w:eastAsia="Arial" w:hAnsi="Arial"/>
          <w:sz w:val="18"/>
          <w:szCs w:val="18"/>
          <w:color w:val="auto"/>
        </w:rPr>
        <w:t xml:space="preserve"> Form 20-F </w:t>
      </w:r>
      <w:r>
        <w:rPr>
          <w:rFonts w:ascii="MS PGothic" w:cs="MS PGothic" w:eastAsia="MS PGothic" w:hAnsi="MS PGothic"/>
          <w:sz w:val="18"/>
          <w:szCs w:val="18"/>
          <w:color w:val="auto"/>
        </w:rPr>
        <w:t>☐</w:t>
      </w:r>
      <w:r>
        <w:rPr>
          <w:rFonts w:ascii="Arial" w:cs="Arial" w:eastAsia="Arial" w:hAnsi="Arial"/>
          <w:sz w:val="18"/>
          <w:szCs w:val="18"/>
          <w:color w:val="auto"/>
        </w:rPr>
        <w:t xml:space="preserve"> Form 10-D </w:t>
      </w:r>
      <w:r>
        <w:rPr>
          <w:rFonts w:ascii="MS PGothic" w:cs="MS PGothic" w:eastAsia="MS PGothic" w:hAnsi="MS PGothic"/>
          <w:sz w:val="18"/>
          <w:szCs w:val="18"/>
          <w:color w:val="auto"/>
        </w:rPr>
        <w:t>☐</w:t>
      </w:r>
      <w:r>
        <w:rPr>
          <w:rFonts w:ascii="Arial" w:cs="Arial" w:eastAsia="Arial" w:hAnsi="Arial"/>
          <w:sz w:val="18"/>
          <w:szCs w:val="18"/>
          <w:color w:val="auto"/>
        </w:rPr>
        <w:t xml:space="preserve"> Form N-SAR</w:t>
      </w:r>
    </w:p>
    <w:p>
      <w:pPr>
        <w:spacing w:after="0" w:line="20" w:lineRule="exact"/>
        <w:rPr>
          <w:sz w:val="24"/>
          <w:szCs w:val="24"/>
          <w:color w:val="auto"/>
        </w:rPr>
      </w:pPr>
      <w:r>
        <w:rPr>
          <w:sz w:val="24"/>
          <w:szCs w:val="24"/>
          <w:color w:val="auto"/>
        </w:rPr>
        <w:br w:type="column"/>
      </w:r>
    </w:p>
    <w:p>
      <w:pPr>
        <w:spacing w:after="0" w:line="194" w:lineRule="exact"/>
        <w:rPr>
          <w:sz w:val="24"/>
          <w:szCs w:val="24"/>
          <w:color w:val="auto"/>
        </w:rPr>
      </w:pPr>
    </w:p>
    <w:p>
      <w:pPr>
        <w:jc w:val="right"/>
        <w:spacing w:after="0" w:line="250" w:lineRule="exact"/>
        <w:rPr>
          <w:sz w:val="20"/>
          <w:szCs w:val="20"/>
          <w:color w:val="auto"/>
        </w:rPr>
      </w:pPr>
      <w:r>
        <w:rPr>
          <w:rFonts w:ascii="MS PGothic" w:cs="MS PGothic" w:eastAsia="MS PGothic" w:hAnsi="MS PGothic"/>
          <w:sz w:val="18"/>
          <w:szCs w:val="18"/>
          <w:color w:val="auto"/>
        </w:rPr>
        <w:t>☐</w:t>
      </w:r>
      <w:r>
        <w:rPr>
          <w:rFonts w:ascii="Arial" w:cs="Arial" w:eastAsia="Arial" w:hAnsi="Arial"/>
          <w:sz w:val="18"/>
          <w:szCs w:val="18"/>
          <w:color w:val="auto"/>
        </w:rPr>
        <w:t xml:space="preserve"> Form 11-K   </w:t>
      </w:r>
      <w:r>
        <w:rPr>
          <w:rFonts w:ascii="MS PGothic" w:cs="MS PGothic" w:eastAsia="MS PGothic" w:hAnsi="MS PGothic"/>
          <w:sz w:val="18"/>
          <w:szCs w:val="18"/>
          <w:color w:val="auto"/>
        </w:rPr>
        <w:t>☒</w:t>
      </w:r>
      <w:r>
        <w:rPr>
          <w:rFonts w:ascii="Arial" w:cs="Arial" w:eastAsia="Arial" w:hAnsi="Arial"/>
          <w:sz w:val="18"/>
          <w:szCs w:val="18"/>
          <w:color w:val="auto"/>
        </w:rPr>
        <w:t xml:space="preserve"> </w:t>
      </w:r>
      <w:r>
        <w:rPr>
          <w:rFonts w:ascii="MS PGothic" w:cs="MS PGothic" w:eastAsia="MS PGothic" w:hAnsi="MS PGothic"/>
          <w:sz w:val="18"/>
          <w:szCs w:val="18"/>
          <w:color w:val="auto"/>
        </w:rPr>
        <w:t>☐</w:t>
      </w:r>
      <w:r>
        <w:rPr>
          <w:rFonts w:ascii="Arial" w:cs="Arial" w:eastAsia="Arial" w:hAnsi="Arial"/>
          <w:sz w:val="18"/>
          <w:szCs w:val="18"/>
          <w:color w:val="auto"/>
        </w:rPr>
        <w:t xml:space="preserve"> Form N-CSR</w:t>
      </w:r>
    </w:p>
    <w:p>
      <w:pPr>
        <w:spacing w:after="0" w:line="20" w:lineRule="exact"/>
        <w:rPr>
          <w:sz w:val="24"/>
          <w:szCs w:val="24"/>
          <w:color w:val="auto"/>
        </w:rPr>
      </w:pPr>
      <w:r>
        <w:rPr>
          <w:sz w:val="24"/>
          <w:szCs w:val="24"/>
          <w:color w:val="auto"/>
        </w:rPr>
        <w:br w:type="column"/>
      </w:r>
    </w:p>
    <w:p>
      <w:pPr>
        <w:spacing w:after="0" w:line="226" w:lineRule="exact"/>
        <w:rPr>
          <w:sz w:val="24"/>
          <w:szCs w:val="24"/>
          <w:color w:val="auto"/>
        </w:rPr>
      </w:pPr>
    </w:p>
    <w:p>
      <w:pPr>
        <w:spacing w:after="0"/>
        <w:rPr>
          <w:sz w:val="20"/>
          <w:szCs w:val="20"/>
          <w:color w:val="auto"/>
        </w:rPr>
      </w:pPr>
      <w:r>
        <w:rPr>
          <w:rFonts w:ascii="Arial" w:cs="Arial" w:eastAsia="Arial" w:hAnsi="Arial"/>
          <w:sz w:val="16"/>
          <w:szCs w:val="16"/>
          <w:color w:val="auto"/>
        </w:rPr>
        <w:t>Form 10-Q</w:t>
      </w:r>
    </w:p>
    <w:p>
      <w:pPr>
        <w:spacing w:after="0" w:line="477" w:lineRule="exact"/>
        <w:rPr>
          <w:sz w:val="24"/>
          <w:szCs w:val="24"/>
          <w:color w:val="auto"/>
        </w:rPr>
      </w:pPr>
    </w:p>
    <w:p>
      <w:pPr>
        <w:sectPr>
          <w:pgSz w:w="11900" w:h="16838" w:orient="portrait"/>
          <w:cols w:equalWidth="0" w:num="4">
            <w:col w:w="3020" w:space="320"/>
            <w:col w:w="2500" w:space="20"/>
            <w:col w:w="1440" w:space="100"/>
            <w:col w:w="4040"/>
          </w:cols>
          <w:pgMar w:left="240" w:top="247" w:right="219" w:bottom="0" w:gutter="0" w:footer="0" w:header="0"/>
          <w:type w:val="continuous"/>
        </w:sectPr>
      </w:pPr>
    </w:p>
    <w:p>
      <w:pPr>
        <w:ind w:left="3340"/>
        <w:spacing w:after="0"/>
        <w:rPr>
          <w:sz w:val="20"/>
          <w:szCs w:val="20"/>
          <w:color w:val="auto"/>
        </w:rPr>
      </w:pPr>
      <w:r>
        <w:rPr>
          <w:rFonts w:ascii="Arial" w:cs="Arial" w:eastAsia="Arial" w:hAnsi="Arial"/>
          <w:sz w:val="18"/>
          <w:szCs w:val="18"/>
          <w:color w:val="auto"/>
        </w:rPr>
        <w:t>For Period Ended: August 1, 2015</w:t>
      </w:r>
    </w:p>
    <w:p>
      <w:pPr>
        <w:spacing w:after="0" w:line="225" w:lineRule="exact"/>
        <w:rPr>
          <w:sz w:val="24"/>
          <w:szCs w:val="24"/>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10-K</w:t>
      </w:r>
    </w:p>
    <w:p>
      <w:pPr>
        <w:spacing w:after="0" w:line="25"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20-F</w:t>
      </w:r>
    </w:p>
    <w:p>
      <w:pPr>
        <w:spacing w:after="0" w:line="9"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11-K</w:t>
      </w:r>
    </w:p>
    <w:p>
      <w:pPr>
        <w:spacing w:after="0" w:line="9"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10-Q</w:t>
      </w:r>
    </w:p>
    <w:p>
      <w:pPr>
        <w:spacing w:after="0" w:line="9" w:lineRule="exact"/>
        <w:rPr>
          <w:rFonts w:ascii="MS PGothic" w:cs="MS PGothic" w:eastAsia="MS PGothic" w:hAnsi="MS PGothic"/>
          <w:sz w:val="18"/>
          <w:szCs w:val="18"/>
          <w:color w:val="auto"/>
        </w:rPr>
      </w:pPr>
    </w:p>
    <w:p>
      <w:pPr>
        <w:ind w:left="3580" w:hanging="250"/>
        <w:spacing w:after="0"/>
        <w:tabs>
          <w:tab w:leader="none" w:pos="358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Transition Report on Form N-SAR</w:t>
      </w:r>
    </w:p>
    <w:p>
      <w:pPr>
        <w:spacing w:after="0" w:line="209" w:lineRule="exact"/>
        <w:rPr>
          <w:sz w:val="24"/>
          <w:szCs w:val="24"/>
          <w:color w:val="auto"/>
        </w:rPr>
      </w:pPr>
    </w:p>
    <w:p>
      <w:pPr>
        <w:ind w:left="3340"/>
        <w:spacing w:after="0"/>
        <w:rPr>
          <w:sz w:val="20"/>
          <w:szCs w:val="20"/>
          <w:color w:val="auto"/>
        </w:rPr>
      </w:pPr>
      <w:r>
        <w:rPr>
          <w:rFonts w:ascii="Arial" w:cs="Arial" w:eastAsia="Arial" w:hAnsi="Arial"/>
          <w:sz w:val="18"/>
          <w:szCs w:val="18"/>
          <w:color w:val="auto"/>
        </w:rPr>
        <w:t>For the Transition Period Ended:</w:t>
      </w:r>
    </w:p>
    <w:p>
      <w:pPr>
        <w:spacing w:after="0" w:line="266" w:lineRule="exact"/>
        <w:rPr>
          <w:sz w:val="24"/>
          <w:szCs w:val="24"/>
          <w:color w:val="auto"/>
        </w:rPr>
      </w:pPr>
    </w:p>
    <w:p>
      <w:pPr>
        <w:jc w:val="center"/>
        <w:spacing w:after="0"/>
        <w:rPr>
          <w:sz w:val="20"/>
          <w:szCs w:val="20"/>
          <w:color w:val="auto"/>
        </w:rPr>
      </w:pPr>
      <w:r>
        <w:rPr>
          <w:rFonts w:ascii="Arial" w:cs="Arial" w:eastAsia="Arial" w:hAnsi="Arial"/>
          <w:sz w:val="18"/>
          <w:szCs w:val="18"/>
          <w:i w:val="1"/>
          <w:iCs w:val="1"/>
          <w:color w:val="auto"/>
        </w:rPr>
        <w:t>Read Instructions (on back page) Before Preparing Form. Please Print or Type.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-130175</wp:posOffset>
            </wp:positionV>
            <wp:extent cx="7254875" cy="3003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54875" cy="300355"/>
                    </a:xfrm>
                    <a:prstGeom prst="rect">
                      <a:avLst/>
                    </a:prstGeom>
                    <a:noFill/>
                  </pic:spPr>
                </pic:pic>
              </a:graphicData>
            </a:graphic>
          </wp:anchor>
        </w:drawing>
      </w:r>
    </w:p>
    <w:p>
      <w:pPr>
        <w:spacing w:after="0" w:line="3"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Nothing in this form shall be construed to imply that the Commission has verified any information contained herein.</w:t>
      </w:r>
    </w:p>
    <w:p>
      <w:pPr>
        <w:spacing w:after="0" w:line="238" w:lineRule="exact"/>
        <w:rPr>
          <w:sz w:val="24"/>
          <w:szCs w:val="24"/>
          <w:color w:val="auto"/>
        </w:rPr>
      </w:pPr>
    </w:p>
    <w:p>
      <w:pPr>
        <w:ind w:left="460"/>
        <w:spacing w:after="0"/>
        <w:rPr>
          <w:sz w:val="20"/>
          <w:szCs w:val="20"/>
          <w:color w:val="auto"/>
        </w:rPr>
      </w:pPr>
      <w:r>
        <w:rPr>
          <w:rFonts w:ascii="Arial" w:cs="Arial" w:eastAsia="Arial" w:hAnsi="Arial"/>
          <w:sz w:val="18"/>
          <w:szCs w:val="18"/>
          <w:color w:val="auto"/>
        </w:rPr>
        <w:t>If the notification relates to a portion of the filing checked above, identify the Item(s) to which the notification relates: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417830</wp:posOffset>
            </wp:positionV>
            <wp:extent cx="7246620" cy="171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PART I — REGISTRANT INFORMATION</w:t>
      </w:r>
    </w:p>
    <w:p>
      <w:pPr>
        <w:spacing w:after="0" w:line="200" w:lineRule="exact"/>
        <w:rPr>
          <w:sz w:val="24"/>
          <w:szCs w:val="24"/>
          <w:color w:val="auto"/>
        </w:rPr>
      </w:pPr>
    </w:p>
    <w:p>
      <w:pPr>
        <w:spacing w:after="0" w:line="212" w:lineRule="exact"/>
        <w:rPr>
          <w:sz w:val="24"/>
          <w:szCs w:val="24"/>
          <w:color w:val="auto"/>
        </w:rPr>
      </w:pPr>
    </w:p>
    <w:p>
      <w:pPr>
        <w:jc w:val="center"/>
        <w:ind w:right="20"/>
        <w:spacing w:after="0"/>
        <w:rPr>
          <w:sz w:val="20"/>
          <w:szCs w:val="20"/>
          <w:color w:val="auto"/>
        </w:rPr>
      </w:pPr>
      <w:r>
        <w:rPr>
          <w:rFonts w:ascii="Arial" w:cs="Arial" w:eastAsia="Arial" w:hAnsi="Arial"/>
          <w:sz w:val="40"/>
          <w:szCs w:val="40"/>
          <w:b w:val="1"/>
          <w:bCs w:val="1"/>
          <w:color w:val="auto"/>
        </w:rPr>
        <w:t>Marvell Technology Group Ltd.</w:t>
      </w:r>
    </w:p>
    <w:p>
      <w:pPr>
        <w:spacing w:after="0" w:line="35"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Full Name of Registrant</w:t>
      </w:r>
    </w:p>
    <w:p>
      <w:pPr>
        <w:spacing w:after="0" w:line="200" w:lineRule="exact"/>
        <w:rPr>
          <w:sz w:val="24"/>
          <w:szCs w:val="24"/>
          <w:color w:val="auto"/>
        </w:rPr>
      </w:pPr>
    </w:p>
    <w:p>
      <w:pPr>
        <w:spacing w:after="0" w:line="284"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Former Name if Applicable</w:t>
      </w:r>
    </w:p>
    <w:p>
      <w:pPr>
        <w:spacing w:after="0" w:line="200" w:lineRule="exact"/>
        <w:rPr>
          <w:sz w:val="24"/>
          <w:szCs w:val="24"/>
          <w:color w:val="auto"/>
        </w:rPr>
      </w:pPr>
    </w:p>
    <w:p>
      <w:pPr>
        <w:spacing w:after="0" w:line="224"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Canon’s Court, 22 Victoria Street</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Address of Principal Executive Office (</w:t>
      </w:r>
      <w:r>
        <w:rPr>
          <w:rFonts w:ascii="Arial" w:cs="Arial" w:eastAsia="Arial" w:hAnsi="Arial"/>
          <w:sz w:val="14"/>
          <w:szCs w:val="14"/>
          <w:b w:val="1"/>
          <w:bCs w:val="1"/>
          <w:i w:val="1"/>
          <w:iCs w:val="1"/>
          <w:color w:val="auto"/>
        </w:rPr>
        <w:t>Street and Number</w:t>
      </w:r>
      <w:r>
        <w:rPr>
          <w:rFonts w:ascii="Arial" w:cs="Arial" w:eastAsia="Arial" w:hAnsi="Arial"/>
          <w:sz w:val="14"/>
          <w:szCs w:val="14"/>
          <w:b w:val="1"/>
          <w:bCs w:val="1"/>
          <w:color w:val="auto"/>
        </w:rPr>
        <w:t>)</w:t>
      </w:r>
    </w:p>
    <w:p>
      <w:pPr>
        <w:spacing w:after="0" w:line="200" w:lineRule="exact"/>
        <w:rPr>
          <w:sz w:val="24"/>
          <w:szCs w:val="24"/>
          <w:color w:val="auto"/>
        </w:rPr>
      </w:pPr>
    </w:p>
    <w:p>
      <w:pPr>
        <w:spacing w:after="0" w:line="208"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Hamilton HM 12, Bermuda</w:t>
      </w:r>
    </w:p>
    <w:p>
      <w:pPr>
        <w:spacing w:after="0" w:line="21" w:lineRule="exact"/>
        <w:rPr>
          <w:sz w:val="24"/>
          <w:szCs w:val="24"/>
          <w:color w:val="auto"/>
        </w:rPr>
      </w:pPr>
    </w:p>
    <w:p>
      <w:pPr>
        <w:jc w:val="center"/>
        <w:ind w:right="20"/>
        <w:spacing w:after="0"/>
        <w:rPr>
          <w:sz w:val="20"/>
          <w:szCs w:val="20"/>
          <w:color w:val="auto"/>
        </w:rPr>
      </w:pPr>
      <w:r>
        <w:rPr>
          <w:rFonts w:ascii="Arial" w:cs="Arial" w:eastAsia="Arial" w:hAnsi="Arial"/>
          <w:sz w:val="14"/>
          <w:szCs w:val="14"/>
          <w:b w:val="1"/>
          <w:bCs w:val="1"/>
          <w:color w:val="auto"/>
        </w:rPr>
        <w:t>City, State and Zip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167640</wp:posOffset>
            </wp:positionV>
            <wp:extent cx="7246620" cy="171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4"/>
          <w:szCs w:val="24"/>
          <w:color w:val="auto"/>
        </w:rPr>
      </w:pPr>
    </w:p>
    <w:p>
      <w:pPr>
        <w:spacing w:after="0" w:line="269" w:lineRule="exact"/>
        <w:rPr>
          <w:sz w:val="24"/>
          <w:szCs w:val="24"/>
          <w:color w:val="auto"/>
        </w:rPr>
      </w:pPr>
    </w:p>
    <w:p>
      <w:pPr>
        <w:jc w:val="center"/>
        <w:ind w:right="20"/>
        <w:spacing w:after="0"/>
        <w:rPr>
          <w:sz w:val="20"/>
          <w:szCs w:val="20"/>
          <w:color w:val="auto"/>
        </w:rPr>
      </w:pPr>
      <w:r>
        <w:rPr>
          <w:rFonts w:ascii="Arial" w:cs="Arial" w:eastAsia="Arial" w:hAnsi="Arial"/>
          <w:sz w:val="18"/>
          <w:szCs w:val="18"/>
          <w:b w:val="1"/>
          <w:bCs w:val="1"/>
          <w:color w:val="auto"/>
        </w:rPr>
        <w:t>PART II — RULES 12b-25(b) AND (c).</w:t>
      </w:r>
    </w:p>
    <w:p>
      <w:pPr>
        <w:spacing w:after="0" w:line="229" w:lineRule="exact"/>
        <w:rPr>
          <w:sz w:val="24"/>
          <w:szCs w:val="24"/>
          <w:color w:val="auto"/>
        </w:rPr>
      </w:pPr>
    </w:p>
    <w:p>
      <w:pPr>
        <w:ind w:right="200" w:firstLine="456"/>
        <w:spacing w:after="0" w:line="277" w:lineRule="auto"/>
        <w:rPr>
          <w:sz w:val="20"/>
          <w:szCs w:val="20"/>
          <w:color w:val="auto"/>
        </w:rPr>
      </w:pPr>
      <w:r>
        <w:rPr>
          <w:rFonts w:ascii="Arial" w:cs="Arial" w:eastAsia="Arial" w:hAnsi="Arial"/>
          <w:sz w:val="18"/>
          <w:szCs w:val="18"/>
          <w:color w:val="auto"/>
        </w:rPr>
        <w:t>If the subject report could not be filed without unreasonable effort or expense and the registrant seeks relief pursuant to Rule 12b-25(b), the following should be completed. (Check box if appropriate)</w:t>
      </w:r>
    </w:p>
    <w:p>
      <w:pPr>
        <w:spacing w:after="0" w:line="197" w:lineRule="exact"/>
        <w:rPr>
          <w:sz w:val="24"/>
          <w:szCs w:val="24"/>
          <w:color w:val="auto"/>
        </w:rPr>
      </w:pPr>
    </w:p>
    <w:p>
      <w:pPr>
        <w:ind w:left="540" w:hanging="388"/>
        <w:spacing w:after="0"/>
        <w:tabs>
          <w:tab w:leader="none" w:pos="540" w:val="left"/>
        </w:tabs>
        <w:numPr>
          <w:ilvl w:val="0"/>
          <w:numId w:val="2"/>
        </w:numPr>
        <w:rPr>
          <w:rFonts w:ascii="MS PGothic" w:cs="MS PGothic" w:eastAsia="MS PGothic" w:hAnsi="MS PGothic"/>
          <w:sz w:val="18"/>
          <w:szCs w:val="18"/>
          <w:color w:val="auto"/>
        </w:rPr>
      </w:pPr>
      <w:r>
        <w:rPr>
          <w:rFonts w:ascii="Arial" w:cs="Arial" w:eastAsia="Arial" w:hAnsi="Arial"/>
          <w:sz w:val="18"/>
          <w:szCs w:val="18"/>
          <w:color w:val="auto"/>
        </w:rPr>
        <w:t>(a)  The reason described in reasonable detail in Part III of this form could not be eliminated without unreasonable effort or expense</w:t>
      </w:r>
    </w:p>
    <w:p>
      <w:pPr>
        <w:spacing w:after="0" w:line="144" w:lineRule="exact"/>
        <w:rPr>
          <w:rFonts w:ascii="MS PGothic" w:cs="MS PGothic" w:eastAsia="MS PGothic" w:hAnsi="MS PGothic"/>
          <w:sz w:val="18"/>
          <w:szCs w:val="18"/>
          <w:color w:val="auto"/>
        </w:rPr>
      </w:pPr>
    </w:p>
    <w:p>
      <w:pPr>
        <w:jc w:val="both"/>
        <w:ind w:left="880" w:right="160" w:hanging="332"/>
        <w:spacing w:after="0" w:line="342" w:lineRule="auto"/>
        <w:tabs>
          <w:tab w:leader="none" w:pos="880" w:val="left"/>
        </w:tabs>
        <w:numPr>
          <w:ilvl w:val="1"/>
          <w:numId w:val="2"/>
        </w:numPr>
        <w:rPr>
          <w:rFonts w:ascii="Arial" w:cs="Arial" w:eastAsia="Arial" w:hAnsi="Arial"/>
          <w:sz w:val="16"/>
          <w:szCs w:val="16"/>
          <w:color w:val="auto"/>
        </w:rPr>
      </w:pPr>
      <w:r>
        <w:rPr>
          <w:rFonts w:ascii="Arial" w:cs="Arial" w:eastAsia="Arial" w:hAnsi="Arial"/>
          <w:sz w:val="16"/>
          <w:szCs w:val="16"/>
          <w:color w:val="auto"/>
        </w:rPr>
        <w:t>The subject annual report, semi-annual report, transition report on Form 10-K, Form 20-F, Form 11-K, Form N-SAR or Form N-CSR, or portion thereof, will be filed on or before the fifteenth calendar day following the prescribed due date; or the subject quarterly report or transition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288290</wp:posOffset>
            </wp:positionH>
            <wp:positionV relativeFrom="paragraph">
              <wp:posOffset>-546100</wp:posOffset>
            </wp:positionV>
            <wp:extent cx="8890" cy="7562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8890" cy="756285"/>
                    </a:xfrm>
                    <a:prstGeom prst="rect">
                      <a:avLst/>
                    </a:prstGeom>
                    <a:noFill/>
                  </pic:spPr>
                </pic:pic>
              </a:graphicData>
            </a:graphic>
          </wp:anchor>
        </w:drawing>
      </w:r>
    </w:p>
    <w:p>
      <w:pPr>
        <w:sectPr>
          <w:pgSz w:w="11900" w:h="16838" w:orient="portrait"/>
          <w:cols w:equalWidth="0" w:num="1">
            <w:col w:w="11440"/>
          </w:cols>
          <w:pgMar w:left="240" w:top="247" w:right="219" w:bottom="0" w:gutter="0" w:footer="0" w:header="0"/>
          <w:type w:val="continuous"/>
        </w:sectPr>
      </w:pPr>
    </w:p>
    <w:bookmarkStart w:id="1" w:name="page2"/>
    <w:bookmarkEnd w:id="1"/>
    <w:p>
      <w:pPr>
        <w:ind w:left="340"/>
        <w:spacing w:after="0" w:line="277" w:lineRule="auto"/>
        <w:rPr>
          <w:sz w:val="20"/>
          <w:szCs w:val="20"/>
          <w:color w:val="auto"/>
        </w:rPr>
      </w:pPr>
      <w:r>
        <w:rPr>
          <w:rFonts w:ascii="Arial" w:cs="Arial" w:eastAsia="Arial" w:hAnsi="Arial"/>
          <w:sz w:val="18"/>
          <w:szCs w:val="18"/>
          <w:color w:val="auto"/>
        </w:rPr>
        <w:t>on Form 10-Q or subject distribution report on Form 10-D, or portion thereof, will be filed on or before the fifth calendar day following the prescribed due date; 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-293370</wp:posOffset>
            </wp:positionV>
            <wp:extent cx="8890" cy="5060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8890" cy="506095"/>
                    </a:xfrm>
                    <a:prstGeom prst="rect">
                      <a:avLst/>
                    </a:prstGeom>
                    <a:noFill/>
                  </pic:spPr>
                </pic:pic>
              </a:graphicData>
            </a:graphic>
          </wp:anchor>
        </w:drawing>
      </w:r>
    </w:p>
    <w:p>
      <w:pPr>
        <w:spacing w:after="0" w:line="83" w:lineRule="exact"/>
        <w:rPr>
          <w:sz w:val="20"/>
          <w:szCs w:val="20"/>
          <w:color w:val="auto"/>
        </w:rPr>
      </w:pPr>
    </w:p>
    <w:p>
      <w:pPr>
        <w:spacing w:after="0"/>
        <w:rPr>
          <w:sz w:val="20"/>
          <w:szCs w:val="20"/>
          <w:color w:val="auto"/>
        </w:rPr>
      </w:pPr>
      <w:r>
        <w:rPr>
          <w:rFonts w:ascii="Arial" w:cs="Arial" w:eastAsia="Arial" w:hAnsi="Arial"/>
          <w:sz w:val="18"/>
          <w:szCs w:val="18"/>
          <w:color w:val="auto"/>
        </w:rPr>
        <w:t>(c)  The accountant’s statement or other exhibit required by Rule 12b-25(c) has been attached if applicable.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-337185</wp:posOffset>
            </wp:positionH>
            <wp:positionV relativeFrom="paragraph">
              <wp:posOffset>255270</wp:posOffset>
            </wp:positionV>
            <wp:extent cx="72466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380"/>
          </w:cols>
          <w:pgMar w:left="780" w:top="125" w:right="73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 III — NARRATIVE</w:t>
      </w:r>
    </w:p>
    <w:p>
      <w:pPr>
        <w:spacing w:after="0" w:line="229" w:lineRule="exact"/>
        <w:rPr>
          <w:sz w:val="20"/>
          <w:szCs w:val="20"/>
          <w:color w:val="auto"/>
        </w:rPr>
      </w:pPr>
    </w:p>
    <w:p>
      <w:pPr>
        <w:ind w:right="340" w:firstLine="456"/>
        <w:spacing w:after="0" w:line="277" w:lineRule="auto"/>
        <w:rPr>
          <w:sz w:val="20"/>
          <w:szCs w:val="20"/>
          <w:color w:val="auto"/>
        </w:rPr>
      </w:pPr>
      <w:r>
        <w:rPr>
          <w:rFonts w:ascii="Arial" w:cs="Arial" w:eastAsia="Arial" w:hAnsi="Arial"/>
          <w:sz w:val="18"/>
          <w:szCs w:val="18"/>
          <w:color w:val="auto"/>
        </w:rPr>
        <w:t>State below in reasonable detail why Forms 10-K, 20-F, 11-K, 10-Q, 10-D, N-SAR, N-CSR, or the transition report or portion thereof, could not be filed within the prescribed time period.</w:t>
      </w:r>
    </w:p>
    <w:p>
      <w:pPr>
        <w:spacing w:after="0" w:line="180" w:lineRule="exact"/>
        <w:rPr>
          <w:sz w:val="20"/>
          <w:szCs w:val="20"/>
          <w:color w:val="auto"/>
        </w:rPr>
      </w:pPr>
    </w:p>
    <w:p>
      <w:pPr>
        <w:ind w:left="1720" w:right="40" w:hanging="1714"/>
        <w:spacing w:after="0" w:line="282" w:lineRule="auto"/>
        <w:tabs>
          <w:tab w:leader="none" w:pos="1700" w:val="left"/>
        </w:tabs>
        <w:rPr>
          <w:sz w:val="20"/>
          <w:szCs w:val="20"/>
          <w:color w:val="auto"/>
        </w:rPr>
      </w:pPr>
      <w:r>
        <w:rPr>
          <w:rFonts w:ascii="Arial" w:cs="Arial" w:eastAsia="Arial" w:hAnsi="Arial"/>
          <w:sz w:val="18"/>
          <w:szCs w:val="18"/>
          <w:color w:val="auto"/>
        </w:rPr>
        <w:t>SEC 1344 (03-05)</w:t>
      </w:r>
      <w:r>
        <w:rPr>
          <w:sz w:val="20"/>
          <w:szCs w:val="20"/>
          <w:color w:val="auto"/>
        </w:rPr>
        <w:tab/>
      </w:r>
      <w:r>
        <w:rPr>
          <w:rFonts w:ascii="Arial" w:cs="Arial" w:eastAsia="Arial" w:hAnsi="Arial"/>
          <w:sz w:val="18"/>
          <w:szCs w:val="18"/>
          <w:b w:val="1"/>
          <w:bCs w:val="1"/>
          <w:color w:val="auto"/>
        </w:rPr>
        <w:t>Persons who are to respond to the collection of information contained in this form are not required to respond unless the form displays a currently valid OMB control number.</w:t>
      </w:r>
    </w:p>
    <w:p>
      <w:pPr>
        <w:spacing w:after="0" w:line="16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(Attach extra Sheets if Needed)</w:t>
      </w:r>
    </w:p>
    <w:p>
      <w:pPr>
        <w:spacing w:after="0" w:line="225" w:lineRule="exact"/>
        <w:rPr>
          <w:sz w:val="20"/>
          <w:szCs w:val="20"/>
          <w:color w:val="auto"/>
        </w:rPr>
      </w:pPr>
    </w:p>
    <w:p>
      <w:pPr>
        <w:ind w:firstLine="456"/>
        <w:spacing w:after="0" w:line="308" w:lineRule="auto"/>
        <w:rPr>
          <w:sz w:val="20"/>
          <w:szCs w:val="20"/>
          <w:color w:val="auto"/>
        </w:rPr>
      </w:pPr>
      <w:r>
        <w:rPr>
          <w:rFonts w:ascii="Arial" w:cs="Arial" w:eastAsia="Arial" w:hAnsi="Arial"/>
          <w:sz w:val="17"/>
          <w:szCs w:val="17"/>
          <w:color w:val="auto"/>
        </w:rPr>
        <w:t>Marvell Technology Group Ltd. (“Company”) has determined that it is unable to file its Quarterly Report on Form 10-Q for the quarter ended August 1, 2015 (“Quarterly Report”) within the prescribed time period without unreasonable effort or expense for the reasons described below.</w:t>
      </w:r>
    </w:p>
    <w:p>
      <w:pPr>
        <w:spacing w:after="0" w:line="147" w:lineRule="exact"/>
        <w:rPr>
          <w:sz w:val="20"/>
          <w:szCs w:val="20"/>
          <w:color w:val="auto"/>
        </w:rPr>
      </w:pPr>
    </w:p>
    <w:p>
      <w:pPr>
        <w:ind w:right="40" w:firstLine="456"/>
        <w:spacing w:after="0" w:line="285" w:lineRule="auto"/>
        <w:rPr>
          <w:sz w:val="20"/>
          <w:szCs w:val="20"/>
          <w:color w:val="auto"/>
        </w:rPr>
      </w:pPr>
      <w:r>
        <w:rPr>
          <w:rFonts w:ascii="Arial" w:cs="Arial" w:eastAsia="Arial" w:hAnsi="Arial"/>
          <w:sz w:val="16"/>
          <w:szCs w:val="16"/>
          <w:color w:val="auto"/>
        </w:rPr>
        <w:t>As disclosed in the Company’s press release dated September 11, 2015, the Audit Committee of the Company’s Board of Directors is conducting an independent investigation of certain accounting and internal control matters in the second quarter of fiscal 2016. The investigation consists of a review of certain revenue recognition issues in the second quarter of fiscal 2016 and any associated issues with whether senior management’s operating style during the period resulted in an open flow of information and communication to set an appropriate tone for an effective control environment. More specifically, the investigation has focused on the approximately 7 to 8 percent of revenue recognized in the second quarter of fiscal 2016 that, based upon the original customer request date, would have been received and earned in the third quarter of fiscal 2016 and is now no longer available for receipt in that quarter. Such percentage represents an increase over the prior four quarters and is indicative of softening demand for certain of the Company’s products. This was particularly the case in the storage end market where, as a result of a weaker global economy and a slow-down in the PC market, the Company saw weaker than expected demand for HDD products as the overall total available market declined. The Audit Committee’s investigation to date has revealed no material issues regarding the Company’s 2016 second quarter financial results, and the Company believes the investigation will have no material impact on its previously issued financial statements. The Audit Committee is also reviewing certain aspects of the Company’s internal control over financial reporting, including controls for the establishment of reserves for litigation and whether senior management’s operating style resulted in an open flow of information and communication to set an appropriate tone for an effective control environment. The Company’s review of such internal controls is ongoing and may ultimately affect management’s conclusion of the effectiveness of internal control over financial reporting as of the end of the second quarter of fiscal 2016. For these reasons the Company has experienced a delay in the completion of its financial statements, Management’s Discussion and Analysis of Financial Condition and Results of Operations and other related components of the Quarterly Report.</w:t>
      </w:r>
    </w:p>
    <w:p>
      <w:pPr>
        <w:spacing w:after="0" w:line="178"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The Audit Committee and Company management are also discussing potential enhancements to the Company’s internal controls and remedial actions to address the items discussed above and the adequacy of financial reporting resources. As a result, the Company is not providing any guidance as to the expected results for the third quarter of fiscal 2016 at this time.</w:t>
      </w:r>
    </w:p>
    <w:p>
      <w:pPr>
        <w:spacing w:after="0" w:line="181" w:lineRule="exact"/>
        <w:rPr>
          <w:sz w:val="20"/>
          <w:szCs w:val="20"/>
          <w:color w:val="auto"/>
        </w:rPr>
      </w:pPr>
    </w:p>
    <w:p>
      <w:pPr>
        <w:ind w:firstLine="456"/>
        <w:spacing w:after="0" w:line="253" w:lineRule="auto"/>
        <w:rPr>
          <w:sz w:val="20"/>
          <w:szCs w:val="20"/>
          <w:color w:val="auto"/>
        </w:rPr>
      </w:pPr>
      <w:r>
        <w:rPr>
          <w:rFonts w:ascii="Arial" w:cs="Arial" w:eastAsia="Arial" w:hAnsi="Arial"/>
          <w:sz w:val="18"/>
          <w:szCs w:val="18"/>
          <w:color w:val="auto"/>
        </w:rPr>
        <w:t>This document contains “forward-looking statements” within the meaning of Section 27A of the Securities Act of 1933, as amended, and Section 21E of the Securities Exchange Act of 1934, as amended. These forward-looking statements often include words such as “believe,” “expect,” “will,” or similar expressions. These statements are not guarantees of results, and our actual results could differ materially from those expressed in the forward-looking statements due to a variety of important factors, both positive and negative, including that additional issues or facts may be identified during the Audit Committee’s investigation that could cause material impacts on the Company’s historical or anticipated financial results. The Company therefore cautions you against relying on these forward-looking statements. All forward-looking statements attributable to the Company or persons acting on the Company’s behalf are expressly qualified in their entirety by the foregoing cautionary statements. All such statements speak only as of the date made, and, except as required by law, the Company undertakes no obligation to update or revise publicly any forward-looking statements, whether as a result of new information, future events or otherwise.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168275</wp:posOffset>
            </wp:positionV>
            <wp:extent cx="7246620" cy="171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46620" cy="17145"/>
                    </a:xfrm>
                    <a:prstGeom prst="rect">
                      <a:avLst/>
                    </a:prstGeom>
                    <a:noFill/>
                  </pic:spPr>
                </pic:pic>
              </a:graphicData>
            </a:graphic>
          </wp:anchor>
        </w:drawing>
      </w:r>
    </w:p>
    <w:p>
      <w:pPr>
        <w:spacing w:after="0" w:line="200" w:lineRule="exact"/>
        <w:rPr>
          <w:sz w:val="20"/>
          <w:szCs w:val="20"/>
          <w:color w:val="auto"/>
        </w:rPr>
      </w:pPr>
    </w:p>
    <w:p>
      <w:pPr>
        <w:spacing w:after="0" w:line="27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IV — OTHER INFORMATION</w:t>
      </w:r>
    </w:p>
    <w:p>
      <w:pPr>
        <w:spacing w:after="0" w:line="256" w:lineRule="exact"/>
        <w:rPr>
          <w:sz w:val="20"/>
          <w:szCs w:val="20"/>
          <w:color w:val="auto"/>
        </w:rPr>
      </w:pPr>
    </w:p>
    <w:p>
      <w:pPr>
        <w:ind w:left="460" w:hanging="452"/>
        <w:spacing w:after="0"/>
        <w:tabs>
          <w:tab w:leader="none" w:pos="460" w:val="left"/>
        </w:tabs>
        <w:numPr>
          <w:ilvl w:val="0"/>
          <w:numId w:val="3"/>
        </w:numPr>
        <w:rPr>
          <w:rFonts w:ascii="Arial" w:cs="Arial" w:eastAsia="Arial" w:hAnsi="Arial"/>
          <w:sz w:val="18"/>
          <w:szCs w:val="18"/>
          <w:color w:val="auto"/>
        </w:rPr>
      </w:pPr>
      <w:r>
        <w:rPr>
          <w:rFonts w:ascii="Arial" w:cs="Arial" w:eastAsia="Arial" w:hAnsi="Arial"/>
          <w:sz w:val="18"/>
          <w:szCs w:val="18"/>
          <w:color w:val="auto"/>
        </w:rPr>
        <w:t>Name and telephone number of person to contact in regard to this notification</w:t>
      </w:r>
    </w:p>
    <w:p>
      <w:pPr>
        <w:spacing w:after="0" w:line="200" w:lineRule="exact"/>
        <w:rPr>
          <w:sz w:val="20"/>
          <w:szCs w:val="20"/>
          <w:color w:val="auto"/>
        </w:rPr>
      </w:pPr>
    </w:p>
    <w:p>
      <w:pPr>
        <w:spacing w:after="0" w:line="305" w:lineRule="exact"/>
        <w:rPr>
          <w:sz w:val="20"/>
          <w:szCs w:val="20"/>
          <w:color w:val="auto"/>
        </w:rPr>
      </w:pPr>
    </w:p>
    <w:tbl>
      <w:tblPr>
        <w:tblLayout w:type="fixed"/>
        <w:tblInd w:w="460" w:type="dxa"/>
        <w:tblCellMar>
          <w:top w:w="0" w:type="dxa"/>
          <w:left w:w="0" w:type="dxa"/>
          <w:bottom w:w="0" w:type="dxa"/>
          <w:right w:w="0" w:type="dxa"/>
        </w:tblCellMar>
      </w:tblPr>
      <w:tr>
        <w:trPr>
          <w:trHeight w:val="234"/>
        </w:trPr>
        <w:tc>
          <w:tcPr>
            <w:tcW w:w="4060" w:type="dxa"/>
            <w:vAlign w:val="bottom"/>
            <w:gridSpan w:val="2"/>
          </w:tcPr>
          <w:p>
            <w:pPr>
              <w:jc w:val="center"/>
              <w:ind w:right="520"/>
              <w:spacing w:after="0"/>
              <w:rPr>
                <w:sz w:val="20"/>
                <w:szCs w:val="20"/>
                <w:color w:val="auto"/>
              </w:rPr>
            </w:pPr>
            <w:r>
              <w:rPr>
                <w:rFonts w:ascii="Arial" w:cs="Arial" w:eastAsia="Arial" w:hAnsi="Arial"/>
                <w:sz w:val="18"/>
                <w:szCs w:val="18"/>
                <w:b w:val="1"/>
                <w:bCs w:val="1"/>
                <w:color w:val="auto"/>
                <w:w w:val="89"/>
              </w:rPr>
              <w:t>Sukhi Nagesh</w:t>
            </w:r>
          </w:p>
        </w:tc>
        <w:tc>
          <w:tcPr>
            <w:tcW w:w="2340" w:type="dxa"/>
            <w:vAlign w:val="bottom"/>
          </w:tcPr>
          <w:p>
            <w:pPr>
              <w:jc w:val="right"/>
              <w:ind w:right="839"/>
              <w:spacing w:after="0"/>
              <w:rPr>
                <w:sz w:val="20"/>
                <w:szCs w:val="20"/>
                <w:color w:val="auto"/>
              </w:rPr>
            </w:pPr>
            <w:r>
              <w:rPr>
                <w:rFonts w:ascii="Arial" w:cs="Arial" w:eastAsia="Arial" w:hAnsi="Arial"/>
                <w:sz w:val="18"/>
                <w:szCs w:val="18"/>
                <w:b w:val="1"/>
                <w:bCs w:val="1"/>
                <w:color w:val="auto"/>
              </w:rPr>
              <w:t>408</w:t>
            </w:r>
          </w:p>
        </w:tc>
        <w:tc>
          <w:tcPr>
            <w:tcW w:w="840" w:type="dxa"/>
            <w:vAlign w:val="bottom"/>
          </w:tcPr>
          <w:p>
            <w:pPr>
              <w:spacing w:after="0"/>
              <w:rPr>
                <w:sz w:val="20"/>
                <w:szCs w:val="20"/>
                <w:color w:val="auto"/>
              </w:rPr>
            </w:pPr>
          </w:p>
        </w:tc>
        <w:tc>
          <w:tcPr>
            <w:tcW w:w="3260" w:type="dxa"/>
            <w:vAlign w:val="bottom"/>
          </w:tcPr>
          <w:p>
            <w:pPr>
              <w:jc w:val="right"/>
              <w:ind w:right="1159"/>
              <w:spacing w:after="0"/>
              <w:rPr>
                <w:sz w:val="20"/>
                <w:szCs w:val="20"/>
                <w:color w:val="auto"/>
              </w:rPr>
            </w:pPr>
            <w:r>
              <w:rPr>
                <w:rFonts w:ascii="Arial" w:cs="Arial" w:eastAsia="Arial" w:hAnsi="Arial"/>
                <w:sz w:val="18"/>
                <w:szCs w:val="18"/>
                <w:b w:val="1"/>
                <w:bCs w:val="1"/>
                <w:color w:val="auto"/>
              </w:rPr>
              <w:t>222-2500</w:t>
            </w:r>
          </w:p>
        </w:tc>
      </w:tr>
      <w:tr>
        <w:trPr>
          <w:trHeight w:val="180"/>
        </w:trPr>
        <w:tc>
          <w:tcPr>
            <w:tcW w:w="3540" w:type="dxa"/>
            <w:vAlign w:val="bottom"/>
            <w:tcBorders>
              <w:top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(Name)</w:t>
            </w:r>
          </w:p>
        </w:tc>
        <w:tc>
          <w:tcPr>
            <w:tcW w:w="520" w:type="dxa"/>
            <w:vAlign w:val="bottom"/>
          </w:tcPr>
          <w:p>
            <w:pPr>
              <w:spacing w:after="0"/>
              <w:rPr>
                <w:sz w:val="15"/>
                <w:szCs w:val="15"/>
                <w:color w:val="auto"/>
              </w:rPr>
            </w:pPr>
          </w:p>
        </w:tc>
        <w:tc>
          <w:tcPr>
            <w:tcW w:w="2340" w:type="dxa"/>
            <w:vAlign w:val="bottom"/>
            <w:tcBorders>
              <w:top w:val="single" w:sz="8" w:color="auto"/>
            </w:tcBorders>
          </w:tcPr>
          <w:p>
            <w:pPr>
              <w:jc w:val="center"/>
              <w:ind w:left="139"/>
              <w:spacing w:after="0"/>
              <w:rPr>
                <w:sz w:val="20"/>
                <w:szCs w:val="20"/>
                <w:color w:val="auto"/>
              </w:rPr>
            </w:pPr>
            <w:r>
              <w:rPr>
                <w:rFonts w:ascii="Arial" w:cs="Arial" w:eastAsia="Arial" w:hAnsi="Arial"/>
                <w:sz w:val="14"/>
                <w:szCs w:val="14"/>
                <w:b w:val="1"/>
                <w:bCs w:val="1"/>
                <w:color w:val="auto"/>
                <w:w w:val="95"/>
              </w:rPr>
              <w:t>(Area Code)</w:t>
            </w:r>
          </w:p>
        </w:tc>
        <w:tc>
          <w:tcPr>
            <w:tcW w:w="840" w:type="dxa"/>
            <w:vAlign w:val="bottom"/>
          </w:tcPr>
          <w:p>
            <w:pPr>
              <w:spacing w:after="0"/>
              <w:rPr>
                <w:sz w:val="15"/>
                <w:szCs w:val="15"/>
                <w:color w:val="auto"/>
              </w:rPr>
            </w:pPr>
          </w:p>
        </w:tc>
        <w:tc>
          <w:tcPr>
            <w:tcW w:w="3260" w:type="dxa"/>
            <w:vAlign w:val="bottom"/>
            <w:tcBorders>
              <w:top w:val="single" w:sz="8" w:color="auto"/>
            </w:tcBorders>
          </w:tcPr>
          <w:p>
            <w:pPr>
              <w:jc w:val="center"/>
              <w:ind w:left="19"/>
              <w:spacing w:after="0"/>
              <w:rPr>
                <w:sz w:val="20"/>
                <w:szCs w:val="20"/>
                <w:color w:val="auto"/>
              </w:rPr>
            </w:pPr>
            <w:r>
              <w:rPr>
                <w:rFonts w:ascii="Arial" w:cs="Arial" w:eastAsia="Arial" w:hAnsi="Arial"/>
                <w:sz w:val="14"/>
                <w:szCs w:val="14"/>
                <w:b w:val="1"/>
                <w:bCs w:val="1"/>
                <w:color w:val="auto"/>
                <w:w w:val="93"/>
              </w:rPr>
              <w:t>(Telephone Number)</w:t>
            </w:r>
          </w:p>
        </w:tc>
      </w:tr>
    </w:tbl>
    <w:p>
      <w:pPr>
        <w:spacing w:after="0" w:line="69" w:lineRule="exact"/>
        <w:rPr>
          <w:sz w:val="20"/>
          <w:szCs w:val="20"/>
          <w:color w:val="auto"/>
        </w:rPr>
      </w:pPr>
    </w:p>
    <w:p>
      <w:pPr>
        <w:ind w:left="460" w:right="60" w:hanging="452"/>
        <w:spacing w:after="0" w:line="287" w:lineRule="auto"/>
        <w:tabs>
          <w:tab w:leader="none" w:pos="460" w:val="left"/>
        </w:tabs>
        <w:numPr>
          <w:ilvl w:val="0"/>
          <w:numId w:val="4"/>
        </w:numPr>
        <w:rPr>
          <w:rFonts w:ascii="Arial" w:cs="Arial" w:eastAsia="Arial" w:hAnsi="Arial"/>
          <w:sz w:val="16"/>
          <w:szCs w:val="16"/>
          <w:color w:val="auto"/>
        </w:rPr>
      </w:pPr>
      <w:r>
        <w:rPr>
          <w:rFonts w:ascii="Arial" w:cs="Arial" w:eastAsia="Arial" w:hAnsi="Arial"/>
          <w:sz w:val="16"/>
          <w:szCs w:val="16"/>
          <w:color w:val="auto"/>
        </w:rPr>
        <w:t>Have all other periodic reports required under Section 13 or 15(d) of the Securities Exchange Act of 1934 or Section 30 of the Investment Company Act of 1940 during the preceding 12 months or for such shorter period that the registrant was required to file such report(s) been filed ? If answer is no,</w:t>
      </w:r>
    </w:p>
    <w:p>
      <w:pPr>
        <w:spacing w:after="0" w:line="1" w:lineRule="exact"/>
        <w:rPr>
          <w:sz w:val="20"/>
          <w:szCs w:val="20"/>
          <w:color w:val="auto"/>
        </w:rPr>
      </w:pPr>
    </w:p>
    <w:p>
      <w:pPr>
        <w:ind w:left="460"/>
        <w:spacing w:after="0" w:line="207" w:lineRule="exact"/>
        <w:tabs>
          <w:tab w:leader="none" w:pos="1880" w:val="left"/>
        </w:tabs>
        <w:rPr>
          <w:sz w:val="20"/>
          <w:szCs w:val="20"/>
          <w:color w:val="auto"/>
        </w:rPr>
      </w:pPr>
      <w:r>
        <w:rPr>
          <w:rFonts w:ascii="Arial" w:cs="Arial" w:eastAsia="Arial" w:hAnsi="Arial"/>
          <w:sz w:val="18"/>
          <w:szCs w:val="18"/>
          <w:color w:val="auto"/>
        </w:rPr>
        <w:t>identify report(s).</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14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sectPr>
      </w:pPr>
    </w:p>
    <w:bookmarkStart w:id="3" w:name="page4"/>
    <w:bookmarkEnd w:id="3"/>
    <w:p>
      <w:pPr>
        <w:ind w:left="460" w:hanging="452"/>
        <w:spacing w:after="0"/>
        <w:tabs>
          <w:tab w:leader="none" w:pos="460" w:val="left"/>
        </w:tabs>
        <w:numPr>
          <w:ilvl w:val="0"/>
          <w:numId w:val="5"/>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Is it anticipated that any significant change in results of operations from the corresponding period for the last fiscal year will be reflected by the</w:t>
      </w:r>
    </w:p>
    <w:p>
      <w:pPr>
        <w:spacing w:after="0" w:line="30" w:lineRule="exact"/>
        <w:rPr>
          <w:sz w:val="20"/>
          <w:szCs w:val="20"/>
          <w:color w:val="auto"/>
        </w:rPr>
      </w:pPr>
    </w:p>
    <w:p>
      <w:pPr>
        <w:ind w:left="460"/>
        <w:spacing w:after="0" w:line="207" w:lineRule="exact"/>
        <w:tabs>
          <w:tab w:leader="none" w:pos="5960" w:val="left"/>
        </w:tabs>
        <w:rPr>
          <w:sz w:val="20"/>
          <w:szCs w:val="20"/>
          <w:color w:val="auto"/>
        </w:rPr>
      </w:pPr>
      <w:r>
        <w:rPr>
          <w:rFonts w:ascii="Arial" w:cs="Arial" w:eastAsia="Arial" w:hAnsi="Arial"/>
          <w:sz w:val="18"/>
          <w:szCs w:val="18"/>
          <w:color w:val="auto"/>
        </w:rPr>
        <w:t>earnings statements to be included in the subject report or portion thereof?</w:t>
      </w:r>
      <w:r>
        <w:rPr>
          <w:sz w:val="20"/>
          <w:szCs w:val="20"/>
          <w:color w:val="auto"/>
        </w:rPr>
        <w:tab/>
      </w:r>
      <w:r>
        <w:rPr>
          <w:rFonts w:ascii="MS PGothic" w:cs="MS PGothic" w:eastAsia="MS PGothic" w:hAnsi="MS PGothic"/>
          <w:sz w:val="18"/>
          <w:szCs w:val="18"/>
          <w:color w:val="auto"/>
        </w:rPr>
        <w:t xml:space="preserve">☒ </w:t>
      </w:r>
      <w:r>
        <w:rPr>
          <w:rFonts w:ascii="Arial" w:cs="Arial" w:eastAsia="Arial" w:hAnsi="Arial"/>
          <w:sz w:val="18"/>
          <w:szCs w:val="18"/>
          <w:color w:val="auto"/>
        </w:rPr>
        <w:t>Yes</w:t>
      </w:r>
      <w:r>
        <w:rPr>
          <w:rFonts w:ascii="MS PGothic" w:cs="MS PGothic" w:eastAsia="MS PGothic" w:hAnsi="MS PGothic"/>
          <w:sz w:val="18"/>
          <w:szCs w:val="18"/>
          <w:color w:val="auto"/>
        </w:rPr>
        <w:t xml:space="preserve">  ☐ </w:t>
      </w:r>
      <w:r>
        <w:rPr>
          <w:rFonts w:ascii="Arial" w:cs="Arial" w:eastAsia="Arial" w:hAnsi="Arial"/>
          <w:sz w:val="18"/>
          <w:szCs w:val="18"/>
          <w:color w:val="auto"/>
        </w:rPr>
        <w:t>No</w:t>
      </w:r>
    </w:p>
    <w:p>
      <w:pPr>
        <w:spacing w:after="0" w:line="216" w:lineRule="exact"/>
        <w:rPr>
          <w:sz w:val="20"/>
          <w:szCs w:val="20"/>
          <w:color w:val="auto"/>
        </w:rPr>
      </w:pPr>
    </w:p>
    <w:p>
      <w:pPr>
        <w:ind w:left="460" w:right="620"/>
        <w:spacing w:after="0" w:line="277" w:lineRule="auto"/>
        <w:rPr>
          <w:sz w:val="20"/>
          <w:szCs w:val="20"/>
          <w:color w:val="auto"/>
        </w:rPr>
      </w:pPr>
      <w:r>
        <w:rPr>
          <w:rFonts w:ascii="Arial" w:cs="Arial" w:eastAsia="Arial" w:hAnsi="Arial"/>
          <w:sz w:val="18"/>
          <w:szCs w:val="18"/>
          <w:color w:val="auto"/>
        </w:rPr>
        <w:t>If so, attach an explanation of the anticipated change, both narratively and quantitatively, and, if appropriate, state the reasons why a reasonable estimate of the results cannot be made.</w:t>
      </w:r>
    </w:p>
    <w:p>
      <w:pPr>
        <w:spacing w:after="0" w:line="170" w:lineRule="exact"/>
        <w:rPr>
          <w:sz w:val="20"/>
          <w:szCs w:val="20"/>
          <w:color w:val="auto"/>
        </w:rPr>
      </w:pPr>
    </w:p>
    <w:p>
      <w:pPr>
        <w:ind w:left="460" w:right="140"/>
        <w:spacing w:after="0" w:line="308" w:lineRule="auto"/>
        <w:rPr>
          <w:sz w:val="20"/>
          <w:szCs w:val="20"/>
          <w:color w:val="auto"/>
        </w:rPr>
      </w:pPr>
      <w:r>
        <w:rPr>
          <w:rFonts w:ascii="Arial" w:cs="Arial" w:eastAsia="Arial" w:hAnsi="Arial"/>
          <w:sz w:val="17"/>
          <w:szCs w:val="17"/>
          <w:color w:val="auto"/>
        </w:rPr>
        <w:t>The Company anticipates reporting the following results of operations for the second fiscal quarter and first half of 2016, which anticipated results are presented alongside the comparable periods for the prior fiscal year, and the results for the first fiscal quarter of fiscal 2016.</w:t>
      </w:r>
    </w:p>
    <w:p>
      <w:pPr>
        <w:spacing w:after="0" w:line="35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20" w:type="dxa"/>
            <w:vAlign w:val="bottom"/>
          </w:tcPr>
          <w:p>
            <w:pPr>
              <w:spacing w:after="0"/>
              <w:rPr>
                <w:sz w:val="14"/>
                <w:szCs w:val="14"/>
                <w:color w:val="auto"/>
              </w:rPr>
            </w:pPr>
          </w:p>
        </w:tc>
        <w:tc>
          <w:tcPr>
            <w:tcW w:w="6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5"/>
          </w:tcPr>
          <w:p>
            <w:pPr>
              <w:ind w:left="620"/>
              <w:spacing w:after="0"/>
              <w:rPr>
                <w:sz w:val="20"/>
                <w:szCs w:val="20"/>
                <w:color w:val="auto"/>
              </w:rPr>
            </w:pPr>
            <w:r>
              <w:rPr>
                <w:rFonts w:ascii="Arial" w:cs="Arial" w:eastAsia="Arial" w:hAnsi="Arial"/>
                <w:sz w:val="14"/>
                <w:szCs w:val="14"/>
                <w:b w:val="1"/>
                <w:bCs w:val="1"/>
                <w:color w:val="auto"/>
                <w:w w:val="95"/>
              </w:rPr>
              <w:t>Three Months Ended</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80" w:type="dxa"/>
            <w:vAlign w:val="bottom"/>
            <w:gridSpan w:val="6"/>
          </w:tcPr>
          <w:p>
            <w:pPr>
              <w:jc w:val="right"/>
              <w:ind w:right="520"/>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6260" w:type="dxa"/>
            <w:vAlign w:val="bottom"/>
          </w:tcPr>
          <w:p>
            <w:pPr>
              <w:spacing w:after="0"/>
              <w:rPr>
                <w:sz w:val="10"/>
                <w:szCs w:val="10"/>
                <w:color w:val="auto"/>
              </w:rPr>
            </w:pPr>
          </w:p>
        </w:tc>
        <w:tc>
          <w:tcPr>
            <w:tcW w:w="1060" w:type="dxa"/>
            <w:vAlign w:val="bottom"/>
            <w:tcBorders>
              <w:top w:val="single" w:sz="8" w:color="auto"/>
            </w:tcBorders>
            <w:gridSpan w:val="3"/>
          </w:tcPr>
          <w:p>
            <w:pPr>
              <w:jc w:val="right"/>
              <w:ind w:right="380"/>
              <w:spacing w:after="0" w:line="119" w:lineRule="exact"/>
              <w:rPr>
                <w:sz w:val="20"/>
                <w:szCs w:val="20"/>
                <w:color w:val="auto"/>
              </w:rPr>
            </w:pPr>
            <w:r>
              <w:rPr>
                <w:rFonts w:ascii="Arial" w:cs="Arial" w:eastAsia="Arial" w:hAnsi="Arial"/>
                <w:sz w:val="13"/>
                <w:szCs w:val="13"/>
                <w:b w:val="1"/>
                <w:bCs w:val="1"/>
                <w:color w:val="auto"/>
              </w:rPr>
              <w:t>August 1,</w:t>
            </w: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ind w:left="40"/>
              <w:spacing w:after="0" w:line="119" w:lineRule="exact"/>
              <w:rPr>
                <w:sz w:val="20"/>
                <w:szCs w:val="20"/>
                <w:color w:val="auto"/>
              </w:rPr>
            </w:pPr>
            <w:r>
              <w:rPr>
                <w:rFonts w:ascii="Arial" w:cs="Arial" w:eastAsia="Arial" w:hAnsi="Arial"/>
                <w:sz w:val="13"/>
                <w:szCs w:val="13"/>
                <w:b w:val="1"/>
                <w:bCs w:val="1"/>
                <w:color w:val="auto"/>
              </w:rPr>
              <w:t>May 2,</w:t>
            </w:r>
          </w:p>
        </w:tc>
        <w:tc>
          <w:tcPr>
            <w:tcW w:w="680" w:type="dxa"/>
            <w:vAlign w:val="bottom"/>
            <w:tcBorders>
              <w:top w:val="single" w:sz="8" w:color="auto"/>
            </w:tcBorders>
            <w:gridSpan w:val="2"/>
          </w:tcPr>
          <w:p>
            <w:pPr>
              <w:jc w:val="center"/>
              <w:spacing w:after="0" w:line="119" w:lineRule="exact"/>
              <w:rPr>
                <w:sz w:val="20"/>
                <w:szCs w:val="20"/>
                <w:color w:val="auto"/>
              </w:rPr>
            </w:pPr>
            <w:r>
              <w:rPr>
                <w:rFonts w:ascii="Arial" w:cs="Arial" w:eastAsia="Arial" w:hAnsi="Arial"/>
                <w:sz w:val="13"/>
                <w:szCs w:val="13"/>
                <w:b w:val="1"/>
                <w:bCs w:val="1"/>
                <w:color w:val="auto"/>
                <w:w w:val="97"/>
              </w:rPr>
              <w:t>August 2,</w:t>
            </w:r>
          </w:p>
        </w:tc>
        <w:tc>
          <w:tcPr>
            <w:tcW w:w="32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20" w:type="dxa"/>
            <w:vAlign w:val="bottom"/>
            <w:tcBorders>
              <w:top w:val="single" w:sz="8" w:color="auto"/>
            </w:tcBorders>
            <w:gridSpan w:val="2"/>
          </w:tcPr>
          <w:p>
            <w:pPr>
              <w:jc w:val="right"/>
              <w:ind w:right="320"/>
              <w:spacing w:after="0" w:line="119" w:lineRule="exact"/>
              <w:rPr>
                <w:sz w:val="20"/>
                <w:szCs w:val="20"/>
                <w:color w:val="auto"/>
              </w:rPr>
            </w:pPr>
            <w:r>
              <w:rPr>
                <w:rFonts w:ascii="Arial" w:cs="Arial" w:eastAsia="Arial" w:hAnsi="Arial"/>
                <w:sz w:val="13"/>
                <w:szCs w:val="13"/>
                <w:b w:val="1"/>
                <w:bCs w:val="1"/>
                <w:color w:val="auto"/>
                <w:w w:val="97"/>
              </w:rPr>
              <w:t>August 1,</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32"/>
              <w:spacing w:after="0" w:line="119" w:lineRule="exact"/>
              <w:rPr>
                <w:sz w:val="20"/>
                <w:szCs w:val="20"/>
                <w:color w:val="auto"/>
              </w:rPr>
            </w:pPr>
            <w:r>
              <w:rPr>
                <w:rFonts w:ascii="Arial" w:cs="Arial" w:eastAsia="Arial" w:hAnsi="Arial"/>
                <w:sz w:val="13"/>
                <w:szCs w:val="13"/>
                <w:b w:val="1"/>
                <w:bCs w:val="1"/>
                <w:color w:val="auto"/>
              </w:rPr>
              <w:t>August 2,</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626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60" w:type="dxa"/>
            <w:vAlign w:val="bottom"/>
            <w:tcBorders>
              <w:bottom w:val="single" w:sz="8" w:color="auto"/>
            </w:tcBorders>
          </w:tcPr>
          <w:p>
            <w:pPr>
              <w:jc w:val="right"/>
              <w:ind w:right="152"/>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2"/>
              <w:spacing w:after="0"/>
              <w:rPr>
                <w:sz w:val="20"/>
                <w:szCs w:val="20"/>
                <w:color w:val="auto"/>
              </w:rPr>
            </w:pPr>
            <w:r>
              <w:rPr>
                <w:rFonts w:ascii="Arial" w:cs="Arial" w:eastAsia="Arial" w:hAnsi="Arial"/>
                <w:sz w:val="14"/>
                <w:szCs w:val="14"/>
                <w:b w:val="1"/>
                <w:bCs w:val="1"/>
                <w:color w:val="auto"/>
              </w:rPr>
              <w:t>2015</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1"/>
              <w:spacing w:after="0"/>
              <w:rPr>
                <w:sz w:val="20"/>
                <w:szCs w:val="20"/>
                <w:color w:val="auto"/>
              </w:rPr>
            </w:pPr>
            <w:r>
              <w:rPr>
                <w:rFonts w:ascii="Arial" w:cs="Arial" w:eastAsia="Arial" w:hAnsi="Arial"/>
                <w:sz w:val="14"/>
                <w:szCs w:val="14"/>
                <w:b w:val="1"/>
                <w:bCs w:val="1"/>
                <w:color w:val="auto"/>
              </w:rPr>
              <w:t>2014</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20" w:type="dxa"/>
            <w:vAlign w:val="bottom"/>
            <w:tcBorders>
              <w:bottom w:val="single" w:sz="8" w:color="auto"/>
            </w:tcBorders>
          </w:tcPr>
          <w:p>
            <w:pPr>
              <w:jc w:val="right"/>
              <w:ind w:right="173"/>
              <w:spacing w:after="0"/>
              <w:rPr>
                <w:sz w:val="20"/>
                <w:szCs w:val="20"/>
                <w:color w:val="auto"/>
              </w:rPr>
            </w:pPr>
            <w:r>
              <w:rPr>
                <w:rFonts w:ascii="Arial" w:cs="Arial" w:eastAsia="Arial" w:hAnsi="Arial"/>
                <w:sz w:val="14"/>
                <w:szCs w:val="14"/>
                <w:b w:val="1"/>
                <w:bCs w:val="1"/>
                <w:color w:val="auto"/>
              </w:rPr>
              <w:t>2015</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40" w:type="dxa"/>
            <w:vAlign w:val="bottom"/>
            <w:tcBorders>
              <w:bottom w:val="single" w:sz="8" w:color="auto"/>
            </w:tcBorders>
          </w:tcPr>
          <w:p>
            <w:pPr>
              <w:jc w:val="right"/>
              <w:ind w:right="192"/>
              <w:spacing w:after="0"/>
              <w:rPr>
                <w:sz w:val="20"/>
                <w:szCs w:val="20"/>
                <w:color w:val="auto"/>
              </w:rPr>
            </w:pPr>
            <w:r>
              <w:rPr>
                <w:rFonts w:ascii="Arial" w:cs="Arial" w:eastAsia="Arial" w:hAnsi="Arial"/>
                <w:sz w:val="14"/>
                <w:szCs w:val="14"/>
                <w:b w:val="1"/>
                <w:bCs w:val="1"/>
                <w:color w:val="auto"/>
              </w:rPr>
              <w:t>2014</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Net revenue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711,326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724,288</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6"/>
              </w:rPr>
              <w:t>961,545</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1,435,614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4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1,919,375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Cost of goods sold</w:t>
            </w:r>
          </w:p>
        </w:tc>
        <w:tc>
          <w:tcPr>
            <w:tcW w:w="1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w w:val="98"/>
              </w:rPr>
              <w:t>748,346</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351,153</w:t>
            </w: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477,741</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w w:val="87"/>
              </w:rPr>
              <w:t>1,099,499</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971,601</w:t>
            </w:r>
          </w:p>
        </w:tc>
        <w:tc>
          <w:tcPr>
            <w:tcW w:w="0" w:type="dxa"/>
            <w:vAlign w:val="bottom"/>
          </w:tcPr>
          <w:p>
            <w:pPr>
              <w:spacing w:after="0"/>
              <w:rPr>
                <w:sz w:val="1"/>
                <w:szCs w:val="1"/>
                <w:color w:val="auto"/>
              </w:rPr>
            </w:pPr>
          </w:p>
        </w:tc>
      </w:tr>
      <w:tr>
        <w:trPr>
          <w:trHeight w:val="75"/>
        </w:trPr>
        <w:tc>
          <w:tcPr>
            <w:tcW w:w="20" w:type="dxa"/>
            <w:vAlign w:val="bottom"/>
            <w:vMerge w:val="restart"/>
          </w:tcPr>
          <w:p>
            <w:pPr>
              <w:spacing w:after="0"/>
              <w:rPr>
                <w:sz w:val="6"/>
                <w:szCs w:val="6"/>
                <w:color w:val="auto"/>
              </w:rPr>
            </w:pPr>
          </w:p>
        </w:tc>
        <w:tc>
          <w:tcPr>
            <w:tcW w:w="626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660" w:type="dxa"/>
            <w:vAlign w:val="bottom"/>
            <w:tcBorders>
              <w:top w:val="single" w:sz="8" w:color="auto"/>
            </w:tcBorders>
          </w:tcPr>
          <w:p>
            <w:pPr>
              <w:spacing w:after="0"/>
              <w:rPr>
                <w:sz w:val="6"/>
                <w:szCs w:val="6"/>
                <w:color w:val="auto"/>
              </w:rPr>
            </w:pPr>
          </w:p>
        </w:tc>
        <w:tc>
          <w:tcPr>
            <w:tcW w:w="30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600" w:type="dxa"/>
            <w:vAlign w:val="bottom"/>
            <w:tcBorders>
              <w:top w:val="single" w:sz="8" w:color="auto"/>
            </w:tcBorders>
          </w:tcPr>
          <w:p>
            <w:pPr>
              <w:spacing w:after="0"/>
              <w:rPr>
                <w:sz w:val="6"/>
                <w:szCs w:val="6"/>
                <w:color w:val="auto"/>
              </w:rPr>
            </w:pPr>
          </w:p>
        </w:tc>
        <w:tc>
          <w:tcPr>
            <w:tcW w:w="30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580" w:type="dxa"/>
            <w:vAlign w:val="bottom"/>
            <w:tcBorders>
              <w:top w:val="single" w:sz="8" w:color="auto"/>
            </w:tcBorders>
          </w:tcPr>
          <w:p>
            <w:pPr>
              <w:spacing w:after="0"/>
              <w:rPr>
                <w:sz w:val="6"/>
                <w:szCs w:val="6"/>
                <w:color w:val="auto"/>
              </w:rPr>
            </w:pPr>
          </w:p>
        </w:tc>
        <w:tc>
          <w:tcPr>
            <w:tcW w:w="32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720" w:type="dxa"/>
            <w:vAlign w:val="bottom"/>
            <w:tcBorders>
              <w:top w:val="single" w:sz="8" w:color="auto"/>
            </w:tcBorders>
          </w:tcPr>
          <w:p>
            <w:pPr>
              <w:spacing w:after="0"/>
              <w:rPr>
                <w:sz w:val="6"/>
                <w:szCs w:val="6"/>
                <w:color w:val="auto"/>
              </w:rPr>
            </w:pPr>
          </w:p>
        </w:tc>
        <w:tc>
          <w:tcPr>
            <w:tcW w:w="2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740" w:type="dxa"/>
            <w:vAlign w:val="bottom"/>
            <w:tcBorders>
              <w:top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Gross profit (loss)</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(37,020)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373,135</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483,804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336,115</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947,774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Operating expenses:</w:t>
            </w:r>
          </w:p>
        </w:tc>
        <w:tc>
          <w:tcPr>
            <w:tcW w:w="1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Research and development</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8"/>
              </w:rPr>
              <w:t>296,160</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280,114</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294,764</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576,274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590,127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340"/>
              <w:spacing w:after="0"/>
              <w:rPr>
                <w:sz w:val="20"/>
                <w:szCs w:val="20"/>
                <w:color w:val="auto"/>
              </w:rPr>
            </w:pPr>
            <w:r>
              <w:rPr>
                <w:rFonts w:ascii="Arial" w:cs="Arial" w:eastAsia="Arial" w:hAnsi="Arial"/>
                <w:sz w:val="18"/>
                <w:szCs w:val="18"/>
                <w:color w:val="auto"/>
              </w:rPr>
              <w:t>Selling and marketing</w:t>
            </w:r>
          </w:p>
        </w:tc>
        <w:tc>
          <w:tcPr>
            <w:tcW w:w="1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30,841</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36,174</w:t>
            </w: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33,949</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67,015</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72,307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340"/>
              <w:spacing w:after="0"/>
              <w:rPr>
                <w:sz w:val="20"/>
                <w:szCs w:val="20"/>
                <w:color w:val="auto"/>
              </w:rPr>
            </w:pPr>
            <w:r>
              <w:rPr>
                <w:rFonts w:ascii="Arial" w:cs="Arial" w:eastAsia="Arial" w:hAnsi="Arial"/>
                <w:sz w:val="18"/>
                <w:szCs w:val="18"/>
                <w:color w:val="auto"/>
              </w:rPr>
              <w:t>General and administrative</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33,982</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41,027</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31,333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75,009</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61,906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tcPr>
          <w:p>
            <w:pPr>
              <w:ind w:left="340"/>
              <w:spacing w:after="0"/>
              <w:rPr>
                <w:sz w:val="20"/>
                <w:szCs w:val="20"/>
                <w:color w:val="auto"/>
              </w:rPr>
            </w:pPr>
            <w:r>
              <w:rPr>
                <w:rFonts w:ascii="Arial" w:cs="Arial" w:eastAsia="Arial" w:hAnsi="Arial"/>
                <w:sz w:val="18"/>
                <w:szCs w:val="18"/>
                <w:color w:val="auto"/>
              </w:rPr>
              <w:t>Amortization and write-off of acquired intangible assets</w:t>
            </w:r>
          </w:p>
        </w:tc>
        <w:tc>
          <w:tcPr>
            <w:tcW w:w="100" w:type="dxa"/>
            <w:vAlign w:val="bottom"/>
          </w:tcPr>
          <w:p>
            <w:pPr>
              <w:spacing w:after="0"/>
              <w:rPr>
                <w:sz w:val="18"/>
                <w:szCs w:val="18"/>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rPr>
              <w:t>2,568</w:t>
            </w:r>
          </w:p>
        </w:tc>
        <w:tc>
          <w:tcPr>
            <w:tcW w:w="100" w:type="dxa"/>
            <w:vAlign w:val="bottom"/>
          </w:tcPr>
          <w:p>
            <w:pPr>
              <w:spacing w:after="0"/>
              <w:rPr>
                <w:sz w:val="18"/>
                <w:szCs w:val="18"/>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2,568</w:t>
            </w:r>
          </w:p>
        </w:tc>
        <w:tc>
          <w:tcPr>
            <w:tcW w:w="100" w:type="dxa"/>
            <w:vAlign w:val="bottom"/>
          </w:tcPr>
          <w:p>
            <w:pPr>
              <w:spacing w:after="0"/>
              <w:rPr>
                <w:sz w:val="18"/>
                <w:szCs w:val="18"/>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3,304</w:t>
            </w:r>
          </w:p>
        </w:tc>
        <w:tc>
          <w:tcPr>
            <w:tcW w:w="100" w:type="dxa"/>
            <w:vAlign w:val="bottom"/>
          </w:tcPr>
          <w:p>
            <w:pPr>
              <w:spacing w:after="0"/>
              <w:rPr>
                <w:sz w:val="18"/>
                <w:szCs w:val="18"/>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5,136</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9,993</w:t>
            </w:r>
          </w:p>
        </w:tc>
        <w:tc>
          <w:tcPr>
            <w:tcW w:w="0" w:type="dxa"/>
            <w:vAlign w:val="bottom"/>
          </w:tcPr>
          <w:p>
            <w:pPr>
              <w:spacing w:after="0"/>
              <w:rPr>
                <w:sz w:val="1"/>
                <w:szCs w:val="1"/>
                <w:color w:val="auto"/>
              </w:rPr>
            </w:pPr>
          </w:p>
        </w:tc>
      </w:tr>
      <w:tr>
        <w:trPr>
          <w:trHeight w:val="75"/>
        </w:trPr>
        <w:tc>
          <w:tcPr>
            <w:tcW w:w="20" w:type="dxa"/>
            <w:vAlign w:val="bottom"/>
          </w:tcPr>
          <w:p>
            <w:pPr>
              <w:spacing w:after="0"/>
              <w:rPr>
                <w:sz w:val="6"/>
                <w:szCs w:val="6"/>
                <w:color w:val="auto"/>
              </w:rPr>
            </w:pPr>
          </w:p>
        </w:tc>
        <w:tc>
          <w:tcPr>
            <w:tcW w:w="626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660" w:type="dxa"/>
            <w:vAlign w:val="bottom"/>
            <w:tcBorders>
              <w:top w:val="single" w:sz="8" w:color="auto"/>
            </w:tcBorders>
          </w:tcPr>
          <w:p>
            <w:pPr>
              <w:spacing w:after="0"/>
              <w:rPr>
                <w:sz w:val="6"/>
                <w:szCs w:val="6"/>
                <w:color w:val="auto"/>
              </w:rPr>
            </w:pPr>
          </w:p>
        </w:tc>
        <w:tc>
          <w:tcPr>
            <w:tcW w:w="30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600" w:type="dxa"/>
            <w:vAlign w:val="bottom"/>
            <w:tcBorders>
              <w:top w:val="single" w:sz="8" w:color="auto"/>
            </w:tcBorders>
          </w:tcPr>
          <w:p>
            <w:pPr>
              <w:spacing w:after="0"/>
              <w:rPr>
                <w:sz w:val="6"/>
                <w:szCs w:val="6"/>
                <w:color w:val="auto"/>
              </w:rPr>
            </w:pPr>
          </w:p>
        </w:tc>
        <w:tc>
          <w:tcPr>
            <w:tcW w:w="30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580" w:type="dxa"/>
            <w:vAlign w:val="bottom"/>
            <w:tcBorders>
              <w:top w:val="single" w:sz="8" w:color="auto"/>
            </w:tcBorders>
          </w:tcPr>
          <w:p>
            <w:pPr>
              <w:spacing w:after="0"/>
              <w:rPr>
                <w:sz w:val="6"/>
                <w:szCs w:val="6"/>
                <w:color w:val="auto"/>
              </w:rPr>
            </w:pPr>
          </w:p>
        </w:tc>
        <w:tc>
          <w:tcPr>
            <w:tcW w:w="32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720" w:type="dxa"/>
            <w:vAlign w:val="bottom"/>
            <w:tcBorders>
              <w:top w:val="single" w:sz="8" w:color="auto"/>
            </w:tcBorders>
          </w:tcPr>
          <w:p>
            <w:pPr>
              <w:spacing w:after="0"/>
              <w:rPr>
                <w:sz w:val="6"/>
                <w:szCs w:val="6"/>
                <w:color w:val="auto"/>
              </w:rPr>
            </w:pPr>
          </w:p>
        </w:tc>
        <w:tc>
          <w:tcPr>
            <w:tcW w:w="200" w:type="dxa"/>
            <w:vAlign w:val="bottom"/>
          </w:tcPr>
          <w:p>
            <w:pPr>
              <w:spacing w:after="0"/>
              <w:rPr>
                <w:sz w:val="6"/>
                <w:szCs w:val="6"/>
                <w:color w:val="auto"/>
              </w:rPr>
            </w:pPr>
          </w:p>
        </w:tc>
        <w:tc>
          <w:tcPr>
            <w:tcW w:w="120" w:type="dxa"/>
            <w:vAlign w:val="bottom"/>
          </w:tcPr>
          <w:p>
            <w:pPr>
              <w:spacing w:after="0"/>
              <w:rPr>
                <w:sz w:val="6"/>
                <w:szCs w:val="6"/>
                <w:color w:val="auto"/>
              </w:rPr>
            </w:pPr>
          </w:p>
        </w:tc>
        <w:tc>
          <w:tcPr>
            <w:tcW w:w="100" w:type="dxa"/>
            <w:vAlign w:val="bottom"/>
            <w:tcBorders>
              <w:top w:val="single" w:sz="8" w:color="auto"/>
            </w:tcBorders>
          </w:tcPr>
          <w:p>
            <w:pPr>
              <w:spacing w:after="0"/>
              <w:rPr>
                <w:sz w:val="6"/>
                <w:szCs w:val="6"/>
                <w:color w:val="auto"/>
              </w:rPr>
            </w:pPr>
          </w:p>
        </w:tc>
        <w:tc>
          <w:tcPr>
            <w:tcW w:w="740" w:type="dxa"/>
            <w:vAlign w:val="bottom"/>
            <w:tcBorders>
              <w:top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Total operating expenses</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8"/>
              </w:rPr>
              <w:t>363,551</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9"/>
              </w:rPr>
              <w:t>359,883</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363,350</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723,434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734,333</w:t>
            </w:r>
          </w:p>
        </w:tc>
        <w:tc>
          <w:tcPr>
            <w:tcW w:w="0" w:type="dxa"/>
            <w:vAlign w:val="bottom"/>
          </w:tcPr>
          <w:p>
            <w:pPr>
              <w:spacing w:after="0"/>
              <w:rPr>
                <w:sz w:val="1"/>
                <w:szCs w:val="1"/>
                <w:color w:val="auto"/>
              </w:rPr>
            </w:pPr>
          </w:p>
        </w:tc>
      </w:tr>
      <w:tr>
        <w:trPr>
          <w:trHeight w:val="20"/>
        </w:trPr>
        <w:tc>
          <w:tcPr>
            <w:tcW w:w="628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6280" w:type="dxa"/>
            <w:vAlign w:val="bottom"/>
            <w:gridSpan w:val="2"/>
          </w:tcPr>
          <w:p>
            <w:pPr>
              <w:spacing w:after="0"/>
              <w:rPr>
                <w:sz w:val="20"/>
                <w:szCs w:val="20"/>
                <w:color w:val="auto"/>
              </w:rPr>
            </w:pPr>
            <w:r>
              <w:rPr>
                <w:rFonts w:ascii="Arial" w:cs="Arial" w:eastAsia="Arial" w:hAnsi="Arial"/>
                <w:sz w:val="18"/>
                <w:szCs w:val="18"/>
                <w:color w:val="auto"/>
              </w:rPr>
              <w:t>Operating income (loss)</w:t>
            </w:r>
          </w:p>
        </w:tc>
        <w:tc>
          <w:tcPr>
            <w:tcW w:w="100" w:type="dxa"/>
            <w:vAlign w:val="bottom"/>
          </w:tcPr>
          <w:p>
            <w:pPr>
              <w:spacing w:after="0"/>
              <w:rPr>
                <w:sz w:val="24"/>
                <w:szCs w:val="24"/>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(400,571)</w:t>
            </w:r>
          </w:p>
        </w:tc>
        <w:tc>
          <w:tcPr>
            <w:tcW w:w="100" w:type="dxa"/>
            <w:vAlign w:val="bottom"/>
          </w:tcPr>
          <w:p>
            <w:pPr>
              <w:spacing w:after="0"/>
              <w:rPr>
                <w:sz w:val="24"/>
                <w:szCs w:val="2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13,252</w:t>
            </w:r>
          </w:p>
        </w:tc>
        <w:tc>
          <w:tcPr>
            <w:tcW w:w="100" w:type="dxa"/>
            <w:vAlign w:val="bottom"/>
          </w:tcPr>
          <w:p>
            <w:pPr>
              <w:spacing w:after="0"/>
              <w:rPr>
                <w:sz w:val="24"/>
                <w:szCs w:val="24"/>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120,454</w:t>
            </w:r>
          </w:p>
        </w:tc>
        <w:tc>
          <w:tcPr>
            <w:tcW w:w="100" w:type="dxa"/>
            <w:vAlign w:val="bottom"/>
          </w:tcPr>
          <w:p>
            <w:pPr>
              <w:spacing w:after="0"/>
              <w:rPr>
                <w:sz w:val="24"/>
                <w:szCs w:val="24"/>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(387,319)</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213,441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Interest and other income, net</w:t>
            </w:r>
          </w:p>
        </w:tc>
        <w:tc>
          <w:tcPr>
            <w:tcW w:w="1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5,167</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12,263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11,957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14,188</w:t>
            </w:r>
          </w:p>
        </w:tc>
        <w:tc>
          <w:tcPr>
            <w:tcW w:w="0" w:type="dxa"/>
            <w:vAlign w:val="bottom"/>
          </w:tcPr>
          <w:p>
            <w:pPr>
              <w:spacing w:after="0"/>
              <w:rPr>
                <w:sz w:val="1"/>
                <w:szCs w:val="1"/>
                <w:color w:val="auto"/>
              </w:rPr>
            </w:pPr>
          </w:p>
        </w:tc>
      </w:tr>
      <w:tr>
        <w:trPr>
          <w:trHeight w:val="20"/>
        </w:trPr>
        <w:tc>
          <w:tcPr>
            <w:tcW w:w="628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6280" w:type="dxa"/>
            <w:vAlign w:val="bottom"/>
            <w:gridSpan w:val="2"/>
          </w:tcPr>
          <w:p>
            <w:pPr>
              <w:spacing w:after="0"/>
              <w:rPr>
                <w:sz w:val="20"/>
                <w:szCs w:val="20"/>
                <w:color w:val="auto"/>
              </w:rPr>
            </w:pPr>
            <w:r>
              <w:rPr>
                <w:rFonts w:ascii="Arial" w:cs="Arial" w:eastAsia="Arial" w:hAnsi="Arial"/>
                <w:sz w:val="18"/>
                <w:szCs w:val="18"/>
                <w:color w:val="auto"/>
              </w:rPr>
              <w:t>Income (loss) before income taxes</w:t>
            </w:r>
          </w:p>
        </w:tc>
        <w:tc>
          <w:tcPr>
            <w:tcW w:w="100" w:type="dxa"/>
            <w:vAlign w:val="bottom"/>
          </w:tcPr>
          <w:p>
            <w:pPr>
              <w:spacing w:after="0"/>
              <w:rPr>
                <w:sz w:val="24"/>
                <w:szCs w:val="24"/>
                <w:color w:val="auto"/>
              </w:rPr>
            </w:pP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(393,781)</w:t>
            </w:r>
          </w:p>
        </w:tc>
        <w:tc>
          <w:tcPr>
            <w:tcW w:w="100" w:type="dxa"/>
            <w:vAlign w:val="bottom"/>
          </w:tcPr>
          <w:p>
            <w:pPr>
              <w:spacing w:after="0"/>
              <w:rPr>
                <w:sz w:val="24"/>
                <w:szCs w:val="24"/>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18,419</w:t>
            </w:r>
          </w:p>
        </w:tc>
        <w:tc>
          <w:tcPr>
            <w:tcW w:w="100" w:type="dxa"/>
            <w:vAlign w:val="bottom"/>
          </w:tcPr>
          <w:p>
            <w:pPr>
              <w:spacing w:after="0"/>
              <w:rPr>
                <w:sz w:val="24"/>
                <w:szCs w:val="24"/>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132,717</w:t>
            </w:r>
          </w:p>
        </w:tc>
        <w:tc>
          <w:tcPr>
            <w:tcW w:w="100" w:type="dxa"/>
            <w:vAlign w:val="bottom"/>
          </w:tcPr>
          <w:p>
            <w:pPr>
              <w:spacing w:after="0"/>
              <w:rPr>
                <w:sz w:val="24"/>
                <w:szCs w:val="24"/>
                <w:color w:val="auto"/>
              </w:rPr>
            </w:pP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(375,362)</w:t>
            </w:r>
          </w:p>
        </w:tc>
        <w:tc>
          <w:tcPr>
            <w:tcW w:w="1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227,629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Provision (benefit) for income taxes</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(11,351)</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4,329</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60"/>
              <w:spacing w:after="0"/>
              <w:rPr>
                <w:sz w:val="20"/>
                <w:szCs w:val="20"/>
                <w:color w:val="auto"/>
              </w:rPr>
            </w:pPr>
            <w:r>
              <w:rPr>
                <w:rFonts w:ascii="Arial" w:cs="Arial" w:eastAsia="Arial" w:hAnsi="Arial"/>
                <w:sz w:val="18"/>
                <w:szCs w:val="18"/>
                <w:color w:val="auto"/>
              </w:rPr>
              <w:t>(6,153)</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(7,022)</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(10,720)</w:t>
            </w:r>
          </w:p>
        </w:tc>
        <w:tc>
          <w:tcPr>
            <w:tcW w:w="0" w:type="dxa"/>
            <w:vAlign w:val="bottom"/>
          </w:tcPr>
          <w:p>
            <w:pPr>
              <w:spacing w:after="0"/>
              <w:rPr>
                <w:sz w:val="1"/>
                <w:szCs w:val="1"/>
                <w:color w:val="auto"/>
              </w:rPr>
            </w:pPr>
          </w:p>
        </w:tc>
      </w:tr>
      <w:tr>
        <w:trPr>
          <w:trHeight w:val="20"/>
        </w:trPr>
        <w:tc>
          <w:tcPr>
            <w:tcW w:w="6280" w:type="dxa"/>
            <w:vAlign w:val="bottom"/>
            <w:gridSpan w:val="2"/>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60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91"/>
        </w:trPr>
        <w:tc>
          <w:tcPr>
            <w:tcW w:w="6280" w:type="dxa"/>
            <w:vAlign w:val="bottom"/>
            <w:gridSpan w:val="2"/>
          </w:tcPr>
          <w:p>
            <w:pPr>
              <w:spacing w:after="0"/>
              <w:rPr>
                <w:sz w:val="20"/>
                <w:szCs w:val="20"/>
                <w:color w:val="auto"/>
              </w:rPr>
            </w:pPr>
            <w:r>
              <w:rPr>
                <w:rFonts w:ascii="Arial" w:cs="Arial" w:eastAsia="Arial" w:hAnsi="Arial"/>
                <w:sz w:val="18"/>
                <w:szCs w:val="18"/>
                <w:color w:val="auto"/>
              </w:rPr>
              <w:t>Net income (loss)</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w w:val="90"/>
              </w:rPr>
              <w:t>(382,430)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14,090</w:t>
            </w:r>
          </w:p>
        </w:tc>
        <w:tc>
          <w:tcPr>
            <w:tcW w:w="100" w:type="dxa"/>
            <w:vAlign w:val="bottom"/>
          </w:tcPr>
          <w:p>
            <w:pPr>
              <w:jc w:val="right"/>
              <w:spacing w:after="0"/>
              <w:rPr>
                <w:sz w:val="20"/>
                <w:szCs w:val="20"/>
                <w:color w:val="auto"/>
              </w:rPr>
            </w:pPr>
            <w:r>
              <w:rPr>
                <w:rFonts w:ascii="Arial" w:cs="Arial" w:eastAsia="Arial" w:hAnsi="Arial"/>
                <w:sz w:val="18"/>
                <w:szCs w:val="18"/>
                <w:u w:val="single" w:color="auto"/>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138,870</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w w:val="98"/>
              </w:rPr>
              <w:t>(368,340)</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238,349</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2"/>
        </w:trPr>
        <w:tc>
          <w:tcPr>
            <w:tcW w:w="20" w:type="dxa"/>
            <w:vAlign w:val="bottom"/>
            <w:vMerge w:val="restart"/>
          </w:tcPr>
          <w:p>
            <w:pPr>
              <w:spacing w:after="0"/>
              <w:rPr>
                <w:sz w:val="5"/>
                <w:szCs w:val="5"/>
                <w:color w:val="auto"/>
              </w:rPr>
            </w:pPr>
          </w:p>
        </w:tc>
        <w:tc>
          <w:tcPr>
            <w:tcW w:w="62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Basic net income (loss) per share</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shd w:val="clear" w:color="auto" w:fill="CCEEFF"/>
          </w:tcPr>
          <w:p>
            <w:pPr>
              <w:jc w:val="right"/>
              <w:ind w:right="240"/>
              <w:spacing w:after="0"/>
              <w:rPr>
                <w:sz w:val="20"/>
                <w:szCs w:val="20"/>
                <w:color w:val="auto"/>
              </w:rPr>
            </w:pPr>
            <w:r>
              <w:rPr>
                <w:rFonts w:ascii="Arial" w:cs="Arial" w:eastAsia="Arial" w:hAnsi="Arial"/>
                <w:sz w:val="18"/>
                <w:szCs w:val="18"/>
                <w:color w:val="auto"/>
              </w:rPr>
              <w:t>(0.74)</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0.03</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0.27</w:t>
            </w:r>
          </w:p>
        </w:tc>
        <w:tc>
          <w:tcPr>
            <w:tcW w:w="1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(0.71)</w:t>
            </w:r>
          </w:p>
        </w:tc>
        <w:tc>
          <w:tcPr>
            <w:tcW w:w="2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0.47</w:t>
            </w:r>
          </w:p>
        </w:tc>
        <w:tc>
          <w:tcPr>
            <w:tcW w:w="0" w:type="dxa"/>
            <w:vAlign w:val="bottom"/>
          </w:tcPr>
          <w:p>
            <w:pPr>
              <w:spacing w:after="0"/>
              <w:rPr>
                <w:sz w:val="1"/>
                <w:szCs w:val="1"/>
                <w:color w:val="auto"/>
              </w:rPr>
            </w:pPr>
          </w:p>
        </w:tc>
      </w:tr>
      <w:tr>
        <w:trPr>
          <w:trHeight w:val="20"/>
        </w:trPr>
        <w:tc>
          <w:tcPr>
            <w:tcW w:w="6280" w:type="dxa"/>
            <w:vAlign w:val="bottom"/>
            <w:gridSpan w:val="2"/>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78"/>
        </w:trPr>
        <w:tc>
          <w:tcPr>
            <w:tcW w:w="6280" w:type="dxa"/>
            <w:vAlign w:val="bottom"/>
            <w:gridSpan w:val="2"/>
          </w:tcPr>
          <w:p>
            <w:pPr>
              <w:spacing w:after="0"/>
              <w:rPr>
                <w:sz w:val="20"/>
                <w:szCs w:val="20"/>
                <w:color w:val="auto"/>
              </w:rPr>
            </w:pPr>
            <w:r>
              <w:rPr>
                <w:rFonts w:ascii="Arial" w:cs="Arial" w:eastAsia="Arial" w:hAnsi="Arial"/>
                <w:sz w:val="18"/>
                <w:szCs w:val="18"/>
                <w:color w:val="auto"/>
              </w:rPr>
              <w:t>Diluted net income (loss) per share</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60" w:type="dxa"/>
            <w:vAlign w:val="bottom"/>
            <w:gridSpan w:val="2"/>
          </w:tcPr>
          <w:p>
            <w:pPr>
              <w:jc w:val="right"/>
              <w:ind w:right="240"/>
              <w:spacing w:after="0"/>
              <w:rPr>
                <w:sz w:val="20"/>
                <w:szCs w:val="20"/>
                <w:color w:val="auto"/>
              </w:rPr>
            </w:pPr>
            <w:r>
              <w:rPr>
                <w:rFonts w:ascii="Arial" w:cs="Arial" w:eastAsia="Arial" w:hAnsi="Arial"/>
                <w:sz w:val="18"/>
                <w:szCs w:val="18"/>
                <w:color w:val="auto"/>
              </w:rPr>
              <w:t>(0.74)</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rPr>
              <w:t>0.03</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rPr>
              <w:t>0.27</w:t>
            </w:r>
          </w:p>
        </w:tc>
        <w:tc>
          <w:tcPr>
            <w:tcW w:w="10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20" w:type="dxa"/>
            <w:vAlign w:val="bottom"/>
            <w:gridSpan w:val="2"/>
          </w:tcPr>
          <w:p>
            <w:pPr>
              <w:jc w:val="right"/>
              <w:ind w:right="140"/>
              <w:spacing w:after="0"/>
              <w:rPr>
                <w:sz w:val="20"/>
                <w:szCs w:val="20"/>
                <w:color w:val="auto"/>
              </w:rPr>
            </w:pPr>
            <w:r>
              <w:rPr>
                <w:rFonts w:ascii="Arial" w:cs="Arial" w:eastAsia="Arial" w:hAnsi="Arial"/>
                <w:sz w:val="18"/>
                <w:szCs w:val="18"/>
                <w:color w:val="auto"/>
              </w:rPr>
              <w:t>(0.71)</w:t>
            </w:r>
          </w:p>
        </w:tc>
        <w:tc>
          <w:tcPr>
            <w:tcW w:w="2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0.46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2"/>
        </w:trPr>
        <w:tc>
          <w:tcPr>
            <w:tcW w:w="20" w:type="dxa"/>
            <w:vAlign w:val="bottom"/>
            <w:vMerge w:val="restart"/>
          </w:tcPr>
          <w:p>
            <w:pPr>
              <w:spacing w:after="0"/>
              <w:rPr>
                <w:sz w:val="5"/>
                <w:szCs w:val="5"/>
                <w:color w:val="auto"/>
              </w:rPr>
            </w:pPr>
          </w:p>
        </w:tc>
        <w:tc>
          <w:tcPr>
            <w:tcW w:w="6260" w:type="dxa"/>
            <w:vAlign w:val="bottom"/>
          </w:tcPr>
          <w:p>
            <w:pPr>
              <w:spacing w:after="0"/>
              <w:rPr>
                <w:sz w:val="5"/>
                <w:szCs w:val="5"/>
                <w:color w:val="auto"/>
              </w:rPr>
            </w:pPr>
          </w:p>
        </w:tc>
        <w:tc>
          <w:tcPr>
            <w:tcW w:w="100" w:type="dxa"/>
            <w:vAlign w:val="bottom"/>
          </w:tcPr>
          <w:p>
            <w:pPr>
              <w:spacing w:after="0"/>
              <w:rPr>
                <w:sz w:val="5"/>
                <w:szCs w:val="5"/>
                <w:color w:val="auto"/>
              </w:rPr>
            </w:pPr>
          </w:p>
        </w:tc>
        <w:tc>
          <w:tcPr>
            <w:tcW w:w="660" w:type="dxa"/>
            <w:vAlign w:val="bottom"/>
          </w:tcPr>
          <w:p>
            <w:pPr>
              <w:spacing w:after="0"/>
              <w:rPr>
                <w:sz w:val="5"/>
                <w:szCs w:val="5"/>
                <w:color w:val="auto"/>
              </w:rPr>
            </w:pPr>
          </w:p>
        </w:tc>
        <w:tc>
          <w:tcPr>
            <w:tcW w:w="30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 w:type="dxa"/>
            <w:vAlign w:val="bottom"/>
          </w:tcPr>
          <w:p>
            <w:pPr>
              <w:spacing w:after="0"/>
              <w:rPr>
                <w:sz w:val="5"/>
                <w:szCs w:val="5"/>
                <w:color w:val="auto"/>
              </w:rPr>
            </w:pPr>
          </w:p>
        </w:tc>
        <w:tc>
          <w:tcPr>
            <w:tcW w:w="10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260" w:type="dxa"/>
            <w:vAlign w:val="bottom"/>
            <w:shd w:val="clear" w:color="auto" w:fill="CCEEFF"/>
          </w:tcPr>
          <w:p>
            <w:pPr>
              <w:spacing w:after="0"/>
              <w:rPr>
                <w:sz w:val="20"/>
                <w:szCs w:val="20"/>
                <w:color w:val="auto"/>
              </w:rPr>
            </w:pPr>
            <w:r>
              <w:rPr>
                <w:rFonts w:ascii="Arial" w:cs="Arial" w:eastAsia="Arial" w:hAnsi="Arial"/>
                <w:sz w:val="18"/>
                <w:szCs w:val="18"/>
                <w:color w:val="auto"/>
              </w:rPr>
              <w:t>Shares used in computing basic earnings (loss) per share</w:t>
            </w: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98"/>
              </w:rPr>
              <w:t>516,368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w w:val="89"/>
              </w:rPr>
              <w:t>516,228</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w w:val="86"/>
              </w:rPr>
              <w:t>511,821</w:t>
            </w:r>
          </w:p>
        </w:tc>
        <w:tc>
          <w:tcPr>
            <w:tcW w:w="1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516,298</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00"/>
              <w:spacing w:after="0"/>
              <w:rPr>
                <w:sz w:val="20"/>
                <w:szCs w:val="20"/>
                <w:color w:val="auto"/>
              </w:rPr>
            </w:pPr>
            <w:r>
              <w:rPr>
                <w:rFonts w:ascii="Arial" w:cs="Arial" w:eastAsia="Arial" w:hAnsi="Arial"/>
                <w:sz w:val="18"/>
                <w:szCs w:val="18"/>
                <w:color w:val="auto"/>
              </w:rPr>
              <w:t>508,463</w:t>
            </w: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6260" w:type="dxa"/>
            <w:vAlign w:val="bottom"/>
          </w:tcPr>
          <w:p>
            <w:pPr>
              <w:spacing w:after="0"/>
              <w:rPr>
                <w:sz w:val="20"/>
                <w:szCs w:val="20"/>
                <w:color w:val="auto"/>
              </w:rPr>
            </w:pPr>
            <w:r>
              <w:rPr>
                <w:rFonts w:ascii="Arial" w:cs="Arial" w:eastAsia="Arial" w:hAnsi="Arial"/>
                <w:sz w:val="18"/>
                <w:szCs w:val="18"/>
                <w:color w:val="auto"/>
              </w:rPr>
              <w:t>Shares used in computing diluted earnings (loss) per share</w:t>
            </w:r>
          </w:p>
        </w:tc>
        <w:tc>
          <w:tcPr>
            <w:tcW w:w="100" w:type="dxa"/>
            <w:vAlign w:val="bottom"/>
          </w:tcPr>
          <w:p>
            <w:pPr>
              <w:spacing w:after="0"/>
              <w:rPr>
                <w:sz w:val="20"/>
                <w:szCs w:val="20"/>
                <w:color w:val="auto"/>
              </w:rPr>
            </w:pPr>
          </w:p>
        </w:tc>
        <w:tc>
          <w:tcPr>
            <w:tcW w:w="960" w:type="dxa"/>
            <w:vAlign w:val="bottom"/>
            <w:gridSpan w:val="2"/>
          </w:tcPr>
          <w:p>
            <w:pPr>
              <w:jc w:val="right"/>
              <w:ind w:right="300"/>
              <w:spacing w:after="0"/>
              <w:rPr>
                <w:sz w:val="20"/>
                <w:szCs w:val="20"/>
                <w:color w:val="auto"/>
              </w:rPr>
            </w:pPr>
            <w:r>
              <w:rPr>
                <w:rFonts w:ascii="Arial" w:cs="Arial" w:eastAsia="Arial" w:hAnsi="Arial"/>
                <w:sz w:val="18"/>
                <w:szCs w:val="18"/>
                <w:color w:val="auto"/>
                <w:w w:val="98"/>
              </w:rPr>
              <w:t>516,368</w:t>
            </w:r>
          </w:p>
        </w:tc>
        <w:tc>
          <w:tcPr>
            <w:tcW w:w="100" w:type="dxa"/>
            <w:vAlign w:val="bottom"/>
          </w:tcPr>
          <w:p>
            <w:pPr>
              <w:spacing w:after="0"/>
              <w:rPr>
                <w:sz w:val="20"/>
                <w:szCs w:val="20"/>
                <w:color w:val="auto"/>
              </w:rPr>
            </w:pPr>
          </w:p>
        </w:tc>
        <w:tc>
          <w:tcPr>
            <w:tcW w:w="900" w:type="dxa"/>
            <w:vAlign w:val="bottom"/>
            <w:gridSpan w:val="2"/>
          </w:tcPr>
          <w:p>
            <w:pPr>
              <w:jc w:val="right"/>
              <w:ind w:right="300"/>
              <w:spacing w:after="0"/>
              <w:rPr>
                <w:sz w:val="20"/>
                <w:szCs w:val="20"/>
                <w:color w:val="auto"/>
              </w:rPr>
            </w:pPr>
            <w:r>
              <w:rPr>
                <w:rFonts w:ascii="Arial" w:cs="Arial" w:eastAsia="Arial" w:hAnsi="Arial"/>
                <w:sz w:val="18"/>
                <w:szCs w:val="18"/>
                <w:color w:val="auto"/>
                <w:w w:val="89"/>
              </w:rPr>
              <w:t>527,167</w:t>
            </w:r>
          </w:p>
        </w:tc>
        <w:tc>
          <w:tcPr>
            <w:tcW w:w="100" w:type="dxa"/>
            <w:vAlign w:val="bottom"/>
          </w:tcPr>
          <w:p>
            <w:pPr>
              <w:spacing w:after="0"/>
              <w:rPr>
                <w:sz w:val="20"/>
                <w:szCs w:val="20"/>
                <w:color w:val="auto"/>
              </w:rPr>
            </w:pPr>
          </w:p>
        </w:tc>
        <w:tc>
          <w:tcPr>
            <w:tcW w:w="900" w:type="dxa"/>
            <w:vAlign w:val="bottom"/>
            <w:gridSpan w:val="2"/>
          </w:tcPr>
          <w:p>
            <w:pPr>
              <w:jc w:val="right"/>
              <w:ind w:right="320"/>
              <w:spacing w:after="0"/>
              <w:rPr>
                <w:sz w:val="20"/>
                <w:szCs w:val="20"/>
                <w:color w:val="auto"/>
              </w:rPr>
            </w:pPr>
            <w:r>
              <w:rPr>
                <w:rFonts w:ascii="Arial" w:cs="Arial" w:eastAsia="Arial" w:hAnsi="Arial"/>
                <w:sz w:val="18"/>
                <w:szCs w:val="18"/>
                <w:color w:val="auto"/>
                <w:w w:val="86"/>
              </w:rPr>
              <w:t>520,269</w:t>
            </w:r>
          </w:p>
        </w:tc>
        <w:tc>
          <w:tcPr>
            <w:tcW w:w="100" w:type="dxa"/>
            <w:vAlign w:val="bottom"/>
          </w:tcPr>
          <w:p>
            <w:pPr>
              <w:spacing w:after="0"/>
              <w:rPr>
                <w:sz w:val="20"/>
                <w:szCs w:val="20"/>
                <w:color w:val="auto"/>
              </w:rPr>
            </w:pPr>
          </w:p>
        </w:tc>
        <w:tc>
          <w:tcPr>
            <w:tcW w:w="920" w:type="dxa"/>
            <w:vAlign w:val="bottom"/>
            <w:gridSpan w:val="2"/>
          </w:tcPr>
          <w:p>
            <w:pPr>
              <w:jc w:val="right"/>
              <w:ind w:right="200"/>
              <w:spacing w:after="0"/>
              <w:rPr>
                <w:sz w:val="20"/>
                <w:szCs w:val="20"/>
                <w:color w:val="auto"/>
              </w:rPr>
            </w:pPr>
            <w:r>
              <w:rPr>
                <w:rFonts w:ascii="Arial" w:cs="Arial" w:eastAsia="Arial" w:hAnsi="Arial"/>
                <w:sz w:val="18"/>
                <w:szCs w:val="18"/>
                <w:color w:val="auto"/>
              </w:rPr>
              <w:t>516,298</w:t>
            </w: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840" w:type="dxa"/>
            <w:vAlign w:val="bottom"/>
            <w:gridSpan w:val="2"/>
          </w:tcPr>
          <w:p>
            <w:pPr>
              <w:jc w:val="right"/>
              <w:ind w:right="100"/>
              <w:spacing w:after="0"/>
              <w:rPr>
                <w:sz w:val="20"/>
                <w:szCs w:val="20"/>
                <w:color w:val="auto"/>
              </w:rPr>
            </w:pPr>
            <w:r>
              <w:rPr>
                <w:rFonts w:ascii="Arial" w:cs="Arial" w:eastAsia="Arial" w:hAnsi="Arial"/>
                <w:sz w:val="18"/>
                <w:szCs w:val="18"/>
                <w:color w:val="auto"/>
              </w:rPr>
              <w:t>520,510</w:t>
            </w:r>
          </w:p>
        </w:tc>
        <w:tc>
          <w:tcPr>
            <w:tcW w:w="0" w:type="dxa"/>
            <w:vAlign w:val="bottom"/>
          </w:tcPr>
          <w:p>
            <w:pPr>
              <w:spacing w:after="0"/>
              <w:rPr>
                <w:sz w:val="1"/>
                <w:szCs w:val="1"/>
                <w:color w:val="auto"/>
              </w:rPr>
            </w:pPr>
          </w:p>
        </w:tc>
      </w:tr>
    </w:tbl>
    <w:p>
      <w:pPr>
        <w:spacing w:after="0" w:line="187" w:lineRule="exact"/>
        <w:rPr>
          <w:sz w:val="20"/>
          <w:szCs w:val="20"/>
          <w:color w:val="auto"/>
        </w:rPr>
      </w:pPr>
    </w:p>
    <w:p>
      <w:pPr>
        <w:ind w:right="140" w:firstLine="456"/>
        <w:spacing w:after="0" w:line="264" w:lineRule="auto"/>
        <w:rPr>
          <w:sz w:val="20"/>
          <w:szCs w:val="20"/>
          <w:color w:val="auto"/>
        </w:rPr>
      </w:pPr>
      <w:r>
        <w:rPr>
          <w:rFonts w:ascii="Arial" w:cs="Arial" w:eastAsia="Arial" w:hAnsi="Arial"/>
          <w:sz w:val="18"/>
          <w:szCs w:val="18"/>
          <w:color w:val="auto"/>
        </w:rPr>
        <w:t>The results of operations for the second quarter of fiscal 2016 may change if the Audit Committee’s investigation determines that any net revenue was not properly recognized in the second quarter of fiscal 2016 or that any other adjustments are needed to such results, or as a result of review procedures for the quarter.</w:t>
      </w:r>
    </w:p>
    <w:p>
      <w:pPr>
        <w:spacing w:after="0" w:line="181" w:lineRule="exact"/>
        <w:rPr>
          <w:sz w:val="20"/>
          <w:szCs w:val="20"/>
          <w:color w:val="auto"/>
        </w:rPr>
      </w:pPr>
    </w:p>
    <w:p>
      <w:pPr>
        <w:ind w:right="140" w:firstLine="456"/>
        <w:spacing w:after="0" w:line="277" w:lineRule="auto"/>
        <w:rPr>
          <w:sz w:val="20"/>
          <w:szCs w:val="20"/>
          <w:color w:val="auto"/>
        </w:rPr>
      </w:pPr>
      <w:r>
        <w:rPr>
          <w:rFonts w:ascii="Arial" w:cs="Arial" w:eastAsia="Arial" w:hAnsi="Arial"/>
          <w:sz w:val="18"/>
          <w:szCs w:val="18"/>
          <w:color w:val="auto"/>
        </w:rPr>
        <w:t>Cost of goods sold includes a litigation accrual of approximately $394 million recognized by the Company under ASC Topic 450, “Contingencies,” in connection with the Carnegie Mellon University and certain other pending litigation.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142875</wp:posOffset>
            </wp:positionV>
            <wp:extent cx="724662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186055</wp:posOffset>
            </wp:positionV>
            <wp:extent cx="724662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4" w:name="page5"/>
    <w:bookmarkEnd w:id="4"/>
    <w:p>
      <w:pPr>
        <w:jc w:val="center"/>
        <w:ind w:right="-2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Technology Group Ltd.</w:t>
      </w:r>
    </w:p>
    <w:p>
      <w:pPr>
        <w:spacing w:after="0" w:line="21" w:lineRule="exact"/>
        <w:rPr>
          <w:sz w:val="20"/>
          <w:szCs w:val="20"/>
          <w:color w:val="auto"/>
        </w:rPr>
      </w:pPr>
    </w:p>
    <w:p>
      <w:pPr>
        <w:ind w:left="4340"/>
        <w:spacing w:after="0"/>
        <w:rPr>
          <w:sz w:val="20"/>
          <w:szCs w:val="20"/>
          <w:color w:val="auto"/>
        </w:rPr>
      </w:pPr>
      <w:r>
        <w:rPr>
          <w:rFonts w:ascii="Arial" w:cs="Arial" w:eastAsia="Arial" w:hAnsi="Arial"/>
          <w:sz w:val="14"/>
          <w:szCs w:val="14"/>
          <w:b w:val="1"/>
          <w:bCs w:val="1"/>
          <w:color w:val="auto"/>
        </w:rPr>
        <w:t>(Name of Registrant as Specified in Charter)</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color w:val="auto"/>
        </w:rPr>
        <w:t>has caused this notification to be signed on its behalf by the undersigned hereunto duly authorized.</w:t>
      </w:r>
    </w:p>
    <w:p>
      <w:pPr>
        <w:spacing w:after="0" w:line="252" w:lineRule="exact"/>
        <w:rPr>
          <w:sz w:val="20"/>
          <w:szCs w:val="20"/>
          <w:color w:val="auto"/>
        </w:rPr>
      </w:pPr>
    </w:p>
    <w:p>
      <w:pPr>
        <w:spacing w:after="0"/>
        <w:tabs>
          <w:tab w:leader="none" w:pos="480" w:val="left"/>
          <w:tab w:leader="none" w:pos="6020" w:val="left"/>
          <w:tab w:leader="none" w:pos="6500" w:val="left"/>
        </w:tabs>
        <w:rPr>
          <w:sz w:val="20"/>
          <w:szCs w:val="20"/>
          <w:color w:val="auto"/>
        </w:rPr>
      </w:pPr>
      <w:r>
        <w:rPr>
          <w:rFonts w:ascii="Arial" w:cs="Arial" w:eastAsia="Arial" w:hAnsi="Arial"/>
          <w:sz w:val="18"/>
          <w:szCs w:val="18"/>
          <w:color w:val="auto"/>
        </w:rPr>
        <w:t>Date</w:t>
        <w:tab/>
        <w:t>September 11, 2015</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4138930</wp:posOffset>
            </wp:positionH>
            <wp:positionV relativeFrom="paragraph">
              <wp:posOffset>14605</wp:posOffset>
            </wp:positionV>
            <wp:extent cx="311277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3112770" cy="8890"/>
                    </a:xfrm>
                    <a:prstGeom prst="rect">
                      <a:avLst/>
                    </a:prstGeom>
                    <a:noFill/>
                  </pic:spPr>
                </pic:pic>
              </a:graphicData>
            </a:graphic>
          </wp:anchor>
        </w:drawing>
      </w:r>
    </w:p>
    <w:p>
      <w:pPr>
        <w:spacing w:after="0" w:line="30"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Sukhi Nagesh</w:t>
      </w:r>
    </w:p>
    <w:p>
      <w:pPr>
        <w:spacing w:after="0" w:line="9" w:lineRule="exact"/>
        <w:rPr>
          <w:sz w:val="20"/>
          <w:szCs w:val="20"/>
          <w:color w:val="auto"/>
        </w:rPr>
      </w:pPr>
    </w:p>
    <w:p>
      <w:pPr>
        <w:ind w:left="6520"/>
        <w:spacing w:after="0"/>
        <w:rPr>
          <w:sz w:val="20"/>
          <w:szCs w:val="20"/>
          <w:color w:val="auto"/>
        </w:rPr>
      </w:pPr>
      <w:r>
        <w:rPr>
          <w:rFonts w:ascii="Arial" w:cs="Arial" w:eastAsia="Arial" w:hAnsi="Arial"/>
          <w:sz w:val="18"/>
          <w:szCs w:val="18"/>
          <w:color w:val="auto"/>
        </w:rPr>
        <w:t>Interim Chief Financial Officer</w:t>
      </w:r>
    </w:p>
    <w:p>
      <w:pPr>
        <w:spacing w:after="0" w:line="211" w:lineRule="exact"/>
        <w:rPr>
          <w:sz w:val="20"/>
          <w:szCs w:val="20"/>
          <w:color w:val="auto"/>
        </w:rPr>
      </w:pPr>
    </w:p>
    <w:p>
      <w:pPr>
        <w:jc w:val="both"/>
        <w:spacing w:after="0" w:line="312" w:lineRule="auto"/>
        <w:rPr>
          <w:sz w:val="20"/>
          <w:szCs w:val="20"/>
          <w:color w:val="auto"/>
        </w:rPr>
      </w:pPr>
      <w:r>
        <w:rPr>
          <w:rFonts w:ascii="Arial" w:cs="Arial" w:eastAsia="Arial" w:hAnsi="Arial"/>
          <w:sz w:val="16"/>
          <w:szCs w:val="16"/>
          <w:color w:val="auto"/>
        </w:rPr>
        <w:t>INSTRUCTION: The form may be signed by an executive officer of the registrant or by any other duly authorized representative. The name and title of the person signing the form shall be typed or printed beneath the signature. If the statement is signed on behalf of the registrant by an authorized representative (other than an executive officer), evidence of the representative’s authority to sign on behalf of the registrant shall be filed with the form.</w:t>
      </w:r>
    </w:p>
    <w:p>
      <w:pPr>
        <w:spacing w:after="0" w:line="183"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ATTENTION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-127635</wp:posOffset>
            </wp:positionV>
            <wp:extent cx="7254875" cy="3517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4875" cy="351790"/>
                    </a:xfrm>
                    <a:prstGeom prst="rect">
                      <a:avLst/>
                    </a:prstGeom>
                    <a:noFill/>
                  </pic:spPr>
                </pic:pic>
              </a:graphicData>
            </a:graphic>
          </wp:anchor>
        </w:drawing>
      </w:r>
    </w:p>
    <w:p>
      <w:pPr>
        <w:spacing w:after="0" w:line="70" w:lineRule="exact"/>
        <w:rPr>
          <w:sz w:val="20"/>
          <w:szCs w:val="20"/>
          <w:color w:val="auto"/>
        </w:rPr>
      </w:pPr>
    </w:p>
    <w:p>
      <w:pPr>
        <w:jc w:val="center"/>
        <w:ind w:right="-239"/>
        <w:spacing w:after="0"/>
        <w:rPr>
          <w:sz w:val="20"/>
          <w:szCs w:val="20"/>
          <w:color w:val="auto"/>
        </w:rPr>
      </w:pPr>
      <w:r>
        <w:rPr>
          <w:rFonts w:ascii="Arial" w:cs="Arial" w:eastAsia="Arial" w:hAnsi="Arial"/>
          <w:sz w:val="18"/>
          <w:szCs w:val="18"/>
          <w:b w:val="1"/>
          <w:bCs w:val="1"/>
          <w:color w:val="auto"/>
        </w:rPr>
        <w:t>Intentional misstatements or omissions of fact constitute Federal Criminal Violations (See 18 U.S.C. 1001).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197485</wp:posOffset>
            </wp:positionV>
            <wp:extent cx="72466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240665</wp:posOffset>
            </wp:positionV>
            <wp:extent cx="724662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w:t>
      </w:r>
    </w:p>
    <w:sectPr>
      <w:pgSz w:w="11900" w:h="16838" w:orient="portrait"/>
      <w:cols w:equalWidth="0" w:num="1">
        <w:col w:w="11200"/>
      </w:cols>
      <w:pgMar w:left="2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9495CFF"/>
    <w:multiLevelType w:val="hybridMultilevel"/>
    <w:lvl w:ilvl="0">
      <w:lvlJc w:val="left"/>
      <w:lvlText w:val="☐"/>
      <w:numFmt w:val="bullet"/>
      <w:start w:val="1"/>
    </w:lvl>
  </w:abstractNum>
  <w:abstractNum w:abstractNumId="1">
    <w:nsid w:val="2AE8944A"/>
    <w:multiLevelType w:val="hybridMultilevel"/>
    <w:lvl w:ilvl="0">
      <w:lvlJc w:val="left"/>
      <w:lvlText w:val="☐"/>
      <w:numFmt w:val="bullet"/>
      <w:start w:val="1"/>
    </w:lvl>
    <w:lvl w:ilvl="1">
      <w:lvlJc w:val="left"/>
      <w:lvlText w:val="(%2)"/>
      <w:numFmt w:val="lowerLetter"/>
      <w:start w:val="2"/>
    </w:lvl>
  </w:abstractNum>
  <w:abstractNum w:abstractNumId="2">
    <w:nsid w:val="625558EC"/>
    <w:multiLevelType w:val="hybridMultilevel"/>
    <w:lvl w:ilvl="0">
      <w:lvlJc w:val="left"/>
      <w:lvlText w:val="(%1)"/>
      <w:numFmt w:val="decimal"/>
      <w:start w:val="1"/>
    </w:lvl>
  </w:abstractNum>
  <w:abstractNum w:abstractNumId="3">
    <w:nsid w:val="238E1F29"/>
    <w:multiLevelType w:val="hybridMultilevel"/>
    <w:lvl w:ilvl="0">
      <w:lvlJc w:val="left"/>
      <w:lvlText w:val="(%1)"/>
      <w:numFmt w:val="decimal"/>
      <w:start w:val="2"/>
    </w:lvl>
  </w:abstractNum>
  <w:abstractNum w:abstractNumId="4">
    <w:nsid w:val="46E87CCD"/>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2019-12-07T03:53:34Z</dcterms:created>
  <dcterms:modified xsi:type="dcterms:W3CDTF">2019-12-07T03:53:34Z</dcterms:modified>
</cp:coreProperties>
</file>