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740"/>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217805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260350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740"/>
        <w:spacing w:after="0"/>
        <w:rPr>
          <w:sz w:val="20"/>
          <w:szCs w:val="20"/>
          <w:color w:val="auto"/>
        </w:rPr>
      </w:pPr>
      <w:r>
        <w:rPr>
          <w:rFonts w:ascii="Arial" w:cs="Arial" w:eastAsia="Arial" w:hAnsi="Arial"/>
          <w:sz w:val="32"/>
          <w:szCs w:val="32"/>
          <w:b w:val="1"/>
          <w:bCs w:val="1"/>
          <w:color w:val="auto"/>
        </w:rPr>
        <w:t>SECURITIES AND EXCHANGE COMMISSION</w:t>
      </w:r>
    </w:p>
    <w:p>
      <w:pPr>
        <w:ind w:left="414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2577465</wp:posOffset>
            </wp:positionH>
            <wp:positionV relativeFrom="paragraph">
              <wp:posOffset>219075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ind w:left="4260"/>
        <w:spacing w:after="0"/>
        <w:rPr>
          <w:sz w:val="20"/>
          <w:szCs w:val="20"/>
          <w:color w:val="auto"/>
        </w:rPr>
      </w:pPr>
      <w:r>
        <w:rPr>
          <w:rFonts w:ascii="Arial" w:cs="Arial" w:eastAsia="Arial" w:hAnsi="Arial"/>
          <w:sz w:val="32"/>
          <w:szCs w:val="32"/>
          <w:b w:val="1"/>
          <w:bCs w:val="1"/>
          <w:color w:val="auto"/>
        </w:rPr>
        <w:t>FORM 12b-25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2577465</wp:posOffset>
            </wp:positionH>
            <wp:positionV relativeFrom="paragraph">
              <wp:posOffset>255270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85" w:lineRule="exact"/>
        <w:rPr>
          <w:sz w:val="24"/>
          <w:szCs w:val="24"/>
          <w:color w:val="auto"/>
        </w:rPr>
      </w:pPr>
    </w:p>
    <w:p>
      <w:pPr>
        <w:ind w:left="3540"/>
        <w:spacing w:after="0"/>
        <w:rPr>
          <w:sz w:val="20"/>
          <w:szCs w:val="20"/>
          <w:color w:val="auto"/>
        </w:rPr>
      </w:pPr>
      <w:r>
        <w:rPr>
          <w:rFonts w:ascii="Arial" w:cs="Arial" w:eastAsia="Arial" w:hAnsi="Arial"/>
          <w:sz w:val="22"/>
          <w:szCs w:val="22"/>
          <w:b w:val="1"/>
          <w:bCs w:val="1"/>
          <w:color w:val="auto"/>
        </w:rPr>
        <w:t>NOTIFICATION OF LATE FILING</w:t>
      </w:r>
    </w:p>
    <w:p>
      <w:pPr>
        <w:spacing w:after="0" w:line="214" w:lineRule="exact"/>
        <w:rPr>
          <w:sz w:val="24"/>
          <w:szCs w:val="24"/>
          <w:color w:val="auto"/>
        </w:rPr>
      </w:pPr>
    </w:p>
    <w:p>
      <w:pPr>
        <w:ind w:left="1640"/>
        <w:spacing w:after="0" w:line="207" w:lineRule="exact"/>
        <w:tabs>
          <w:tab w:leader="none" w:pos="2860" w:val="left"/>
          <w:tab w:leader="none" w:pos="4140" w:val="left"/>
          <w:tab w:leader="none" w:pos="5380" w:val="left"/>
          <w:tab w:leader="none" w:pos="6660" w:val="left"/>
        </w:tabs>
        <w:rPr>
          <w:sz w:val="20"/>
          <w:szCs w:val="20"/>
          <w:color w:val="auto"/>
        </w:rPr>
      </w:pPr>
      <w:r>
        <w:rPr>
          <w:rFonts w:ascii="Arial" w:cs="Arial" w:eastAsia="Arial" w:hAnsi="Arial"/>
          <w:sz w:val="18"/>
          <w:szCs w:val="18"/>
          <w:color w:val="auto"/>
        </w:rPr>
        <w:t>(Check one):</w:t>
      </w:r>
      <w:r>
        <w:rPr>
          <w:sz w:val="20"/>
          <w:szCs w:val="20"/>
          <w:color w:val="auto"/>
        </w:rPr>
        <w:tab/>
      </w:r>
      <w:r>
        <w:rPr>
          <w:rFonts w:ascii="MS PGothic" w:cs="MS PGothic" w:eastAsia="MS PGothic" w:hAnsi="MS PGothic"/>
          <w:sz w:val="18"/>
          <w:szCs w:val="18"/>
          <w:color w:val="auto"/>
        </w:rPr>
        <w:t xml:space="preserve">☐ </w:t>
      </w:r>
      <w:r>
        <w:rPr>
          <w:rFonts w:ascii="Arial" w:cs="Arial" w:eastAsia="Arial" w:hAnsi="Arial"/>
          <w:sz w:val="18"/>
          <w:szCs w:val="18"/>
          <w:color w:val="auto"/>
        </w:rPr>
        <w:t>Form 10-K</w:t>
      </w:r>
      <w:r>
        <w:rPr>
          <w:rFonts w:ascii="MS PGothic" w:cs="MS PGothic" w:eastAsia="MS PGothic" w:hAnsi="MS PGothic"/>
          <w:sz w:val="18"/>
          <w:szCs w:val="18"/>
          <w:color w:val="auto"/>
        </w:rPr>
        <w:tab/>
        <w:t xml:space="preserve">☐ </w:t>
      </w:r>
      <w:r>
        <w:rPr>
          <w:rFonts w:ascii="Arial" w:cs="Arial" w:eastAsia="Arial" w:hAnsi="Arial"/>
          <w:sz w:val="18"/>
          <w:szCs w:val="18"/>
          <w:color w:val="auto"/>
        </w:rPr>
        <w:t>Form 20-F</w:t>
      </w:r>
      <w:r>
        <w:rPr>
          <w:rFonts w:ascii="MS PGothic" w:cs="MS PGothic" w:eastAsia="MS PGothic" w:hAnsi="MS PGothic"/>
          <w:sz w:val="18"/>
          <w:szCs w:val="18"/>
          <w:color w:val="auto"/>
        </w:rPr>
        <w:tab/>
        <w:t xml:space="preserve">☐ </w:t>
      </w:r>
      <w:r>
        <w:rPr>
          <w:rFonts w:ascii="Arial" w:cs="Arial" w:eastAsia="Arial" w:hAnsi="Arial"/>
          <w:sz w:val="18"/>
          <w:szCs w:val="18"/>
          <w:color w:val="auto"/>
        </w:rPr>
        <w:t>Form 11-K</w:t>
      </w:r>
      <w:r>
        <w:rPr>
          <w:sz w:val="20"/>
          <w:szCs w:val="20"/>
          <w:color w:val="auto"/>
        </w:rPr>
        <w:tab/>
      </w:r>
      <w:r>
        <w:rPr>
          <w:rFonts w:ascii="MS PGothic" w:cs="MS PGothic" w:eastAsia="MS PGothic" w:hAnsi="MS PGothic"/>
          <w:sz w:val="17"/>
          <w:szCs w:val="17"/>
          <w:color w:val="auto"/>
        </w:rPr>
        <w:t xml:space="preserve">☒ </w:t>
      </w:r>
      <w:r>
        <w:rPr>
          <w:rFonts w:ascii="Arial" w:cs="Arial" w:eastAsia="Arial" w:hAnsi="Arial"/>
          <w:sz w:val="17"/>
          <w:szCs w:val="17"/>
          <w:color w:val="auto"/>
        </w:rPr>
        <w:t>Form 10-Q</w:t>
      </w:r>
    </w:p>
    <w:p>
      <w:pPr>
        <w:spacing w:after="0" w:line="51" w:lineRule="exact"/>
        <w:rPr>
          <w:sz w:val="24"/>
          <w:szCs w:val="24"/>
          <w:color w:val="auto"/>
        </w:rPr>
      </w:pPr>
    </w:p>
    <w:p>
      <w:pPr>
        <w:jc w:val="both"/>
        <w:ind w:left="2880" w:right="4219" w:hanging="10"/>
        <w:spacing w:after="0" w:line="333" w:lineRule="exact"/>
        <w:tabs>
          <w:tab w:leader="none" w:pos="3132" w:val="left"/>
        </w:tabs>
        <w:numPr>
          <w:ilvl w:val="0"/>
          <w:numId w:val="1"/>
        </w:numPr>
        <w:rPr>
          <w:rFonts w:ascii="MS PGothic" w:cs="MS PGothic" w:eastAsia="MS PGothic" w:hAnsi="MS PGothic"/>
          <w:sz w:val="16"/>
          <w:szCs w:val="16"/>
          <w:color w:val="auto"/>
        </w:rPr>
      </w:pPr>
      <w:r>
        <w:rPr>
          <w:rFonts w:ascii="Arial" w:cs="Arial" w:eastAsia="Arial" w:hAnsi="Arial"/>
          <w:sz w:val="16"/>
          <w:szCs w:val="16"/>
          <w:color w:val="auto"/>
        </w:rPr>
        <w:t xml:space="preserve">Form N-SAR </w:t>
      </w:r>
      <w:r>
        <w:rPr>
          <w:rFonts w:ascii="MS PGothic" w:cs="MS PGothic" w:eastAsia="MS PGothic" w:hAnsi="MS PGothic"/>
          <w:sz w:val="16"/>
          <w:szCs w:val="16"/>
          <w:color w:val="auto"/>
        </w:rPr>
        <w:t>☐</w:t>
      </w:r>
      <w:r>
        <w:rPr>
          <w:rFonts w:ascii="Arial" w:cs="Arial" w:eastAsia="Arial" w:hAnsi="Arial"/>
          <w:sz w:val="16"/>
          <w:szCs w:val="16"/>
          <w:color w:val="auto"/>
        </w:rPr>
        <w:t xml:space="preserve"> Form N-CSR For Period Ended: October 31, 2015</w:t>
      </w:r>
    </w:p>
    <w:p>
      <w:pPr>
        <w:spacing w:after="0" w:line="203" w:lineRule="exact"/>
        <w:rPr>
          <w:rFonts w:ascii="MS PGothic" w:cs="MS PGothic" w:eastAsia="MS PGothic" w:hAnsi="MS PGothic"/>
          <w:sz w:val="16"/>
          <w:szCs w:val="16"/>
          <w:color w:val="auto"/>
        </w:rPr>
      </w:pPr>
    </w:p>
    <w:p>
      <w:pPr>
        <w:ind w:left="3120" w:hanging="250"/>
        <w:spacing w:after="0"/>
        <w:tabs>
          <w:tab w:leader="none" w:pos="3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10-K</w:t>
      </w:r>
    </w:p>
    <w:p>
      <w:pPr>
        <w:spacing w:after="0" w:line="25" w:lineRule="exact"/>
        <w:rPr>
          <w:rFonts w:ascii="MS PGothic" w:cs="MS PGothic" w:eastAsia="MS PGothic" w:hAnsi="MS PGothic"/>
          <w:sz w:val="18"/>
          <w:szCs w:val="18"/>
          <w:color w:val="auto"/>
        </w:rPr>
      </w:pPr>
    </w:p>
    <w:p>
      <w:pPr>
        <w:ind w:left="3120" w:hanging="250"/>
        <w:spacing w:after="0"/>
        <w:tabs>
          <w:tab w:leader="none" w:pos="3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20-F</w:t>
      </w:r>
    </w:p>
    <w:p>
      <w:pPr>
        <w:spacing w:after="0" w:line="9" w:lineRule="exact"/>
        <w:rPr>
          <w:rFonts w:ascii="MS PGothic" w:cs="MS PGothic" w:eastAsia="MS PGothic" w:hAnsi="MS PGothic"/>
          <w:sz w:val="18"/>
          <w:szCs w:val="18"/>
          <w:color w:val="auto"/>
        </w:rPr>
      </w:pPr>
    </w:p>
    <w:p>
      <w:pPr>
        <w:ind w:left="3120" w:hanging="250"/>
        <w:spacing w:after="0"/>
        <w:tabs>
          <w:tab w:leader="none" w:pos="3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11-K</w:t>
      </w:r>
    </w:p>
    <w:p>
      <w:pPr>
        <w:spacing w:after="0" w:line="9" w:lineRule="exact"/>
        <w:rPr>
          <w:rFonts w:ascii="MS PGothic" w:cs="MS PGothic" w:eastAsia="MS PGothic" w:hAnsi="MS PGothic"/>
          <w:sz w:val="18"/>
          <w:szCs w:val="18"/>
          <w:color w:val="auto"/>
        </w:rPr>
      </w:pPr>
    </w:p>
    <w:p>
      <w:pPr>
        <w:ind w:left="3120" w:hanging="250"/>
        <w:spacing w:after="0"/>
        <w:tabs>
          <w:tab w:leader="none" w:pos="3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10-Q</w:t>
      </w:r>
    </w:p>
    <w:p>
      <w:pPr>
        <w:spacing w:after="0" w:line="9" w:lineRule="exact"/>
        <w:rPr>
          <w:rFonts w:ascii="MS PGothic" w:cs="MS PGothic" w:eastAsia="MS PGothic" w:hAnsi="MS PGothic"/>
          <w:sz w:val="18"/>
          <w:szCs w:val="18"/>
          <w:color w:val="auto"/>
        </w:rPr>
      </w:pPr>
    </w:p>
    <w:p>
      <w:pPr>
        <w:ind w:left="3120" w:hanging="250"/>
        <w:spacing w:after="0"/>
        <w:tabs>
          <w:tab w:leader="none" w:pos="312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N-SAR</w:t>
      </w:r>
    </w:p>
    <w:p>
      <w:pPr>
        <w:spacing w:after="0" w:line="209" w:lineRule="exact"/>
        <w:rPr>
          <w:sz w:val="24"/>
          <w:szCs w:val="24"/>
          <w:color w:val="auto"/>
        </w:rPr>
      </w:pPr>
    </w:p>
    <w:p>
      <w:pPr>
        <w:ind w:left="2880"/>
        <w:spacing w:after="0"/>
        <w:rPr>
          <w:sz w:val="20"/>
          <w:szCs w:val="20"/>
          <w:color w:val="auto"/>
        </w:rPr>
      </w:pPr>
      <w:r>
        <w:rPr>
          <w:rFonts w:ascii="Arial" w:cs="Arial" w:eastAsia="Arial" w:hAnsi="Arial"/>
          <w:sz w:val="18"/>
          <w:szCs w:val="18"/>
          <w:color w:val="auto"/>
        </w:rPr>
        <w:t>For the Transition Period Ended:</w:t>
      </w:r>
    </w:p>
    <w:p>
      <w:pPr>
        <w:spacing w:after="0" w:line="266" w:lineRule="exact"/>
        <w:rPr>
          <w:sz w:val="24"/>
          <w:szCs w:val="24"/>
          <w:color w:val="auto"/>
        </w:rPr>
      </w:pPr>
    </w:p>
    <w:p>
      <w:pPr>
        <w:jc w:val="center"/>
        <w:ind w:right="-760"/>
        <w:spacing w:after="0"/>
        <w:rPr>
          <w:sz w:val="20"/>
          <w:szCs w:val="20"/>
          <w:color w:val="auto"/>
        </w:rPr>
      </w:pPr>
      <w:r>
        <w:rPr>
          <w:rFonts w:ascii="Arial" w:cs="Arial" w:eastAsia="Arial" w:hAnsi="Arial"/>
          <w:sz w:val="18"/>
          <w:szCs w:val="18"/>
          <w:i w:val="1"/>
          <w:iCs w:val="1"/>
          <w:color w:val="auto"/>
        </w:rPr>
        <w:t>Read Instruction (on back page) Before Preparing Form. Please Print or Type.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-286385</wp:posOffset>
            </wp:positionH>
            <wp:positionV relativeFrom="paragraph">
              <wp:posOffset>-130175</wp:posOffset>
            </wp:positionV>
            <wp:extent cx="7254875" cy="3003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54875" cy="300355"/>
                    </a:xfrm>
                    <a:prstGeom prst="rect">
                      <a:avLst/>
                    </a:prstGeom>
                    <a:noFill/>
                  </pic:spPr>
                </pic:pic>
              </a:graphicData>
            </a:graphic>
          </wp:anchor>
        </w:drawing>
      </w:r>
    </w:p>
    <w:p>
      <w:pPr>
        <w:spacing w:after="0" w:line="3" w:lineRule="exact"/>
        <w:rPr>
          <w:sz w:val="24"/>
          <w:szCs w:val="24"/>
          <w:color w:val="auto"/>
        </w:rPr>
      </w:pPr>
    </w:p>
    <w:p>
      <w:pPr>
        <w:jc w:val="center"/>
        <w:ind w:right="-760"/>
        <w:spacing w:after="0"/>
        <w:rPr>
          <w:sz w:val="20"/>
          <w:szCs w:val="20"/>
          <w:color w:val="auto"/>
        </w:rPr>
      </w:pPr>
      <w:r>
        <w:rPr>
          <w:rFonts w:ascii="Arial" w:cs="Arial" w:eastAsia="Arial" w:hAnsi="Arial"/>
          <w:sz w:val="16"/>
          <w:szCs w:val="16"/>
          <w:b w:val="1"/>
          <w:bCs w:val="1"/>
          <w:color w:val="auto"/>
        </w:rPr>
        <w:t>Nothing in this form shall be construed to imply that the Commission has verified any information contained herein.</w:t>
      </w:r>
    </w:p>
    <w:p>
      <w:pPr>
        <w:spacing w:after="0" w:line="261" w:lineRule="exact"/>
        <w:rPr>
          <w:sz w:val="24"/>
          <w:szCs w:val="24"/>
          <w:color w:val="auto"/>
        </w:rPr>
      </w:pPr>
    </w:p>
    <w:p>
      <w:pPr>
        <w:spacing w:after="0"/>
        <w:rPr>
          <w:sz w:val="20"/>
          <w:szCs w:val="20"/>
          <w:color w:val="auto"/>
        </w:rPr>
      </w:pPr>
      <w:r>
        <w:rPr>
          <w:rFonts w:ascii="Arial" w:cs="Arial" w:eastAsia="Arial" w:hAnsi="Arial"/>
          <w:sz w:val="18"/>
          <w:szCs w:val="18"/>
          <w:color w:val="auto"/>
        </w:rPr>
        <w:t>If the notification relates to a portion of the filing checked above, identify the Item(s) to which the notification relates: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-286385</wp:posOffset>
            </wp:positionH>
            <wp:positionV relativeFrom="paragraph">
              <wp:posOffset>417830</wp:posOffset>
            </wp:positionV>
            <wp:extent cx="7246620" cy="171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3" w:lineRule="exact"/>
        <w:rPr>
          <w:sz w:val="24"/>
          <w:szCs w:val="24"/>
          <w:color w:val="auto"/>
        </w:rPr>
      </w:pPr>
    </w:p>
    <w:p>
      <w:pPr>
        <w:ind w:left="3540"/>
        <w:spacing w:after="0"/>
        <w:rPr>
          <w:sz w:val="20"/>
          <w:szCs w:val="20"/>
          <w:color w:val="auto"/>
        </w:rPr>
      </w:pPr>
      <w:r>
        <w:rPr>
          <w:rFonts w:ascii="Arial" w:cs="Arial" w:eastAsia="Arial" w:hAnsi="Arial"/>
          <w:sz w:val="18"/>
          <w:szCs w:val="18"/>
          <w:b w:val="1"/>
          <w:bCs w:val="1"/>
          <w:color w:val="auto"/>
        </w:rPr>
        <w:t>PART I — REGISTRANT INFORMATION</w:t>
      </w:r>
    </w:p>
    <w:p>
      <w:pPr>
        <w:spacing w:after="0" w:line="200" w:lineRule="exact"/>
        <w:rPr>
          <w:sz w:val="24"/>
          <w:szCs w:val="24"/>
          <w:color w:val="auto"/>
        </w:rPr>
      </w:pPr>
    </w:p>
    <w:p>
      <w:pPr>
        <w:spacing w:after="0" w:line="212" w:lineRule="exact"/>
        <w:rPr>
          <w:sz w:val="24"/>
          <w:szCs w:val="24"/>
          <w:color w:val="auto"/>
        </w:rPr>
      </w:pPr>
    </w:p>
    <w:p>
      <w:pPr>
        <w:jc w:val="center"/>
        <w:ind w:right="-740"/>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ind w:left="4320"/>
        <w:spacing w:after="0"/>
        <w:rPr>
          <w:sz w:val="20"/>
          <w:szCs w:val="20"/>
          <w:color w:val="auto"/>
        </w:rPr>
      </w:pPr>
      <w:r>
        <w:rPr>
          <w:rFonts w:ascii="Arial" w:cs="Arial" w:eastAsia="Arial" w:hAnsi="Arial"/>
          <w:sz w:val="18"/>
          <w:szCs w:val="18"/>
          <w:b w:val="1"/>
          <w:bCs w:val="1"/>
          <w:color w:val="auto"/>
        </w:rPr>
        <w:t>Full Name of Registrant</w:t>
      </w:r>
    </w:p>
    <w:p>
      <w:pPr>
        <w:spacing w:after="0" w:line="200" w:lineRule="exact"/>
        <w:rPr>
          <w:sz w:val="24"/>
          <w:szCs w:val="24"/>
          <w:color w:val="auto"/>
        </w:rPr>
      </w:pPr>
    </w:p>
    <w:p>
      <w:pPr>
        <w:spacing w:after="0" w:line="221" w:lineRule="exact"/>
        <w:rPr>
          <w:sz w:val="24"/>
          <w:szCs w:val="24"/>
          <w:color w:val="auto"/>
        </w:rPr>
      </w:pPr>
    </w:p>
    <w:p>
      <w:pPr>
        <w:jc w:val="center"/>
        <w:ind w:right="-740"/>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ind w:left="4420"/>
        <w:spacing w:after="0"/>
        <w:rPr>
          <w:sz w:val="20"/>
          <w:szCs w:val="20"/>
          <w:color w:val="auto"/>
        </w:rPr>
      </w:pPr>
      <w:r>
        <w:rPr>
          <w:rFonts w:ascii="Arial" w:cs="Arial" w:eastAsia="Arial" w:hAnsi="Arial"/>
          <w:sz w:val="14"/>
          <w:szCs w:val="14"/>
          <w:b w:val="1"/>
          <w:bCs w:val="1"/>
          <w:color w:val="auto"/>
        </w:rPr>
        <w:t>Former Name if Applicable</w:t>
      </w:r>
    </w:p>
    <w:p>
      <w:pPr>
        <w:spacing w:after="0" w:line="200" w:lineRule="exact"/>
        <w:rPr>
          <w:sz w:val="24"/>
          <w:szCs w:val="24"/>
          <w:color w:val="auto"/>
        </w:rPr>
      </w:pPr>
    </w:p>
    <w:p>
      <w:pPr>
        <w:spacing w:after="0" w:line="208" w:lineRule="exact"/>
        <w:rPr>
          <w:sz w:val="24"/>
          <w:szCs w:val="24"/>
          <w:color w:val="auto"/>
        </w:rPr>
      </w:pPr>
    </w:p>
    <w:p>
      <w:pPr>
        <w:jc w:val="center"/>
        <w:ind w:right="-740"/>
        <w:spacing w:after="0"/>
        <w:rPr>
          <w:sz w:val="20"/>
          <w:szCs w:val="20"/>
          <w:color w:val="auto"/>
        </w:rPr>
      </w:pPr>
      <w:r>
        <w:rPr>
          <w:rFonts w:ascii="Arial" w:cs="Arial" w:eastAsia="Arial" w:hAnsi="Arial"/>
          <w:sz w:val="18"/>
          <w:szCs w:val="18"/>
          <w:b w:val="1"/>
          <w:bCs w:val="1"/>
          <w:color w:val="auto"/>
        </w:rPr>
        <w:t>Canon’s Court, 22 Victoria Street</w:t>
      </w:r>
    </w:p>
    <w:p>
      <w:pPr>
        <w:spacing w:after="0" w:line="21" w:lineRule="exact"/>
        <w:rPr>
          <w:sz w:val="24"/>
          <w:szCs w:val="24"/>
          <w:color w:val="auto"/>
        </w:rPr>
      </w:pPr>
    </w:p>
    <w:p>
      <w:pPr>
        <w:ind w:left="3480"/>
        <w:spacing w:after="0"/>
        <w:rPr>
          <w:sz w:val="20"/>
          <w:szCs w:val="20"/>
          <w:color w:val="auto"/>
        </w:rPr>
      </w:pPr>
      <w:r>
        <w:rPr>
          <w:rFonts w:ascii="Arial" w:cs="Arial" w:eastAsia="Arial" w:hAnsi="Arial"/>
          <w:sz w:val="14"/>
          <w:szCs w:val="14"/>
          <w:b w:val="1"/>
          <w:bCs w:val="1"/>
          <w:color w:val="auto"/>
        </w:rPr>
        <w:t>Address of Principal Executive Office (</w:t>
      </w:r>
      <w:r>
        <w:rPr>
          <w:rFonts w:ascii="Arial" w:cs="Arial" w:eastAsia="Arial" w:hAnsi="Arial"/>
          <w:sz w:val="14"/>
          <w:szCs w:val="14"/>
          <w:b w:val="1"/>
          <w:bCs w:val="1"/>
          <w:i w:val="1"/>
          <w:iCs w:val="1"/>
          <w:color w:val="auto"/>
        </w:rPr>
        <w:t>Street and Number</w:t>
      </w:r>
      <w:r>
        <w:rPr>
          <w:rFonts w:ascii="Arial" w:cs="Arial" w:eastAsia="Arial" w:hAnsi="Arial"/>
          <w:sz w:val="14"/>
          <w:szCs w:val="14"/>
          <w:b w:val="1"/>
          <w:bCs w:val="1"/>
          <w:color w:val="auto"/>
        </w:rPr>
        <w:t>)</w:t>
      </w:r>
    </w:p>
    <w:p>
      <w:pPr>
        <w:spacing w:after="0" w:line="200" w:lineRule="exact"/>
        <w:rPr>
          <w:sz w:val="24"/>
          <w:szCs w:val="24"/>
          <w:color w:val="auto"/>
        </w:rPr>
      </w:pPr>
    </w:p>
    <w:p>
      <w:pPr>
        <w:spacing w:after="0" w:line="208" w:lineRule="exact"/>
        <w:rPr>
          <w:sz w:val="24"/>
          <w:szCs w:val="24"/>
          <w:color w:val="auto"/>
        </w:rPr>
      </w:pPr>
    </w:p>
    <w:p>
      <w:pPr>
        <w:jc w:val="center"/>
        <w:ind w:right="-740"/>
        <w:spacing w:after="0"/>
        <w:rPr>
          <w:sz w:val="20"/>
          <w:szCs w:val="20"/>
          <w:color w:val="auto"/>
        </w:rPr>
      </w:pPr>
      <w:r>
        <w:rPr>
          <w:rFonts w:ascii="Arial" w:cs="Arial" w:eastAsia="Arial" w:hAnsi="Arial"/>
          <w:sz w:val="18"/>
          <w:szCs w:val="18"/>
          <w:b w:val="1"/>
          <w:bCs w:val="1"/>
          <w:color w:val="auto"/>
        </w:rPr>
        <w:t>Hamilton HM 12, Bermuda</w:t>
      </w:r>
    </w:p>
    <w:p>
      <w:pPr>
        <w:spacing w:after="0" w:line="21" w:lineRule="exact"/>
        <w:rPr>
          <w:sz w:val="24"/>
          <w:szCs w:val="24"/>
          <w:color w:val="auto"/>
        </w:rPr>
      </w:pPr>
    </w:p>
    <w:p>
      <w:pPr>
        <w:ind w:left="4500"/>
        <w:spacing w:after="0"/>
        <w:rPr>
          <w:sz w:val="20"/>
          <w:szCs w:val="20"/>
          <w:color w:val="auto"/>
        </w:rPr>
      </w:pPr>
      <w:r>
        <w:rPr>
          <w:rFonts w:ascii="Arial" w:cs="Arial" w:eastAsia="Arial" w:hAnsi="Arial"/>
          <w:sz w:val="14"/>
          <w:szCs w:val="14"/>
          <w:b w:val="1"/>
          <w:bCs w:val="1"/>
          <w:color w:val="auto"/>
        </w:rPr>
        <w:t>City, State and Zip Code</w:t>
      </w:r>
    </w:p>
    <w:p>
      <w:pPr>
        <w:sectPr>
          <w:pgSz w:w="11900" w:h="16838" w:orient="portrait"/>
          <w:cols w:equalWidth="0" w:num="1">
            <w:col w:w="9759"/>
          </w:cols>
          <w:pgMar w:left="700" w:top="598" w:right="1440" w:bottom="1440" w:gutter="0" w:footer="0" w:header="0"/>
        </w:sectPr>
      </w:pPr>
    </w:p>
    <w:bookmarkStart w:id="1" w:name="page2"/>
    <w:bookmarkEnd w:id="1"/>
    <w:p>
      <w:pPr>
        <w:jc w:val="center"/>
        <w:ind w:right="-1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157480</wp:posOffset>
            </wp:positionH>
            <wp:positionV relativeFrom="page">
              <wp:posOffset>260350</wp:posOffset>
            </wp:positionV>
            <wp:extent cx="7246620" cy="171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17145"/>
                    </a:xfrm>
                    <a:prstGeom prst="rect">
                      <a:avLst/>
                    </a:prstGeom>
                    <a:noFill/>
                  </pic:spPr>
                </pic:pic>
              </a:graphicData>
            </a:graphic>
          </wp:anchor>
        </w:drawing>
        <w:t>PART II — RULES 12b-25(b) AND (c)</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If the subject report could not be filed without unreasonable effort or expense and the registrant seeks relief pursuant to Rule 12b-25(b), the following should be completed. (Check box if appropriate)</w:t>
      </w:r>
    </w:p>
    <w:p>
      <w:pPr>
        <w:spacing w:after="0" w:line="197" w:lineRule="exact"/>
        <w:rPr>
          <w:sz w:val="20"/>
          <w:szCs w:val="20"/>
          <w:color w:val="auto"/>
        </w:rPr>
      </w:pPr>
    </w:p>
    <w:p>
      <w:pPr>
        <w:ind w:left="880" w:hanging="332"/>
        <w:spacing w:after="0"/>
        <w:tabs>
          <w:tab w:leader="none" w:pos="880" w:val="left"/>
        </w:tabs>
        <w:numPr>
          <w:ilvl w:val="1"/>
          <w:numId w:val="2"/>
        </w:numPr>
        <w:rPr>
          <w:rFonts w:ascii="Arial" w:cs="Arial" w:eastAsia="Arial" w:hAnsi="Arial"/>
          <w:sz w:val="18"/>
          <w:szCs w:val="18"/>
          <w:color w:val="auto"/>
        </w:rPr>
      </w:pPr>
      <w:r>
        <w:rPr>
          <w:rFonts w:ascii="Arial" w:cs="Arial" w:eastAsia="Arial" w:hAnsi="Arial"/>
          <w:sz w:val="18"/>
          <w:szCs w:val="18"/>
          <w:color w:val="auto"/>
        </w:rPr>
        <w:t>The reason described in reasonable detail in Part III of this form could not be eliminated without unreasonable effort or expense;</w:t>
      </w:r>
    </w:p>
    <w:p>
      <w:pPr>
        <w:spacing w:after="0" w:line="144" w:lineRule="exact"/>
        <w:rPr>
          <w:rFonts w:ascii="Arial" w:cs="Arial" w:eastAsia="Arial" w:hAnsi="Arial"/>
          <w:sz w:val="18"/>
          <w:szCs w:val="18"/>
          <w:color w:val="auto"/>
        </w:rPr>
      </w:pPr>
    </w:p>
    <w:p>
      <w:pPr>
        <w:ind w:left="880" w:hanging="332"/>
        <w:spacing w:after="0"/>
        <w:tabs>
          <w:tab w:leader="none" w:pos="880" w:val="left"/>
        </w:tabs>
        <w:numPr>
          <w:ilvl w:val="1"/>
          <w:numId w:val="2"/>
        </w:numPr>
        <w:rPr>
          <w:rFonts w:ascii="Arial" w:cs="Arial" w:eastAsia="Arial" w:hAnsi="Arial"/>
          <w:sz w:val="16"/>
          <w:szCs w:val="16"/>
          <w:color w:val="auto"/>
        </w:rPr>
      </w:pPr>
      <w:r>
        <w:rPr>
          <w:rFonts w:ascii="Arial" w:cs="Arial" w:eastAsia="Arial" w:hAnsi="Arial"/>
          <w:sz w:val="16"/>
          <w:szCs w:val="16"/>
          <w:color w:val="auto"/>
        </w:rPr>
        <w:t>The subject annual report, semi-annual report, transition report on Form 10-K, Form 20-F, Form 11-K, Form N-SAR or Form N-CSR, or portion</w:t>
      </w:r>
    </w:p>
    <w:p>
      <w:pPr>
        <w:spacing w:after="0" w:line="46" w:lineRule="exact"/>
        <w:rPr>
          <w:rFonts w:ascii="Arial" w:cs="Arial" w:eastAsia="Arial" w:hAnsi="Arial"/>
          <w:sz w:val="16"/>
          <w:szCs w:val="16"/>
          <w:color w:val="auto"/>
        </w:rPr>
      </w:pPr>
    </w:p>
    <w:p>
      <w:pPr>
        <w:ind w:left="880" w:right="100" w:hanging="728"/>
        <w:spacing w:after="0" w:line="201" w:lineRule="auto"/>
        <w:tabs>
          <w:tab w:leader="none" w:pos="880" w:val="left"/>
        </w:tabs>
        <w:numPr>
          <w:ilvl w:val="0"/>
          <w:numId w:val="2"/>
        </w:numPr>
        <w:rPr>
          <w:rFonts w:ascii="MS PGothic" w:cs="MS PGothic" w:eastAsia="MS PGothic" w:hAnsi="MS PGothic"/>
          <w:sz w:val="36"/>
          <w:szCs w:val="36"/>
          <w:color w:val="auto"/>
          <w:vertAlign w:val="subscript"/>
        </w:rPr>
      </w:pPr>
      <w:r>
        <w:rPr>
          <w:rFonts w:ascii="Arial" w:cs="Arial" w:eastAsia="Arial" w:hAnsi="Arial"/>
          <w:sz w:val="18"/>
          <w:szCs w:val="18"/>
          <w:color w:val="auto"/>
        </w:rPr>
        <w:t>thereof, will be filed on or before the fifteenth calendar day following the prescribed due date; or the subject quarterly report or transition report on Form 10-Q or subject distribution report on Form 10-D, or portion thereof, will be filed on or before the fifth calendar day following the prescribed due date; and</w:t>
      </w:r>
    </w:p>
    <w:p>
      <w:pPr>
        <w:spacing w:after="0" w:line="120" w:lineRule="exact"/>
        <w:rPr>
          <w:rFonts w:ascii="MS PGothic" w:cs="MS PGothic" w:eastAsia="MS PGothic" w:hAnsi="MS PGothic"/>
          <w:sz w:val="36"/>
          <w:szCs w:val="36"/>
          <w:color w:val="auto"/>
          <w:vertAlign w:val="subscript"/>
        </w:rPr>
      </w:pPr>
    </w:p>
    <w:p>
      <w:pPr>
        <w:ind w:left="880" w:hanging="332"/>
        <w:spacing w:after="0"/>
        <w:tabs>
          <w:tab w:leader="none" w:pos="880" w:val="left"/>
        </w:tabs>
        <w:numPr>
          <w:ilvl w:val="1"/>
          <w:numId w:val="3"/>
        </w:numPr>
        <w:rPr>
          <w:rFonts w:ascii="Arial" w:cs="Arial" w:eastAsia="Arial" w:hAnsi="Arial"/>
          <w:sz w:val="18"/>
          <w:szCs w:val="18"/>
          <w:color w:val="auto"/>
        </w:rPr>
      </w:pPr>
      <w:r>
        <w:rPr>
          <w:rFonts w:ascii="Arial" w:cs="Arial" w:eastAsia="Arial" w:hAnsi="Arial"/>
          <w:sz w:val="18"/>
          <w:szCs w:val="18"/>
          <w:color w:val="auto"/>
        </w:rPr>
        <w:t>The accountant’s statement or other exhibit required by Rule 12b-25(c) has been attached if applicable.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288290</wp:posOffset>
            </wp:positionH>
            <wp:positionV relativeFrom="paragraph">
              <wp:posOffset>-979170</wp:posOffset>
            </wp:positionV>
            <wp:extent cx="8890" cy="9950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8890" cy="99504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255270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393"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PART III — NARRATIVE</w:t>
      </w:r>
    </w:p>
    <w:p>
      <w:pPr>
        <w:spacing w:after="0" w:line="229" w:lineRule="exact"/>
        <w:rPr>
          <w:sz w:val="20"/>
          <w:szCs w:val="20"/>
          <w:color w:val="auto"/>
        </w:rPr>
      </w:pPr>
    </w:p>
    <w:p>
      <w:pPr>
        <w:ind w:right="340"/>
        <w:spacing w:after="0" w:line="277" w:lineRule="auto"/>
        <w:rPr>
          <w:sz w:val="20"/>
          <w:szCs w:val="20"/>
          <w:color w:val="auto"/>
        </w:rPr>
      </w:pPr>
      <w:r>
        <w:rPr>
          <w:rFonts w:ascii="Arial" w:cs="Arial" w:eastAsia="Arial" w:hAnsi="Arial"/>
          <w:sz w:val="18"/>
          <w:szCs w:val="18"/>
          <w:color w:val="auto"/>
        </w:rPr>
        <w:t>State below in reasonable detail why Forms 10-K, 20-F, 11-K, 10-Q, 10-D, N-SAR, N-CSR, or the transition report or portion thereof, could not be filed within the prescribed time period.</w:t>
      </w:r>
    </w:p>
    <w:p>
      <w:pPr>
        <w:spacing w:after="0" w:line="197"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860" w:type="dxa"/>
            <w:vAlign w:val="bottom"/>
          </w:tcPr>
          <w:p>
            <w:pPr>
              <w:spacing w:after="0"/>
              <w:rPr>
                <w:sz w:val="20"/>
                <w:szCs w:val="20"/>
                <w:color w:val="auto"/>
              </w:rPr>
            </w:pPr>
            <w:r>
              <w:rPr>
                <w:rFonts w:ascii="Arial" w:cs="Arial" w:eastAsia="Arial" w:hAnsi="Arial"/>
                <w:sz w:val="18"/>
                <w:szCs w:val="18"/>
                <w:color w:val="auto"/>
              </w:rPr>
              <w:t>SEC 13344 (04-09)</w:t>
            </w:r>
          </w:p>
        </w:tc>
        <w:tc>
          <w:tcPr>
            <w:tcW w:w="8940" w:type="dxa"/>
            <w:vAlign w:val="bottom"/>
          </w:tcPr>
          <w:p>
            <w:pPr>
              <w:ind w:left="440"/>
              <w:spacing w:after="0"/>
              <w:rPr>
                <w:sz w:val="20"/>
                <w:szCs w:val="20"/>
                <w:color w:val="auto"/>
              </w:rPr>
            </w:pPr>
            <w:r>
              <w:rPr>
                <w:rFonts w:ascii="Arial" w:cs="Arial" w:eastAsia="Arial" w:hAnsi="Arial"/>
                <w:sz w:val="18"/>
                <w:szCs w:val="18"/>
                <w:color w:val="auto"/>
                <w:w w:val="90"/>
              </w:rPr>
              <w:t>Persons who are to respond to the collection of information contained in this form required to respond unless the form</w:t>
            </w:r>
          </w:p>
        </w:tc>
      </w:tr>
      <w:tr>
        <w:trPr>
          <w:trHeight w:val="230"/>
        </w:trPr>
        <w:tc>
          <w:tcPr>
            <w:tcW w:w="1860" w:type="dxa"/>
            <w:vAlign w:val="bottom"/>
          </w:tcPr>
          <w:p>
            <w:pPr>
              <w:spacing w:after="0"/>
              <w:rPr>
                <w:sz w:val="20"/>
                <w:szCs w:val="20"/>
                <w:color w:val="auto"/>
              </w:rPr>
            </w:pPr>
          </w:p>
        </w:tc>
        <w:tc>
          <w:tcPr>
            <w:tcW w:w="8940" w:type="dxa"/>
            <w:vAlign w:val="bottom"/>
          </w:tcPr>
          <w:p>
            <w:pPr>
              <w:ind w:left="440"/>
              <w:spacing w:after="0"/>
              <w:rPr>
                <w:sz w:val="20"/>
                <w:szCs w:val="20"/>
                <w:color w:val="auto"/>
              </w:rPr>
            </w:pPr>
            <w:r>
              <w:rPr>
                <w:rFonts w:ascii="Arial" w:cs="Arial" w:eastAsia="Arial" w:hAnsi="Arial"/>
                <w:sz w:val="18"/>
                <w:szCs w:val="18"/>
                <w:color w:val="auto"/>
              </w:rPr>
              <w:t>displays a currently valid OMB control number</w:t>
            </w:r>
          </w:p>
        </w:tc>
      </w:tr>
    </w:tbl>
    <w:p>
      <w:pPr>
        <w:sectPr>
          <w:pgSz w:w="11900" w:h="16838" w:orient="portrait"/>
          <w:cols w:equalWidth="0" w:num="1">
            <w:col w:w="11320"/>
          </w:cols>
          <w:pgMar w:left="240" w:top="634" w:right="3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(Attach extra sheets if needed)</w:t>
      </w:r>
    </w:p>
    <w:p>
      <w:pPr>
        <w:spacing w:after="0" w:line="225" w:lineRule="exact"/>
        <w:rPr>
          <w:sz w:val="20"/>
          <w:szCs w:val="20"/>
          <w:color w:val="auto"/>
        </w:rPr>
      </w:pPr>
    </w:p>
    <w:p>
      <w:pPr>
        <w:ind w:right="740" w:firstLine="456"/>
        <w:spacing w:after="0" w:line="342" w:lineRule="auto"/>
        <w:rPr>
          <w:sz w:val="20"/>
          <w:szCs w:val="20"/>
          <w:color w:val="auto"/>
        </w:rPr>
      </w:pPr>
      <w:r>
        <w:rPr>
          <w:rFonts w:ascii="Arial" w:cs="Arial" w:eastAsia="Arial" w:hAnsi="Arial"/>
          <w:sz w:val="16"/>
          <w:szCs w:val="16"/>
          <w:color w:val="auto"/>
        </w:rPr>
        <w:t>Marvell Technology Group Ltd. (“Company”) has determined that it is unable to file its Quarterly Report on Form 10-Q for the quarter ended October 31, 2015 (“Quarterly Report”) within the prescribed time period without unreasonable effort or expense for the reasons described below.</w:t>
      </w:r>
    </w:p>
    <w:p>
      <w:pPr>
        <w:spacing w:after="0" w:line="124" w:lineRule="exact"/>
        <w:rPr>
          <w:sz w:val="20"/>
          <w:szCs w:val="20"/>
          <w:color w:val="auto"/>
        </w:rPr>
      </w:pPr>
    </w:p>
    <w:p>
      <w:pPr>
        <w:ind w:firstLine="456"/>
        <w:spacing w:after="0" w:line="273" w:lineRule="auto"/>
        <w:rPr>
          <w:sz w:val="20"/>
          <w:szCs w:val="20"/>
          <w:color w:val="auto"/>
        </w:rPr>
      </w:pPr>
      <w:r>
        <w:rPr>
          <w:rFonts w:ascii="Arial" w:cs="Arial" w:eastAsia="Arial" w:hAnsi="Arial"/>
          <w:sz w:val="17"/>
          <w:szCs w:val="17"/>
          <w:color w:val="auto"/>
        </w:rPr>
        <w:t>As disclosed in the Company’s press release dated December 7, 2015 (the “Results Press Release”), Marvell’s Audit Committee is conducting an independent investigation of certain accounting and internal control matters. As disclosed in the Company’s Form 8-K filed on October 26, 2015, PricewaterhouseCoopers LLP resigned as the Company’s independent public accounting firm effective October 20, 2015. As a result, the Company has experienced a delay in the completion of its financial statements, Management’s Discussion and Analysis of Financial Condition and Results of Operations and other related components of the Quarterly Report. The Company intends to take all necessary steps to file the Quarterly Report as soon as practicable. For further information, see the Results Press Release, which was filed on Form 8-K on December 7, 2015.</w:t>
      </w:r>
    </w:p>
    <w:p>
      <w:pPr>
        <w:spacing w:after="0" w:line="178" w:lineRule="exact"/>
        <w:rPr>
          <w:sz w:val="20"/>
          <w:szCs w:val="20"/>
          <w:color w:val="auto"/>
        </w:rPr>
      </w:pPr>
    </w:p>
    <w:p>
      <w:pPr>
        <w:ind w:right="40" w:firstLine="456"/>
        <w:spacing w:after="0" w:line="293" w:lineRule="auto"/>
        <w:rPr>
          <w:sz w:val="20"/>
          <w:szCs w:val="20"/>
          <w:color w:val="auto"/>
        </w:rPr>
      </w:pPr>
      <w:r>
        <w:rPr>
          <w:rFonts w:ascii="Arial" w:cs="Arial" w:eastAsia="Arial" w:hAnsi="Arial"/>
          <w:sz w:val="16"/>
          <w:szCs w:val="16"/>
          <w:color w:val="auto"/>
        </w:rPr>
        <w:t>This document and the Results Press Release incorporated herein by reference contain forward-looking statements within the meaning of the federal securities laws that involve risks and uncertainties, including: its use of non-GAAP financial measures as important supplemental information.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those identified in the Results Press Release. Marvell undertakes no obligation to revise or update publicly any forward-looking statements.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147955</wp:posOffset>
            </wp:positionV>
            <wp:extent cx="7246620" cy="171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pacing w:after="0" w:line="200" w:lineRule="exact"/>
        <w:rPr>
          <w:sz w:val="20"/>
          <w:szCs w:val="20"/>
          <w:color w:val="auto"/>
        </w:rPr>
      </w:pPr>
    </w:p>
    <w:p>
      <w:pPr>
        <w:spacing w:after="0" w:line="238"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IV — OTHER INFORMATION</w:t>
      </w:r>
    </w:p>
    <w:p>
      <w:pPr>
        <w:spacing w:after="0" w:line="256" w:lineRule="exact"/>
        <w:rPr>
          <w:sz w:val="20"/>
          <w:szCs w:val="20"/>
          <w:color w:val="auto"/>
        </w:rPr>
      </w:pPr>
    </w:p>
    <w:p>
      <w:pPr>
        <w:ind w:left="460" w:hanging="452"/>
        <w:spacing w:after="0"/>
        <w:tabs>
          <w:tab w:leader="none" w:pos="460" w:val="left"/>
        </w:tabs>
        <w:numPr>
          <w:ilvl w:val="0"/>
          <w:numId w:val="4"/>
        </w:numPr>
        <w:rPr>
          <w:rFonts w:ascii="Arial" w:cs="Arial" w:eastAsia="Arial" w:hAnsi="Arial"/>
          <w:sz w:val="18"/>
          <w:szCs w:val="18"/>
          <w:color w:val="auto"/>
        </w:rPr>
      </w:pPr>
      <w:r>
        <w:rPr>
          <w:rFonts w:ascii="Arial" w:cs="Arial" w:eastAsia="Arial" w:hAnsi="Arial"/>
          <w:sz w:val="18"/>
          <w:szCs w:val="18"/>
          <w:color w:val="auto"/>
        </w:rPr>
        <w:t>Name and telephone number of person to contact in regard to this notification</w:t>
      </w:r>
    </w:p>
    <w:p>
      <w:pPr>
        <w:spacing w:after="0" w:line="200" w:lineRule="exact"/>
        <w:rPr>
          <w:sz w:val="20"/>
          <w:szCs w:val="20"/>
          <w:color w:val="auto"/>
        </w:rPr>
      </w:pPr>
    </w:p>
    <w:p>
      <w:pPr>
        <w:spacing w:after="0" w:line="305" w:lineRule="exact"/>
        <w:rPr>
          <w:sz w:val="20"/>
          <w:szCs w:val="20"/>
          <w:color w:val="auto"/>
        </w:rPr>
      </w:pPr>
    </w:p>
    <w:tbl>
      <w:tblPr>
        <w:tblLayout w:type="fixed"/>
        <w:tblInd w:w="460" w:type="dxa"/>
        <w:tblCellMar>
          <w:top w:w="0" w:type="dxa"/>
          <w:left w:w="0" w:type="dxa"/>
          <w:bottom w:w="0" w:type="dxa"/>
          <w:right w:w="0" w:type="dxa"/>
        </w:tblCellMar>
      </w:tblPr>
      <w:tr>
        <w:trPr>
          <w:trHeight w:val="234"/>
        </w:trPr>
        <w:tc>
          <w:tcPr>
            <w:tcW w:w="4060" w:type="dxa"/>
            <w:vAlign w:val="bottom"/>
            <w:gridSpan w:val="2"/>
          </w:tcPr>
          <w:p>
            <w:pPr>
              <w:jc w:val="center"/>
              <w:ind w:right="520"/>
              <w:spacing w:after="0"/>
              <w:rPr>
                <w:sz w:val="20"/>
                <w:szCs w:val="20"/>
                <w:color w:val="auto"/>
              </w:rPr>
            </w:pPr>
            <w:r>
              <w:rPr>
                <w:rFonts w:ascii="Arial" w:cs="Arial" w:eastAsia="Arial" w:hAnsi="Arial"/>
                <w:sz w:val="18"/>
                <w:szCs w:val="18"/>
                <w:b w:val="1"/>
                <w:bCs w:val="1"/>
                <w:color w:val="auto"/>
                <w:w w:val="92"/>
              </w:rPr>
              <w:t>David Eichler</w:t>
            </w:r>
          </w:p>
        </w:tc>
        <w:tc>
          <w:tcPr>
            <w:tcW w:w="2340" w:type="dxa"/>
            <w:vAlign w:val="bottom"/>
          </w:tcPr>
          <w:p>
            <w:pPr>
              <w:jc w:val="right"/>
              <w:ind w:right="779"/>
              <w:spacing w:after="0"/>
              <w:rPr>
                <w:sz w:val="20"/>
                <w:szCs w:val="20"/>
                <w:color w:val="auto"/>
              </w:rPr>
            </w:pPr>
            <w:r>
              <w:rPr>
                <w:rFonts w:ascii="Arial" w:cs="Arial" w:eastAsia="Arial" w:hAnsi="Arial"/>
                <w:sz w:val="18"/>
                <w:szCs w:val="18"/>
                <w:b w:val="1"/>
                <w:bCs w:val="1"/>
                <w:color w:val="auto"/>
              </w:rPr>
              <w:t>(408)</w:t>
            </w:r>
          </w:p>
        </w:tc>
        <w:tc>
          <w:tcPr>
            <w:tcW w:w="840" w:type="dxa"/>
            <w:vAlign w:val="bottom"/>
          </w:tcPr>
          <w:p>
            <w:pPr>
              <w:spacing w:after="0"/>
              <w:rPr>
                <w:sz w:val="20"/>
                <w:szCs w:val="20"/>
                <w:color w:val="auto"/>
              </w:rPr>
            </w:pPr>
          </w:p>
        </w:tc>
        <w:tc>
          <w:tcPr>
            <w:tcW w:w="3260" w:type="dxa"/>
            <w:vAlign w:val="bottom"/>
          </w:tcPr>
          <w:p>
            <w:pPr>
              <w:jc w:val="right"/>
              <w:ind w:right="1159"/>
              <w:spacing w:after="0"/>
              <w:rPr>
                <w:sz w:val="20"/>
                <w:szCs w:val="20"/>
                <w:color w:val="auto"/>
              </w:rPr>
            </w:pPr>
            <w:r>
              <w:rPr>
                <w:rFonts w:ascii="Arial" w:cs="Arial" w:eastAsia="Arial" w:hAnsi="Arial"/>
                <w:sz w:val="18"/>
                <w:szCs w:val="18"/>
                <w:b w:val="1"/>
                <w:bCs w:val="1"/>
                <w:color w:val="auto"/>
              </w:rPr>
              <w:t>222-2500</w:t>
            </w:r>
          </w:p>
        </w:tc>
      </w:tr>
      <w:tr>
        <w:trPr>
          <w:trHeight w:val="180"/>
        </w:trPr>
        <w:tc>
          <w:tcPr>
            <w:tcW w:w="3540" w:type="dxa"/>
            <w:vAlign w:val="bottom"/>
            <w:tcBorders>
              <w:top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(Name)</w:t>
            </w:r>
          </w:p>
        </w:tc>
        <w:tc>
          <w:tcPr>
            <w:tcW w:w="520" w:type="dxa"/>
            <w:vAlign w:val="bottom"/>
          </w:tcPr>
          <w:p>
            <w:pPr>
              <w:spacing w:after="0"/>
              <w:rPr>
                <w:sz w:val="15"/>
                <w:szCs w:val="15"/>
                <w:color w:val="auto"/>
              </w:rPr>
            </w:pPr>
          </w:p>
        </w:tc>
        <w:tc>
          <w:tcPr>
            <w:tcW w:w="2340" w:type="dxa"/>
            <w:vAlign w:val="bottom"/>
            <w:tcBorders>
              <w:top w:val="single" w:sz="8" w:color="auto"/>
            </w:tcBorders>
          </w:tcPr>
          <w:p>
            <w:pPr>
              <w:jc w:val="center"/>
              <w:ind w:left="139"/>
              <w:spacing w:after="0"/>
              <w:rPr>
                <w:sz w:val="20"/>
                <w:szCs w:val="20"/>
                <w:color w:val="auto"/>
              </w:rPr>
            </w:pPr>
            <w:r>
              <w:rPr>
                <w:rFonts w:ascii="Arial" w:cs="Arial" w:eastAsia="Arial" w:hAnsi="Arial"/>
                <w:sz w:val="14"/>
                <w:szCs w:val="14"/>
                <w:b w:val="1"/>
                <w:bCs w:val="1"/>
                <w:color w:val="auto"/>
                <w:w w:val="95"/>
              </w:rPr>
              <w:t>(Area Code)</w:t>
            </w:r>
          </w:p>
        </w:tc>
        <w:tc>
          <w:tcPr>
            <w:tcW w:w="840" w:type="dxa"/>
            <w:vAlign w:val="bottom"/>
          </w:tcPr>
          <w:p>
            <w:pPr>
              <w:spacing w:after="0"/>
              <w:rPr>
                <w:sz w:val="15"/>
                <w:szCs w:val="15"/>
                <w:color w:val="auto"/>
              </w:rPr>
            </w:pPr>
          </w:p>
        </w:tc>
        <w:tc>
          <w:tcPr>
            <w:tcW w:w="3260" w:type="dxa"/>
            <w:vAlign w:val="bottom"/>
            <w:tcBorders>
              <w:top w:val="single" w:sz="8" w:color="auto"/>
            </w:tcBorders>
          </w:tcPr>
          <w:p>
            <w:pPr>
              <w:jc w:val="center"/>
              <w:ind w:left="19"/>
              <w:spacing w:after="0"/>
              <w:rPr>
                <w:sz w:val="20"/>
                <w:szCs w:val="20"/>
                <w:color w:val="auto"/>
              </w:rPr>
            </w:pPr>
            <w:r>
              <w:rPr>
                <w:rFonts w:ascii="Arial" w:cs="Arial" w:eastAsia="Arial" w:hAnsi="Arial"/>
                <w:sz w:val="14"/>
                <w:szCs w:val="14"/>
                <w:b w:val="1"/>
                <w:bCs w:val="1"/>
                <w:color w:val="auto"/>
                <w:w w:val="93"/>
              </w:rPr>
              <w:t>(Telephone Number)</w:t>
            </w:r>
          </w:p>
        </w:tc>
      </w:tr>
    </w:tbl>
    <w:p>
      <w:pPr>
        <w:spacing w:after="0" w:line="69" w:lineRule="exact"/>
        <w:rPr>
          <w:sz w:val="20"/>
          <w:szCs w:val="20"/>
          <w:color w:val="auto"/>
        </w:rPr>
      </w:pPr>
    </w:p>
    <w:p>
      <w:pPr>
        <w:ind w:left="460" w:right="60" w:hanging="452"/>
        <w:spacing w:after="0" w:line="228" w:lineRule="exact"/>
        <w:tabs>
          <w:tab w:leader="none" w:pos="460" w:val="left"/>
        </w:tabs>
        <w:numPr>
          <w:ilvl w:val="0"/>
          <w:numId w:val="5"/>
        </w:numPr>
        <w:rPr>
          <w:rFonts w:ascii="Arial" w:cs="Arial" w:eastAsia="Arial" w:hAnsi="Arial"/>
          <w:sz w:val="17"/>
          <w:szCs w:val="17"/>
          <w:color w:val="auto"/>
        </w:rPr>
      </w:pPr>
      <w:r>
        <w:rPr>
          <w:rFonts w:ascii="Arial" w:cs="Arial" w:eastAsia="Arial" w:hAnsi="Arial"/>
          <w:sz w:val="17"/>
          <w:szCs w:val="17"/>
          <w:color w:val="auto"/>
        </w:rPr>
        <w:t xml:space="preserve">Have all other periodic reports required under Section 13 or 15(d) of the Securities Exchange Act of 1934 or Section 30 of the Investment Company Act of 1940 during the preceding 12 months or for such shorter period that the registrant was required to file such report(s) been filed ? If answer is no, identify report(s). </w:t>
      </w:r>
      <w:r>
        <w:rPr>
          <w:rFonts w:ascii="MS PGothic" w:cs="MS PGothic" w:eastAsia="MS PGothic" w:hAnsi="MS PGothic"/>
          <w:sz w:val="17"/>
          <w:szCs w:val="17"/>
          <w:color w:val="auto"/>
        </w:rPr>
        <w:t>☐</w:t>
      </w:r>
      <w:r>
        <w:rPr>
          <w:rFonts w:ascii="Arial" w:cs="Arial" w:eastAsia="Arial" w:hAnsi="Arial"/>
          <w:sz w:val="17"/>
          <w:szCs w:val="17"/>
          <w:color w:val="auto"/>
        </w:rPr>
        <w:t xml:space="preserve"> Yes </w:t>
      </w:r>
      <w:r>
        <w:rPr>
          <w:rFonts w:ascii="MS PGothic" w:cs="MS PGothic" w:eastAsia="MS PGothic" w:hAnsi="MS PGothic"/>
          <w:sz w:val="17"/>
          <w:szCs w:val="17"/>
          <w:color w:val="auto"/>
        </w:rPr>
        <w:t>☒</w:t>
      </w:r>
      <w:r>
        <w:rPr>
          <w:rFonts w:ascii="Arial" w:cs="Arial" w:eastAsia="Arial" w:hAnsi="Arial"/>
          <w:sz w:val="17"/>
          <w:szCs w:val="17"/>
          <w:color w:val="auto"/>
        </w:rPr>
        <w:t xml:space="preserve"> No </w:t>
      </w:r>
      <w:r>
        <w:rPr>
          <w:rFonts w:ascii="Arial" w:cs="Arial" w:eastAsia="Arial" w:hAnsi="Arial"/>
          <w:sz w:val="17"/>
          <w:szCs w:val="17"/>
          <w:i w:val="1"/>
          <w:iCs w:val="1"/>
          <w:color w:val="auto"/>
        </w:rPr>
        <w:t>The Company’s Form 10-Q for the period ended August 1, 2015 has not been filed.</w:t>
      </w:r>
    </w:p>
    <w:p>
      <w:pPr>
        <w:spacing w:after="0" w:line="209" w:lineRule="exact"/>
        <w:rPr>
          <w:rFonts w:ascii="Arial" w:cs="Arial" w:eastAsia="Arial" w:hAnsi="Arial"/>
          <w:sz w:val="17"/>
          <w:szCs w:val="17"/>
          <w:color w:val="auto"/>
        </w:rPr>
      </w:pPr>
    </w:p>
    <w:p>
      <w:pPr>
        <w:ind w:left="460" w:hanging="452"/>
        <w:spacing w:after="0"/>
        <w:tabs>
          <w:tab w:leader="none" w:pos="460" w:val="left"/>
        </w:tabs>
        <w:numPr>
          <w:ilvl w:val="0"/>
          <w:numId w:val="5"/>
        </w:numPr>
        <w:rPr>
          <w:rFonts w:ascii="Arial" w:cs="Arial" w:eastAsia="Arial" w:hAnsi="Arial"/>
          <w:sz w:val="17"/>
          <w:szCs w:val="17"/>
          <w:color w:val="auto"/>
        </w:rPr>
      </w:pPr>
      <w:r>
        <w:rPr>
          <w:rFonts w:ascii="Arial" w:cs="Arial" w:eastAsia="Arial" w:hAnsi="Arial"/>
          <w:sz w:val="17"/>
          <w:szCs w:val="17"/>
          <w:color w:val="auto"/>
        </w:rPr>
        <w:t>Is it anticipated that any significant change in results of operations from the corresponding period for the last fiscal year will be reflected by the</w:t>
      </w:r>
    </w:p>
    <w:p>
      <w:pPr>
        <w:spacing w:after="0" w:line="30" w:lineRule="exact"/>
        <w:rPr>
          <w:sz w:val="20"/>
          <w:szCs w:val="20"/>
          <w:color w:val="auto"/>
        </w:rPr>
      </w:pPr>
    </w:p>
    <w:p>
      <w:pPr>
        <w:ind w:left="460"/>
        <w:spacing w:after="0" w:line="207" w:lineRule="exact"/>
        <w:tabs>
          <w:tab w:leader="none" w:pos="6060" w:val="left"/>
        </w:tabs>
        <w:rPr>
          <w:sz w:val="20"/>
          <w:szCs w:val="20"/>
          <w:color w:val="auto"/>
        </w:rPr>
      </w:pPr>
      <w:r>
        <w:rPr>
          <w:rFonts w:ascii="Arial" w:cs="Arial" w:eastAsia="Arial" w:hAnsi="Arial"/>
          <w:sz w:val="18"/>
          <w:szCs w:val="18"/>
          <w:color w:val="auto"/>
        </w:rPr>
        <w:t>earnings statements to be included in the subject report or portion there of ?</w:t>
      </w:r>
      <w:r>
        <w:rPr>
          <w:sz w:val="20"/>
          <w:szCs w:val="20"/>
          <w:color w:val="auto"/>
        </w:rPr>
        <w:tab/>
      </w:r>
      <w:r>
        <w:rPr>
          <w:rFonts w:ascii="MS PGothic" w:cs="MS PGothic" w:eastAsia="MS PGothic" w:hAnsi="MS PGothic"/>
          <w:sz w:val="18"/>
          <w:szCs w:val="18"/>
          <w:color w:val="auto"/>
        </w:rPr>
        <w:t xml:space="preserve">☒ </w:t>
      </w:r>
      <w:r>
        <w:rPr>
          <w:rFonts w:ascii="Arial" w:cs="Arial" w:eastAsia="Arial" w:hAnsi="Arial"/>
          <w:sz w:val="18"/>
          <w:szCs w:val="18"/>
          <w:color w:val="auto"/>
        </w:rPr>
        <w:t>Yes</w:t>
      </w:r>
      <w:r>
        <w:rPr>
          <w:rFonts w:ascii="MS PGothic" w:cs="MS PGothic" w:eastAsia="MS PGothic" w:hAnsi="MS PGothic"/>
          <w:sz w:val="18"/>
          <w:szCs w:val="18"/>
          <w:color w:val="auto"/>
        </w:rPr>
        <w:t xml:space="preserve">  ☐ </w:t>
      </w:r>
      <w:r>
        <w:rPr>
          <w:rFonts w:ascii="Arial" w:cs="Arial" w:eastAsia="Arial" w:hAnsi="Arial"/>
          <w:sz w:val="18"/>
          <w:szCs w:val="18"/>
          <w:color w:val="auto"/>
        </w:rPr>
        <w:t>No</w:t>
      </w:r>
    </w:p>
    <w:p>
      <w:pPr>
        <w:spacing w:after="0" w:line="216" w:lineRule="exact"/>
        <w:rPr>
          <w:sz w:val="20"/>
          <w:szCs w:val="20"/>
          <w:color w:val="auto"/>
        </w:rPr>
      </w:pPr>
    </w:p>
    <w:p>
      <w:pPr>
        <w:ind w:left="460" w:right="600"/>
        <w:spacing w:after="0" w:line="277" w:lineRule="auto"/>
        <w:rPr>
          <w:sz w:val="20"/>
          <w:szCs w:val="20"/>
          <w:color w:val="auto"/>
        </w:rPr>
      </w:pPr>
      <w:r>
        <w:rPr>
          <w:rFonts w:ascii="Arial" w:cs="Arial" w:eastAsia="Arial" w:hAnsi="Arial"/>
          <w:sz w:val="18"/>
          <w:szCs w:val="18"/>
          <w:color w:val="auto"/>
        </w:rPr>
        <w:t>If so, attach an explanation of the anticipated change, both narratively and quantitatively, and, if appropriate, state the reasons why a reasonable estimate of the results cannot be made.</w:t>
      </w:r>
    </w:p>
    <w:p>
      <w:pPr>
        <w:spacing w:after="0" w:line="170" w:lineRule="exact"/>
        <w:rPr>
          <w:sz w:val="20"/>
          <w:szCs w:val="20"/>
          <w:color w:val="auto"/>
        </w:rPr>
      </w:pPr>
    </w:p>
    <w:p>
      <w:pPr>
        <w:ind w:right="180" w:firstLine="456"/>
        <w:spacing w:after="0" w:line="277" w:lineRule="auto"/>
        <w:rPr>
          <w:sz w:val="20"/>
          <w:szCs w:val="20"/>
          <w:color w:val="auto"/>
        </w:rPr>
      </w:pPr>
      <w:r>
        <w:rPr>
          <w:rFonts w:ascii="Arial" w:cs="Arial" w:eastAsia="Arial" w:hAnsi="Arial"/>
          <w:sz w:val="18"/>
          <w:szCs w:val="18"/>
          <w:color w:val="auto"/>
        </w:rPr>
        <w:t>The Results Press Release sets forth the Company’s anticipated results of operations for the period ended October 31, 2015, and the Company hereby incorporates such press release by reference herein.</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u w:val="single" w:color="auto"/>
          <w:color w:val="auto"/>
        </w:rPr>
        <w:t>* * *</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SIGNATURES</w:t>
      </w:r>
    </w:p>
    <w:p>
      <w:pPr>
        <w:spacing w:after="0" w:line="121"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Pursuant to the requirements of the Securities Exchange Act of 1934, the Company has duly caused this report to be signed on its behalf by the undersigned thereunto duly authorized.</w:t>
      </w:r>
    </w:p>
    <w:p>
      <w:pPr>
        <w:spacing w:after="0" w:line="193" w:lineRule="exact"/>
        <w:rPr>
          <w:sz w:val="20"/>
          <w:szCs w:val="20"/>
          <w:color w:val="auto"/>
        </w:rPr>
      </w:pPr>
    </w:p>
    <w:p>
      <w:pPr>
        <w:ind w:left="584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spacing w:after="0"/>
        <w:tabs>
          <w:tab w:leader="none" w:pos="5820" w:val="left"/>
          <w:tab w:leader="none" w:pos="6260" w:val="left"/>
        </w:tabs>
        <w:rPr>
          <w:sz w:val="20"/>
          <w:szCs w:val="20"/>
          <w:color w:val="auto"/>
        </w:rPr>
      </w:pPr>
      <w:r>
        <w:rPr>
          <w:rFonts w:ascii="Arial" w:cs="Arial" w:eastAsia="Arial" w:hAnsi="Arial"/>
          <w:sz w:val="18"/>
          <w:szCs w:val="18"/>
          <w:color w:val="auto"/>
        </w:rPr>
        <w:t>December 10, 2015</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14605</wp:posOffset>
            </wp:positionV>
            <wp:extent cx="32588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30"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David Eichler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Interim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168910</wp:posOffset>
            </wp:positionV>
            <wp:extent cx="724662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211455</wp:posOffset>
            </wp:positionV>
            <wp:extent cx="72466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30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abstractNum>
  <w:abstractNum w:abstractNumId="1">
    <w:nsid w:val="2AE8944A"/>
    <w:multiLevelType w:val="hybridMultilevel"/>
    <w:lvl w:ilvl="0">
      <w:lvlJc w:val="left"/>
      <w:lvlText w:val="☐"/>
      <w:numFmt w:val="bullet"/>
      <w:start w:val="1"/>
    </w:lvl>
    <w:lvl w:ilvl="1">
      <w:lvlJc w:val="left"/>
      <w:lvlText w:val="(%2)"/>
      <w:numFmt w:val="lowerLetter"/>
      <w:start w:val="1"/>
    </w:lvl>
  </w:abstractNum>
  <w:abstractNum w:abstractNumId="2">
    <w:nsid w:val="625558EC"/>
    <w:multiLevelType w:val="hybridMultilevel"/>
    <w:lvl w:ilvl="0">
      <w:lvlJc w:val="left"/>
      <w:lvlText w:val="☐"/>
      <w:numFmt w:val="bullet"/>
      <w:start w:val="1"/>
    </w:lvl>
    <w:lvl w:ilvl="1">
      <w:lvlJc w:val="left"/>
      <w:lvlText w:val="(%2)"/>
      <w:numFmt w:val="lowerLetter"/>
      <w:start w:val="3"/>
    </w:lvl>
  </w:abstractNum>
  <w:abstractNum w:abstractNumId="3">
    <w:nsid w:val="238E1F29"/>
    <w:multiLevelType w:val="hybridMultilevel"/>
    <w:lvl w:ilvl="0">
      <w:lvlJc w:val="left"/>
      <w:lvlText w:val="(%1)"/>
      <w:numFmt w:val="decimal"/>
      <w:start w:val="1"/>
    </w:lvl>
  </w:abstractNum>
  <w:abstractNum w:abstractNumId="4">
    <w:nsid w:val="46E87CCD"/>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2019-12-07T02:59:41Z</dcterms:created>
  <dcterms:modified xsi:type="dcterms:W3CDTF">2019-12-07T02:59:41Z</dcterms:modified>
</cp:coreProperties>
</file>