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7"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5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250825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59"/>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March 5,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236855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1"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2" w:right="2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58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jc w:val="center"/>
        <w:ind w:right="2200"/>
        <w:spacing w:after="0"/>
        <w:rPr>
          <w:sz w:val="20"/>
          <w:szCs w:val="20"/>
          <w:color w:val="auto"/>
        </w:rPr>
      </w:pPr>
      <w:r>
        <w:rPr>
          <w:rFonts w:ascii="Times New Roman" w:cs="Times New Roman" w:eastAsia="Times New Roman" w:hAnsi="Times New Roman"/>
          <w:sz w:val="17"/>
          <w:szCs w:val="17"/>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77-0481679</w:t>
      </w:r>
    </w:p>
    <w:p>
      <w:pPr>
        <w:spacing w:after="0" w:line="12" w:lineRule="exact"/>
        <w:rPr>
          <w:sz w:val="24"/>
          <w:szCs w:val="24"/>
          <w:color w:val="auto"/>
        </w:rPr>
      </w:pPr>
    </w:p>
    <w:p>
      <w:pPr>
        <w:sectPr>
          <w:pgSz w:w="11900" w:h="16838" w:orient="portrait"/>
          <w:cols w:equalWidth="0" w:num="3">
            <w:col w:w="4740" w:space="720"/>
            <w:col w:w="2980" w:space="720"/>
            <w:col w:w="2200"/>
          </w:cols>
          <w:pgMar w:left="240" w:top="362" w:right="299" w:bottom="1440" w:gutter="0" w:footer="0" w:header="0"/>
          <w:type w:val="continuous"/>
        </w:sectPr>
      </w:pPr>
    </w:p>
    <w:p>
      <w:pPr>
        <w:jc w:val="center"/>
        <w:ind w:right="820"/>
        <w:spacing w:after="0"/>
        <w:rPr>
          <w:sz w:val="20"/>
          <w:szCs w:val="20"/>
          <w:color w:val="auto"/>
        </w:rPr>
      </w:pPr>
      <w:r>
        <w:rPr>
          <w:rFonts w:ascii="Times New Roman" w:cs="Times New Roman" w:eastAsia="Times New Roman" w:hAnsi="Times New Roman"/>
          <w:sz w:val="14"/>
          <w:szCs w:val="14"/>
          <w:b w:val="1"/>
          <w:bCs w:val="1"/>
          <w:color w:val="auto"/>
        </w:rPr>
        <w:t>(State or other jurisdiction of</w:t>
      </w:r>
    </w:p>
    <w:p>
      <w:pPr>
        <w:jc w:val="center"/>
        <w:ind w:right="820"/>
        <w:spacing w:after="0"/>
        <w:rPr>
          <w:sz w:val="20"/>
          <w:szCs w:val="20"/>
          <w:color w:val="auto"/>
        </w:rPr>
      </w:pPr>
      <w:r>
        <w:rPr>
          <w:rFonts w:ascii="Times New Roman" w:cs="Times New Roman" w:eastAsia="Times New Roman" w:hAnsi="Times New Roman"/>
          <w:sz w:val="14"/>
          <w:szCs w:val="14"/>
          <w:b w:val="1"/>
          <w:bCs w:val="1"/>
          <w:color w:val="auto"/>
        </w:rPr>
        <w:t>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700" w:space="720"/>
            <w:col w:w="2900" w:space="720"/>
            <w:col w:w="2320"/>
          </w:cols>
          <w:pgMar w:left="240" w:top="362" w:right="299" w:bottom="1440" w:gutter="0" w:footer="0" w:header="0"/>
          <w:type w:val="continuous"/>
        </w:sectPr>
      </w:pPr>
    </w:p>
    <w:p>
      <w:pPr>
        <w:spacing w:after="0" w:line="2"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188"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188"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N/A</w:t>
      </w:r>
    </w:p>
    <w:p>
      <w:pPr>
        <w:spacing w:after="0" w:line="25"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2" w:right="299" w:bottom="1440" w:gutter="0" w:footer="0" w:header="0"/>
          <w:type w:val="continuous"/>
        </w:sectPr>
      </w:pPr>
    </w:p>
    <w:p>
      <w:pPr>
        <w:spacing w:after="0" w:line="200" w:lineRule="exact"/>
        <w:rPr>
          <w:sz w:val="24"/>
          <w:szCs w:val="24"/>
          <w:color w:val="auto"/>
        </w:rPr>
      </w:pPr>
    </w:p>
    <w:p>
      <w:pPr>
        <w:spacing w:after="0" w:line="370" w:lineRule="exact"/>
        <w:rPr>
          <w:sz w:val="24"/>
          <w:szCs w:val="24"/>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00" w:hanging="446"/>
        <w:spacing w:after="0"/>
        <w:tabs>
          <w:tab w:leader="none" w:pos="90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1" w:lineRule="exact"/>
        <w:rPr>
          <w:sz w:val="24"/>
          <w:szCs w:val="24"/>
          <w:color w:val="auto"/>
        </w:rPr>
      </w:pPr>
    </w:p>
    <w:p>
      <w:pPr>
        <w:ind w:left="900" w:hanging="446"/>
        <w:spacing w:after="0"/>
        <w:tabs>
          <w:tab w:leader="none" w:pos="90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00" w:hanging="446"/>
        <w:spacing w:after="0"/>
        <w:tabs>
          <w:tab w:leader="none" w:pos="90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3" w:lineRule="exact"/>
        <w:rPr>
          <w:sz w:val="24"/>
          <w:szCs w:val="24"/>
          <w:color w:val="auto"/>
        </w:rPr>
      </w:pPr>
    </w:p>
    <w:p>
      <w:pPr>
        <w:ind w:left="7760"/>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54" w:lineRule="exact"/>
        <w:rPr>
          <w:sz w:val="24"/>
          <w:szCs w:val="24"/>
          <w:color w:val="auto"/>
        </w:rPr>
      </w:pPr>
    </w:p>
    <w:p>
      <w:pPr>
        <w:ind w:right="8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90805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133985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362" w:right="299" w:bottom="144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 Other Events.</w:t>
      </w:r>
    </w:p>
    <w:p>
      <w:pPr>
        <w:spacing w:after="0" w:line="121" w:lineRule="exact"/>
        <w:rPr>
          <w:sz w:val="20"/>
          <w:szCs w:val="20"/>
          <w:color w:val="auto"/>
        </w:rPr>
      </w:pPr>
    </w:p>
    <w:p>
      <w:pPr>
        <w:jc w:val="both"/>
        <w:ind w:right="100"/>
        <w:spacing w:after="0" w:line="261" w:lineRule="auto"/>
        <w:rPr>
          <w:sz w:val="20"/>
          <w:szCs w:val="20"/>
          <w:color w:val="auto"/>
        </w:rPr>
      </w:pPr>
      <w:r>
        <w:rPr>
          <w:rFonts w:ascii="Times New Roman" w:cs="Times New Roman" w:eastAsia="Times New Roman" w:hAnsi="Times New Roman"/>
          <w:sz w:val="18"/>
          <w:szCs w:val="18"/>
          <w:color w:val="auto"/>
        </w:rPr>
        <w:t>As previously announced, on November 19, 2017, Marvell Technology Group Ltd. (“Marvell”) entered into an Agreement and Plan of Merger (the “Merger Agreement”), by and among Marvell, Kauai Acquisition Corp., a Delaware corporation and an indirect wholly owned subsidiary of Marvell (“Merger Sub”), and Cavium, Inc., a Delaware corporation (“Cavium”). Pursuant to the Merger Agreement, Merger Sub will be merged with and into Cavium (the “Proposed Merger”), with Cavium continuing as an indirect wholly owned subsidiary of Marvell.</w:t>
      </w:r>
    </w:p>
    <w:p>
      <w:pPr>
        <w:spacing w:after="0" w:line="180"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 xml:space="preserve">On February 5, 2018, Marvell filed a definitive joint proxy statement/prospectus (the “Joint Proxy Statement/Prospectus”) with the Securities and Exchange Commission (the “SEC”) in connection with the Proposed Merger. As has previously been described in the Joint Proxy Statement/Prospectus, five putative class actions challenging the Proposed Merger have been filed on behalf of Cavium’s stockholders. Four of the complaints were filed in the United States District Court for the Northern District of California (the “Federal Complaints”). The fifth putative class action was filed by Paul Berger, a stockholder of Cavium (the “Plaintiff”), on behalf of himself and a putative class of stockholders of Cavium, in the Superior Court of the State of California for the County of Monterey against Cavium and Cavium’s directors (collectively, the “Defendants”) challenging the Proposed Merger (the “Lawsuit”). The Lawsuit, which is captioned </w:t>
      </w:r>
      <w:r>
        <w:rPr>
          <w:rFonts w:ascii="Times New Roman" w:cs="Times New Roman" w:eastAsia="Times New Roman" w:hAnsi="Times New Roman"/>
          <w:sz w:val="18"/>
          <w:szCs w:val="18"/>
          <w:i w:val="1"/>
          <w:iCs w:val="1"/>
          <w:color w:val="auto"/>
        </w:rPr>
        <w:t>Berger v. Cavium et al.</w:t>
      </w:r>
      <w:r>
        <w:rPr>
          <w:rFonts w:ascii="Times New Roman" w:cs="Times New Roman" w:eastAsia="Times New Roman" w:hAnsi="Times New Roman"/>
          <w:sz w:val="18"/>
          <w:szCs w:val="18"/>
          <w:color w:val="auto"/>
        </w:rPr>
        <w:t>, Case No. 18-cv-000376 (Cal. Super.), alleges that Cavium’s directors breached their fiduciary duties in connection with the Proposed Merger and that the Registration Statement on Form S-4 filed by Marvell with the SEC on December 21, 2017 omits material information.</w:t>
      </w:r>
    </w:p>
    <w:p>
      <w:pPr>
        <w:spacing w:after="0" w:line="185"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On March 5, 2018, the Defendants entered into a Memorandum of Understanding (the “MOU”) with the Plaintiff in the Lawsuit. In the MOU, the Plaintiff acknowledged that the Lawsuit has become moot because the Defendants disclosed additional information sought by Plaintiff in his complaint in the Joint Proxy Statement/Prospectus. The Plaintiff agreed to withdraw his previously filed application for a temporary restraining order seeking to enjoin the Proposed Merger and to dismiss the Lawsuit.</w:t>
      </w:r>
    </w:p>
    <w:p>
      <w:pPr>
        <w:spacing w:after="0" w:line="180"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On March 5, 2018, the Plaintiff filed a stipulation with the Superior Court of the State of California for the County of Monterey (i) withdrawing his application for a temporary restraining order and (ii) dismissing the claims asserted on his behalf with prejudice and on behalf of the purported class of Cavium stockholders without prejudice. As set forth in the stipulation, counsel for the Plaintiff has reserved the right to seek an award of attorneys’ fees and reimbursement of expenses based on the creation of a benefit to Cavium shareholders through the disclosure of additional information prompted by the pendency and prosecution of the Lawsuit. The Defendants have reserved the right to contest the amount of any fee and expense petition that the Plaintiff may pursue. If the parties cannot agree on a fee award for the Plaintiff’s counsel, the Superior Court of the State of California for the County of Monterey will ultimately determine the amount of fee award for the Plaintiff’s counsel, if any. The fee award for the Plaintiff’s counsel will not affect the amount of merger consideration to be paid by Marvell in connection with the Proposed Merger.</w:t>
      </w:r>
    </w:p>
    <w:p>
      <w:pPr>
        <w:spacing w:after="0" w:line="18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resolution of the Lawsuit will not affect the timing of the special meetings of shareholders of Marvell or Cavium scheduled for March 16, 2018.</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Cautionary Statement Regarding Forward-Looking Statements</w:t>
      </w:r>
    </w:p>
    <w:p>
      <w:pPr>
        <w:spacing w:after="0" w:line="121"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This document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w:t>
      </w:r>
    </w:p>
    <w:p>
      <w:pPr>
        <w:sectPr>
          <w:pgSz w:w="11900" w:h="16838" w:orient="portrait"/>
          <w:cols w:equalWidth="0" w:num="1">
            <w:col w:w="11400"/>
          </w:cols>
          <w:pgMar w:left="240" w:top="266" w:right="259" w:bottom="1440" w:gutter="0" w:footer="0" w:header="0"/>
        </w:sectPr>
      </w:pPr>
    </w:p>
    <w:bookmarkStart w:id="2" w:name="page3"/>
    <w:bookmarkEnd w:id="2"/>
    <w:p>
      <w:pPr>
        <w:ind w:right="2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 (vi) the outcome of litigation and other legal proceedings against Cavium and/or Marvell or to which Cavium and/or Marvell become subject, and (vii)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9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Additional Information and Where to Find It</w:t>
      </w:r>
    </w:p>
    <w:p>
      <w:pPr>
        <w:spacing w:after="0" w:line="121"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filed a Registration Statement on Form S-4 (Registration No. 333-222235) containing a preliminary joint proxy statement/prospectus with the SEC regarding the proposed transaction on December 21, 2017, as amended on January 24, 2018. The registration statement on Form S-4 has been declared effective by the SEC. Beginning on February 7, 2018, a definitive joint proxy statement/prospectus was mailed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6"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 xml:space="preserve">Investors and security holders may obtain or will be able to obtain free copies of the registration statement, the joint proxy statement/prospectus and all other relevant documents filed or that will be filed with the SEC by Marvell or Cavium through the website maintained by the SEC at </w:t>
      </w:r>
      <w:r>
        <w:rPr>
          <w:rFonts w:ascii="Times New Roman" w:cs="Times New Roman" w:eastAsia="Times New Roman" w:hAnsi="Times New Roman"/>
          <w:sz w:val="18"/>
          <w:szCs w:val="18"/>
          <w:u w:val="single" w:color="auto"/>
          <w:color w:val="auto"/>
        </w:rPr>
        <w:t>www.sec.gov</w:t>
      </w:r>
      <w:r>
        <w:rPr>
          <w:rFonts w:ascii="Times New Roman" w:cs="Times New Roman" w:eastAsia="Times New Roman" w:hAnsi="Times New Roman"/>
          <w:sz w:val="18"/>
          <w:szCs w:val="18"/>
          <w:color w:val="auto"/>
        </w:rPr>
        <w:t>.</w:t>
      </w:r>
    </w:p>
    <w:p>
      <w:pPr>
        <w:spacing w:after="0" w:line="162"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 xml:space="preserve">The documents filed by Marvell with the SEC also may be obtained free of charge at Marvell’s website at </w:t>
      </w:r>
      <w:r>
        <w:rPr>
          <w:rFonts w:ascii="Times New Roman" w:cs="Times New Roman" w:eastAsia="Times New Roman" w:hAnsi="Times New Roman"/>
          <w:sz w:val="18"/>
          <w:szCs w:val="18"/>
          <w:u w:val="single" w:color="auto"/>
          <w:color w:val="auto"/>
        </w:rPr>
        <w:t>http://investor.marvell.com/</w:t>
      </w:r>
      <w:r>
        <w:rPr>
          <w:rFonts w:ascii="Times New Roman" w:cs="Times New Roman" w:eastAsia="Times New Roman" w:hAnsi="Times New Roman"/>
          <w:sz w:val="18"/>
          <w:szCs w:val="18"/>
          <w:color w:val="auto"/>
        </w:rPr>
        <w:t xml:space="preserve"> or upon written request to Marvell at 5488 Marvell Lane, Santa Clara, CA 95054.</w:t>
      </w:r>
    </w:p>
    <w:p>
      <w:pPr>
        <w:spacing w:after="0" w:line="162"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 xml:space="preserve">The documents filed by Cavium with the SEC also may be obtained free of charge at Cavium’s website at </w:t>
      </w:r>
      <w:r>
        <w:rPr>
          <w:rFonts w:ascii="Times New Roman" w:cs="Times New Roman" w:eastAsia="Times New Roman" w:hAnsi="Times New Roman"/>
          <w:sz w:val="18"/>
          <w:szCs w:val="18"/>
          <w:u w:val="single" w:color="auto"/>
          <w:color w:val="auto"/>
        </w:rPr>
        <w:t>http://investor.caviumnetworks.com</w:t>
      </w:r>
      <w:r>
        <w:rPr>
          <w:rFonts w:ascii="Times New Roman" w:cs="Times New Roman" w:eastAsia="Times New Roman" w:hAnsi="Times New Roman"/>
          <w:sz w:val="18"/>
          <w:szCs w:val="18"/>
          <w:color w:val="auto"/>
        </w:rPr>
        <w:t xml:space="preserve"> or upon written request to 2315 N. First Street, San Jose, CA 95131.</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For more information, investors are encouraged to visit </w:t>
      </w:r>
      <w:r>
        <w:rPr>
          <w:rFonts w:ascii="Times New Roman" w:cs="Times New Roman" w:eastAsia="Times New Roman" w:hAnsi="Times New Roman"/>
          <w:sz w:val="18"/>
          <w:szCs w:val="18"/>
          <w:u w:val="single" w:color="auto"/>
          <w:color w:val="auto"/>
        </w:rPr>
        <w:t>http://MarvellCavium.transactionannouncement.com</w:t>
      </w:r>
      <w:r>
        <w:rPr>
          <w:rFonts w:ascii="Times New Roman" w:cs="Times New Roman" w:eastAsia="Times New Roman" w:hAnsi="Times New Roman"/>
          <w:sz w:val="18"/>
          <w:szCs w:val="18"/>
          <w:color w:val="auto"/>
        </w:rPr>
        <w:t>.</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Participants in Solicitation</w:t>
      </w:r>
    </w:p>
    <w:p>
      <w:pPr>
        <w:spacing w:after="0" w:line="121" w:lineRule="exact"/>
        <w:rPr>
          <w:sz w:val="20"/>
          <w:szCs w:val="20"/>
          <w:color w:val="auto"/>
        </w:rPr>
      </w:pPr>
    </w:p>
    <w:p>
      <w:pPr>
        <w:ind w:right="180"/>
        <w:spacing w:after="0" w:line="256" w:lineRule="auto"/>
        <w:rPr>
          <w:sz w:val="20"/>
          <w:szCs w:val="20"/>
          <w:color w:val="auto"/>
        </w:rPr>
      </w:pPr>
      <w:r>
        <w:rPr>
          <w:rFonts w:ascii="Times New Roman" w:cs="Times New Roman" w:eastAsia="Times New Roman" w:hAnsi="Times New Roman"/>
          <w:sz w:val="18"/>
          <w:szCs w:val="18"/>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the joint proxy statement/prospectus. To the extent that holdings of Cavium’s securities have changed since the amounts printed in the joint proxy statement/prospectus, such changes have been or will be reflected on Statements of Change in Ownership on Form 4 filed with the SEC. Information about Marvell’s directors and executive officers is set forth in Marvell’s proxy statement for its 2017 Annual Meeting of</w:t>
      </w:r>
    </w:p>
    <w:p>
      <w:pPr>
        <w:sectPr>
          <w:pgSz w:w="11900" w:h="16838" w:orient="portrait"/>
          <w:cols w:equalWidth="0" w:num="1">
            <w:col w:w="11420"/>
          </w:cols>
          <w:pgMar w:left="240" w:top="270" w:right="239" w:bottom="1440" w:gutter="0" w:footer="0" w:header="0"/>
        </w:sectPr>
      </w:pPr>
    </w:p>
    <w:bookmarkStart w:id="3" w:name="page4"/>
    <w:bookmarkEnd w:id="3"/>
    <w:p>
      <w:pPr>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and other documents regarding the proposed transaction. You may obtain free copies of these documents as described in the preceding paragraph.</w:t>
      </w:r>
    </w:p>
    <w:p>
      <w:pPr>
        <w:sectPr>
          <w:pgSz w:w="11900" w:h="16838" w:orient="portrait"/>
          <w:cols w:equalWidth="0" w:num="1">
            <w:col w:w="11180"/>
          </w:cols>
          <w:pgMar w:left="240" w:top="270" w:right="479" w:bottom="1440" w:gutter="0" w:footer="0" w:header="0"/>
        </w:sectPr>
      </w:pPr>
    </w:p>
    <w:bookmarkStart w:id="4" w:name="page5"/>
    <w:bookmarkEnd w:id="4"/>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90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spacing w:after="0"/>
        <w:tabs>
          <w:tab w:leader="none" w:pos="5880" w:val="left"/>
        </w:tabs>
        <w:rPr>
          <w:sz w:val="20"/>
          <w:szCs w:val="20"/>
          <w:color w:val="auto"/>
        </w:rPr>
      </w:pPr>
      <w:r>
        <w:rPr>
          <w:rFonts w:ascii="Times New Roman" w:cs="Times New Roman" w:eastAsia="Times New Roman" w:hAnsi="Times New Roman"/>
          <w:sz w:val="18"/>
          <w:szCs w:val="18"/>
          <w:color w:val="auto"/>
        </w:rPr>
        <w:t>Date: March 9, 2018</w:t>
      </w:r>
      <w:r>
        <w:rPr>
          <w:sz w:val="20"/>
          <w:szCs w:val="20"/>
          <w:color w:val="auto"/>
        </w:rPr>
        <w:tab/>
      </w:r>
      <w:r>
        <w:rPr>
          <w:rFonts w:ascii="Times New Roman" w:cs="Times New Roman" w:eastAsia="Times New Roman" w:hAnsi="Times New Roman"/>
          <w:sz w:val="18"/>
          <w:szCs w:val="18"/>
          <w:color w:val="auto"/>
        </w:rPr>
        <w:t>By:  /s/ MITCHELL L. GAYNOR</w:t>
      </w:r>
    </w:p>
    <w:p>
      <w:pPr>
        <w:spacing w:after="0" w:line="27"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i w:val="1"/>
          <w:iCs w:val="1"/>
          <w:color w:val="auto"/>
        </w:rPr>
        <w:t>Chief Administration and Legal Officer</w:t>
      </w:r>
    </w:p>
    <w:sectPr>
      <w:pgSz w:w="11900" w:h="16838" w:orient="portrait"/>
      <w:cols w:equalWidth="0" w:num="1">
        <w:col w:w="11420"/>
      </w:cols>
      <w:pgMar w:left="240" w:top="266"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2019-12-06T11:41:02Z</dcterms:created>
  <dcterms:modified xsi:type="dcterms:W3CDTF">2019-12-06T11:41:02Z</dcterms:modified>
</cp:coreProperties>
</file>