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19,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jc w:val="both"/>
        <w:ind w:firstLine="913"/>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00" w:firstLine="913"/>
        <w:spacing w:after="0" w:line="342" w:lineRule="auto"/>
        <w:rPr>
          <w:sz w:val="20"/>
          <w:szCs w:val="20"/>
          <w:color w:val="auto"/>
        </w:rPr>
      </w:pPr>
      <w:r>
        <w:rPr>
          <w:rFonts w:ascii="Arial" w:cs="Arial" w:eastAsia="Arial" w:hAnsi="Arial"/>
          <w:sz w:val="16"/>
          <w:szCs w:val="16"/>
          <w:color w:val="auto"/>
        </w:rPr>
        <w:t>On February 19, 2015, Marvell Technology Group Ltd. (“Marvell”) issued a press release regarding its financial results for its fourth fiscal quarter and fiscal year ended January 31, 2015. A copy of the press release is furnished herewith as Exhibit 99.1 and is incorporated by reference herein.</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w:t>
      </w:r>
    </w:p>
    <w:p>
      <w:pPr>
        <w:spacing w:after="0" w:line="193" w:lineRule="exact"/>
        <w:rPr>
          <w:sz w:val="20"/>
          <w:szCs w:val="20"/>
          <w:color w:val="auto"/>
        </w:rPr>
      </w:pPr>
    </w:p>
    <w:p>
      <w:pPr>
        <w:ind w:right="100" w:firstLine="456"/>
        <w:spacing w:after="0" w:line="284"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w:t>
      </w:r>
    </w:p>
    <w:p>
      <w:pPr>
        <w:spacing w:after="0" w:line="3" w:lineRule="exact"/>
        <w:rPr>
          <w:sz w:val="20"/>
          <w:szCs w:val="20"/>
          <w:color w:val="auto"/>
        </w:rPr>
      </w:pPr>
    </w:p>
    <w:p>
      <w:pPr>
        <w:ind w:right="240"/>
        <w:spacing w:after="0" w:line="261" w:lineRule="auto"/>
        <w:rPr>
          <w:sz w:val="20"/>
          <w:szCs w:val="20"/>
          <w:color w:val="auto"/>
        </w:rPr>
      </w:pPr>
      <w:r>
        <w:rPr>
          <w:rFonts w:ascii="Arial" w:cs="Arial" w:eastAsia="Arial" w:hAnsi="Arial"/>
          <w:sz w:val="18"/>
          <w:szCs w:val="18"/>
          <w:color w:val="auto"/>
        </w:rPr>
        <w:t>internally. Management also believes that these non-GAAP financial measures may be used to facilitate comparisons of Marvell’s results with that of other companies in its industry.</w:t>
      </w:r>
    </w:p>
    <w:p>
      <w:pPr>
        <w:spacing w:after="0" w:line="184" w:lineRule="exact"/>
        <w:rPr>
          <w:sz w:val="20"/>
          <w:szCs w:val="20"/>
          <w:color w:val="auto"/>
        </w:rPr>
      </w:pPr>
    </w:p>
    <w:p>
      <w:pPr>
        <w:ind w:right="32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920" w:right="120" w:hanging="318"/>
        <w:spacing w:after="0" w:line="277" w:lineRule="auto"/>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analysis of operating results.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1920" w:right="60" w:hanging="318"/>
        <w:spacing w:after="0" w:line="255" w:lineRule="auto"/>
        <w:tabs>
          <w:tab w:leader="none" w:pos="192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Share-based compensation expense</w:t>
      </w:r>
      <w:r>
        <w:rPr>
          <w:rFonts w:ascii="Arial" w:cs="Arial" w:eastAsia="Arial" w:hAnsi="Arial"/>
          <w:sz w:val="18"/>
          <w:szCs w:val="18"/>
          <w:color w:val="auto"/>
        </w:rPr>
        <w:t>. Share-based compensation expense relates primarily to employee stock options, restricted</w:t>
      </w:r>
      <w:r>
        <w:rPr>
          <w:rFonts w:ascii="Arial" w:cs="Arial" w:eastAsia="Arial" w:hAnsi="Arial"/>
          <w:sz w:val="18"/>
          <w:szCs w:val="18"/>
          <w:i w:val="1"/>
          <w:iCs w:val="1"/>
          <w:color w:val="auto"/>
        </w:rPr>
        <w:t xml:space="preserve"> </w:t>
      </w:r>
      <w:r>
        <w:rPr>
          <w:rFonts w:ascii="Arial" w:cs="Arial" w:eastAsia="Arial" w:hAnsi="Arial"/>
          <w:sz w:val="18"/>
          <w:szCs w:val="18"/>
          <w:color w:val="auto"/>
        </w:rPr>
        <w:t>stock units and the employee stock 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analysis of operating results.</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ind w:left="1000" w:right="580" w:hanging="318"/>
        <w:spacing w:after="0" w:line="264" w:lineRule="auto"/>
        <w:tabs>
          <w:tab w:leader="none" w:pos="10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and 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1000" w:right="20" w:hanging="318"/>
        <w:spacing w:after="0" w:line="279" w:lineRule="auto"/>
        <w:tabs>
          <w:tab w:leader="none" w:pos="100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Acquisition-related costs</w:t>
      </w:r>
      <w:r>
        <w:rPr>
          <w:rFonts w:ascii="Arial" w:cs="Arial" w:eastAsia="Arial" w:hAnsi="Arial"/>
          <w:sz w:val="17"/>
          <w:szCs w:val="17"/>
          <w:color w:val="auto"/>
        </w:rPr>
        <w:t>. Acquisition-related costs primarily include the amortization of retention bonuses required by the terms of</w:t>
      </w:r>
      <w:r>
        <w:rPr>
          <w:rFonts w:ascii="Arial" w:cs="Arial" w:eastAsia="Arial" w:hAnsi="Arial"/>
          <w:sz w:val="17"/>
          <w:szCs w:val="17"/>
          <w:i w:val="1"/>
          <w:iCs w:val="1"/>
          <w:color w:val="auto"/>
        </w:rPr>
        <w:t xml:space="preserve"> </w:t>
      </w:r>
      <w:r>
        <w:rPr>
          <w:rFonts w:ascii="Arial" w:cs="Arial" w:eastAsia="Arial" w:hAnsi="Arial"/>
          <w:sz w:val="17"/>
          <w:szCs w:val="17"/>
          <w:color w:val="auto"/>
        </w:rPr>
        <w:t>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6" w:lineRule="exact"/>
        <w:rPr>
          <w:rFonts w:ascii="Arial" w:cs="Arial" w:eastAsia="Arial" w:hAnsi="Arial"/>
          <w:sz w:val="17"/>
          <w:szCs w:val="17"/>
          <w:color w:val="auto"/>
        </w:rPr>
      </w:pPr>
    </w:p>
    <w:p>
      <w:pPr>
        <w:ind w:left="1000" w:hanging="318"/>
        <w:spacing w:after="0" w:line="272" w:lineRule="auto"/>
        <w:tabs>
          <w:tab w:leader="none" w:pos="100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Restructuring and other exit-related costs</w:t>
      </w:r>
      <w:r>
        <w:rPr>
          <w:rFonts w:ascii="Arial" w:cs="Arial" w:eastAsia="Arial" w:hAnsi="Arial"/>
          <w:sz w:val="17"/>
          <w:szCs w:val="17"/>
          <w:color w:val="auto"/>
        </w:rPr>
        <w:t>. Restructuring and other exit-related costs include costs that qualify under U.S. GAAP as</w:t>
      </w:r>
      <w:r>
        <w:rPr>
          <w:rFonts w:ascii="Arial" w:cs="Arial" w:eastAsia="Arial" w:hAnsi="Arial"/>
          <w:sz w:val="17"/>
          <w:szCs w:val="17"/>
          <w:i w:val="1"/>
          <w:iCs w:val="1"/>
          <w:color w:val="auto"/>
        </w:rPr>
        <w:t xml:space="preserve"> </w:t>
      </w:r>
      <w:r>
        <w:rPr>
          <w:rFonts w:ascii="Arial" w:cs="Arial" w:eastAsia="Arial" w:hAnsi="Arial"/>
          <w:sz w:val="17"/>
          <w:szCs w:val="17"/>
          <w:color w:val="auto"/>
        </w:rPr>
        <w:t>restructuring costs, as well as operating expenses related to a product line classified as held-for-sale that did not qualify as discontinued operations. These charges are not directly related to Marvell’s ongoing or core business results. Management regularly excludes such items from internal operating forecasts and analysis of operating results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83" w:lineRule="exact"/>
        <w:rPr>
          <w:rFonts w:ascii="Arial" w:cs="Arial" w:eastAsia="Arial" w:hAnsi="Arial"/>
          <w:sz w:val="17"/>
          <w:szCs w:val="17"/>
          <w:color w:val="auto"/>
        </w:rPr>
      </w:pPr>
    </w:p>
    <w:p>
      <w:pPr>
        <w:ind w:left="1000" w:right="80" w:hanging="318"/>
        <w:spacing w:after="0" w:line="291" w:lineRule="auto"/>
        <w:tabs>
          <w:tab w:leader="none" w:pos="10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Litigation Settlement</w:t>
      </w:r>
      <w:r>
        <w:rPr>
          <w:rFonts w:ascii="Arial" w:cs="Arial" w:eastAsia="Arial" w:hAnsi="Arial"/>
          <w:sz w:val="16"/>
          <w:szCs w:val="16"/>
          <w:color w:val="auto"/>
        </w:rPr>
        <w:t>. Consistent with U.S. GAAP, the total cost of a litigation settlement is apportioned between past sales and</w:t>
      </w:r>
      <w:r>
        <w:rPr>
          <w:rFonts w:ascii="Arial" w:cs="Arial" w:eastAsia="Arial" w:hAnsi="Arial"/>
          <w:sz w:val="16"/>
          <w:szCs w:val="16"/>
          <w:i w:val="1"/>
          <w:iCs w:val="1"/>
          <w:color w:val="auto"/>
        </w:rPr>
        <w:t xml:space="preserve"> </w:t>
      </w:r>
      <w:r>
        <w:rPr>
          <w:rFonts w:ascii="Arial" w:cs="Arial" w:eastAsia="Arial" w:hAnsi="Arial"/>
          <w:sz w:val="16"/>
          <w:szCs w:val="16"/>
          <w:color w:val="auto"/>
        </w:rPr>
        <w:t>anticipated future sales of the allegedly infringing products. The amount apportioned to past sales is expensed in the current period and the amount apportioned to future sales is expensed over the useful life of the license. Since the amount charged in the current period may relate to several years of past product sales, management regularly excludes such charge from its internal operating forecasts and analysis of its operating results. These charges do not relate to current business activity for Marvell. The frequency and variability in the nature of the charges can fluctuate significantly from period to period. Excluding this data provides investors with a basis to compare Marvell’s current performance against the performance of other companies without this variability</w:t>
      </w:r>
    </w:p>
    <w:p>
      <w:pPr>
        <w:spacing w:after="0" w:line="72" w:lineRule="exact"/>
        <w:rPr>
          <w:rFonts w:ascii="Arial" w:cs="Arial" w:eastAsia="Arial" w:hAnsi="Arial"/>
          <w:sz w:val="16"/>
          <w:szCs w:val="16"/>
          <w:color w:val="auto"/>
        </w:rPr>
      </w:pPr>
    </w:p>
    <w:p>
      <w:pPr>
        <w:ind w:left="1000" w:right="20" w:hanging="318"/>
        <w:spacing w:after="0" w:line="279" w:lineRule="auto"/>
        <w:tabs>
          <w:tab w:leader="none" w:pos="100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 xml:space="preserve">Other. </w:t>
      </w:r>
      <w:r>
        <w:rPr>
          <w:rFonts w:ascii="Arial" w:cs="Arial" w:eastAsia="Arial" w:hAnsi="Arial"/>
          <w:sz w:val="17"/>
          <w:szCs w:val="17"/>
          <w:color w:val="auto"/>
        </w:rPr>
        <w:t>From time to time, Marvell has other costs/benefits that are not directly related to Marvell’s ongoing or core business results.</w:t>
      </w:r>
      <w:r>
        <w:rPr>
          <w:rFonts w:ascii="Arial" w:cs="Arial" w:eastAsia="Arial" w:hAnsi="Arial"/>
          <w:sz w:val="17"/>
          <w:szCs w:val="17"/>
          <w:i w:val="1"/>
          <w:iCs w:val="1"/>
          <w:color w:val="auto"/>
        </w:rPr>
        <w:t xml:space="preserve"> </w:t>
      </w:r>
      <w:r>
        <w:rPr>
          <w:rFonts w:ascii="Arial" w:cs="Arial" w:eastAsia="Arial" w:hAnsi="Arial"/>
          <w:sz w:val="17"/>
          <w:szCs w:val="17"/>
          <w:color w:val="auto"/>
        </w:rPr>
        <w:t>For example, in the quarter ended January 31, 2015, Marvell recorded an expense of $3.8 million for costs associated with the surety bond to appeal the Carnegie Mellon University judgment and other costs. Excluding this data provides investors with a basis to compare Marvell’s performance against the performance of other companies without this variability.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1000" w:right="60" w:hanging="318"/>
        <w:spacing w:after="0" w:line="291" w:lineRule="auto"/>
        <w:tabs>
          <w:tab w:leader="none" w:pos="10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00"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500"/>
          </w:cols>
          <w:pgMar w:left="1160" w:top="274" w:right="239" w:bottom="1440" w:gutter="0" w:footer="0" w:header="0"/>
        </w:sectPr>
      </w:pPr>
    </w:p>
    <w:bookmarkStart w:id="3" w:name="page4"/>
    <w:bookmarkEnd w:id="3"/>
    <w:p>
      <w:pPr>
        <w:jc w:val="both"/>
        <w:ind w:firstLine="913"/>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540" w:firstLine="913"/>
        <w:spacing w:after="0" w:line="279" w:lineRule="auto"/>
        <w:rPr>
          <w:sz w:val="20"/>
          <w:szCs w:val="20"/>
          <w:color w:val="auto"/>
        </w:rPr>
      </w:pPr>
      <w:r>
        <w:rPr>
          <w:rFonts w:ascii="Arial" w:cs="Arial" w:eastAsia="Arial" w:hAnsi="Arial"/>
          <w:sz w:val="17"/>
          <w:szCs w:val="17"/>
          <w:color w:val="auto"/>
        </w:rPr>
        <w:t>Marvell today announced that it had declared the payment of its quarterly dividend of $0.06 per share to be paid on April 2, 2015 to all shareholders of record as of March 12, 2015.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6"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99.1   Press Release dated February 19, 2015</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4" w:name="page5"/>
    <w:bookmarkEnd w:id="4"/>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February 19,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4627245</wp:posOffset>
            </wp:positionH>
            <wp:positionV relativeFrom="paragraph">
              <wp:posOffset>14605</wp:posOffset>
            </wp:positionV>
            <wp:extent cx="26244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24455" cy="8890"/>
                    </a:xfrm>
                    <a:prstGeom prst="rect">
                      <a:avLst/>
                    </a:prstGeom>
                    <a:noFill/>
                  </pic:spPr>
                </pic:pic>
              </a:graphicData>
            </a:graphic>
          </wp:anchor>
        </w:drawing>
      </w:r>
    </w:p>
    <w:p>
      <w:pPr>
        <w:spacing w:after="0" w:line="16"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40"/>
          </w:cols>
          <w:pgMar w:left="240" w:top="270" w:right="51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spacing w:after="0"/>
        <w:rPr>
          <w:sz w:val="20"/>
          <w:szCs w:val="20"/>
          <w:color w:val="auto"/>
        </w:rPr>
      </w:pPr>
      <w:r>
        <w:rPr>
          <w:rFonts w:ascii="Arial" w:cs="Arial" w:eastAsia="Arial" w:hAnsi="Arial"/>
          <w:sz w:val="14"/>
          <w:szCs w:val="14"/>
          <w:color w:val="auto"/>
        </w:rPr>
        <w:t>Exhibit</w:t>
      </w:r>
    </w:p>
    <w:p>
      <w:pPr>
        <w:ind w:left="100"/>
        <w:spacing w:after="0"/>
        <w:tabs>
          <w:tab w:leader="none" w:pos="96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ind w:left="40"/>
        <w:spacing w:after="0"/>
        <w:tabs>
          <w:tab w:leader="none" w:pos="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19, 2015</w:t>
      </w:r>
    </w:p>
    <w:p>
      <w:pPr>
        <w:sectPr>
          <w:pgSz w:w="11900" w:h="16838" w:orient="portrait"/>
          <w:cols w:equalWidth="0" w:num="1">
            <w:col w:w="10199"/>
          </w:cols>
          <w:pgMar w:left="260" w:top="270"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792605" cy="137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20"/>
                <w:szCs w:val="20"/>
                <w:color w:val="auto"/>
              </w:rPr>
            </w:pPr>
          </w:p>
        </w:tc>
        <w:tc>
          <w:tcPr>
            <w:tcW w:w="1580" w:type="dxa"/>
            <w:vAlign w:val="bottom"/>
          </w:tcPr>
          <w:p>
            <w:pPr>
              <w:spacing w:after="0"/>
              <w:rPr>
                <w:sz w:val="20"/>
                <w:szCs w:val="20"/>
                <w:color w:val="auto"/>
              </w:rPr>
            </w:pPr>
          </w:p>
        </w:tc>
      </w:tr>
      <w:tr>
        <w:trPr>
          <w:trHeight w:val="323"/>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29"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Reports Fourth Fiscal Quarter and Fiscal Year 2015 Financial Results</w:t>
      </w:r>
    </w:p>
    <w:p>
      <w:pPr>
        <w:spacing w:after="0" w:line="215"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 xml:space="preserve">Santa Clara, Calif. (February 19, 2015)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fourth fiscal quarter and fiscal year 2015, ended January 31, 2015.</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Fourth Quarter of Fiscal 2015 and Fiscal Year 2015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Q4 FY 2015, $857 Million; FY 2015, $3.7 Billion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Q4 FY 2015, $82 Million; FY 2015, $435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Q4 FY 2015, $0.16; FY 2015, $0.84</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Q4 FY 2015, $131 Million; FY 2015, $611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Q4 FY 2015, $0.25; FY2015, $1.15</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Q4 FY 2015, $135 Million; FY 2015, $650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2016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February 18, 2015.</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$810 Million to $830 Million.</w:t>
      </w:r>
    </w:p>
    <w:p>
      <w:pPr>
        <w:spacing w:after="0" w:line="130"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50.1% +/- 100 bps. Non-GAAP Gross Margin is expected to be in the range of 50.5%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$360 Million +/- $10 Million. Non-GAAP Operating Expenses to be in the range of $320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$0.09 +/- $0.01. Non-GAAP Diluted EPS expected to be in the range of $0.18 +/- $0.01.</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Fourth Quarter of Fiscal 2015 and Fiscal Year 2015 Summary</w:t>
      </w:r>
    </w:p>
    <w:p>
      <w:pPr>
        <w:spacing w:after="0" w:line="121"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Revenue for the fourth quarter of fiscal 2015 was $857 million, down approximately 8 percent from $930 million in the third quarter of fiscal 2015, ended November 1, 2014, and down approximately 8 percent from $932 million in the fourth quarter of fiscal 2014, ended February 1, 2014.</w:t>
      </w:r>
    </w:p>
    <w:p>
      <w:pPr>
        <w:spacing w:after="0" w:line="147"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color w:val="auto"/>
        </w:rPr>
        <w:t>For the fiscal year ended January 31, 2015, revenue was $3.7 billion, an increase of 9 percent from revenue of $3.4 billion for the fiscal year ended February 1, 2014.</w:t>
      </w:r>
    </w:p>
    <w:p>
      <w:pPr>
        <w:spacing w:after="0" w:line="170"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GAAP net income for the fourth quarter of fiscal 2015 was $82 million, or $0.16 per share (diluted), compared with GAAP net income of $115 million, or $0.22 per share (diluted), for the third quarter of fiscal 2015, and $97 million, or $0.19 per share (diluted), for the fourth quarter of fiscal 2014.</w:t>
      </w:r>
    </w:p>
    <w:p>
      <w:pPr>
        <w:spacing w:after="0" w:line="12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For the fiscal year ended January 31, 2015, GAAP net income was $435 million, or $0.84 per share (diluted), compared with GAAP net income of $315 million, or $0.63 per share (diluted), for the fiscal year ended February 1, 2014.</w:t>
      </w:r>
    </w:p>
    <w:p>
      <w:pPr>
        <w:spacing w:after="0" w:line="170" w:lineRule="exact"/>
        <w:rPr>
          <w:sz w:val="20"/>
          <w:szCs w:val="20"/>
          <w:color w:val="auto"/>
        </w:rPr>
      </w:pPr>
    </w:p>
    <w:p>
      <w:pPr>
        <w:jc w:val="both"/>
        <w:ind w:right="120"/>
        <w:spacing w:after="0" w:line="342" w:lineRule="auto"/>
        <w:rPr>
          <w:sz w:val="20"/>
          <w:szCs w:val="20"/>
          <w:color w:val="auto"/>
        </w:rPr>
      </w:pPr>
      <w:r>
        <w:rPr>
          <w:rFonts w:ascii="Arial" w:cs="Arial" w:eastAsia="Arial" w:hAnsi="Arial"/>
          <w:sz w:val="16"/>
          <w:szCs w:val="16"/>
          <w:color w:val="auto"/>
        </w:rPr>
        <w:t>Non-GAAP net income was $131 million, or $0.25 per share (diluted), for the fourth quarter of fiscal 2015, compared with non-GAAP net income of $155 million, or $0.29 per share (diluted), for the third quarter of fiscal 2015 and $151 million, or $0.29 per share (diluted), for the fourth quarter of fiscal 2014.</w:t>
      </w:r>
    </w:p>
    <w:p>
      <w:pPr>
        <w:spacing w:after="0" w:line="124"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For the fiscal year ended January 31, 2015, non-GAAP net income was $611 million, or $1.15 per share (diluted), compared with non-GAAP net income of $530 million, or $1.02 per share (diluted) for the fiscal year ended February 1, 2014.</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January 31, 2015, November 1, 2014 and February 1, 2014 appear in the financial statements below. Non-GAAP net income, where applicable, excludes the effect of share-based compensation, amortization and write-off of acquired intangible assets, acquisition-</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80"/>
          </w:cols>
          <w:pgMar w:left="240" w:top="270" w:right="379" w:bottom="144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related costs, restructuring and other exit related costs, litigation settlement, and certain one-time expenses and benefits.</w:t>
      </w:r>
    </w:p>
    <w:p>
      <w:pPr>
        <w:spacing w:after="0" w:line="225"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GAAP gross margin for the fourth quarter of fiscal 2015 was 51.4 percent, compared to 51.1 percent for the third quarter of fiscal 2015 and 48.8 percent for the fourth quarter of fiscal 2014. GAAP gross margin for fiscal year 2015 was 50.3 percent as compared to 51.1 percent in fiscal year 2014.</w:t>
      </w:r>
    </w:p>
    <w:p>
      <w:pPr>
        <w:spacing w:after="0" w:line="124" w:lineRule="exact"/>
        <w:rPr>
          <w:sz w:val="20"/>
          <w:szCs w:val="20"/>
          <w:color w:val="auto"/>
        </w:rPr>
      </w:pPr>
    </w:p>
    <w:p>
      <w:pPr>
        <w:ind w:right="80"/>
        <w:spacing w:after="0" w:line="342" w:lineRule="auto"/>
        <w:rPr>
          <w:sz w:val="20"/>
          <w:szCs w:val="20"/>
          <w:color w:val="auto"/>
        </w:rPr>
      </w:pPr>
      <w:r>
        <w:rPr>
          <w:rFonts w:ascii="Arial" w:cs="Arial" w:eastAsia="Arial" w:hAnsi="Arial"/>
          <w:sz w:val="16"/>
          <w:szCs w:val="16"/>
          <w:color w:val="auto"/>
        </w:rPr>
        <w:t>Non-GAAP gross margin for the fourth quarter of fiscal 2015 was 51.8 percent, compared to 51.0 percent for the third quarter of fiscal 2015 and 50.1 percent for the fourth quarter of fiscal 2014. Non-GAAP gross margin for fiscal year 2015 was as 50.5 percent compared to 51.8 percent in fiscal year 2014.</w:t>
      </w:r>
    </w:p>
    <w:p>
      <w:pPr>
        <w:spacing w:after="0" w:line="124"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Shares used to compute GAAP net income per diluted share for the fourth quarter of fiscal 2015 were 522 million shares, compared with 520 million shares in the third quarter of fiscal 2015 and 510 million shares in the fourth quarter of fiscal 2014. Shares used to compute GAAP net income per diluted share for fiscal year 2015 were 521 million shares as compared to 504 million shares for fiscal year 2014.</w:t>
      </w:r>
    </w:p>
    <w:p>
      <w:pPr>
        <w:spacing w:after="0" w:line="181" w:lineRule="exact"/>
        <w:rPr>
          <w:sz w:val="20"/>
          <w:szCs w:val="20"/>
          <w:color w:val="auto"/>
        </w:rPr>
      </w:pPr>
    </w:p>
    <w:p>
      <w:pPr>
        <w:jc w:val="both"/>
        <w:ind w:right="340"/>
        <w:spacing w:after="0" w:line="286" w:lineRule="auto"/>
        <w:rPr>
          <w:sz w:val="20"/>
          <w:szCs w:val="20"/>
          <w:color w:val="auto"/>
        </w:rPr>
      </w:pPr>
      <w:r>
        <w:rPr>
          <w:rFonts w:ascii="Arial" w:cs="Arial" w:eastAsia="Arial" w:hAnsi="Arial"/>
          <w:sz w:val="17"/>
          <w:szCs w:val="17"/>
          <w:color w:val="auto"/>
        </w:rPr>
        <w:t>Shares used to compute non-GAAP net income per diluted share for the fourth quarter of fiscal 2015 were 533 million shares, compared with 533 million shares for the third quarter of fiscal 2015 and 523 million shares for the fourth quarter of fiscal 2014. Shares used to compute non-GAAP net income per share diluted share for fiscal year 2015 was 532 million shares as compared with 519 million shares for fiscal year 2014.</w:t>
      </w:r>
    </w:p>
    <w:p>
      <w:pPr>
        <w:spacing w:after="0" w:line="166"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Cash flow from operations for the fourth quarter of fiscal 2015 was $155 million, compared to the $195 million reported in the third quarter of fiscal 2015 and the $100 million reported in the fourth quarter of fiscal 2014. Cash flow from operations for fiscal year 2015 was $742 million, compared to $448 million in fiscal year 2014. Free cash flow for the fourth quarter of fiscal 2015 was $135 million, compared to the $167 million reported in the third quarter of fiscal 2015 and the $82 million reported in the fourth quarter of fiscal 2014. Free cash flow for fiscal year 2015 was $650 million, compared to $356 million in fiscal year 2014. Free cash flow as presented above is defined as cash flow from operations, less capital expenditures and purchases of technology licenses reported under investing and financing activities in the consolidated statement of cash flows.</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jc w:val="both"/>
        <w:ind w:right="34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Under the company’s authorized share repurchase program, Marvell repurchased approximately 1.4 million shares for a total of $20 million in the fourth quarter of fiscal 2015. Marvell paid a quarterly dividend of $0.06 per share on December 29, 2014 to all shareholders of record as of December 11, 2014. Marvell intends to pay its next quarterly dividend of $0.06 per share on April 2, 2015 to all shareholders of record as of March 12, 2015.</w:t>
      </w:r>
    </w:p>
    <w:p>
      <w:pPr>
        <w:spacing w:after="0" w:line="147"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Fourth Quarter of Fiscal 2015 Product Announcements</w:t>
      </w:r>
    </w:p>
    <w:p>
      <w:pPr>
        <w:spacing w:after="0" w:line="135" w:lineRule="exact"/>
        <w:rPr>
          <w:sz w:val="20"/>
          <w:szCs w:val="20"/>
          <w:color w:val="auto"/>
        </w:rPr>
      </w:pPr>
    </w:p>
    <w:p>
      <w:pPr>
        <w:ind w:left="900" w:right="36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Launches Octa-Core 64-bit 5-Mode 4G LTE ARMADA Mobile PXA1936 System-on-Chip for High Performance Smartphones and Tablets Globally</w:t>
      </w:r>
    </w:p>
    <w:p>
      <w:pPr>
        <w:spacing w:after="0" w:line="75"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Launches Highly Integrated Quad-Core 64-bit ARMADA Mobile PXA1908 Platform for the Fast Growing 5-Mode 4G LTE Worldwide Mass Market</w:t>
      </w:r>
    </w:p>
    <w:p>
      <w:pPr>
        <w:spacing w:after="0" w:line="75" w:lineRule="exact"/>
        <w:rPr>
          <w:rFonts w:ascii="Arial" w:cs="Arial" w:eastAsia="Arial" w:hAnsi="Arial"/>
          <w:sz w:val="18"/>
          <w:szCs w:val="18"/>
          <w:color w:val="auto"/>
        </w:rPr>
      </w:pPr>
    </w:p>
    <w:p>
      <w:pPr>
        <w:ind w:left="900" w:right="26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Meizu Launches its Flagship MX4 Pro Premium 4G LTE Smartphone for China Mobile and China Unicom Powered by Marvell’s ARMADA Mobile 5-mode 4G LTE Solution</w:t>
      </w:r>
    </w:p>
    <w:p>
      <w:pPr>
        <w:spacing w:after="0" w:line="75" w:lineRule="exact"/>
        <w:rPr>
          <w:rFonts w:ascii="Arial" w:cs="Arial" w:eastAsia="Arial" w:hAnsi="Arial"/>
          <w:sz w:val="18"/>
          <w:szCs w:val="18"/>
          <w:color w:val="auto"/>
        </w:rPr>
      </w:pPr>
    </w:p>
    <w:p>
      <w:pPr>
        <w:ind w:left="900" w:right="50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Extends SSD Leadership by Delivering the World’s First DRAM-less NVMe SSD Controller for Mass Market Mobile Computing Solutions with Industry-Leading NANDEdge LDPC Technology Supporting TLC and 3D NAND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7"/>
          <w:szCs w:val="17"/>
          <w:color w:val="auto"/>
        </w:rPr>
      </w:pPr>
      <w:r>
        <w:rPr>
          <w:rFonts w:ascii="Arial" w:cs="Arial" w:eastAsia="Arial" w:hAnsi="Arial"/>
          <w:sz w:val="17"/>
          <w:szCs w:val="17"/>
          <w:color w:val="auto"/>
        </w:rPr>
        <w:t>Marvell Launches the World’s First Highly Integrated and Scalable Smart Home Cloud Center for Mobile Internet and Internet of Things</w:t>
      </w:r>
    </w:p>
    <w:p>
      <w:pPr>
        <w:spacing w:after="0" w:line="142" w:lineRule="exact"/>
        <w:rPr>
          <w:rFonts w:ascii="Arial" w:cs="Arial" w:eastAsia="Arial" w:hAnsi="Arial"/>
          <w:sz w:val="17"/>
          <w:szCs w:val="17"/>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Skyworth and China Telecom Launch the World’s First Smart TV with Embedded G.hn Powerline Connectivity Powered by Marvell</w:t>
      </w:r>
    </w:p>
    <w:p>
      <w:pPr>
        <w:spacing w:after="0" w:line="130" w:lineRule="exact"/>
        <w:rPr>
          <w:rFonts w:ascii="Arial" w:cs="Arial" w:eastAsia="Arial" w:hAnsi="Arial"/>
          <w:sz w:val="18"/>
          <w:szCs w:val="18"/>
          <w:color w:val="auto"/>
        </w:rPr>
      </w:pPr>
    </w:p>
    <w:p>
      <w:pPr>
        <w:ind w:left="900" w:right="50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Launches Industry’s First 802.11ac Wave-2 4x4 Processor Featuring 160 MHz Mode and MU-MIMO Extending Its Leadership in Carrier, Enterprise and Residential Wi-Fi Solutions</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will be conducting a conference call on Thursday, February 19, 2015 at 1:45 p.m. Pacific Time to discuss results for the fourth fiscal quarter and fiscal year 2015. Interested parties may join the conference call by dialing 1- 866-318-8614 or 1-617-399-5133, pass-code 39424623. The call will be webcast by Thomson Reuters and can be accessed at the Marvell Investor Relations website at http://investor.marvell.com/ with a replay available following the call until March 19, 2015.</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0" w:right="259" w:bottom="1440" w:gutter="0" w:footer="0" w:header="0"/>
        </w:sectPr>
      </w:pPr>
    </w:p>
    <w:bookmarkStart w:id="11" w:name="page12"/>
    <w:bookmarkEnd w:id="11"/>
    <w:p>
      <w:pPr>
        <w:ind w:right="1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and statements regarding its financial outlook for the first quarter of fiscal 2016; its dividend program including the declaration of, timing of, funding of, payment of and quarterly amount of dividends; and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When Marvell files its Annual Report on Form 10-K for the fiscal year ended January 31, 2015,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November 1, 2014 as filed with the SEC, and other factors detailed from time to time in Marvell’s filings with the SEC. Marvell undertakes no obligation to revise or update publicly any forward-looking statements.</w:t>
      </w:r>
    </w:p>
    <w:p>
      <w:pPr>
        <w:spacing w:after="0" w:line="3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74" w:right="27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2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40" w:top="270" w:right="31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60" w:type="dxa"/>
            <w:vAlign w:val="bottom"/>
            <w:gridSpan w:val="4"/>
          </w:tcPr>
          <w:p>
            <w:pPr>
              <w:ind w:left="20"/>
              <w:spacing w:after="0"/>
              <w:rPr>
                <w:sz w:val="20"/>
                <w:szCs w:val="20"/>
                <w:color w:val="auto"/>
              </w:rPr>
            </w:pPr>
            <w:r>
              <w:rPr>
                <w:rFonts w:ascii="Arial" w:cs="Arial" w:eastAsia="Arial" w:hAnsi="Arial"/>
                <w:sz w:val="14"/>
                <w:szCs w:val="14"/>
                <w:b w:val="1"/>
                <w:bCs w:val="1"/>
                <w:color w:val="auto"/>
                <w:w w:val="95"/>
              </w:rPr>
              <w:t>Three Months Ended</w:t>
            </w: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3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7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28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7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February 1,</w:t>
            </w: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00" w:type="dxa"/>
            <w:vAlign w:val="bottom"/>
            <w:tcBorders>
              <w:top w:val="single" w:sz="8" w:color="auto"/>
            </w:tcBorders>
            <w:gridSpan w:val="3"/>
          </w:tcPr>
          <w:p>
            <w:pPr>
              <w:jc w:val="right"/>
              <w:ind w:right="240"/>
              <w:spacing w:after="0" w:line="119" w:lineRule="exact"/>
              <w:rPr>
                <w:sz w:val="20"/>
                <w:szCs w:val="20"/>
                <w:color w:val="auto"/>
              </w:rPr>
            </w:pPr>
            <w:r>
              <w:rPr>
                <w:rFonts w:ascii="Arial" w:cs="Arial" w:eastAsia="Arial" w:hAnsi="Arial"/>
                <w:sz w:val="13"/>
                <w:szCs w:val="13"/>
                <w:b w:val="1"/>
                <w:bCs w:val="1"/>
                <w:color w:val="auto"/>
              </w:rPr>
              <w:t>January 31,</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February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30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2014</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857,452</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930,136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931,749</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3,706,963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3,404,400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Cost of goods sold</w:t>
            </w:r>
          </w:p>
        </w:tc>
        <w:tc>
          <w:tcPr>
            <w:tcW w:w="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417,131</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454,974</w:t>
            </w:r>
          </w:p>
        </w:tc>
        <w:tc>
          <w:tcPr>
            <w:tcW w:w="12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477,252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1,843,706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1,663,730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440,321</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475,162</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454,497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1,863,257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1,740,670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Operating expenses:</w:t>
            </w:r>
          </w:p>
        </w:tc>
        <w:tc>
          <w:tcPr>
            <w:tcW w:w="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285,497</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288,435</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288,900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1,164,059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1,156,885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37,235</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34,410</w:t>
            </w:r>
          </w:p>
        </w:tc>
        <w:tc>
          <w:tcPr>
            <w:tcW w:w="12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36,665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143,952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152,698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34,651</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33,473</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26,367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130,030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106,471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3,100</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3,304</w:t>
            </w:r>
          </w:p>
        </w:tc>
        <w:tc>
          <w:tcPr>
            <w:tcW w:w="12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11,956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16,397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43,925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30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360,483</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359,622</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363,888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1,454,438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1,459,979</w:t>
            </w:r>
          </w:p>
        </w:tc>
        <w:tc>
          <w:tcPr>
            <w:tcW w:w="0" w:type="dxa"/>
            <w:vAlign w:val="bottom"/>
          </w:tcPr>
          <w:p>
            <w:pPr>
              <w:spacing w:after="0"/>
              <w:rPr>
                <w:sz w:val="1"/>
                <w:szCs w:val="1"/>
                <w:color w:val="auto"/>
              </w:rPr>
            </w:pPr>
          </w:p>
        </w:tc>
      </w:tr>
      <w:tr>
        <w:trPr>
          <w:trHeight w:val="223"/>
        </w:trPr>
        <w:tc>
          <w:tcPr>
            <w:tcW w:w="532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9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79,838</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115,540</w:t>
            </w:r>
          </w:p>
        </w:tc>
        <w:tc>
          <w:tcPr>
            <w:tcW w:w="2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90,609</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408,819</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280,691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4,382</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4,764</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12,617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23,334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25,566</w:t>
            </w:r>
          </w:p>
        </w:tc>
        <w:tc>
          <w:tcPr>
            <w:tcW w:w="0" w:type="dxa"/>
            <w:vAlign w:val="bottom"/>
          </w:tcPr>
          <w:p>
            <w:pPr>
              <w:spacing w:after="0"/>
              <w:rPr>
                <w:sz w:val="1"/>
                <w:szCs w:val="1"/>
                <w:color w:val="auto"/>
              </w:rPr>
            </w:pPr>
          </w:p>
        </w:tc>
      </w:tr>
      <w:tr>
        <w:trPr>
          <w:trHeight w:val="223"/>
        </w:trPr>
        <w:tc>
          <w:tcPr>
            <w:tcW w:w="532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9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84,220</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120,304</w:t>
            </w:r>
          </w:p>
        </w:tc>
        <w:tc>
          <w:tcPr>
            <w:tcW w:w="2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103,226</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432,153</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306,257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2,527</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5,000</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6,097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(3,193)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(9,063)</w:t>
            </w:r>
          </w:p>
        </w:tc>
        <w:tc>
          <w:tcPr>
            <w:tcW w:w="0" w:type="dxa"/>
            <w:vAlign w:val="bottom"/>
          </w:tcPr>
          <w:p>
            <w:pPr>
              <w:spacing w:after="0"/>
              <w:rPr>
                <w:sz w:val="1"/>
                <w:szCs w:val="1"/>
                <w:color w:val="auto"/>
              </w:rPr>
            </w:pPr>
          </w:p>
        </w:tc>
      </w:tr>
      <w:tr>
        <w:trPr>
          <w:trHeight w:val="223"/>
        </w:trPr>
        <w:tc>
          <w:tcPr>
            <w:tcW w:w="532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9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81,693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115,304</w:t>
            </w:r>
          </w:p>
        </w:tc>
        <w:tc>
          <w:tcPr>
            <w:tcW w:w="2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97,129</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435,346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315,320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0.16</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0.22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0.85</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0.64</w:t>
            </w:r>
          </w:p>
        </w:tc>
        <w:tc>
          <w:tcPr>
            <w:tcW w:w="0" w:type="dxa"/>
            <w:vAlign w:val="bottom"/>
          </w:tcPr>
          <w:p>
            <w:pPr>
              <w:spacing w:after="0"/>
              <w:rPr>
                <w:sz w:val="1"/>
                <w:szCs w:val="1"/>
                <w:color w:val="auto"/>
              </w:rPr>
            </w:pPr>
          </w:p>
        </w:tc>
      </w:tr>
      <w:tr>
        <w:trPr>
          <w:trHeight w:val="20"/>
        </w:trPr>
        <w:tc>
          <w:tcPr>
            <w:tcW w:w="53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9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20" w:type="dxa"/>
            <w:vAlign w:val="bottom"/>
            <w:gridSpan w:val="2"/>
            <w:vMerge w:val="continue"/>
          </w:tcPr>
          <w:p>
            <w:pPr>
              <w:spacing w:after="0"/>
              <w:rPr>
                <w:sz w:val="18"/>
                <w:szCs w:val="18"/>
                <w:color w:val="auto"/>
              </w:rPr>
            </w:pPr>
          </w:p>
        </w:tc>
        <w:tc>
          <w:tcPr>
            <w:tcW w:w="9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0.22</w:t>
            </w:r>
          </w:p>
        </w:tc>
        <w:tc>
          <w:tcPr>
            <w:tcW w:w="28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0.84</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513,574</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513,859</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497,620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511,089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496,518</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9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522,112</w:t>
            </w:r>
          </w:p>
        </w:tc>
        <w:tc>
          <w:tcPr>
            <w:tcW w:w="2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519,907</w:t>
            </w:r>
          </w:p>
        </w:tc>
        <w:tc>
          <w:tcPr>
            <w:tcW w:w="120" w:type="dxa"/>
            <w:vAlign w:val="bottom"/>
          </w:tcPr>
          <w:p>
            <w:pPr>
              <w:spacing w:after="0"/>
              <w:rPr>
                <w:sz w:val="20"/>
                <w:szCs w:val="20"/>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510,449</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520,760</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504,413</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98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16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1,</w:t>
            </w:r>
          </w:p>
        </w:tc>
      </w:tr>
      <w:tr>
        <w:trPr>
          <w:trHeight w:val="171"/>
        </w:trPr>
        <w:tc>
          <w:tcPr>
            <w:tcW w:w="20" w:type="dxa"/>
            <w:vAlign w:val="bottom"/>
          </w:tcPr>
          <w:p>
            <w:pPr>
              <w:spacing w:after="0"/>
              <w:rPr>
                <w:sz w:val="14"/>
                <w:szCs w:val="14"/>
                <w:color w:val="auto"/>
              </w:rPr>
            </w:pPr>
          </w:p>
        </w:tc>
        <w:tc>
          <w:tcPr>
            <w:tcW w:w="93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2015</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9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2,529,555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1,969,405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420,955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453,496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308,162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347,861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85,368</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68,458</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3,344,040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340,639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10,226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2,060,643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2,078,980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128,839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5,884,387</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282,899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316,389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286,357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273,170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68,120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61,747</w:t>
            </w: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637,376</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651,306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100,922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123,794</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738,298</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775,100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1,030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3,099,548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2,941,650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308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597</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2,045,203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1,732,658</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5,146,089</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4,675,910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5,884,387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6"/>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40" w:type="dxa"/>
            <w:vAlign w:val="bottom"/>
            <w:gridSpan w:val="4"/>
          </w:tcPr>
          <w:p>
            <w:pPr>
              <w:ind w:left="500"/>
              <w:spacing w:after="0"/>
              <w:rPr>
                <w:sz w:val="20"/>
                <w:szCs w:val="20"/>
                <w:color w:val="auto"/>
              </w:rPr>
            </w:pPr>
            <w:r>
              <w:rPr>
                <w:rFonts w:ascii="Arial" w:cs="Arial" w:eastAsia="Arial" w:hAnsi="Arial"/>
                <w:sz w:val="14"/>
                <w:szCs w:val="14"/>
                <w:b w:val="1"/>
                <w:bCs w:val="1"/>
                <w:color w:val="auto"/>
              </w:rPr>
              <w:t>Year Ended</w:t>
            </w:r>
          </w:p>
        </w:tc>
      </w:tr>
      <w:tr>
        <w:trPr>
          <w:trHeight w:val="119"/>
        </w:trPr>
        <w:tc>
          <w:tcPr>
            <w:tcW w:w="20" w:type="dxa"/>
            <w:vAlign w:val="bottom"/>
          </w:tcPr>
          <w:p>
            <w:pPr>
              <w:spacing w:after="0"/>
              <w:rPr>
                <w:sz w:val="10"/>
                <w:szCs w:val="10"/>
                <w:color w:val="auto"/>
              </w:rPr>
            </w:pPr>
          </w:p>
        </w:tc>
        <w:tc>
          <w:tcPr>
            <w:tcW w:w="7220" w:type="dxa"/>
            <w:vAlign w:val="bottom"/>
          </w:tcPr>
          <w:p>
            <w:pPr>
              <w:spacing w:after="0"/>
              <w:rPr>
                <w:sz w:val="10"/>
                <w:szCs w:val="10"/>
                <w:color w:val="auto"/>
              </w:rPr>
            </w:pPr>
          </w:p>
        </w:tc>
        <w:tc>
          <w:tcPr>
            <w:tcW w:w="980" w:type="dxa"/>
            <w:vAlign w:val="bottom"/>
            <w:tcBorders>
              <w:top w:val="single" w:sz="8" w:color="auto"/>
            </w:tcBorders>
            <w:gridSpan w:val="3"/>
          </w:tcPr>
          <w:p>
            <w:pPr>
              <w:jc w:val="right"/>
              <w:ind w:right="220"/>
              <w:spacing w:after="0" w:line="119" w:lineRule="exact"/>
              <w:rPr>
                <w:sz w:val="20"/>
                <w:szCs w:val="20"/>
                <w:color w:val="auto"/>
              </w:rPr>
            </w:pPr>
            <w:r>
              <w:rPr>
                <w:rFonts w:ascii="Arial" w:cs="Arial" w:eastAsia="Arial" w:hAnsi="Arial"/>
                <w:sz w:val="13"/>
                <w:szCs w:val="13"/>
                <w:b w:val="1"/>
                <w:bCs w:val="1"/>
                <w:color w:val="auto"/>
              </w:rPr>
              <w:t>January 31,</w:t>
            </w:r>
          </w:p>
        </w:tc>
        <w:tc>
          <w:tcPr>
            <w:tcW w:w="10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rPr>
              <w:t>February 1,</w:t>
            </w: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180" w:type="dxa"/>
            <w:vAlign w:val="bottom"/>
            <w:tcBorders>
              <w:top w:val="single" w:sz="8" w:color="auto"/>
            </w:tcBorders>
            <w:gridSpan w:val="3"/>
          </w:tcPr>
          <w:p>
            <w:pPr>
              <w:jc w:val="right"/>
              <w:ind w:right="380"/>
              <w:spacing w:after="0" w:line="119" w:lineRule="exact"/>
              <w:rPr>
                <w:sz w:val="20"/>
                <w:szCs w:val="20"/>
                <w:color w:val="auto"/>
              </w:rPr>
            </w:pPr>
            <w:r>
              <w:rPr>
                <w:rFonts w:ascii="Arial" w:cs="Arial" w:eastAsia="Arial" w:hAnsi="Arial"/>
                <w:sz w:val="13"/>
                <w:szCs w:val="13"/>
                <w:b w:val="1"/>
                <w:bCs w:val="1"/>
                <w:color w:val="auto"/>
              </w:rPr>
              <w:t>January 31,</w:t>
            </w:r>
          </w:p>
        </w:tc>
        <w:tc>
          <w:tcPr>
            <w:tcW w:w="760" w:type="dxa"/>
            <w:vAlign w:val="bottom"/>
            <w:tcBorders>
              <w:top w:val="single" w:sz="8" w:color="auto"/>
            </w:tcBorders>
          </w:tcPr>
          <w:p>
            <w:pPr>
              <w:jc w:val="right"/>
              <w:spacing w:after="0" w:line="119" w:lineRule="exact"/>
              <w:rPr>
                <w:sz w:val="20"/>
                <w:szCs w:val="20"/>
                <w:color w:val="auto"/>
              </w:rPr>
            </w:pPr>
            <w:r>
              <w:rPr>
                <w:rFonts w:ascii="Arial" w:cs="Arial" w:eastAsia="Arial" w:hAnsi="Arial"/>
                <w:sz w:val="13"/>
                <w:szCs w:val="13"/>
                <w:b w:val="1"/>
                <w:bCs w:val="1"/>
                <w:color w:val="auto"/>
              </w:rPr>
              <w:t>February 1,</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2015</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2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81,693</w:t>
            </w: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97,129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435,346</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w w:val="92"/>
              </w:rPr>
              <w:t>$ 315,320</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26,464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26,176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106,248</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102,752</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37,963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38,068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137,246</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155,873</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3,585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12,037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18,337</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44,006</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(income), net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(1,699)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2,184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(13,859)</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8,178</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Gain from sale of equity investment</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(6,975)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(6,975)</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exit-related cost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3,230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3,230</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(145)</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25,719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13,233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48,994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(123,258)</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48,247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32,262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39,454</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(97,188)</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4,087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8,365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(4,534)</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23,377</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(60,808)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(88,520)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(43,871)</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39,791</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(12,189)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10,883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(34,224)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(9,627)</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1,910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(19,752)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43,561</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(5,787)</w:t>
            </w:r>
          </w:p>
        </w:tc>
      </w:tr>
      <w:tr>
        <w:trPr>
          <w:trHeight w:val="223"/>
        </w:trPr>
        <w:tc>
          <w:tcPr>
            <w:tcW w:w="20" w:type="dxa"/>
            <w:vAlign w:val="bottom"/>
          </w:tcPr>
          <w:p>
            <w:pPr>
              <w:spacing w:after="0"/>
              <w:rPr>
                <w:sz w:val="19"/>
                <w:szCs w:val="19"/>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(2,714)</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(24,623)</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6,373</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1,597</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155,421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100,489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742,156</w:t>
            </w:r>
          </w:p>
        </w:tc>
        <w:tc>
          <w:tcPr>
            <w:tcW w:w="300" w:type="dxa"/>
            <w:vAlign w:val="bottom"/>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448,039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(344,023)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0"/>
              </w:rPr>
              <w:t>(146,143)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(1,128,319)</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(837,892)</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248,215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149,533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826,310</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995,039</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Net proceeds from sale of a product line</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6,306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6,306</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(701)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(1,869)</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paid for acquisitions, net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(2,551)</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(1,910)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(3,654)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(16,424)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(17,647)</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(14,415)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(13,310)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(63,030)</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(66,593)</w:t>
            </w:r>
          </w:p>
        </w:tc>
      </w:tr>
      <w:tr>
        <w:trPr>
          <w:trHeight w:val="223"/>
        </w:trPr>
        <w:tc>
          <w:tcPr>
            <w:tcW w:w="20" w:type="dxa"/>
            <w:vAlign w:val="bottom"/>
          </w:tcPr>
          <w:p>
            <w:pPr>
              <w:spacing w:after="0"/>
              <w:rPr>
                <w:sz w:val="19"/>
                <w:szCs w:val="19"/>
                <w:color w:val="auto"/>
              </w:rPr>
            </w:pPr>
          </w:p>
        </w:tc>
        <w:tc>
          <w:tcPr>
            <w:tcW w:w="7220" w:type="dxa"/>
            <w:vAlign w:val="bottom"/>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(112,133)</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(7,268)</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(382,164)</w:t>
            </w:r>
          </w:p>
        </w:tc>
        <w:tc>
          <w:tcPr>
            <w:tcW w:w="300" w:type="dxa"/>
            <w:vAlign w:val="bottom"/>
          </w:tcPr>
          <w:p>
            <w:pPr>
              <w:spacing w:after="0"/>
              <w:rPr>
                <w:sz w:val="19"/>
                <w:szCs w:val="19"/>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74,793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(21,188)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(64,962)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(376,285)</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41,049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107,686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112,357</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204,962</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(908)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(466)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(26,494)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(10,872)</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(30,942)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(29,889)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(122,801)</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(119,449)</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(4,382)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(1,110)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(13,010)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(7,411)</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145</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w:t>
            </w:r>
          </w:p>
        </w:tc>
      </w:tr>
      <w:tr>
        <w:trPr>
          <w:trHeight w:val="230"/>
        </w:trPr>
        <w:tc>
          <w:tcPr>
            <w:tcW w:w="20" w:type="dxa"/>
            <w:vAlign w:val="bottom"/>
          </w:tcPr>
          <w:p>
            <w:pPr>
              <w:spacing w:after="0"/>
              <w:rPr>
                <w:sz w:val="20"/>
                <w:szCs w:val="20"/>
                <w:color w:val="auto"/>
              </w:rPr>
            </w:pPr>
          </w:p>
        </w:tc>
        <w:tc>
          <w:tcPr>
            <w:tcW w:w="7220" w:type="dxa"/>
            <w:vAlign w:val="bottom"/>
          </w:tcPr>
          <w:p>
            <w:pPr>
              <w:ind w:left="1060"/>
              <w:spacing w:after="0"/>
              <w:rPr>
                <w:sz w:val="20"/>
                <w:szCs w:val="20"/>
                <w:color w:val="auto"/>
              </w:rPr>
            </w:pPr>
            <w:r>
              <w:rPr>
                <w:rFonts w:ascii="Arial" w:cs="Arial" w:eastAsia="Arial" w:hAnsi="Arial"/>
                <w:sz w:val="18"/>
                <w:szCs w:val="18"/>
                <w:color w:val="auto"/>
              </w:rPr>
              <w:t>Net cash provided by (used in) financing activities</w:t>
            </w: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(16,304)</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76,199</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(114,765)</w:t>
            </w:r>
          </w:p>
        </w:tc>
        <w:tc>
          <w:tcPr>
            <w:tcW w:w="300" w:type="dxa"/>
            <w:vAlign w:val="bottom"/>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(309,035</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26,984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169,420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245,227</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213,797</w:t>
            </w:r>
          </w:p>
        </w:tc>
      </w:tr>
      <w:tr>
        <w:trPr>
          <w:trHeight w:val="230"/>
        </w:trPr>
        <w:tc>
          <w:tcPr>
            <w:tcW w:w="724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1,183,993</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796,330</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965,750</w:t>
            </w:r>
          </w:p>
        </w:tc>
        <w:tc>
          <w:tcPr>
            <w:tcW w:w="300" w:type="dxa"/>
            <w:vAlign w:val="bottom"/>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751,953</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1,210,977</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965,750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4"/>
              </w:rPr>
              <w:t>1,210,977</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2"/>
              </w:rPr>
              <w:t>$ 965,750</w:t>
            </w: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20" w:hanging="452"/>
        <w:spacing w:after="0" w:line="259"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1.4 million shares repurchased for $20.0 million in the fourth quarter of fiscal 2015, adjusted for the difference in repurchases made in the final three days of the current and previous quarters that are accrued but not yet paid due to the standard settlement period that normally takes up to three days.</w:t>
      </w:r>
    </w:p>
    <w:p>
      <w:pPr>
        <w:sectPr>
          <w:pgSz w:w="11900" w:h="16838" w:orient="portrait"/>
          <w:cols w:equalWidth="0" w:num="1">
            <w:col w:w="11420"/>
          </w:cols>
          <w:pgMar w:left="240" w:top="270" w:right="23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6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420" w:type="dxa"/>
            <w:vAlign w:val="bottom"/>
          </w:tcPr>
          <w:p>
            <w:pPr>
              <w:spacing w:after="0"/>
              <w:rPr>
                <w:sz w:val="10"/>
                <w:szCs w:val="10"/>
                <w:color w:val="auto"/>
              </w:rPr>
            </w:pPr>
          </w:p>
        </w:tc>
        <w:tc>
          <w:tcPr>
            <w:tcW w:w="9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3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9"/>
              </w:rPr>
              <w:t>February 1,</w:t>
            </w: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00" w:type="dxa"/>
            <w:vAlign w:val="bottom"/>
            <w:tcBorders>
              <w:top w:val="single" w:sz="8" w:color="auto"/>
            </w:tcBorders>
            <w:gridSpan w:val="3"/>
          </w:tcPr>
          <w:p>
            <w:pPr>
              <w:jc w:val="right"/>
              <w:ind w:right="520"/>
              <w:spacing w:after="0" w:line="119" w:lineRule="exact"/>
              <w:rPr>
                <w:sz w:val="20"/>
                <w:szCs w:val="20"/>
                <w:color w:val="auto"/>
              </w:rPr>
            </w:pPr>
            <w:r>
              <w:rPr>
                <w:rFonts w:ascii="Arial" w:cs="Arial" w:eastAsia="Arial" w:hAnsi="Arial"/>
                <w:sz w:val="13"/>
                <w:szCs w:val="13"/>
                <w:b w:val="1"/>
                <w:bCs w:val="1"/>
                <w:color w:val="auto"/>
              </w:rPr>
              <w:t>January 31,</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February 1,</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2015</w:t>
            </w: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0"/>
              <w:spacing w:after="0"/>
              <w:rPr>
                <w:sz w:val="20"/>
                <w:szCs w:val="20"/>
                <w:color w:val="auto"/>
              </w:rPr>
            </w:pPr>
            <w:r>
              <w:rPr>
                <w:rFonts w:ascii="Arial" w:cs="Arial" w:eastAsia="Arial" w:hAnsi="Arial"/>
                <w:sz w:val="14"/>
                <w:szCs w:val="14"/>
                <w:b w:val="1"/>
                <w:bCs w:val="1"/>
                <w:color w:val="auto"/>
              </w:rPr>
              <w:t>2014</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0"/>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81,693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115,304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97,129</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435,346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315,320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37,963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34,294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38,068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137,246</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155,873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4,025</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12,184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20,097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44,153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121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947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10,438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(2,398)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9,500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14,728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(6,975)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8,237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(6,975)</w:t>
            </w: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130,857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154,950</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150,974</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611,441</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530,325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522,112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519,907</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510,449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520,760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504,413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Non-GAAP adjustment</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10,688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12,905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12,932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11,604</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14,515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(e)</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532,800</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532,812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523,381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532,364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518,928</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0.84</w:t>
            </w:r>
          </w:p>
        </w:tc>
        <w:tc>
          <w:tcPr>
            <w:tcW w:w="4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0.25</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0.29</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1.02</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440,321</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475,162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454,497</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1,863,257</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1,740,670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2,597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7,972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8,863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925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925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228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3,700</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(3,998)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9,500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(3,998)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1,000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444,252</w:t>
            </w:r>
          </w:p>
        </w:tc>
        <w:tc>
          <w:tcPr>
            <w:tcW w:w="18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474,023</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466,822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1,871,931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1,763,989</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51.4%</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51.1%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48.8%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50.3%</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0.1%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0.1%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51.8%</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50.5%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51.8%</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285,497</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288,435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288,900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1,164,059</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1,156,885</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(25,590)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(24,198)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(27,087)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(94,432)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(109,432)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(829)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(5,249)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(5,442)</w:t>
            </w: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259,840</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264,149</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260,868</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1,064,378</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1,042,216</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37,235</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34,410</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36,665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143,952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152,698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(3,069)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(2,855)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(3,162)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(11,469)</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(13,940)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(1,600)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(1,600)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34,166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29,955</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33,503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130,883</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137,884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34,651</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33,473</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26,367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130,030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106,471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(7,298)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(5,307)</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(5,222)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(23,373)</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(23,638)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(3,345)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(1,115)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(118)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(5,189)</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(1,051)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(2,475)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2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(2,764)</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(2,318)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(7,237)</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21,244</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24,733</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21,022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91,756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81,218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tabs>
          <w:tab w:leader="none" w:pos="460" w:val="left"/>
        </w:tabs>
        <w:numPr>
          <w:ilvl w:val="0"/>
          <w:numId w:val="11"/>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amortization of retention bonuses required by the terms of an acquisition.</w:t>
      </w:r>
    </w:p>
    <w:p>
      <w:pPr>
        <w:spacing w:after="0" w:line="23" w:lineRule="exact"/>
        <w:rPr>
          <w:rFonts w:ascii="Arial" w:cs="Arial" w:eastAsia="Arial" w:hAnsi="Arial"/>
          <w:sz w:val="18"/>
          <w:szCs w:val="18"/>
          <w:i w:val="1"/>
          <w:iCs w:val="1"/>
          <w:color w:val="auto"/>
        </w:rPr>
      </w:pPr>
    </w:p>
    <w:p>
      <w:pPr>
        <w:ind w:left="460" w:right="300" w:hanging="452"/>
        <w:spacing w:after="0" w:line="250" w:lineRule="auto"/>
        <w:tabs>
          <w:tab w:leader="none" w:pos="460" w:val="left"/>
        </w:tabs>
        <w:numPr>
          <w:ilvl w:val="0"/>
          <w:numId w:val="11"/>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hanging="452"/>
        <w:spacing w:after="0"/>
        <w:tabs>
          <w:tab w:leader="none" w:pos="460" w:val="left"/>
        </w:tabs>
        <w:numPr>
          <w:ilvl w:val="0"/>
          <w:numId w:val="11"/>
        </w:numPr>
        <w:rPr>
          <w:rFonts w:ascii="Arial" w:cs="Arial" w:eastAsia="Arial" w:hAnsi="Arial"/>
          <w:sz w:val="18"/>
          <w:szCs w:val="18"/>
          <w:i w:val="1"/>
          <w:iCs w:val="1"/>
          <w:color w:val="auto"/>
        </w:rPr>
      </w:pPr>
      <w:r>
        <w:rPr>
          <w:rFonts w:ascii="Arial" w:cs="Arial" w:eastAsia="Arial" w:hAnsi="Arial"/>
          <w:sz w:val="18"/>
          <w:szCs w:val="18"/>
          <w:color w:val="auto"/>
        </w:rPr>
        <w:t>The amounts recorded do not relate to Marvell’s litigation with Carnegie Mellon University.</w:t>
      </w:r>
    </w:p>
    <w:p>
      <w:pPr>
        <w:spacing w:after="0" w:line="9" w:lineRule="exact"/>
        <w:rPr>
          <w:rFonts w:ascii="Arial" w:cs="Arial" w:eastAsia="Arial" w:hAnsi="Arial"/>
          <w:sz w:val="18"/>
          <w:szCs w:val="18"/>
          <w:i w:val="1"/>
          <w:iCs w:val="1"/>
          <w:color w:val="auto"/>
        </w:rPr>
      </w:pPr>
    </w:p>
    <w:p>
      <w:pPr>
        <w:ind w:left="460" w:hanging="452"/>
        <w:spacing w:after="0"/>
        <w:tabs>
          <w:tab w:leader="none" w:pos="460" w:val="left"/>
        </w:tabs>
        <w:numPr>
          <w:ilvl w:val="0"/>
          <w:numId w:val="11"/>
        </w:numPr>
        <w:rPr>
          <w:rFonts w:ascii="Arial" w:cs="Arial" w:eastAsia="Arial" w:hAnsi="Arial"/>
          <w:sz w:val="18"/>
          <w:szCs w:val="18"/>
          <w:i w:val="1"/>
          <w:iCs w:val="1"/>
          <w:color w:val="auto"/>
        </w:rPr>
      </w:pPr>
      <w:r>
        <w:rPr>
          <w:rFonts w:ascii="Arial" w:cs="Arial" w:eastAsia="Arial" w:hAnsi="Arial"/>
          <w:sz w:val="18"/>
          <w:szCs w:val="18"/>
          <w:color w:val="auto"/>
        </w:rPr>
        <w:t>Other includes costs associated with the surety bond to appeal the Carnegie Mellon University judgment and other costs.</w:t>
      </w:r>
    </w:p>
    <w:p>
      <w:pPr>
        <w:spacing w:after="0" w:line="9" w:lineRule="exact"/>
        <w:rPr>
          <w:rFonts w:ascii="Arial" w:cs="Arial" w:eastAsia="Arial" w:hAnsi="Arial"/>
          <w:sz w:val="18"/>
          <w:szCs w:val="18"/>
          <w:i w:val="1"/>
          <w:iCs w:val="1"/>
          <w:color w:val="auto"/>
        </w:rPr>
      </w:pPr>
    </w:p>
    <w:p>
      <w:pPr>
        <w:ind w:left="460" w:right="100" w:hanging="452"/>
        <w:spacing w:after="0" w:line="323" w:lineRule="auto"/>
        <w:tabs>
          <w:tab w:leader="none" w:pos="460" w:val="left"/>
        </w:tabs>
        <w:numPr>
          <w:ilvl w:val="0"/>
          <w:numId w:val="11"/>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bookmarkStart w:id="17" w:name="page18"/>
    <w:bookmarkEnd w:id="1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Q1 FY2016</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05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Amounts represent the midpoint of the expected range</w:t>
            </w:r>
          </w:p>
        </w:tc>
        <w:tc>
          <w:tcPr>
            <w:tcW w:w="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10520" w:type="dxa"/>
            <w:vAlign w:val="bottom"/>
            <w:gridSpan w:val="2"/>
          </w:tcPr>
          <w:p>
            <w:pPr>
              <w:spacing w:after="0"/>
              <w:rPr>
                <w:sz w:val="20"/>
                <w:szCs w:val="20"/>
                <w:color w:val="auto"/>
              </w:rPr>
            </w:pPr>
            <w:r>
              <w:rPr>
                <w:rFonts w:ascii="Arial" w:cs="Arial" w:eastAsia="Arial" w:hAnsi="Arial"/>
                <w:sz w:val="18"/>
                <w:szCs w:val="18"/>
                <w:color w:val="auto"/>
              </w:rPr>
              <w:t>GAAP gross margin</w:t>
            </w:r>
          </w:p>
        </w:tc>
        <w:tc>
          <w:tcPr>
            <w:tcW w:w="80" w:type="dxa"/>
            <w:vAlign w:val="bottom"/>
          </w:tcPr>
          <w:p>
            <w:pPr>
              <w:spacing w:after="0"/>
              <w:rPr>
                <w:sz w:val="24"/>
                <w:szCs w:val="24"/>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 amortization of intangible assets and other</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0"/>
        </w:trPr>
        <w:tc>
          <w:tcPr>
            <w:tcW w:w="105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105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Q1 FY2016</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10500" w:type="dxa"/>
            <w:vAlign w:val="bottom"/>
          </w:tcPr>
          <w:p>
            <w:pPr>
              <w:spacing w:after="0"/>
              <w:rPr>
                <w:sz w:val="7"/>
                <w:szCs w:val="7"/>
                <w:color w:val="auto"/>
              </w:rPr>
            </w:pPr>
          </w:p>
        </w:tc>
        <w:tc>
          <w:tcPr>
            <w:tcW w:w="80" w:type="dxa"/>
            <w:vAlign w:val="bottom"/>
            <w:tcBorders>
              <w:top w:val="single" w:sz="8" w:color="auto"/>
            </w:tcBorders>
          </w:tcPr>
          <w:p>
            <w:pPr>
              <w:spacing w:after="0"/>
              <w:rPr>
                <w:sz w:val="7"/>
                <w:szCs w:val="7"/>
                <w:color w:val="auto"/>
              </w:rPr>
            </w:pPr>
          </w:p>
        </w:tc>
        <w:tc>
          <w:tcPr>
            <w:tcW w:w="620" w:type="dxa"/>
            <w:vAlign w:val="bottom"/>
            <w:tcBorders>
              <w:top w:val="single" w:sz="8" w:color="auto"/>
            </w:tcBorders>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Pr>
          <w:p>
            <w:pPr>
              <w:spacing w:after="0"/>
              <w:rPr>
                <w:sz w:val="19"/>
                <w:szCs w:val="19"/>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Q1 FY2016</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10500" w:type="dxa"/>
            <w:vAlign w:val="bottom"/>
          </w:tcPr>
          <w:p>
            <w:pPr>
              <w:spacing w:after="0"/>
              <w:rPr>
                <w:sz w:val="7"/>
                <w:szCs w:val="7"/>
                <w:color w:val="auto"/>
              </w:rPr>
            </w:pPr>
          </w:p>
        </w:tc>
        <w:tc>
          <w:tcPr>
            <w:tcW w:w="80" w:type="dxa"/>
            <w:vAlign w:val="bottom"/>
            <w:tcBorders>
              <w:top w:val="single" w:sz="8" w:color="auto"/>
            </w:tcBorders>
          </w:tcPr>
          <w:p>
            <w:pPr>
              <w:spacing w:after="0"/>
              <w:rPr>
                <w:sz w:val="7"/>
                <w:szCs w:val="7"/>
                <w:color w:val="auto"/>
              </w:rPr>
            </w:pPr>
          </w:p>
        </w:tc>
        <w:tc>
          <w:tcPr>
            <w:tcW w:w="620" w:type="dxa"/>
            <w:vAlign w:val="bottom"/>
            <w:tcBorders>
              <w:top w:val="single" w:sz="8" w:color="auto"/>
            </w:tcBorders>
          </w:tcPr>
          <w:p>
            <w:pPr>
              <w:spacing w:after="0"/>
              <w:rPr>
                <w:sz w:val="7"/>
                <w:szCs w:val="7"/>
                <w:color w:val="auto"/>
              </w:rPr>
            </w:pPr>
          </w:p>
        </w:tc>
        <w:tc>
          <w:tcPr>
            <w:tcW w:w="2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abstractNum>
  <w:abstractNum w:abstractNumId="5">
    <w:nsid w:val="515F007C"/>
    <w:multiLevelType w:val="hybridMultilevel"/>
    <w:lvl w:ilvl="0">
      <w:lvlJc w:val="left"/>
      <w:lvlText w:val="(%1)"/>
      <w:numFmt w:val="lowerLetter"/>
      <w:start w:val="4"/>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
      <w:numFmt w:val="bullet"/>
      <w:start w:val="1"/>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1)"/>
      <w:numFmt w:val="lowerLetter"/>
      <w:start w:val="1"/>
    </w:lvl>
  </w:abstractNum>
  <w:abstractNum w:abstractNumId="10">
    <w:nsid w:val="1F16E9E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2019-12-07T03:43:18Z</dcterms:created>
  <dcterms:modified xsi:type="dcterms:W3CDTF">2019-12-07T03:43:18Z</dcterms:modified>
</cp:coreProperties>
</file>