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7"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250825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3"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78"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May 20, 2015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236855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42"/>
          <w:szCs w:val="42"/>
          <w:b w:val="1"/>
          <w:bCs w:val="1"/>
          <w:color w:val="auto"/>
        </w:rPr>
        <w:t>MARVELL TECHNOLOGY GROUP LTD.</w:t>
      </w:r>
    </w:p>
    <w:p>
      <w:pPr>
        <w:spacing w:after="0" w:line="70"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2"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ind w:left="158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3" w:lineRule="exact"/>
        <w:rPr>
          <w:sz w:val="24"/>
          <w:szCs w:val="24"/>
          <w:color w:val="auto"/>
        </w:rPr>
      </w:pPr>
    </w:p>
    <w:p>
      <w:pPr>
        <w:jc w:val="center"/>
        <w:ind w:right="2300"/>
        <w:spacing w:after="0"/>
        <w:rPr>
          <w:sz w:val="20"/>
          <w:szCs w:val="20"/>
          <w:color w:val="auto"/>
        </w:rPr>
      </w:pPr>
      <w:r>
        <w:rPr>
          <w:rFonts w:ascii="Times New Roman" w:cs="Times New Roman" w:eastAsia="Times New Roman" w:hAnsi="Times New Roman"/>
          <w:sz w:val="17"/>
          <w:szCs w:val="17"/>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3"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77-0481679</w:t>
      </w:r>
    </w:p>
    <w:p>
      <w:pPr>
        <w:spacing w:after="0" w:line="12" w:lineRule="exact"/>
        <w:rPr>
          <w:sz w:val="24"/>
          <w:szCs w:val="24"/>
          <w:color w:val="auto"/>
        </w:rPr>
      </w:pPr>
    </w:p>
    <w:p>
      <w:pPr>
        <w:sectPr>
          <w:pgSz w:w="11900" w:h="16838" w:orient="portrait"/>
          <w:cols w:equalWidth="0" w:num="3">
            <w:col w:w="4820" w:space="720"/>
            <w:col w:w="2900" w:space="720"/>
            <w:col w:w="2220"/>
          </w:cols>
          <w:pgMar w:left="240" w:top="362" w:right="279" w:bottom="1440" w:gutter="0" w:footer="0" w:header="0"/>
          <w:type w:val="continuous"/>
        </w:sectPr>
      </w:pPr>
    </w:p>
    <w:p>
      <w:pPr>
        <w:jc w:val="center"/>
        <w:ind w:right="82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82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200" w:lineRule="exact"/>
        <w:rPr>
          <w:sz w:val="24"/>
          <w:szCs w:val="24"/>
          <w:color w:val="auto"/>
        </w:rPr>
      </w:pPr>
    </w:p>
    <w:p>
      <w:pPr>
        <w:sectPr>
          <w:pgSz w:w="11900" w:h="16838" w:orient="portrait"/>
          <w:cols w:equalWidth="0" w:num="3">
            <w:col w:w="4700" w:space="720"/>
            <w:col w:w="2900" w:space="720"/>
            <w:col w:w="2340"/>
          </w:cols>
          <w:pgMar w:left="240" w:top="362" w:right="279" w:bottom="1440" w:gutter="0" w:footer="0" w:header="0"/>
          <w:type w:val="continuous"/>
        </w:sectPr>
      </w:pPr>
    </w:p>
    <w:p>
      <w:pPr>
        <w:spacing w:after="0" w:line="2"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188"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25"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p>
      <w:pPr>
        <w:spacing w:after="0" w:line="188"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N/A</w:t>
      </w:r>
    </w:p>
    <w:p>
      <w:pPr>
        <w:spacing w:after="0" w:line="25"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2" w:right="279" w:bottom="1440" w:gutter="0" w:footer="0" w:header="0"/>
          <w:type w:val="continuous"/>
        </w:sectPr>
      </w:pPr>
    </w:p>
    <w:p>
      <w:pPr>
        <w:spacing w:after="0" w:line="200" w:lineRule="exact"/>
        <w:rPr>
          <w:sz w:val="24"/>
          <w:szCs w:val="24"/>
          <w:color w:val="auto"/>
        </w:rPr>
      </w:pPr>
    </w:p>
    <w:p>
      <w:pPr>
        <w:spacing w:after="0" w:line="370" w:lineRule="exact"/>
        <w:rPr>
          <w:sz w:val="24"/>
          <w:szCs w:val="24"/>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67"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163195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206375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2" w:right="279" w:bottom="1440" w:gutter="0" w:footer="0" w:header="0"/>
          <w:type w:val="continuous"/>
        </w:sectPr>
      </w:pPr>
    </w:p>
    <w:bookmarkStart w:id="1" w:name="page2"/>
    <w:bookmarkEnd w:id="1"/>
    <w:p>
      <w:pPr>
        <w:ind w:right="480"/>
        <w:spacing w:after="0" w:line="286" w:lineRule="auto"/>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51" w:lineRule="exact"/>
        <w:rPr>
          <w:sz w:val="20"/>
          <w:szCs w:val="20"/>
          <w:color w:val="auto"/>
        </w:rPr>
      </w:pPr>
    </w:p>
    <w:p>
      <w:pPr>
        <w:ind w:firstLine="456"/>
        <w:spacing w:after="0" w:line="282" w:lineRule="auto"/>
        <w:rPr>
          <w:sz w:val="20"/>
          <w:szCs w:val="20"/>
          <w:color w:val="auto"/>
        </w:rPr>
      </w:pPr>
      <w:r>
        <w:rPr>
          <w:rFonts w:ascii="Times New Roman" w:cs="Times New Roman" w:eastAsia="Times New Roman" w:hAnsi="Times New Roman"/>
          <w:sz w:val="18"/>
          <w:szCs w:val="18"/>
          <w:color w:val="auto"/>
        </w:rPr>
        <w:t>On May 20, 2015, Michael Rashkin resigned as Chief Financial Officer and Secretary of Marvell Technology Group Ltd. (the “Company”) and from all other positions with the Company and its subsidiaries, effective as of May 22, 2015.</w:t>
      </w:r>
    </w:p>
    <w:p>
      <w:pPr>
        <w:spacing w:after="0" w:line="162" w:lineRule="exact"/>
        <w:rPr>
          <w:sz w:val="20"/>
          <w:szCs w:val="20"/>
          <w:color w:val="auto"/>
        </w:rPr>
      </w:pPr>
    </w:p>
    <w:p>
      <w:pPr>
        <w:ind w:right="20" w:firstLine="456"/>
        <w:spacing w:after="0" w:line="254" w:lineRule="auto"/>
        <w:rPr>
          <w:sz w:val="20"/>
          <w:szCs w:val="20"/>
          <w:color w:val="auto"/>
        </w:rPr>
      </w:pPr>
      <w:r>
        <w:rPr>
          <w:rFonts w:ascii="Times New Roman" w:cs="Times New Roman" w:eastAsia="Times New Roman" w:hAnsi="Times New Roman"/>
          <w:sz w:val="18"/>
          <w:szCs w:val="18"/>
          <w:color w:val="auto"/>
        </w:rPr>
        <w:t>On May 20, 2015, the Company appointed Sukhi Nagesh, 44, as its interim Chief Financial Officer, effective as of May 22, 2015. Mr. Nagesh served as Marvell’s vice president of finance since January of 2014 and prior to that as vice president of investor relations since May 2011. Before joining Marvell in 2011, Sukhi served as vice president and semiconductor research analyst at Deutsche Bank in San Francisco. Over his career, Sukhi has played a variety of roles in finance, marketing, and engineering at SG Cowen, Applied Materials, and Asyst Technologies. Sukhi holds an M.B.A. from New York University, an M.S. in mechanical engineering from Colorado State University, and a B.S. in mechanical engineering from Bangalore University. There are no arrangements or understandings between Mr. Nagesh and any other persons pursuant to which he was selected as interim Chief Financial Officer. There are also no family relationships between Mr. Nagesh and any director or executive officer of the Company and he has no direct or indirect material interest in any transaction required to be disclosed pursuant to Item 404(a) of Regulation S-K. The Company also intends to enter into its standard form indemnification agreement with Mr. Nagesh.</w:t>
      </w:r>
    </w:p>
    <w:p>
      <w:pPr>
        <w:spacing w:after="0" w:line="29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7.01 Regulation FD Disclosure</w:t>
      </w:r>
    </w:p>
    <w:p>
      <w:pPr>
        <w:spacing w:after="0" w:line="121" w:lineRule="exact"/>
        <w:rPr>
          <w:sz w:val="20"/>
          <w:szCs w:val="20"/>
          <w:color w:val="auto"/>
        </w:rPr>
      </w:pPr>
    </w:p>
    <w:p>
      <w:pPr>
        <w:ind w:right="160" w:firstLine="456"/>
        <w:spacing w:after="0" w:line="282" w:lineRule="auto"/>
        <w:rPr>
          <w:sz w:val="20"/>
          <w:szCs w:val="20"/>
          <w:color w:val="auto"/>
        </w:rPr>
      </w:pPr>
      <w:r>
        <w:rPr>
          <w:rFonts w:ascii="Times New Roman" w:cs="Times New Roman" w:eastAsia="Times New Roman" w:hAnsi="Times New Roman"/>
          <w:sz w:val="18"/>
          <w:szCs w:val="18"/>
          <w:color w:val="auto"/>
        </w:rPr>
        <w:t>On May 21, 2015, the Company issued a press release announcing Mr. Rashkin’s resignation and the appointment of Mr. Nagesh. A copy of this press release is included as Exhibit 99.1 to this Current Report on Form 8-K.</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9.01 Financial Statements and Exhibits.</w:t>
      </w:r>
    </w:p>
    <w:p>
      <w:pPr>
        <w:spacing w:after="0" w:line="135" w:lineRule="exact"/>
        <w:rPr>
          <w:sz w:val="20"/>
          <w:szCs w:val="20"/>
          <w:color w:val="auto"/>
        </w:rPr>
      </w:pPr>
    </w:p>
    <w:p>
      <w:pPr>
        <w:ind w:left="900" w:hanging="446"/>
        <w:spacing w:after="0"/>
        <w:tabs>
          <w:tab w:leader="none" w:pos="90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Exhibits.</w:t>
      </w:r>
    </w:p>
    <w:p>
      <w:pPr>
        <w:spacing w:after="0" w:line="239" w:lineRule="exact"/>
        <w:rPr>
          <w:sz w:val="20"/>
          <w:szCs w:val="20"/>
          <w:color w:val="auto"/>
        </w:rPr>
      </w:pPr>
    </w:p>
    <w:p>
      <w:pPr>
        <w:spacing w:after="0"/>
        <w:tabs>
          <w:tab w:leader="none" w:pos="680" w:val="left"/>
        </w:tabs>
        <w:rPr>
          <w:sz w:val="20"/>
          <w:szCs w:val="20"/>
          <w:color w:val="auto"/>
        </w:rPr>
      </w:pPr>
      <w:r>
        <w:rPr>
          <w:rFonts w:ascii="Times New Roman" w:cs="Times New Roman" w:eastAsia="Times New Roman" w:hAnsi="Times New Roman"/>
          <w:sz w:val="18"/>
          <w:szCs w:val="18"/>
          <w:color w:val="auto"/>
        </w:rPr>
        <w:t>99.1</w:t>
      </w:r>
      <w:r>
        <w:rPr>
          <w:sz w:val="20"/>
          <w:szCs w:val="20"/>
          <w:color w:val="auto"/>
        </w:rPr>
        <w:tab/>
      </w:r>
      <w:r>
        <w:rPr>
          <w:rFonts w:ascii="Times New Roman" w:cs="Times New Roman" w:eastAsia="Times New Roman" w:hAnsi="Times New Roman"/>
          <w:sz w:val="17"/>
          <w:szCs w:val="17"/>
          <w:color w:val="auto"/>
        </w:rPr>
        <w:t>Press Release dated May 21, 2015</w:t>
      </w:r>
    </w:p>
    <w:p>
      <w:pPr>
        <w:spacing w:after="0" w:line="15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420"/>
          </w:cols>
          <w:pgMar w:left="240" w:top="266" w:right="239" w:bottom="1440" w:gutter="0" w:footer="0" w:header="0"/>
        </w:sectPr>
      </w:pPr>
    </w:p>
    <w:bookmarkStart w:id="2" w:name="page3"/>
    <w:bookmarkEnd w:id="2"/>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62"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Dated: May 21, 2015</w:t>
      </w:r>
    </w:p>
    <w:p>
      <w:pPr>
        <w:spacing w:after="0" w:line="252"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By: /s/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17145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Times New Roman" w:cs="Times New Roman" w:eastAsia="Times New Roman" w:hAnsi="Times New Roman"/>
          <w:sz w:val="18"/>
          <w:szCs w:val="18"/>
          <w:color w:val="auto"/>
        </w:rPr>
        <w:t>Sehat Sutardja</w:t>
      </w:r>
    </w:p>
    <w:p>
      <w:pPr>
        <w:spacing w:after="0" w:line="27" w:lineRule="exact"/>
        <w:rPr>
          <w:sz w:val="20"/>
          <w:szCs w:val="20"/>
          <w:color w:val="auto"/>
        </w:rPr>
      </w:pPr>
    </w:p>
    <w:p>
      <w:pPr>
        <w:ind w:left="7240"/>
        <w:spacing w:after="0"/>
        <w:rPr>
          <w:sz w:val="20"/>
          <w:szCs w:val="20"/>
          <w:color w:val="auto"/>
        </w:rPr>
      </w:pPr>
      <w:r>
        <w:rPr>
          <w:rFonts w:ascii="Times New Roman" w:cs="Times New Roman" w:eastAsia="Times New Roman" w:hAnsi="Times New Roman"/>
          <w:sz w:val="18"/>
          <w:szCs w:val="18"/>
          <w:i w:val="1"/>
          <w:iCs w:val="1"/>
          <w:color w:val="auto"/>
        </w:rPr>
        <w:t>Chief Executive Officer</w:t>
      </w:r>
    </w:p>
    <w:p>
      <w:pPr>
        <w:spacing w:after="0" w:line="13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1420"/>
          </w:cols>
          <w:pgMar w:left="240" w:top="266" w:right="239" w:bottom="1440" w:gutter="0" w:footer="0" w:header="0"/>
        </w:sectPr>
      </w:pPr>
    </w:p>
    <w:bookmarkStart w:id="3" w:name="page4"/>
    <w:bookmarkEnd w:id="3"/>
    <w:p>
      <w:pPr>
        <w:jc w:val="right"/>
        <w:ind w:right="379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66" w:right="1440" w:bottom="1440" w:gutter="0" w:footer="0" w:header="0"/>
        </w:sectPr>
      </w:pPr>
    </w:p>
    <w:p>
      <w:pPr>
        <w:spacing w:after="0" w:line="252"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4"/>
          <w:szCs w:val="14"/>
          <w:color w:val="auto"/>
        </w:rPr>
        <w:t>Exhibit No.</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Times New Roman" w:cs="Times New Roman" w:eastAsia="Times New Roman" w:hAnsi="Times New Roman"/>
          <w:sz w:val="14"/>
          <w:szCs w:val="14"/>
          <w:color w:val="auto"/>
        </w:rPr>
        <w:t>Description</w:t>
      </w:r>
    </w:p>
    <w:p>
      <w:pPr>
        <w:spacing w:after="0" w:line="100" w:lineRule="exact"/>
        <w:rPr>
          <w:sz w:val="20"/>
          <w:szCs w:val="20"/>
          <w:color w:val="auto"/>
        </w:rPr>
      </w:pPr>
    </w:p>
    <w:p>
      <w:pPr>
        <w:sectPr>
          <w:pgSz w:w="11900" w:h="16838" w:orient="portrait"/>
          <w:cols w:equalWidth="0" w:num="2">
            <w:col w:w="740" w:space="720"/>
            <w:col w:w="8759"/>
          </w:cols>
          <w:pgMar w:left="240" w:top="266" w:right="1440" w:bottom="1440" w:gutter="0" w:footer="0" w:header="0"/>
          <w:type w:val="continuous"/>
        </w:sectPr>
      </w:pPr>
    </w:p>
    <w:p>
      <w:pPr>
        <w:spacing w:after="0"/>
        <w:rPr>
          <w:sz w:val="20"/>
          <w:szCs w:val="20"/>
          <w:color w:val="auto"/>
        </w:rPr>
      </w:pPr>
      <w:r>
        <w:rPr>
          <w:rFonts w:ascii="Times New Roman" w:cs="Times New Roman" w:eastAsia="Times New Roman" w:hAnsi="Times New Roman"/>
          <w:sz w:val="18"/>
          <w:szCs w:val="18"/>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Times New Roman" w:cs="Times New Roman" w:eastAsia="Times New Roman" w:hAnsi="Times New Roman"/>
          <w:sz w:val="17"/>
          <w:szCs w:val="17"/>
          <w:color w:val="auto"/>
        </w:rPr>
        <w:t>Press Release dated May 21, 2015</w:t>
      </w:r>
    </w:p>
    <w:p>
      <w:pPr>
        <w:sectPr>
          <w:pgSz w:w="11900" w:h="16838" w:orient="portrait"/>
          <w:cols w:equalWidth="0" w:num="2">
            <w:col w:w="740" w:space="720"/>
            <w:col w:w="8759"/>
          </w:cols>
          <w:pgMar w:left="240" w:top="266" w:right="1440" w:bottom="1440" w:gutter="0" w:footer="0" w:header="0"/>
          <w:type w:val="continuous"/>
        </w:sectPr>
      </w:pPr>
    </w:p>
    <w:bookmarkStart w:id="4" w:name="page5"/>
    <w:bookmarkEnd w:id="4"/>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5424805</wp:posOffset>
            </wp:positionH>
            <wp:positionV relativeFrom="paragraph">
              <wp:posOffset>174625</wp:posOffset>
            </wp:positionV>
            <wp:extent cx="1826895" cy="17145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826895" cy="1714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524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For further information, contact:</w:t>
            </w:r>
          </w:p>
        </w:tc>
        <w:tc>
          <w:tcPr>
            <w:tcW w:w="2660" w:type="dxa"/>
            <w:vAlign w:val="bottom"/>
          </w:tcPr>
          <w:p>
            <w:pPr>
              <w:spacing w:after="0"/>
              <w:rPr>
                <w:sz w:val="19"/>
                <w:szCs w:val="19"/>
                <w:color w:val="auto"/>
              </w:rPr>
            </w:pPr>
          </w:p>
        </w:tc>
        <w:tc>
          <w:tcPr>
            <w:tcW w:w="1580" w:type="dxa"/>
            <w:vAlign w:val="bottom"/>
          </w:tcPr>
          <w:p>
            <w:pPr>
              <w:spacing w:after="0"/>
              <w:rPr>
                <w:sz w:val="19"/>
                <w:szCs w:val="19"/>
                <w:color w:val="auto"/>
              </w:rPr>
            </w:pPr>
          </w:p>
        </w:tc>
      </w:tr>
      <w:tr>
        <w:trPr>
          <w:trHeight w:val="216"/>
        </w:trPr>
        <w:tc>
          <w:tcPr>
            <w:tcW w:w="52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John Spencer Ahn</w:t>
            </w:r>
          </w:p>
        </w:tc>
        <w:tc>
          <w:tcPr>
            <w:tcW w:w="4240" w:type="dxa"/>
            <w:vAlign w:val="bottom"/>
            <w:gridSpan w:val="2"/>
          </w:tcPr>
          <w:p>
            <w:pPr>
              <w:ind w:left="2660"/>
              <w:spacing w:after="0"/>
              <w:rPr>
                <w:sz w:val="20"/>
                <w:szCs w:val="20"/>
                <w:color w:val="auto"/>
              </w:rPr>
            </w:pPr>
            <w:r>
              <w:rPr>
                <w:rFonts w:ascii="Times New Roman" w:cs="Times New Roman" w:eastAsia="Times New Roman" w:hAnsi="Times New Roman"/>
                <w:sz w:val="18"/>
                <w:szCs w:val="18"/>
                <w:color w:val="auto"/>
              </w:rPr>
              <w:t>Sue Kim</w:t>
            </w:r>
          </w:p>
        </w:tc>
      </w:tr>
      <w:tr>
        <w:trPr>
          <w:trHeight w:val="216"/>
        </w:trPr>
        <w:tc>
          <w:tcPr>
            <w:tcW w:w="52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Investor Relations</w:t>
            </w:r>
          </w:p>
        </w:tc>
        <w:tc>
          <w:tcPr>
            <w:tcW w:w="4240" w:type="dxa"/>
            <w:vAlign w:val="bottom"/>
            <w:gridSpan w:val="2"/>
          </w:tcPr>
          <w:p>
            <w:pPr>
              <w:ind w:left="2660"/>
              <w:spacing w:after="0"/>
              <w:rPr>
                <w:sz w:val="20"/>
                <w:szCs w:val="20"/>
                <w:color w:val="auto"/>
              </w:rPr>
            </w:pPr>
            <w:r>
              <w:rPr>
                <w:rFonts w:ascii="Times New Roman" w:cs="Times New Roman" w:eastAsia="Times New Roman" w:hAnsi="Times New Roman"/>
                <w:sz w:val="18"/>
                <w:szCs w:val="18"/>
                <w:color w:val="auto"/>
              </w:rPr>
              <w:t>Media Relations</w:t>
            </w:r>
          </w:p>
        </w:tc>
      </w:tr>
      <w:tr>
        <w:trPr>
          <w:trHeight w:val="216"/>
        </w:trPr>
        <w:tc>
          <w:tcPr>
            <w:tcW w:w="1660" w:type="dxa"/>
            <w:vAlign w:val="bottom"/>
          </w:tcPr>
          <w:p>
            <w:pPr>
              <w:spacing w:after="0"/>
              <w:rPr>
                <w:sz w:val="20"/>
                <w:szCs w:val="20"/>
                <w:color w:val="auto"/>
              </w:rPr>
            </w:pPr>
            <w:r>
              <w:rPr>
                <w:rFonts w:ascii="Times New Roman" w:cs="Times New Roman" w:eastAsia="Times New Roman" w:hAnsi="Times New Roman"/>
                <w:sz w:val="18"/>
                <w:szCs w:val="18"/>
                <w:color w:val="auto"/>
              </w:rPr>
              <w:t>408-222-7544</w:t>
            </w:r>
          </w:p>
        </w:tc>
        <w:tc>
          <w:tcPr>
            <w:tcW w:w="3580" w:type="dxa"/>
            <w:vAlign w:val="bottom"/>
          </w:tcPr>
          <w:p>
            <w:pPr>
              <w:spacing w:after="0"/>
              <w:rPr>
                <w:sz w:val="18"/>
                <w:szCs w:val="18"/>
                <w:color w:val="auto"/>
              </w:rPr>
            </w:pPr>
          </w:p>
        </w:tc>
        <w:tc>
          <w:tcPr>
            <w:tcW w:w="4240" w:type="dxa"/>
            <w:vAlign w:val="bottom"/>
            <w:gridSpan w:val="2"/>
          </w:tcPr>
          <w:p>
            <w:pPr>
              <w:ind w:left="2660"/>
              <w:spacing w:after="0"/>
              <w:rPr>
                <w:sz w:val="20"/>
                <w:szCs w:val="20"/>
                <w:color w:val="auto"/>
              </w:rPr>
            </w:pPr>
            <w:r>
              <w:rPr>
                <w:rFonts w:ascii="Times New Roman" w:cs="Times New Roman" w:eastAsia="Times New Roman" w:hAnsi="Times New Roman"/>
                <w:sz w:val="18"/>
                <w:szCs w:val="18"/>
                <w:color w:val="auto"/>
              </w:rPr>
              <w:t>408-222-1942</w:t>
            </w:r>
          </w:p>
        </w:tc>
      </w:tr>
      <w:tr>
        <w:trPr>
          <w:trHeight w:val="194"/>
        </w:trPr>
        <w:tc>
          <w:tcPr>
            <w:tcW w:w="1660" w:type="dxa"/>
            <w:vAlign w:val="bottom"/>
          </w:tcPr>
          <w:p>
            <w:pPr>
              <w:spacing w:after="0" w:line="194" w:lineRule="exact"/>
              <w:rPr>
                <w:sz w:val="20"/>
                <w:szCs w:val="20"/>
                <w:color w:val="auto"/>
              </w:rPr>
            </w:pPr>
            <w:r>
              <w:rPr>
                <w:rFonts w:ascii="Times New Roman" w:cs="Times New Roman" w:eastAsia="Times New Roman" w:hAnsi="Times New Roman"/>
                <w:sz w:val="18"/>
                <w:szCs w:val="18"/>
                <w:color w:val="auto"/>
                <w:w w:val="99"/>
              </w:rPr>
              <w:t>johnahn@marvell.com</w:t>
            </w:r>
          </w:p>
        </w:tc>
        <w:tc>
          <w:tcPr>
            <w:tcW w:w="3580" w:type="dxa"/>
            <w:vAlign w:val="bottom"/>
          </w:tcPr>
          <w:p>
            <w:pPr>
              <w:spacing w:after="0"/>
              <w:rPr>
                <w:sz w:val="16"/>
                <w:szCs w:val="16"/>
                <w:color w:val="auto"/>
              </w:rPr>
            </w:pPr>
          </w:p>
        </w:tc>
        <w:tc>
          <w:tcPr>
            <w:tcW w:w="4240" w:type="dxa"/>
            <w:vAlign w:val="bottom"/>
            <w:gridSpan w:val="2"/>
          </w:tcPr>
          <w:p>
            <w:pPr>
              <w:ind w:left="2660"/>
              <w:spacing w:after="0" w:line="194" w:lineRule="exact"/>
              <w:rPr>
                <w:sz w:val="20"/>
                <w:szCs w:val="20"/>
                <w:color w:val="auto"/>
              </w:rPr>
            </w:pPr>
            <w:r>
              <w:rPr>
                <w:rFonts w:ascii="Times New Roman" w:cs="Times New Roman" w:eastAsia="Times New Roman" w:hAnsi="Times New Roman"/>
                <w:sz w:val="18"/>
                <w:szCs w:val="18"/>
                <w:color w:val="auto"/>
                <w:w w:val="98"/>
              </w:rPr>
              <w:t>suekim@marvell.com</w:t>
            </w:r>
          </w:p>
        </w:tc>
      </w:tr>
      <w:tr>
        <w:trPr>
          <w:trHeight w:val="20"/>
        </w:trPr>
        <w:tc>
          <w:tcPr>
            <w:tcW w:w="1660" w:type="dxa"/>
            <w:vAlign w:val="bottom"/>
            <w:shd w:val="clear" w:color="auto" w:fill="000000"/>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1580" w:type="dxa"/>
            <w:vAlign w:val="bottom"/>
            <w:shd w:val="clear" w:color="auto" w:fill="000000"/>
          </w:tcPr>
          <w:p>
            <w:pPr>
              <w:spacing w:after="0" w:line="20" w:lineRule="exact"/>
              <w:rPr>
                <w:sz w:val="1"/>
                <w:szCs w:val="1"/>
                <w:color w:val="auto"/>
              </w:rPr>
            </w:pPr>
          </w:p>
        </w:tc>
      </w:tr>
    </w:tbl>
    <w:p>
      <w:pPr>
        <w:spacing w:after="0" w:line="322" w:lineRule="exact"/>
        <w:rPr>
          <w:sz w:val="20"/>
          <w:szCs w:val="20"/>
          <w:color w:val="auto"/>
        </w:rPr>
      </w:pPr>
    </w:p>
    <w:p>
      <w:pPr>
        <w:spacing w:after="0"/>
        <w:rPr>
          <w:sz w:val="20"/>
          <w:szCs w:val="20"/>
          <w:color w:val="auto"/>
        </w:rPr>
      </w:pPr>
      <w:r>
        <w:rPr>
          <w:rFonts w:ascii="Times New Roman" w:cs="Times New Roman" w:eastAsia="Times New Roman" w:hAnsi="Times New Roman"/>
          <w:sz w:val="25"/>
          <w:szCs w:val="25"/>
          <w:b w:val="1"/>
          <w:bCs w:val="1"/>
          <w:color w:val="auto"/>
        </w:rPr>
        <w:t>Marvell Technology Group Ltd. Announces Chief Financial Officer Transition</w:t>
      </w:r>
    </w:p>
    <w:p>
      <w:pPr>
        <w:spacing w:after="0" w:line="124" w:lineRule="exact"/>
        <w:rPr>
          <w:sz w:val="20"/>
          <w:szCs w:val="20"/>
          <w:color w:val="auto"/>
        </w:rPr>
      </w:pPr>
    </w:p>
    <w:p>
      <w:pPr>
        <w:ind w:right="20"/>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Santa Clara, Calif. (May 21, 2015) </w:t>
      </w:r>
      <w:r>
        <w:rPr>
          <w:rFonts w:ascii="Times New Roman" w:cs="Times New Roman" w:eastAsia="Times New Roman" w:hAnsi="Times New Roman"/>
          <w:sz w:val="18"/>
          <w:szCs w:val="18"/>
          <w:color w:val="auto"/>
        </w:rPr>
        <w:t>— Marvell Technology Group Ltd. (NASDAQ: MRVL), a global leader in integrated silicon solutions, today announced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that after sixteen years with Marvell, Mike Rashkin has expressed his intention to retire as chief financial officer, a role that he has held since December 2013. Mr. Rashkin served the Company in a variety of senior roles since 1999 and has been a key contributor to the success of the company since its formation. Mr. Rashkin’s retirement will be effective May 22, 2015.</w:t>
      </w:r>
    </w:p>
    <w:p>
      <w:pPr>
        <w:spacing w:after="0" w:line="181" w:lineRule="exact"/>
        <w:rPr>
          <w:sz w:val="20"/>
          <w:szCs w:val="20"/>
          <w:color w:val="auto"/>
        </w:rPr>
      </w:pPr>
    </w:p>
    <w:p>
      <w:pPr>
        <w:jc w:val="both"/>
        <w:ind w:right="140"/>
        <w:spacing w:after="0" w:line="266" w:lineRule="auto"/>
        <w:rPr>
          <w:sz w:val="20"/>
          <w:szCs w:val="20"/>
          <w:color w:val="auto"/>
        </w:rPr>
      </w:pPr>
      <w:r>
        <w:rPr>
          <w:rFonts w:ascii="Times New Roman" w:cs="Times New Roman" w:eastAsia="Times New Roman" w:hAnsi="Times New Roman"/>
          <w:sz w:val="18"/>
          <w:szCs w:val="18"/>
          <w:color w:val="auto"/>
        </w:rPr>
        <w:t>“Serving as the chief financial officer of Marvell over the last year and a half has been the most rewarding role of my professional career and I am proud of everything we have accomplished. Marvell continues to be at the forefront of many great and new technologies that I believe will change the world and I am confident in the future of the Company,” said Mr. Rashkin.</w:t>
      </w:r>
    </w:p>
    <w:p>
      <w:pPr>
        <w:spacing w:after="0" w:line="176" w:lineRule="exact"/>
        <w:rPr>
          <w:sz w:val="20"/>
          <w:szCs w:val="20"/>
          <w:color w:val="auto"/>
        </w:rPr>
      </w:pPr>
    </w:p>
    <w:p>
      <w:pPr>
        <w:ind w:right="220"/>
        <w:spacing w:after="0" w:line="266" w:lineRule="auto"/>
        <w:rPr>
          <w:sz w:val="20"/>
          <w:szCs w:val="20"/>
          <w:color w:val="auto"/>
        </w:rPr>
      </w:pPr>
      <w:r>
        <w:rPr>
          <w:rFonts w:ascii="Times New Roman" w:cs="Times New Roman" w:eastAsia="Times New Roman" w:hAnsi="Times New Roman"/>
          <w:sz w:val="18"/>
          <w:szCs w:val="18"/>
          <w:color w:val="auto"/>
        </w:rPr>
        <w:t>“I’d like to thank Mike for his years of service and dedication to Marvell. He took over the role of CFO at a very critical time for the Company and his leadership has been instrumental in fostering a culture of success across the company. We wish him the best in his retirement,” said Sehat Sutardja, Marvell CEO and Chairman.</w:t>
      </w:r>
    </w:p>
    <w:p>
      <w:pPr>
        <w:spacing w:after="0" w:line="176" w:lineRule="exact"/>
        <w:rPr>
          <w:sz w:val="20"/>
          <w:szCs w:val="20"/>
          <w:color w:val="auto"/>
        </w:rPr>
      </w:pPr>
    </w:p>
    <w:p>
      <w:pPr>
        <w:ind w:right="60"/>
        <w:spacing w:after="0" w:line="258" w:lineRule="auto"/>
        <w:rPr>
          <w:sz w:val="20"/>
          <w:szCs w:val="20"/>
          <w:color w:val="auto"/>
        </w:rPr>
      </w:pPr>
      <w:r>
        <w:rPr>
          <w:rFonts w:ascii="Times New Roman" w:cs="Times New Roman" w:eastAsia="Times New Roman" w:hAnsi="Times New Roman"/>
          <w:sz w:val="18"/>
          <w:szCs w:val="18"/>
          <w:color w:val="auto"/>
        </w:rPr>
        <w:t>The Board of Directors appointed Sukhi Nagesh, vice president of finance and investor relations, to serve as interim chief financial officer, effective May 22, 2015. Before joining Marvell in 2011, Sukhi served as vice president and semiconductor research analyst at Deutsche Bank in San Francisco. Over his career, Sukhi has played a variety of roles in finance, marketing, and engineering at SG Cowen, Applied Materials, and Asyst Technologies. Sukhi holds an M.B.A. from New York University, an M.S. in mechanical engineering from Colorado State University, and a B.S. in mechanical engineering from Bangalore University.</w:t>
      </w:r>
    </w:p>
    <w:p>
      <w:pPr>
        <w:sectPr>
          <w:pgSz w:w="11900" w:h="16838" w:orient="portrait"/>
          <w:cols w:equalWidth="0" w:num="1">
            <w:col w:w="11420"/>
          </w:cols>
          <w:pgMar w:left="240" w:top="117" w:right="239" w:bottom="1440" w:gutter="0" w:footer="0" w:header="0"/>
        </w:sectPr>
      </w:pPr>
    </w:p>
    <w:bookmarkStart w:id="5" w:name="page6"/>
    <w:bookmarkEnd w:id="5"/>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121"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Marvell (NASDAQ: MRVL) is a global leader in providing complete silicon solutions and Kinoma</w:t>
      </w:r>
      <w:r>
        <w:rPr>
          <w:rFonts w:ascii="Times New Roman" w:cs="Times New Roman" w:eastAsia="Times New Roman" w:hAnsi="Times New Roman"/>
          <w:sz w:val="15"/>
          <w:szCs w:val="15"/>
          <w:color w:val="auto"/>
        </w:rPr>
        <w:t>®</w:t>
      </w:r>
      <w:r>
        <w:rPr>
          <w:rFonts w:ascii="Times New Roman" w:cs="Times New Roman" w:eastAsia="Times New Roman" w:hAnsi="Times New Roman"/>
          <w:sz w:val="18"/>
          <w:szCs w:val="18"/>
          <w:color w:val="auto"/>
        </w:rPr>
        <w:t xml:space="preserve"> software enabling the “Smart Life and Smart Lifestyle.” From mobile communications to storage,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88" w:lineRule="exact"/>
        <w:rPr>
          <w:sz w:val="20"/>
          <w:szCs w:val="20"/>
          <w:color w:val="auto"/>
        </w:rPr>
      </w:pPr>
    </w:p>
    <w:p>
      <w:pPr>
        <w:ind w:right="1320"/>
        <w:spacing w:after="0" w:line="282" w:lineRule="auto"/>
        <w:rPr>
          <w:sz w:val="20"/>
          <w:szCs w:val="20"/>
          <w:color w:val="auto"/>
        </w:rPr>
      </w:pPr>
      <w:r>
        <w:rPr>
          <w:rFonts w:ascii="Times New Roman" w:cs="Times New Roman" w:eastAsia="Times New Roman" w:hAnsi="Times New Roman"/>
          <w:sz w:val="18"/>
          <w:szCs w:val="18"/>
          <w:color w:val="auto"/>
        </w:rPr>
        <w:t>As used in this release, the term “Marvell” refers to Marvell Technology Group Ltd. and its subsidiaries. For more information, please visit www.Marvell.com.</w:t>
      </w:r>
    </w:p>
    <w:p>
      <w:pPr>
        <w:spacing w:after="0" w:line="15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Marvell</w:t>
      </w:r>
      <w:r>
        <w:rPr>
          <w:rFonts w:ascii="Times New Roman" w:cs="Times New Roman" w:eastAsia="Times New Roman" w:hAnsi="Times New Roman"/>
          <w:sz w:val="15"/>
          <w:szCs w:val="15"/>
          <w:i w:val="1"/>
          <w:iCs w:val="1"/>
          <w:color w:val="auto"/>
        </w:rPr>
        <w:t>®</w:t>
      </w:r>
      <w:r>
        <w:rPr>
          <w:rFonts w:ascii="Times New Roman" w:cs="Times New Roman" w:eastAsia="Times New Roman" w:hAnsi="Times New Roman"/>
          <w:sz w:val="18"/>
          <w:szCs w:val="18"/>
          <w:i w:val="1"/>
          <w:iCs w:val="1"/>
          <w:color w:val="auto"/>
        </w:rPr>
        <w:t xml:space="preserve"> and the Marvell logo are registered trademarks of Marvell and/or its affiliates.</w:t>
      </w:r>
    </w:p>
    <w:p>
      <w:pPr>
        <w:spacing w:after="0" w:line="161" w:lineRule="exact"/>
        <w:rPr>
          <w:sz w:val="20"/>
          <w:szCs w:val="20"/>
          <w:color w:val="auto"/>
        </w:rPr>
      </w:pPr>
    </w:p>
    <w:p>
      <w:pPr>
        <w:ind w:left="5660"/>
        <w:spacing w:after="0"/>
        <w:rPr>
          <w:sz w:val="20"/>
          <w:szCs w:val="20"/>
          <w:color w:val="auto"/>
        </w:rPr>
      </w:pPr>
      <w:r>
        <w:rPr>
          <w:rFonts w:ascii="Times New Roman" w:cs="Times New Roman" w:eastAsia="Times New Roman" w:hAnsi="Times New Roman"/>
          <w:sz w:val="18"/>
          <w:szCs w:val="18"/>
          <w:color w:val="auto"/>
        </w:rPr>
        <w:t>2</w:t>
      </w:r>
    </w:p>
    <w:sectPr>
      <w:pgSz w:w="11900" w:h="16838" w:orient="portrait"/>
      <w:cols w:equalWidth="0" w:num="1">
        <w:col w:w="11340"/>
      </w:cols>
      <w:pgMar w:left="240" w:top="266" w:right="3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2019-12-07T03:04:47Z</dcterms:created>
  <dcterms:modified xsi:type="dcterms:W3CDTF">2019-12-07T03:04:47Z</dcterms:modified>
</cp:coreProperties>
</file>