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April 24,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240"/>
        <w:spacing w:after="0" w:line="308" w:lineRule="auto"/>
        <w:rPr>
          <w:sz w:val="20"/>
          <w:szCs w:val="20"/>
          <w:color w:val="auto"/>
        </w:rPr>
      </w:pPr>
      <w:r>
        <w:rPr>
          <w:rFonts w:ascii="Arial" w:cs="Arial" w:eastAsia="Arial" w:hAnsi="Arial"/>
          <w:sz w:val="17"/>
          <w:szCs w:val="17"/>
          <w:color w:val="auto"/>
        </w:rPr>
        <w:t>Attached hereto as Exhibit 99.1 and incorporated by reference herein is the text of Marvell Technology Group Ltd.’s announcement regarding an update to forward-looking statements relating to the first quarter of fiscal year 2016 as presented in a press release dated April 24, 2015.</w:t>
      </w:r>
    </w:p>
    <w:p>
      <w:pPr>
        <w:spacing w:after="0" w:line="147"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920"/>
        <w:spacing w:after="0"/>
        <w:tabs>
          <w:tab w:leader="none" w:pos="15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24, 2015</w:t>
      </w:r>
    </w:p>
    <w:p>
      <w:pPr>
        <w:sectPr>
          <w:pgSz w:w="11900" w:h="16838" w:orient="portrait"/>
          <w:cols w:equalWidth="0" w:num="1">
            <w:col w:w="11380"/>
          </w:cols>
          <w:pgMar w:left="240" w:top="270" w:right="279" w:bottom="1440" w:gutter="0" w:footer="0" w:header="0"/>
        </w:sectPr>
      </w:pPr>
    </w:p>
    <w:bookmarkStart w:id="2" w:name="page3"/>
    <w:bookmarkEnd w:id="2"/>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April 24,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14605</wp:posOffset>
            </wp:positionV>
            <wp:extent cx="263271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1140"/>
          </w:cols>
          <w:pgMar w:left="240" w:top="270" w:right="51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color w:val="auto"/>
        </w:rPr>
        <w:t>Description</w:t>
      </w:r>
    </w:p>
    <w:p>
      <w:pPr>
        <w:spacing w:after="0" w:line="10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24, 2015</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248920</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2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660" w:type="dxa"/>
            <w:vAlign w:val="bottom"/>
          </w:tcPr>
          <w:p>
            <w:pPr>
              <w:spacing w:after="0"/>
              <w:rPr>
                <w:sz w:val="20"/>
                <w:szCs w:val="20"/>
                <w:color w:val="auto"/>
              </w:rPr>
            </w:pPr>
          </w:p>
        </w:tc>
        <w:tc>
          <w:tcPr>
            <w:tcW w:w="1600" w:type="dxa"/>
            <w:vAlign w:val="bottom"/>
          </w:tcPr>
          <w:p>
            <w:pPr>
              <w:spacing w:after="0"/>
              <w:rPr>
                <w:sz w:val="20"/>
                <w:szCs w:val="20"/>
                <w:color w:val="auto"/>
              </w:rPr>
            </w:pPr>
          </w:p>
        </w:tc>
      </w:tr>
      <w:tr>
        <w:trPr>
          <w:trHeight w:val="323"/>
        </w:trPr>
        <w:tc>
          <w:tcPr>
            <w:tcW w:w="422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Sue Kim</w:t>
            </w: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2560" w:type="dxa"/>
            <w:vAlign w:val="bottom"/>
          </w:tcPr>
          <w:p>
            <w:pPr>
              <w:spacing w:after="0"/>
              <w:rPr>
                <w:sz w:val="18"/>
                <w:szCs w:val="18"/>
                <w:color w:val="auto"/>
              </w:rPr>
            </w:pP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256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r>
    </w:tbl>
    <w:p>
      <w:pPr>
        <w:spacing w:after="0" w:line="211" w:lineRule="exact"/>
        <w:rPr>
          <w:sz w:val="20"/>
          <w:szCs w:val="20"/>
          <w:color w:val="auto"/>
        </w:rPr>
      </w:pPr>
    </w:p>
    <w:p>
      <w:pPr>
        <w:jc w:val="center"/>
        <w:ind w:left="260" w:right="640"/>
        <w:spacing w:after="0" w:line="310" w:lineRule="auto"/>
        <w:rPr>
          <w:sz w:val="20"/>
          <w:szCs w:val="20"/>
          <w:color w:val="auto"/>
        </w:rPr>
      </w:pPr>
      <w:r>
        <w:rPr>
          <w:rFonts w:ascii="Arial" w:cs="Arial" w:eastAsia="Arial" w:hAnsi="Arial"/>
          <w:sz w:val="27"/>
          <w:szCs w:val="27"/>
          <w:b w:val="1"/>
          <w:bCs w:val="1"/>
          <w:color w:val="auto"/>
        </w:rPr>
        <w:t>Marvell Technology Group Ltd. Updates First Quarter of Fiscal 2016 Outlook and Announces Conference Call to Review Fiscal First Quarter 2016</w:t>
      </w:r>
    </w:p>
    <w:p>
      <w:pPr>
        <w:spacing w:after="0" w:line="103" w:lineRule="exact"/>
        <w:rPr>
          <w:sz w:val="20"/>
          <w:szCs w:val="20"/>
          <w:color w:val="auto"/>
        </w:rPr>
      </w:pPr>
    </w:p>
    <w:p>
      <w:pPr>
        <w:ind w:right="200"/>
        <w:spacing w:after="0" w:line="282" w:lineRule="auto"/>
        <w:rPr>
          <w:sz w:val="20"/>
          <w:szCs w:val="20"/>
          <w:color w:val="auto"/>
        </w:rPr>
      </w:pPr>
      <w:r>
        <w:rPr>
          <w:rFonts w:ascii="Arial" w:cs="Arial" w:eastAsia="Arial" w:hAnsi="Arial"/>
          <w:sz w:val="18"/>
          <w:szCs w:val="18"/>
          <w:b w:val="1"/>
          <w:bCs w:val="1"/>
          <w:color w:val="auto"/>
        </w:rPr>
        <w:t xml:space="preserve">Santa Clara, Calif. (April 24, 2015) </w:t>
      </w:r>
      <w:r>
        <w:rPr>
          <w:rFonts w:ascii="Arial" w:cs="Arial" w:eastAsia="Arial" w:hAnsi="Arial"/>
          <w:sz w:val="18"/>
          <w:szCs w:val="18"/>
          <w:color w:val="auto"/>
        </w:rPr>
        <w:t>— Marvell Technology Group Ltd. (NASDAQ: MRVL), a global leader in integrated silicon solutions, today updated</w:t>
      </w:r>
      <w:r>
        <w:rPr>
          <w:rFonts w:ascii="Arial" w:cs="Arial" w:eastAsia="Arial" w:hAnsi="Arial"/>
          <w:sz w:val="18"/>
          <w:szCs w:val="18"/>
          <w:b w:val="1"/>
          <w:bCs w:val="1"/>
          <w:color w:val="auto"/>
        </w:rPr>
        <w:t xml:space="preserve"> </w:t>
      </w:r>
      <w:r>
        <w:rPr>
          <w:rFonts w:ascii="Arial" w:cs="Arial" w:eastAsia="Arial" w:hAnsi="Arial"/>
          <w:sz w:val="18"/>
          <w:szCs w:val="18"/>
          <w:color w:val="auto"/>
        </w:rPr>
        <w:t>its outlook for the first quarter of fiscal 2016, ending May 2, 2015.</w:t>
      </w:r>
    </w:p>
    <w:p>
      <w:pPr>
        <w:spacing w:after="0" w:line="166" w:lineRule="exact"/>
        <w:rPr>
          <w:sz w:val="20"/>
          <w:szCs w:val="20"/>
          <w:color w:val="auto"/>
        </w:rPr>
      </w:pPr>
    </w:p>
    <w:p>
      <w:pPr>
        <w:jc w:val="both"/>
        <w:ind w:right="100"/>
        <w:spacing w:after="0" w:line="302" w:lineRule="auto"/>
        <w:rPr>
          <w:sz w:val="20"/>
          <w:szCs w:val="20"/>
          <w:color w:val="auto"/>
        </w:rPr>
      </w:pPr>
      <w:r>
        <w:rPr>
          <w:rFonts w:ascii="Arial" w:cs="Arial" w:eastAsia="Arial" w:hAnsi="Arial"/>
          <w:sz w:val="16"/>
          <w:szCs w:val="16"/>
          <w:color w:val="auto"/>
        </w:rPr>
        <w:t>Marvell Technology announced that first quarter of fiscal 2016 revenue is expected to be below the company’s previous outlook. The company now expects first quarter of fiscal 2016 revenue to be in the range of $710 million to $740 million, compared to the previous expectation of $810 million to $830 million. The revised revenue outlook is primarily due to weaker than previously expected PC and storage markets and lower than expected emerging market demand. All other financial outlook expectations have been withdrawn and will be updated on the company’s first quarter earnings call on May 21, 2015.</w:t>
      </w:r>
    </w:p>
    <w:p>
      <w:pPr>
        <w:spacing w:after="0" w:line="154"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Marvell’s revised revenue outlook does not include the potential impact of future share repurchases, pending litigation matters, business combinations, asset acquisitions or other investments that may be completed after April 24, 2015.</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will conduct a conference call following the release of its first quarter of fiscal 2016 financial results on Thursday, May 21, 2015 at 1:45 p.m. Pacific Time. Interested parties may join the conference call by dialing 1-877-703-6102 or 1-857-244-7301, pass-code 47211925. The call will be webcast by Thomson Reuters and can be accessed at the Marvell Investor Relations website at http://investor.marvell.com/ with a replay available following the call until May 28, 2015.</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and statements regarding its financial outlook for the first quarter of fiscal 2016 and Marvell’s expectations regarding trends and demand in the markets in which it participates. Words such as “expects,” “can,” “will,” “may,” “outlook”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compete against other products and prices in an intensely competitive industry; Marvell’s reliance on the hard disk drive and mobile and wireless markets, which are highly cyclical and intensely competitive; changes in demand for Marvell’s products as a result of changes in the end markets Marvell serves; costs and liabilities relating to current and future litigation; Marvell’s reliance on a few customers for a significant portion of its revenue; uncertainty in worldwide economic conditions; and other risks detailed from time to time in Marvell’s SEC filings, including the risk factors identified in Marvell’s latest Annual Report on Form 10-K for the year ended January 31, 2015 as filed with the SEC. Please see Marvell’s SEC filings for other factors that could cause Marvell’s results to vary from expectations. Marvell undertakes no obligation to revise or update publicly any forward-looking statements.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2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340"/>
      </w:cols>
      <w:pgMar w:left="240" w:top="270"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2019-12-07T03:03:54Z</dcterms:created>
  <dcterms:modified xsi:type="dcterms:W3CDTF">2019-12-07T03:03:54Z</dcterms:modified>
</cp:coreProperties>
</file>