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28,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Marvell today announced that it had declared the payment of its quarterly dividend of $0.06 per share to be paid on October 22, 2015 to all shareholders of record as of October 8, 2015. The payment of future quarterly cash dividends is subject to, among other things, the best interests of its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16"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131" w:lineRule="exact"/>
        <w:rPr>
          <w:sz w:val="20"/>
          <w:szCs w:val="20"/>
          <w:color w:val="auto"/>
        </w:rPr>
      </w:pPr>
    </w:p>
    <w:p>
      <w:pPr>
        <w:spacing w:after="0"/>
        <w:tabs>
          <w:tab w:leader="none" w:pos="9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September 28, 2015</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820"/>
          </w:cols>
          <w:pgMar w:left="240" w:top="270" w:right="8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September 28,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Sukhi Nagesh</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spacing w:after="0"/>
        <w:rPr>
          <w:sz w:val="20"/>
          <w:szCs w:val="20"/>
          <w:color w:val="auto"/>
        </w:rPr>
      </w:pPr>
      <w:r>
        <w:rPr>
          <w:rFonts w:ascii="Arial" w:cs="Arial" w:eastAsia="Arial" w:hAnsi="Arial"/>
          <w:sz w:val="14"/>
          <w:szCs w:val="14"/>
          <w:color w:val="auto"/>
        </w:rPr>
        <w:t>Exhibit No.</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740" w:space="720"/>
            <w:col w:w="8759"/>
          </w:cols>
          <w:pgMar w:left="240" w:top="270"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September 28, 2015</w:t>
      </w:r>
    </w:p>
    <w:p>
      <w:pPr>
        <w:sectPr>
          <w:pgSz w:w="11900" w:h="16838" w:orient="portrait"/>
          <w:cols w:equalWidth="0" w:num="2">
            <w:col w:w="740" w:space="720"/>
            <w:col w:w="8759"/>
          </w:cols>
          <w:pgMar w:left="24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4919345</wp:posOffset>
            </wp:positionH>
            <wp:positionV relativeFrom="paragraph">
              <wp:posOffset>172085</wp:posOffset>
            </wp:positionV>
            <wp:extent cx="2332355" cy="2571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332355" cy="2571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16"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Marvell Technology Group Ltd. Declares Quarterly Dividend Payment</w:t>
      </w:r>
    </w:p>
    <w:p>
      <w:pPr>
        <w:spacing w:after="0" w:line="215" w:lineRule="exact"/>
        <w:rPr>
          <w:sz w:val="20"/>
          <w:szCs w:val="20"/>
          <w:color w:val="auto"/>
        </w:rPr>
      </w:pPr>
    </w:p>
    <w:p>
      <w:pPr>
        <w:jc w:val="both"/>
        <w:ind w:right="400"/>
        <w:spacing w:after="0" w:line="266" w:lineRule="auto"/>
        <w:rPr>
          <w:sz w:val="20"/>
          <w:szCs w:val="20"/>
          <w:color w:val="auto"/>
        </w:rPr>
      </w:pPr>
      <w:r>
        <w:rPr>
          <w:rFonts w:ascii="Arial" w:cs="Arial" w:eastAsia="Arial" w:hAnsi="Arial"/>
          <w:sz w:val="18"/>
          <w:szCs w:val="18"/>
          <w:b w:val="1"/>
          <w:bCs w:val="1"/>
          <w:color w:val="auto"/>
        </w:rPr>
        <w:t xml:space="preserve">Santa Clara, Calif. (September 28, 2015)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announced that the Board of Directors has approved a quarterly dividend payment of $0.06 per share to all shareholders of record as of October 8, 2015. Marvell intends to pay the dividend on October 22, 2015.</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20"/>
        <w:spacing w:after="0" w:line="268"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expectations regarding the timing of payment of declared or future dividends.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results of operations, cash balances and future cash requirements, financial condition, developments in ongoing litigation, statutory requirements of Bermuda law, the timing and outcome of the Audit Committee’s investigation and the conclusions of the Audit Committee, actions that may be taken or required as a result of the Audit Committee’s investigation, actions by the United States Securities and Exchange Commission (“SEC”) or other regulatory agencies in connection with the Audit Committee’s investigation, and the outcome of NASDAQ’s review of Marvell’s plan of compliance and the timing and outcome of any NASDAQ decision and other factors that Marvell’s board of directors may deem relevant. For other factors that could cause Marvell’s results to vary from expectations, please see the risk factors identified in the Marvell’s latest Annual Report on Form 10-K for the fiscal year ended January 31, 2015 and latest Quarterly Report on Form 10-Q for the fiscal quarter ended May 2, 2015 as filed with the SEC,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2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340"/>
      </w:cols>
      <w:pgMar w:left="240" w:top="270" w:right="3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2019-12-07T03:18:05Z</dcterms:created>
  <dcterms:modified xsi:type="dcterms:W3CDTF">2019-12-07T03:18:05Z</dcterms:modified>
</cp:coreProperties>
</file>