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Pursuant to Section 13 or 15(d)</w:t>
      </w:r>
    </w:p>
    <w:p>
      <w:pPr>
        <w:jc w:val="center"/>
        <w:ind w:right="-5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Date of Report (Date of earliest event reported): November 17,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tbl>
      <w:tblPr>
        <w:tblLayout w:type="fixed"/>
        <w:tblInd w:w="1020" w:type="dxa"/>
        <w:tblCellMar>
          <w:top w:w="0" w:type="dxa"/>
          <w:left w:w="0" w:type="dxa"/>
          <w:bottom w:w="0" w:type="dxa"/>
          <w:right w:w="0" w:type="dxa"/>
        </w:tblCellMar>
      </w:tblPr>
      <w:tr>
        <w:trPr>
          <w:trHeight w:val="212"/>
        </w:trPr>
        <w:tc>
          <w:tcPr>
            <w:tcW w:w="2200" w:type="dxa"/>
            <w:vAlign w:val="bottom"/>
          </w:tcPr>
          <w:p>
            <w:pPr>
              <w:jc w:val="center"/>
              <w:ind w:right="482"/>
              <w:spacing w:after="0"/>
              <w:rPr>
                <w:sz w:val="20"/>
                <w:szCs w:val="20"/>
                <w:color w:val="auto"/>
              </w:rPr>
            </w:pPr>
            <w:r>
              <w:rPr>
                <w:rFonts w:ascii="Arial" w:cs="Arial" w:eastAsia="Arial" w:hAnsi="Arial"/>
                <w:sz w:val="18"/>
                <w:szCs w:val="18"/>
                <w:b w:val="1"/>
                <w:bCs w:val="1"/>
                <w:color w:val="auto"/>
                <w:w w:val="92"/>
              </w:rPr>
              <w:t>Bermuda</w:t>
            </w:r>
          </w:p>
        </w:tc>
        <w:tc>
          <w:tcPr>
            <w:tcW w:w="5120" w:type="dxa"/>
            <w:vAlign w:val="bottom"/>
          </w:tcPr>
          <w:p>
            <w:pPr>
              <w:jc w:val="center"/>
              <w:ind w:right="17"/>
              <w:spacing w:after="0"/>
              <w:rPr>
                <w:sz w:val="20"/>
                <w:szCs w:val="20"/>
                <w:color w:val="auto"/>
              </w:rPr>
            </w:pPr>
            <w:r>
              <w:rPr>
                <w:rFonts w:ascii="Arial" w:cs="Arial" w:eastAsia="Arial" w:hAnsi="Arial"/>
                <w:sz w:val="18"/>
                <w:szCs w:val="18"/>
                <w:b w:val="1"/>
                <w:bCs w:val="1"/>
                <w:color w:val="auto"/>
                <w:w w:val="90"/>
              </w:rPr>
              <w:t>000-30877</w:t>
            </w:r>
          </w:p>
        </w:tc>
        <w:tc>
          <w:tcPr>
            <w:tcW w:w="1820" w:type="dxa"/>
            <w:vAlign w:val="bottom"/>
          </w:tcPr>
          <w:p>
            <w:pPr>
              <w:jc w:val="center"/>
              <w:ind w:left="622"/>
              <w:spacing w:after="0"/>
              <w:rPr>
                <w:sz w:val="20"/>
                <w:szCs w:val="20"/>
                <w:color w:val="auto"/>
              </w:rPr>
            </w:pPr>
            <w:r>
              <w:rPr>
                <w:rFonts w:ascii="Arial" w:cs="Arial" w:eastAsia="Arial" w:hAnsi="Arial"/>
                <w:sz w:val="18"/>
                <w:szCs w:val="18"/>
                <w:b w:val="1"/>
                <w:bCs w:val="1"/>
                <w:color w:val="auto"/>
                <w:w w:val="91"/>
              </w:rPr>
              <w:t>77-0481679</w:t>
            </w:r>
          </w:p>
        </w:tc>
      </w:tr>
      <w:tr>
        <w:trPr>
          <w:trHeight w:val="149"/>
        </w:trPr>
        <w:tc>
          <w:tcPr>
            <w:tcW w:w="2200" w:type="dxa"/>
            <w:vAlign w:val="bottom"/>
          </w:tcPr>
          <w:p>
            <w:pPr>
              <w:jc w:val="center"/>
              <w:ind w:right="482"/>
              <w:spacing w:after="0" w:line="149" w:lineRule="exact"/>
              <w:rPr>
                <w:sz w:val="20"/>
                <w:szCs w:val="20"/>
                <w:color w:val="auto"/>
              </w:rPr>
            </w:pPr>
            <w:r>
              <w:rPr>
                <w:rFonts w:ascii="Arial" w:cs="Arial" w:eastAsia="Arial" w:hAnsi="Arial"/>
                <w:sz w:val="14"/>
                <w:szCs w:val="14"/>
                <w:b w:val="1"/>
                <w:bCs w:val="1"/>
                <w:color w:val="auto"/>
                <w:w w:val="93"/>
              </w:rPr>
              <w:t>(State or other jurisdiction</w:t>
            </w:r>
          </w:p>
        </w:tc>
        <w:tc>
          <w:tcPr>
            <w:tcW w:w="5120" w:type="dxa"/>
            <w:vAlign w:val="bottom"/>
          </w:tcPr>
          <w:p>
            <w:pPr>
              <w:jc w:val="center"/>
              <w:ind w:right="17"/>
              <w:spacing w:after="0" w:line="149" w:lineRule="exact"/>
              <w:rPr>
                <w:sz w:val="20"/>
                <w:szCs w:val="20"/>
                <w:color w:val="auto"/>
              </w:rPr>
            </w:pPr>
            <w:r>
              <w:rPr>
                <w:rFonts w:ascii="Arial" w:cs="Arial" w:eastAsia="Arial" w:hAnsi="Arial"/>
                <w:sz w:val="14"/>
                <w:szCs w:val="14"/>
                <w:b w:val="1"/>
                <w:bCs w:val="1"/>
                <w:color w:val="auto"/>
                <w:w w:val="92"/>
              </w:rPr>
              <w:t>(Commission</w:t>
            </w:r>
          </w:p>
        </w:tc>
        <w:tc>
          <w:tcPr>
            <w:tcW w:w="1820" w:type="dxa"/>
            <w:vAlign w:val="bottom"/>
          </w:tcPr>
          <w:p>
            <w:pPr>
              <w:jc w:val="center"/>
              <w:ind w:left="62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2200" w:type="dxa"/>
            <w:vAlign w:val="bottom"/>
          </w:tcPr>
          <w:p>
            <w:pPr>
              <w:jc w:val="center"/>
              <w:ind w:right="482"/>
              <w:spacing w:after="0"/>
              <w:rPr>
                <w:sz w:val="20"/>
                <w:szCs w:val="20"/>
                <w:color w:val="auto"/>
              </w:rPr>
            </w:pPr>
            <w:r>
              <w:rPr>
                <w:rFonts w:ascii="Arial" w:cs="Arial" w:eastAsia="Arial" w:hAnsi="Arial"/>
                <w:sz w:val="14"/>
                <w:szCs w:val="14"/>
                <w:b w:val="1"/>
                <w:bCs w:val="1"/>
                <w:color w:val="auto"/>
                <w:w w:val="92"/>
              </w:rPr>
              <w:t>of incorporation)</w:t>
            </w:r>
          </w:p>
        </w:tc>
        <w:tc>
          <w:tcPr>
            <w:tcW w:w="5120" w:type="dxa"/>
            <w:vAlign w:val="bottom"/>
          </w:tcPr>
          <w:p>
            <w:pPr>
              <w:jc w:val="center"/>
              <w:ind w:right="17"/>
              <w:spacing w:after="0"/>
              <w:rPr>
                <w:sz w:val="20"/>
                <w:szCs w:val="20"/>
                <w:color w:val="auto"/>
              </w:rPr>
            </w:pPr>
            <w:r>
              <w:rPr>
                <w:rFonts w:ascii="Arial" w:cs="Arial" w:eastAsia="Arial" w:hAnsi="Arial"/>
                <w:sz w:val="14"/>
                <w:szCs w:val="14"/>
                <w:b w:val="1"/>
                <w:bCs w:val="1"/>
                <w:color w:val="auto"/>
                <w:w w:val="95"/>
              </w:rPr>
              <w:t>File Number)</w:t>
            </w:r>
          </w:p>
        </w:tc>
        <w:tc>
          <w:tcPr>
            <w:tcW w:w="1820" w:type="dxa"/>
            <w:vAlign w:val="bottom"/>
          </w:tcPr>
          <w:p>
            <w:pPr>
              <w:jc w:val="center"/>
              <w:ind w:left="622"/>
              <w:spacing w:after="0"/>
              <w:rPr>
                <w:sz w:val="20"/>
                <w:szCs w:val="20"/>
                <w:color w:val="auto"/>
              </w:rPr>
            </w:pPr>
            <w:r>
              <w:rPr>
                <w:rFonts w:ascii="Arial" w:cs="Arial" w:eastAsia="Arial" w:hAnsi="Arial"/>
                <w:sz w:val="14"/>
                <w:szCs w:val="14"/>
                <w:b w:val="1"/>
                <w:bCs w:val="1"/>
                <w:color w:val="auto"/>
                <w:w w:val="94"/>
              </w:rPr>
              <w:t>Identification No.)</w:t>
            </w:r>
          </w:p>
        </w:tc>
      </w:tr>
      <w:tr>
        <w:trPr>
          <w:trHeight w:val="412"/>
        </w:trPr>
        <w:tc>
          <w:tcPr>
            <w:tcW w:w="2200" w:type="dxa"/>
            <w:vAlign w:val="bottom"/>
          </w:tcPr>
          <w:p>
            <w:pPr>
              <w:spacing w:after="0"/>
              <w:rPr>
                <w:sz w:val="24"/>
                <w:szCs w:val="24"/>
                <w:color w:val="auto"/>
              </w:rPr>
            </w:pPr>
          </w:p>
        </w:tc>
        <w:tc>
          <w:tcPr>
            <w:tcW w:w="5120" w:type="dxa"/>
            <w:vAlign w:val="bottom"/>
          </w:tcPr>
          <w:p>
            <w:pPr>
              <w:jc w:val="center"/>
              <w:ind w:right="57"/>
              <w:spacing w:after="0"/>
              <w:rPr>
                <w:sz w:val="20"/>
                <w:szCs w:val="20"/>
                <w:color w:val="auto"/>
              </w:rPr>
            </w:pPr>
            <w:r>
              <w:rPr>
                <w:rFonts w:ascii="Arial" w:cs="Arial" w:eastAsia="Arial" w:hAnsi="Arial"/>
                <w:sz w:val="18"/>
                <w:szCs w:val="18"/>
                <w:b w:val="1"/>
                <w:bCs w:val="1"/>
                <w:color w:val="auto"/>
                <w:w w:val="91"/>
              </w:rPr>
              <w:t>Canon’s Court</w:t>
            </w:r>
          </w:p>
        </w:tc>
        <w:tc>
          <w:tcPr>
            <w:tcW w:w="1820" w:type="dxa"/>
            <w:vAlign w:val="bottom"/>
          </w:tcPr>
          <w:p>
            <w:pPr>
              <w:spacing w:after="0"/>
              <w:rPr>
                <w:sz w:val="24"/>
                <w:szCs w:val="24"/>
                <w:color w:val="auto"/>
              </w:rPr>
            </w:pPr>
          </w:p>
        </w:tc>
      </w:tr>
      <w:tr>
        <w:trPr>
          <w:trHeight w:val="216"/>
        </w:trPr>
        <w:tc>
          <w:tcPr>
            <w:tcW w:w="2200" w:type="dxa"/>
            <w:vAlign w:val="bottom"/>
          </w:tcPr>
          <w:p>
            <w:pPr>
              <w:spacing w:after="0"/>
              <w:rPr>
                <w:sz w:val="18"/>
                <w:szCs w:val="18"/>
                <w:color w:val="auto"/>
              </w:rPr>
            </w:pPr>
          </w:p>
        </w:tc>
        <w:tc>
          <w:tcPr>
            <w:tcW w:w="5120" w:type="dxa"/>
            <w:vAlign w:val="bottom"/>
          </w:tcPr>
          <w:p>
            <w:pPr>
              <w:jc w:val="center"/>
              <w:ind w:right="57"/>
              <w:spacing w:after="0"/>
              <w:rPr>
                <w:sz w:val="20"/>
                <w:szCs w:val="20"/>
                <w:color w:val="auto"/>
              </w:rPr>
            </w:pPr>
            <w:r>
              <w:rPr>
                <w:rFonts w:ascii="Arial" w:cs="Arial" w:eastAsia="Arial" w:hAnsi="Arial"/>
                <w:sz w:val="18"/>
                <w:szCs w:val="18"/>
                <w:b w:val="1"/>
                <w:bCs w:val="1"/>
                <w:color w:val="auto"/>
                <w:w w:val="91"/>
              </w:rPr>
              <w:t>22 Victoria Street</w:t>
            </w:r>
          </w:p>
        </w:tc>
        <w:tc>
          <w:tcPr>
            <w:tcW w:w="1820" w:type="dxa"/>
            <w:vAlign w:val="bottom"/>
          </w:tcPr>
          <w:p>
            <w:pPr>
              <w:spacing w:after="0"/>
              <w:rPr>
                <w:sz w:val="18"/>
                <w:szCs w:val="18"/>
                <w:color w:val="auto"/>
              </w:rPr>
            </w:pPr>
          </w:p>
        </w:tc>
      </w:tr>
      <w:tr>
        <w:trPr>
          <w:trHeight w:val="216"/>
        </w:trPr>
        <w:tc>
          <w:tcPr>
            <w:tcW w:w="2200" w:type="dxa"/>
            <w:vAlign w:val="bottom"/>
          </w:tcPr>
          <w:p>
            <w:pPr>
              <w:spacing w:after="0"/>
              <w:rPr>
                <w:sz w:val="18"/>
                <w:szCs w:val="18"/>
                <w:color w:val="auto"/>
              </w:rPr>
            </w:pPr>
          </w:p>
        </w:tc>
        <w:tc>
          <w:tcPr>
            <w:tcW w:w="5120" w:type="dxa"/>
            <w:vAlign w:val="bottom"/>
          </w:tcPr>
          <w:p>
            <w:pPr>
              <w:jc w:val="center"/>
              <w:ind w:right="57"/>
              <w:spacing w:after="0"/>
              <w:rPr>
                <w:sz w:val="20"/>
                <w:szCs w:val="20"/>
                <w:color w:val="auto"/>
              </w:rPr>
            </w:pPr>
            <w:r>
              <w:rPr>
                <w:rFonts w:ascii="Arial" w:cs="Arial" w:eastAsia="Arial" w:hAnsi="Arial"/>
                <w:sz w:val="18"/>
                <w:szCs w:val="18"/>
                <w:b w:val="1"/>
                <w:bCs w:val="1"/>
                <w:color w:val="auto"/>
                <w:w w:val="96"/>
              </w:rPr>
              <w:t>Hamilton HM 12</w:t>
            </w:r>
          </w:p>
        </w:tc>
        <w:tc>
          <w:tcPr>
            <w:tcW w:w="1820" w:type="dxa"/>
            <w:vAlign w:val="bottom"/>
          </w:tcPr>
          <w:p>
            <w:pPr>
              <w:spacing w:after="0"/>
              <w:rPr>
                <w:sz w:val="18"/>
                <w:szCs w:val="18"/>
                <w:color w:val="auto"/>
              </w:rPr>
            </w:pPr>
          </w:p>
        </w:tc>
      </w:tr>
      <w:tr>
        <w:trPr>
          <w:trHeight w:val="212"/>
        </w:trPr>
        <w:tc>
          <w:tcPr>
            <w:tcW w:w="2200" w:type="dxa"/>
            <w:vAlign w:val="bottom"/>
          </w:tcPr>
          <w:p>
            <w:pPr>
              <w:spacing w:after="0"/>
              <w:rPr>
                <w:sz w:val="18"/>
                <w:szCs w:val="18"/>
                <w:color w:val="auto"/>
              </w:rPr>
            </w:pPr>
          </w:p>
        </w:tc>
        <w:tc>
          <w:tcPr>
            <w:tcW w:w="5120" w:type="dxa"/>
            <w:vAlign w:val="bottom"/>
          </w:tcPr>
          <w:p>
            <w:pPr>
              <w:jc w:val="center"/>
              <w:ind w:right="37"/>
              <w:spacing w:after="0"/>
              <w:rPr>
                <w:sz w:val="20"/>
                <w:szCs w:val="20"/>
                <w:color w:val="auto"/>
              </w:rPr>
            </w:pPr>
            <w:r>
              <w:rPr>
                <w:rFonts w:ascii="Arial" w:cs="Arial" w:eastAsia="Arial" w:hAnsi="Arial"/>
                <w:sz w:val="18"/>
                <w:szCs w:val="18"/>
                <w:b w:val="1"/>
                <w:bCs w:val="1"/>
                <w:color w:val="auto"/>
                <w:w w:val="92"/>
              </w:rPr>
              <w:t>Bermuda</w:t>
            </w:r>
          </w:p>
        </w:tc>
        <w:tc>
          <w:tcPr>
            <w:tcW w:w="1820" w:type="dxa"/>
            <w:vAlign w:val="bottom"/>
          </w:tcPr>
          <w:p>
            <w:pPr>
              <w:spacing w:after="0"/>
              <w:rPr>
                <w:sz w:val="18"/>
                <w:szCs w:val="18"/>
                <w:color w:val="auto"/>
              </w:rPr>
            </w:pPr>
          </w:p>
        </w:tc>
      </w:tr>
      <w:tr>
        <w:trPr>
          <w:trHeight w:val="186"/>
        </w:trPr>
        <w:tc>
          <w:tcPr>
            <w:tcW w:w="2200" w:type="dxa"/>
            <w:vAlign w:val="bottom"/>
          </w:tcPr>
          <w:p>
            <w:pPr>
              <w:spacing w:after="0"/>
              <w:rPr>
                <w:sz w:val="16"/>
                <w:szCs w:val="16"/>
                <w:color w:val="auto"/>
              </w:rPr>
            </w:pPr>
          </w:p>
        </w:tc>
        <w:tc>
          <w:tcPr>
            <w:tcW w:w="5120" w:type="dxa"/>
            <w:vAlign w:val="bottom"/>
          </w:tcPr>
          <w:p>
            <w:pPr>
              <w:jc w:val="center"/>
              <w:ind w:right="57"/>
              <w:spacing w:after="0"/>
              <w:rPr>
                <w:sz w:val="20"/>
                <w:szCs w:val="20"/>
                <w:color w:val="auto"/>
              </w:rPr>
            </w:pPr>
            <w:r>
              <w:rPr>
                <w:rFonts w:ascii="Arial" w:cs="Arial" w:eastAsia="Arial" w:hAnsi="Arial"/>
                <w:sz w:val="14"/>
                <w:szCs w:val="14"/>
                <w:b w:val="1"/>
                <w:bCs w:val="1"/>
                <w:color w:val="auto"/>
                <w:w w:val="91"/>
              </w:rPr>
              <w:t>(Address of principal executive offices)</w:t>
            </w:r>
          </w:p>
        </w:tc>
        <w:tc>
          <w:tcPr>
            <w:tcW w:w="1820" w:type="dxa"/>
            <w:vAlign w:val="bottom"/>
          </w:tcPr>
          <w:p>
            <w:pPr>
              <w:spacing w:after="0"/>
              <w:rPr>
                <w:sz w:val="16"/>
                <w:szCs w:val="16"/>
                <w:color w:val="auto"/>
              </w:rPr>
            </w:pPr>
          </w:p>
        </w:tc>
      </w:tr>
      <w:tr>
        <w:trPr>
          <w:trHeight w:val="394"/>
        </w:trPr>
        <w:tc>
          <w:tcPr>
            <w:tcW w:w="2200" w:type="dxa"/>
            <w:vAlign w:val="bottom"/>
          </w:tcPr>
          <w:p>
            <w:pPr>
              <w:spacing w:after="0"/>
              <w:rPr>
                <w:sz w:val="24"/>
                <w:szCs w:val="24"/>
                <w:color w:val="auto"/>
              </w:rPr>
            </w:pPr>
          </w:p>
        </w:tc>
        <w:tc>
          <w:tcPr>
            <w:tcW w:w="5120" w:type="dxa"/>
            <w:vAlign w:val="bottom"/>
          </w:tcPr>
          <w:p>
            <w:pPr>
              <w:jc w:val="center"/>
              <w:ind w:right="37"/>
              <w:spacing w:after="0"/>
              <w:rPr>
                <w:sz w:val="20"/>
                <w:szCs w:val="20"/>
                <w:color w:val="auto"/>
              </w:rPr>
            </w:pPr>
            <w:r>
              <w:rPr>
                <w:rFonts w:ascii="Arial" w:cs="Arial" w:eastAsia="Arial" w:hAnsi="Arial"/>
                <w:sz w:val="18"/>
                <w:szCs w:val="18"/>
                <w:b w:val="1"/>
                <w:bCs w:val="1"/>
                <w:color w:val="auto"/>
                <w:w w:val="90"/>
              </w:rPr>
              <w:t>(441) 296-6395</w:t>
            </w:r>
          </w:p>
        </w:tc>
        <w:tc>
          <w:tcPr>
            <w:tcW w:w="1820" w:type="dxa"/>
            <w:vAlign w:val="bottom"/>
          </w:tcPr>
          <w:p>
            <w:pPr>
              <w:spacing w:after="0"/>
              <w:rPr>
                <w:sz w:val="24"/>
                <w:szCs w:val="24"/>
                <w:color w:val="auto"/>
              </w:rPr>
            </w:pPr>
          </w:p>
        </w:tc>
      </w:tr>
      <w:tr>
        <w:trPr>
          <w:trHeight w:val="186"/>
        </w:trPr>
        <w:tc>
          <w:tcPr>
            <w:tcW w:w="2200" w:type="dxa"/>
            <w:vAlign w:val="bottom"/>
          </w:tcPr>
          <w:p>
            <w:pPr>
              <w:spacing w:after="0"/>
              <w:rPr>
                <w:sz w:val="16"/>
                <w:szCs w:val="16"/>
                <w:color w:val="auto"/>
              </w:rPr>
            </w:pPr>
          </w:p>
        </w:tc>
        <w:tc>
          <w:tcPr>
            <w:tcW w:w="5120" w:type="dxa"/>
            <w:vAlign w:val="bottom"/>
          </w:tcPr>
          <w:p>
            <w:pPr>
              <w:jc w:val="center"/>
              <w:ind w:right="57"/>
              <w:spacing w:after="0"/>
              <w:rPr>
                <w:sz w:val="20"/>
                <w:szCs w:val="20"/>
                <w:color w:val="auto"/>
              </w:rPr>
            </w:pPr>
            <w:r>
              <w:rPr>
                <w:rFonts w:ascii="Arial" w:cs="Arial" w:eastAsia="Arial" w:hAnsi="Arial"/>
                <w:sz w:val="14"/>
                <w:szCs w:val="14"/>
                <w:b w:val="1"/>
                <w:bCs w:val="1"/>
                <w:color w:val="auto"/>
                <w:w w:val="91"/>
              </w:rPr>
              <w:t>(Registrant’s telephone number, including area code)</w:t>
            </w:r>
          </w:p>
        </w:tc>
        <w:tc>
          <w:tcPr>
            <w:tcW w:w="1820" w:type="dxa"/>
            <w:vAlign w:val="bottom"/>
          </w:tcPr>
          <w:p>
            <w:pPr>
              <w:spacing w:after="0"/>
              <w:rPr>
                <w:sz w:val="16"/>
                <w:szCs w:val="16"/>
                <w:color w:val="auto"/>
              </w:rPr>
            </w:pPr>
          </w:p>
        </w:tc>
      </w:tr>
      <w:tr>
        <w:trPr>
          <w:trHeight w:val="394"/>
        </w:trPr>
        <w:tc>
          <w:tcPr>
            <w:tcW w:w="2200" w:type="dxa"/>
            <w:vAlign w:val="bottom"/>
          </w:tcPr>
          <w:p>
            <w:pPr>
              <w:spacing w:after="0"/>
              <w:rPr>
                <w:sz w:val="24"/>
                <w:szCs w:val="24"/>
                <w:color w:val="auto"/>
              </w:rPr>
            </w:pPr>
          </w:p>
        </w:tc>
        <w:tc>
          <w:tcPr>
            <w:tcW w:w="5120" w:type="dxa"/>
            <w:vAlign w:val="bottom"/>
          </w:tcPr>
          <w:p>
            <w:pPr>
              <w:jc w:val="center"/>
              <w:ind w:right="57"/>
              <w:spacing w:after="0"/>
              <w:rPr>
                <w:sz w:val="20"/>
                <w:szCs w:val="20"/>
                <w:color w:val="auto"/>
              </w:rPr>
            </w:pPr>
            <w:r>
              <w:rPr>
                <w:rFonts w:ascii="Arial" w:cs="Arial" w:eastAsia="Arial" w:hAnsi="Arial"/>
                <w:sz w:val="18"/>
                <w:szCs w:val="18"/>
                <w:b w:val="1"/>
                <w:bCs w:val="1"/>
                <w:color w:val="auto"/>
                <w:w w:val="96"/>
              </w:rPr>
              <w:t>N/A</w:t>
            </w:r>
          </w:p>
        </w:tc>
        <w:tc>
          <w:tcPr>
            <w:tcW w:w="1820" w:type="dxa"/>
            <w:vAlign w:val="bottom"/>
          </w:tcPr>
          <w:p>
            <w:pPr>
              <w:spacing w:after="0"/>
              <w:rPr>
                <w:sz w:val="24"/>
                <w:szCs w:val="24"/>
                <w:color w:val="auto"/>
              </w:rPr>
            </w:pPr>
          </w:p>
        </w:tc>
      </w:tr>
      <w:tr>
        <w:trPr>
          <w:trHeight w:val="186"/>
        </w:trPr>
        <w:tc>
          <w:tcPr>
            <w:tcW w:w="2200" w:type="dxa"/>
            <w:vAlign w:val="bottom"/>
          </w:tcPr>
          <w:p>
            <w:pPr>
              <w:spacing w:after="0"/>
              <w:rPr>
                <w:sz w:val="16"/>
                <w:szCs w:val="16"/>
                <w:color w:val="auto"/>
              </w:rPr>
            </w:pPr>
          </w:p>
        </w:tc>
        <w:tc>
          <w:tcPr>
            <w:tcW w:w="5120" w:type="dxa"/>
            <w:vAlign w:val="bottom"/>
          </w:tcPr>
          <w:p>
            <w:pPr>
              <w:jc w:val="center"/>
              <w:ind w:right="37"/>
              <w:spacing w:after="0"/>
              <w:rPr>
                <w:sz w:val="20"/>
                <w:szCs w:val="20"/>
                <w:color w:val="auto"/>
              </w:rPr>
            </w:pPr>
            <w:r>
              <w:rPr>
                <w:rFonts w:ascii="Arial" w:cs="Arial" w:eastAsia="Arial" w:hAnsi="Arial"/>
                <w:sz w:val="14"/>
                <w:szCs w:val="14"/>
                <w:b w:val="1"/>
                <w:bCs w:val="1"/>
                <w:color w:val="auto"/>
                <w:w w:val="92"/>
              </w:rPr>
              <w:t>(Former name or former address, if changed since last report.)</w:t>
            </w:r>
          </w:p>
        </w:tc>
        <w:tc>
          <w:tcPr>
            <w:tcW w:w="1820" w:type="dxa"/>
            <w:vAlign w:val="bottom"/>
          </w:tcPr>
          <w:p>
            <w:pPr>
              <w:spacing w:after="0"/>
              <w:rPr>
                <w:sz w:val="16"/>
                <w:szCs w:val="16"/>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222250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5"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60" w:firstLine="456"/>
        <w:spacing w:after="0" w:line="257" w:lineRule="auto"/>
        <w:rPr>
          <w:sz w:val="20"/>
          <w:szCs w:val="20"/>
          <w:color w:val="auto"/>
        </w:rPr>
      </w:pPr>
      <w:r>
        <w:rPr>
          <w:rFonts w:ascii="Arial" w:cs="Arial" w:eastAsia="Arial" w:hAnsi="Arial"/>
          <w:sz w:val="18"/>
          <w:szCs w:val="18"/>
          <w:color w:val="auto"/>
        </w:rPr>
        <w:t>On November 17, 2015, Marvell Technology Group Ltd. (“Marvell” or the “Company”) announced that on November 12, 2015 it had submitted a compliance plan to The NASDAQ Stock Market (“NASDAQ”) to support its request for an extension of time to March 8, 2016 to regain compliance with continued listing requirements. Pursuant to NASDAQ rules, Marvell’s securities will remain listed on the NASDAQ Global Select Market pending NASDAQ’s review of the plan of compliance plan. Marvell intends to take all necessary steps to achieve compliance with the NASDAQ continued listing requirements as soon as practicable.</w:t>
      </w:r>
    </w:p>
    <w:p>
      <w:pPr>
        <w:spacing w:after="0" w:line="188" w:lineRule="exact"/>
        <w:rPr>
          <w:sz w:val="20"/>
          <w:szCs w:val="20"/>
          <w:color w:val="auto"/>
        </w:rPr>
      </w:pPr>
    </w:p>
    <w:p>
      <w:pPr>
        <w:ind w:right="120" w:firstLine="456"/>
        <w:spacing w:after="0" w:line="277" w:lineRule="auto"/>
        <w:rPr>
          <w:sz w:val="20"/>
          <w:szCs w:val="20"/>
          <w:color w:val="auto"/>
        </w:rPr>
      </w:pPr>
      <w:r>
        <w:rPr>
          <w:rFonts w:ascii="Arial" w:cs="Arial" w:eastAsia="Arial" w:hAnsi="Arial"/>
          <w:sz w:val="18"/>
          <w:szCs w:val="18"/>
          <w:color w:val="auto"/>
        </w:rPr>
        <w:t>Marvell also announced that it currently anticipates issuing preliminary financial information for the third fiscal quarter ended October 31, 2015 by early December 2015.</w:t>
      </w:r>
    </w:p>
    <w:p>
      <w:pPr>
        <w:spacing w:after="0" w:line="170"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This filing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 the outcome of NASDAQ’s review of Marvell’s compliance plan and the timing and outcome of any NASDAQ decision, Marvell’s ability to regain compliance with its SEC reporting obligations within the time of any exemption granted by NASDAQ, and Marvell’s ability to release preliminary unaudited financial information for the third quarter of fiscal 2016.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1140" w:type="dxa"/>
            <w:vAlign w:val="bottom"/>
            <w:gridSpan w:val="2"/>
          </w:tcPr>
          <w:p>
            <w:pPr>
              <w:spacing w:after="0"/>
              <w:rPr>
                <w:sz w:val="20"/>
                <w:szCs w:val="20"/>
                <w:color w:val="auto"/>
              </w:rPr>
            </w:pPr>
            <w:r>
              <w:rPr>
                <w:rFonts w:ascii="Arial" w:cs="Arial" w:eastAsia="Arial" w:hAnsi="Arial"/>
                <w:sz w:val="18"/>
                <w:szCs w:val="18"/>
                <w:b w:val="1"/>
                <w:bCs w:val="1"/>
                <w:color w:val="auto"/>
              </w:rPr>
              <w:t>ITEM 9.01</w:t>
            </w:r>
          </w:p>
        </w:tc>
        <w:tc>
          <w:tcPr>
            <w:tcW w:w="3900" w:type="dxa"/>
            <w:vAlign w:val="bottom"/>
            <w:gridSpan w:val="3"/>
          </w:tcPr>
          <w:p>
            <w:pPr>
              <w:ind w:left="240"/>
              <w:spacing w:after="0"/>
              <w:rPr>
                <w:sz w:val="20"/>
                <w:szCs w:val="20"/>
                <w:color w:val="auto"/>
              </w:rPr>
            </w:pPr>
            <w:r>
              <w:rPr>
                <w:rFonts w:ascii="Arial" w:cs="Arial" w:eastAsia="Arial" w:hAnsi="Arial"/>
                <w:sz w:val="18"/>
                <w:szCs w:val="18"/>
                <w:b w:val="1"/>
                <w:bCs w:val="1"/>
                <w:color w:val="auto"/>
              </w:rPr>
              <w:t>FINANCIAL STATEMENTS AND EXHIBITS.</w:t>
            </w:r>
          </w:p>
        </w:tc>
      </w:tr>
      <w:tr>
        <w:trPr>
          <w:trHeight w:val="324"/>
        </w:trPr>
        <w:tc>
          <w:tcPr>
            <w:tcW w:w="1140" w:type="dxa"/>
            <w:vAlign w:val="bottom"/>
            <w:gridSpan w:val="2"/>
          </w:tcPr>
          <w:p>
            <w:pPr>
              <w:spacing w:after="0"/>
              <w:rPr>
                <w:sz w:val="20"/>
                <w:szCs w:val="20"/>
                <w:color w:val="auto"/>
              </w:rPr>
            </w:pPr>
            <w:r>
              <w:rPr>
                <w:rFonts w:ascii="Arial" w:cs="Arial" w:eastAsia="Arial" w:hAnsi="Arial"/>
                <w:sz w:val="18"/>
                <w:szCs w:val="18"/>
                <w:b w:val="1"/>
                <w:bCs w:val="1"/>
                <w:color w:val="auto"/>
              </w:rPr>
              <w:t>(d) Exhibits</w:t>
            </w:r>
          </w:p>
        </w:tc>
        <w:tc>
          <w:tcPr>
            <w:tcW w:w="3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80" w:type="dxa"/>
            <w:vAlign w:val="bottom"/>
          </w:tcPr>
          <w:p>
            <w:pPr>
              <w:spacing w:after="0"/>
              <w:rPr>
                <w:sz w:val="24"/>
                <w:szCs w:val="24"/>
                <w:color w:val="auto"/>
              </w:rPr>
            </w:pPr>
          </w:p>
        </w:tc>
      </w:tr>
      <w:tr>
        <w:trPr>
          <w:trHeight w:val="392"/>
        </w:trPr>
        <w:tc>
          <w:tcPr>
            <w:tcW w:w="68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58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88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4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580" w:type="dxa"/>
            <w:vAlign w:val="bottom"/>
            <w:gridSpan w:val="2"/>
          </w:tcPr>
          <w:p>
            <w:pPr>
              <w:spacing w:after="0"/>
              <w:rPr>
                <w:sz w:val="20"/>
                <w:szCs w:val="20"/>
                <w:color w:val="auto"/>
              </w:rPr>
            </w:pPr>
            <w:r>
              <w:rPr>
                <w:rFonts w:ascii="Arial" w:cs="Arial" w:eastAsia="Arial" w:hAnsi="Arial"/>
                <w:sz w:val="18"/>
                <w:szCs w:val="18"/>
                <w:color w:val="auto"/>
              </w:rPr>
              <w:t>Press Release dated November 17, 2015</w:t>
            </w:r>
          </w:p>
        </w:tc>
      </w:tr>
    </w:tbl>
    <w:p>
      <w:pPr>
        <w:spacing w:after="0" w:line="134"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80"/>
          </w:cols>
          <w:pgMar w:left="240" w:top="270" w:right="4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November 17,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8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780" w:type="dxa"/>
            <w:vAlign w:val="bottom"/>
          </w:tcPr>
          <w:p>
            <w:pPr>
              <w:spacing w:after="0"/>
              <w:rPr>
                <w:sz w:val="14"/>
                <w:szCs w:val="14"/>
                <w:color w:val="auto"/>
              </w:rPr>
            </w:pPr>
          </w:p>
        </w:tc>
        <w:tc>
          <w:tcPr>
            <w:tcW w:w="290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780" w:type="dxa"/>
            <w:vAlign w:val="bottom"/>
          </w:tcPr>
          <w:p>
            <w:pPr>
              <w:spacing w:after="0"/>
              <w:rPr>
                <w:sz w:val="24"/>
                <w:szCs w:val="24"/>
                <w:color w:val="auto"/>
              </w:rPr>
            </w:pPr>
          </w:p>
        </w:tc>
        <w:tc>
          <w:tcPr>
            <w:tcW w:w="2900" w:type="dxa"/>
            <w:vAlign w:val="bottom"/>
            <w:gridSpan w:val="2"/>
          </w:tcPr>
          <w:p>
            <w:pPr>
              <w:spacing w:after="0"/>
              <w:rPr>
                <w:sz w:val="20"/>
                <w:szCs w:val="20"/>
                <w:color w:val="auto"/>
              </w:rPr>
            </w:pPr>
            <w:r>
              <w:rPr>
                <w:rFonts w:ascii="Arial" w:cs="Arial" w:eastAsia="Arial" w:hAnsi="Arial"/>
                <w:sz w:val="18"/>
                <w:szCs w:val="18"/>
                <w:color w:val="auto"/>
                <w:w w:val="87"/>
              </w:rPr>
              <w:t>Press Release dated November 17, 2015</w:t>
            </w:r>
          </w:p>
        </w:tc>
      </w:tr>
    </w:tbl>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For further information, contact:</w:t>
            </w:r>
          </w:p>
        </w:tc>
        <w:tc>
          <w:tcPr>
            <w:tcW w:w="1580" w:type="dxa"/>
            <w:vAlign w:val="bottom"/>
          </w:tcPr>
          <w:p>
            <w:pPr>
              <w:spacing w:after="0"/>
              <w:rPr>
                <w:sz w:val="18"/>
                <w:szCs w:val="18"/>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44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440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33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Filing of Compliance Plan with NASDAQ Stock Market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And Announces Plans to Issue Preliminary Financial Information for the Third Fiscal Quarter</w:t>
      </w:r>
    </w:p>
    <w:p>
      <w:pPr>
        <w:spacing w:after="0" w:line="211" w:lineRule="exact"/>
        <w:rPr>
          <w:sz w:val="20"/>
          <w:szCs w:val="20"/>
          <w:color w:val="auto"/>
        </w:rPr>
      </w:pPr>
    </w:p>
    <w:p>
      <w:pPr>
        <w:ind w:right="80"/>
        <w:spacing w:after="0" w:line="257" w:lineRule="auto"/>
        <w:rPr>
          <w:sz w:val="20"/>
          <w:szCs w:val="20"/>
          <w:color w:val="auto"/>
        </w:rPr>
      </w:pPr>
      <w:r>
        <w:rPr>
          <w:rFonts w:ascii="Arial" w:cs="Arial" w:eastAsia="Arial" w:hAnsi="Arial"/>
          <w:sz w:val="18"/>
          <w:szCs w:val="18"/>
          <w:color w:val="auto"/>
        </w:rPr>
        <w:t>Santa Clara, Calif. (November 17, 2015) — Marvell Technology Group Ltd. (NASDAQ: MRVL) announced today that on November 12, 2015 it submitted a compliance plan to The NASDAQ Stock Market (“NASDAQ”) to support its request for an extension of time to March 8, 2016 to regain compliance with continued listing requirements. Pursuant to NASDAQ rules, Marvell’s securities will remain listed on the NASDAQ Global Select Market pending NASDAQ’s review of the compliance plan. Marvell intends to take all necessary steps to achieve compliance with the NASDAQ continued listing requirements as soon as practicable.</w:t>
      </w:r>
    </w:p>
    <w:p>
      <w:pPr>
        <w:spacing w:after="0" w:line="188" w:lineRule="exact"/>
        <w:rPr>
          <w:sz w:val="20"/>
          <w:szCs w:val="20"/>
          <w:color w:val="auto"/>
        </w:rPr>
      </w:pPr>
    </w:p>
    <w:p>
      <w:pPr>
        <w:ind w:right="400"/>
        <w:spacing w:after="0" w:line="277" w:lineRule="auto"/>
        <w:rPr>
          <w:sz w:val="20"/>
          <w:szCs w:val="20"/>
          <w:color w:val="auto"/>
        </w:rPr>
      </w:pPr>
      <w:r>
        <w:rPr>
          <w:rFonts w:ascii="Arial" w:cs="Arial" w:eastAsia="Arial" w:hAnsi="Arial"/>
          <w:sz w:val="18"/>
          <w:szCs w:val="18"/>
          <w:color w:val="auto"/>
        </w:rPr>
        <w:t>Marvell also announced that it currently anticipates issuing preliminary financial information for the third fiscal quarter ended October 31, 2015 by early December 2015.</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121"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color w:val="auto"/>
        </w:rPr>
        <w:t>This press release contains forward-looking statements. Words such as “anticipates,” “expects,” “intends,” “plans,” “believes,” “seeks,” “estimates,” “may,” “will,” “should,” and their variations identify forward-looking statements. These statements are not guarantees of results and are subject to risks and uncertainties that could cause actual results to differ materially from those anticipated in the forward-looking statements. These risks and uncertainties include, but are not limited to,</w:t>
      </w:r>
    </w:p>
    <w:p>
      <w:pPr>
        <w:sectPr>
          <w:pgSz w:w="11900" w:h="16838" w:orient="portrait"/>
          <w:cols w:equalWidth="0" w:num="1">
            <w:col w:w="11420"/>
          </w:cols>
          <w:pgMar w:left="240" w:top="121" w:right="239" w:bottom="1440" w:gutter="0" w:footer="0" w:header="0"/>
        </w:sectPr>
      </w:pPr>
    </w:p>
    <w:bookmarkStart w:id="5" w:name="page6"/>
    <w:bookmarkEnd w:id="5"/>
    <w:p>
      <w:pPr>
        <w:ind w:right="60"/>
        <w:spacing w:after="0" w:line="27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outcome of NASDAQ’s review of Marvell’s compliance plan and the timing and outcome of any NASDAQ decision, Marvell’s ability to regain compliance with its SEC reporting obligations within the time of any exemption granted by NASDAQ, and Marvell’s ability to release preliminary unaudited financial information for the third quarter of fiscal 2016.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2019-12-07T03:27:55Z</dcterms:created>
  <dcterms:modified xsi:type="dcterms:W3CDTF">2019-12-07T03:27:55Z</dcterms:modified>
</cp:coreProperties>
</file>