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1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Pursuant to Section 13 or 15(d) of the Securities Exchange Act of 1934</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Date of Report (Date of earliest event reported): October 20, 2015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20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740" w:space="720"/>
            <w:col w:w="2980" w:space="720"/>
            <w:col w:w="2220"/>
          </w:cols>
          <w:pgMar w:left="240" w:top="368" w:right="27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340"/>
          </w:cols>
          <w:pgMar w:left="240" w:top="368" w:right="279" w:bottom="1440" w:gutter="0" w:footer="0" w:header="0"/>
          <w:type w:val="continuous"/>
        </w:sectPr>
      </w:pPr>
    </w:p>
    <w:p>
      <w:pPr>
        <w:spacing w:after="0" w:line="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203835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4.01 Changes in Registrant’s Certifying Accountant.</w:t>
      </w:r>
    </w:p>
    <w:p>
      <w:pPr>
        <w:spacing w:after="0" w:line="162" w:lineRule="exact"/>
        <w:rPr>
          <w:sz w:val="20"/>
          <w:szCs w:val="20"/>
          <w:color w:val="auto"/>
        </w:rPr>
      </w:pPr>
    </w:p>
    <w:p>
      <w:pPr>
        <w:ind w:right="40" w:firstLine="8"/>
        <w:spacing w:after="0" w:line="264" w:lineRule="auto"/>
        <w:tabs>
          <w:tab w:leader="none" w:pos="245" w:val="left"/>
        </w:tabs>
        <w:numPr>
          <w:ilvl w:val="0"/>
          <w:numId w:val="2"/>
        </w:numPr>
        <w:rPr>
          <w:rFonts w:ascii="Arial" w:cs="Arial" w:eastAsia="Arial" w:hAnsi="Arial"/>
          <w:sz w:val="18"/>
          <w:szCs w:val="18"/>
          <w:color w:val="auto"/>
        </w:rPr>
      </w:pPr>
      <w:r>
        <w:rPr>
          <w:rFonts w:ascii="Arial" w:cs="Arial" w:eastAsia="Arial" w:hAnsi="Arial"/>
          <w:sz w:val="18"/>
          <w:szCs w:val="18"/>
          <w:color w:val="auto"/>
        </w:rPr>
        <w:t>On October 20, 2015, PricewaterhouseCoopers LLP (“PwC”) advised the Audit Committee of the Board of Directors (the “Audit Committee”) of Marvell Technology Group Ltd. (the “Company”) of PwC’s resignation as the Company’s independent registered public accounting firm, effective on that date. The Audit Committee did not request, recommend or approve the resignation of PwC.</w:t>
      </w:r>
    </w:p>
    <w:p>
      <w:pPr>
        <w:spacing w:after="0" w:line="181" w:lineRule="exact"/>
        <w:rPr>
          <w:sz w:val="20"/>
          <w:szCs w:val="20"/>
          <w:color w:val="auto"/>
        </w:rPr>
      </w:pPr>
    </w:p>
    <w:p>
      <w:pPr>
        <w:ind w:right="40" w:firstLine="456"/>
        <w:spacing w:after="0" w:line="342" w:lineRule="auto"/>
        <w:rPr>
          <w:sz w:val="20"/>
          <w:szCs w:val="20"/>
          <w:color w:val="auto"/>
        </w:rPr>
      </w:pPr>
      <w:r>
        <w:rPr>
          <w:rFonts w:ascii="Arial" w:cs="Arial" w:eastAsia="Arial" w:hAnsi="Arial"/>
          <w:sz w:val="16"/>
          <w:szCs w:val="16"/>
          <w:color w:val="auto"/>
        </w:rPr>
        <w:t>PwC’s audit reports on the Company’s consolidated financial statements as of and for the fiscal years ended January 31, 2015 and February 1, 2014 did not contain an adverse opinion or a disclaimer of opinion and were not qualified or modified as to uncertainty, audit scope or accounting principle.</w:t>
      </w:r>
    </w:p>
    <w:p>
      <w:pPr>
        <w:spacing w:after="0" w:line="124" w:lineRule="exact"/>
        <w:rPr>
          <w:sz w:val="20"/>
          <w:szCs w:val="20"/>
          <w:color w:val="auto"/>
        </w:rPr>
      </w:pPr>
    </w:p>
    <w:p>
      <w:pPr>
        <w:ind w:right="80" w:firstLine="456"/>
        <w:spacing w:after="0" w:line="279" w:lineRule="auto"/>
        <w:rPr>
          <w:sz w:val="20"/>
          <w:szCs w:val="20"/>
          <w:color w:val="auto"/>
        </w:rPr>
      </w:pPr>
      <w:r>
        <w:rPr>
          <w:rFonts w:ascii="Arial" w:cs="Arial" w:eastAsia="Arial" w:hAnsi="Arial"/>
          <w:sz w:val="17"/>
          <w:szCs w:val="17"/>
          <w:color w:val="auto"/>
        </w:rPr>
        <w:t>During the two most recent fiscal years and the subsequent interim period through the date of PwC’s resignation, there were (1) no disagreements with PwC on any matter of accounting principles or practices, financial statement disclosure, or auditing scope or procedure which, if not resolved to the satisfaction of PwC, would have caused PwC to make reference to the subject matter of the disagreements in its reports on the financial statements for such years and (2) no “reportable events” (as defined in Item 304(a)(1)(v) of Regulation S-K) except as described below.</w:t>
      </w:r>
    </w:p>
    <w:p>
      <w:pPr>
        <w:spacing w:after="0" w:line="171" w:lineRule="exact"/>
        <w:rPr>
          <w:sz w:val="20"/>
          <w:szCs w:val="20"/>
          <w:color w:val="auto"/>
        </w:rPr>
      </w:pPr>
    </w:p>
    <w:p>
      <w:pPr>
        <w:ind w:right="40" w:firstLine="456"/>
        <w:spacing w:after="0" w:line="255" w:lineRule="auto"/>
        <w:rPr>
          <w:sz w:val="20"/>
          <w:szCs w:val="20"/>
          <w:color w:val="auto"/>
        </w:rPr>
      </w:pPr>
      <w:r>
        <w:rPr>
          <w:rFonts w:ascii="Arial" w:cs="Arial" w:eastAsia="Arial" w:hAnsi="Arial"/>
          <w:sz w:val="18"/>
          <w:szCs w:val="18"/>
          <w:color w:val="auto"/>
        </w:rPr>
        <w:t>PwC has advised the Company that it would need to expand the scope of the 2016 audit in the following areas: (1) the Company’s entity level controls, including whether senior management’s operating style resulted in an open flow of information and communication to set an appropriate tone for an effective control environment, (2) the Company’s process and controls over establishment of significant and judgmental reserves, including reserves for litigation and royalties, (3) the Company’s process and controls over identification, communication and approval of related party transactions, including assignment of intellectual property rights and (4) the adequacy of financial reporting resources, including sufficient personnel with appropriate knowledge, expertise and training commensurate with the Company’s corporate structure and financial reporting requirements. Due to its resignation, PwC did not undertake to expand the scope of the audit.</w:t>
      </w:r>
    </w:p>
    <w:p>
      <w:pPr>
        <w:spacing w:after="0" w:line="189" w:lineRule="exact"/>
        <w:rPr>
          <w:sz w:val="20"/>
          <w:szCs w:val="20"/>
          <w:color w:val="auto"/>
        </w:rPr>
      </w:pPr>
    </w:p>
    <w:p>
      <w:pPr>
        <w:ind w:right="20" w:firstLine="456"/>
        <w:spacing w:after="0" w:line="277" w:lineRule="auto"/>
        <w:rPr>
          <w:sz w:val="20"/>
          <w:szCs w:val="20"/>
          <w:color w:val="auto"/>
        </w:rPr>
      </w:pPr>
      <w:r>
        <w:rPr>
          <w:rFonts w:ascii="Arial" w:cs="Arial" w:eastAsia="Arial" w:hAnsi="Arial"/>
          <w:sz w:val="18"/>
          <w:szCs w:val="18"/>
          <w:color w:val="auto"/>
        </w:rPr>
        <w:t>As of the date of this Form 8-K, PwC has not advised the Company that disclosures should be made or action should be taken to prevent future reliance on a previously issued audit report or completed interim review related to previously issued financial statements.</w:t>
      </w:r>
    </w:p>
    <w:p>
      <w:pPr>
        <w:spacing w:after="0" w:line="170" w:lineRule="exact"/>
        <w:rPr>
          <w:sz w:val="20"/>
          <w:szCs w:val="20"/>
          <w:color w:val="auto"/>
        </w:rPr>
      </w:pPr>
    </w:p>
    <w:p>
      <w:pPr>
        <w:ind w:right="260" w:firstLine="456"/>
        <w:spacing w:after="0" w:line="277" w:lineRule="auto"/>
        <w:rPr>
          <w:sz w:val="20"/>
          <w:szCs w:val="20"/>
          <w:color w:val="auto"/>
        </w:rPr>
      </w:pPr>
      <w:r>
        <w:rPr>
          <w:rFonts w:ascii="Arial" w:cs="Arial" w:eastAsia="Arial" w:hAnsi="Arial"/>
          <w:sz w:val="18"/>
          <w:szCs w:val="18"/>
          <w:color w:val="auto"/>
        </w:rPr>
        <w:t>PwC has discussed these matters with the Audit Committee. The Company has authorized PwC to respond fully to any inquiries from any successor accountant concerning such matters.</w:t>
      </w:r>
    </w:p>
    <w:p>
      <w:pPr>
        <w:spacing w:after="0" w:line="170" w:lineRule="exact"/>
        <w:rPr>
          <w:sz w:val="20"/>
          <w:szCs w:val="20"/>
          <w:color w:val="auto"/>
        </w:rPr>
      </w:pPr>
    </w:p>
    <w:p>
      <w:pPr>
        <w:ind w:right="320" w:firstLine="456"/>
        <w:spacing w:after="0" w:line="342" w:lineRule="auto"/>
        <w:rPr>
          <w:sz w:val="20"/>
          <w:szCs w:val="20"/>
          <w:color w:val="auto"/>
        </w:rPr>
      </w:pPr>
      <w:r>
        <w:rPr>
          <w:rFonts w:ascii="Arial" w:cs="Arial" w:eastAsia="Arial" w:hAnsi="Arial"/>
          <w:sz w:val="16"/>
          <w:szCs w:val="16"/>
          <w:color w:val="auto"/>
        </w:rPr>
        <w:t>The Company provided PwC with a copy of the disclosures it is making in this Current Report on Form 8-K (the “Report”) and requested that PwC furnish a letter addressed to the SEC stating whether or not it agrees with the above statements. Such letter is filed as Exhibit 16 to this report.</w:t>
      </w:r>
    </w:p>
    <w:p>
      <w:pPr>
        <w:spacing w:after="0" w:line="124" w:lineRule="exact"/>
        <w:rPr>
          <w:sz w:val="20"/>
          <w:szCs w:val="20"/>
          <w:color w:val="auto"/>
        </w:rPr>
      </w:pPr>
    </w:p>
    <w:p>
      <w:pPr>
        <w:jc w:val="both"/>
        <w:ind w:firstLine="8"/>
        <w:spacing w:after="0" w:line="312" w:lineRule="auto"/>
        <w:tabs>
          <w:tab w:leader="none" w:pos="255" w:val="left"/>
        </w:tabs>
        <w:numPr>
          <w:ilvl w:val="0"/>
          <w:numId w:val="3"/>
        </w:numPr>
        <w:rPr>
          <w:rFonts w:ascii="Arial" w:cs="Arial" w:eastAsia="Arial" w:hAnsi="Arial"/>
          <w:sz w:val="16"/>
          <w:szCs w:val="16"/>
          <w:color w:val="auto"/>
        </w:rPr>
      </w:pPr>
      <w:r>
        <w:rPr>
          <w:rFonts w:ascii="Arial" w:cs="Arial" w:eastAsia="Arial" w:hAnsi="Arial"/>
          <w:sz w:val="16"/>
          <w:szCs w:val="16"/>
          <w:color w:val="auto"/>
        </w:rPr>
        <w:t>The Company has begun a search process to identify a new independent registered public accounting firm. The Company will disclose its engagement of a new independent registered public accounting firm in accordance with SEC rules and regulations once the process has been completed. The Company intends to address the matters communicated by PwC regarding the scope of the 2016 audit in consultation with a new independent registered public accounting firm.</w:t>
      </w:r>
    </w:p>
    <w:p>
      <w:pPr>
        <w:spacing w:after="0" w:line="291"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9.01</w:t>
        <w:tab/>
        <w:t>FINANCIAL STATEMENTS AND EXHIBITS.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 Exhibits</w:t>
      </w:r>
    </w:p>
    <w:p>
      <w:pPr>
        <w:spacing w:after="0" w:line="248"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680" w:type="dxa"/>
            <w:vAlign w:val="bottom"/>
            <w:tcBorders>
              <w:bottom w:val="single" w:sz="8" w:color="auto"/>
            </w:tcBorders>
          </w:tcPr>
          <w:p>
            <w:pPr>
              <w:ind w:left="20"/>
              <w:spacing w:after="0"/>
              <w:rPr>
                <w:sz w:val="20"/>
                <w:szCs w:val="20"/>
                <w:color w:val="auto"/>
              </w:rPr>
            </w:pPr>
            <w:r>
              <w:rPr>
                <w:rFonts w:ascii="Arial" w:cs="Arial" w:eastAsia="Arial" w:hAnsi="Arial"/>
                <w:sz w:val="14"/>
                <w:szCs w:val="14"/>
                <w:b w:val="1"/>
                <w:bCs w:val="1"/>
                <w:color w:val="auto"/>
                <w:w w:val="92"/>
              </w:rPr>
              <w:t>Exhibit No</w:t>
            </w:r>
          </w:p>
        </w:tc>
        <w:tc>
          <w:tcPr>
            <w:tcW w:w="960" w:type="dxa"/>
            <w:vAlign w:val="bottom"/>
          </w:tcPr>
          <w:p>
            <w:pPr>
              <w:spacing w:after="0"/>
              <w:rPr>
                <w:sz w:val="14"/>
                <w:szCs w:val="14"/>
                <w:color w:val="auto"/>
              </w:rPr>
            </w:pPr>
          </w:p>
        </w:tc>
        <w:tc>
          <w:tcPr>
            <w:tcW w:w="72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0"/>
              </w:rPr>
              <w:t>Description</w:t>
            </w:r>
          </w:p>
        </w:tc>
        <w:tc>
          <w:tcPr>
            <w:tcW w:w="5360" w:type="dxa"/>
            <w:vAlign w:val="bottom"/>
          </w:tcPr>
          <w:p>
            <w:pPr>
              <w:spacing w:after="0"/>
              <w:rPr>
                <w:sz w:val="14"/>
                <w:szCs w:val="14"/>
                <w:color w:val="auto"/>
              </w:rPr>
            </w:pPr>
          </w:p>
        </w:tc>
      </w:tr>
      <w:tr>
        <w:trPr>
          <w:trHeight w:val="318"/>
        </w:trPr>
        <w:tc>
          <w:tcPr>
            <w:tcW w:w="680" w:type="dxa"/>
            <w:vAlign w:val="bottom"/>
          </w:tcPr>
          <w:p>
            <w:pPr>
              <w:spacing w:after="0"/>
              <w:rPr>
                <w:sz w:val="20"/>
                <w:szCs w:val="20"/>
                <w:color w:val="auto"/>
              </w:rPr>
            </w:pPr>
            <w:r>
              <w:rPr>
                <w:rFonts w:ascii="Arial" w:cs="Arial" w:eastAsia="Arial" w:hAnsi="Arial"/>
                <w:sz w:val="18"/>
                <w:szCs w:val="18"/>
                <w:color w:val="auto"/>
              </w:rPr>
              <w:t>16</w:t>
            </w:r>
          </w:p>
        </w:tc>
        <w:tc>
          <w:tcPr>
            <w:tcW w:w="960" w:type="dxa"/>
            <w:vAlign w:val="bottom"/>
          </w:tcPr>
          <w:p>
            <w:pPr>
              <w:spacing w:after="0"/>
              <w:rPr>
                <w:sz w:val="24"/>
                <w:szCs w:val="24"/>
                <w:color w:val="auto"/>
              </w:rPr>
            </w:pPr>
          </w:p>
        </w:tc>
        <w:tc>
          <w:tcPr>
            <w:tcW w:w="6080" w:type="dxa"/>
            <w:vAlign w:val="bottom"/>
            <w:gridSpan w:val="2"/>
          </w:tcPr>
          <w:p>
            <w:pPr>
              <w:spacing w:after="0"/>
              <w:rPr>
                <w:sz w:val="20"/>
                <w:szCs w:val="20"/>
                <w:color w:val="auto"/>
              </w:rPr>
            </w:pPr>
            <w:r>
              <w:rPr>
                <w:rFonts w:ascii="Arial" w:cs="Arial" w:eastAsia="Arial" w:hAnsi="Arial"/>
                <w:sz w:val="18"/>
                <w:szCs w:val="18"/>
                <w:color w:val="auto"/>
                <w:w w:val="90"/>
              </w:rPr>
              <w:t>Letter from PricewaterhouseCoopers Ltd. regarding change in certifying accountant.</w:t>
            </w:r>
          </w:p>
        </w:tc>
      </w:tr>
      <w:tr>
        <w:trPr>
          <w:trHeight w:val="365"/>
        </w:trPr>
        <w:tc>
          <w:tcPr>
            <w:tcW w:w="680" w:type="dxa"/>
            <w:vAlign w:val="bottom"/>
          </w:tcPr>
          <w:p>
            <w:pPr>
              <w:spacing w:after="0"/>
              <w:rPr>
                <w:sz w:val="24"/>
                <w:szCs w:val="24"/>
                <w:color w:val="auto"/>
              </w:rPr>
            </w:pPr>
          </w:p>
        </w:tc>
        <w:tc>
          <w:tcPr>
            <w:tcW w:w="7040" w:type="dxa"/>
            <w:vAlign w:val="bottom"/>
            <w:gridSpan w:val="3"/>
          </w:tcPr>
          <w:p>
            <w:pPr>
              <w:jc w:val="right"/>
              <w:ind w:right="1960"/>
              <w:spacing w:after="0"/>
              <w:rPr>
                <w:sz w:val="20"/>
                <w:szCs w:val="20"/>
                <w:color w:val="auto"/>
              </w:rPr>
            </w:pPr>
            <w:r>
              <w:rPr>
                <w:rFonts w:ascii="Arial" w:cs="Arial" w:eastAsia="Arial" w:hAnsi="Arial"/>
                <w:sz w:val="18"/>
                <w:szCs w:val="18"/>
                <w:color w:val="auto"/>
              </w:rPr>
              <w:t>2</w:t>
            </w:r>
          </w:p>
        </w:tc>
      </w:tr>
    </w:tbl>
    <w:p>
      <w:pPr>
        <w:sectPr>
          <w:pgSz w:w="11900" w:h="16838" w:orient="portrait"/>
          <w:cols w:equalWidth="0" w:num="1">
            <w:col w:w="11400"/>
          </w:cols>
          <w:pgMar w:left="240" w:top="270" w:right="25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October 26, 2015</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David Eichler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14605</wp:posOffset>
            </wp:positionV>
            <wp:extent cx="265874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David Eichler</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Interim Chief Financial Officer</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0" w:right="239" w:bottom="1440" w:gutter="0" w:footer="0" w:header="0"/>
        </w:sectPr>
      </w:pPr>
    </w:p>
    <w:bookmarkStart w:id="3" w:name="page4"/>
    <w:bookmarkEnd w:id="3"/>
    <w:tbl>
      <w:tblPr>
        <w:tblLayout w:type="fixed"/>
        <w:tblInd w:w="0" w:type="dxa"/>
        <w:tblCellMar>
          <w:top w:w="0" w:type="dxa"/>
          <w:left w:w="0" w:type="dxa"/>
          <w:bottom w:w="0" w:type="dxa"/>
          <w:right w:w="0" w:type="dxa"/>
        </w:tblCellMar>
      </w:tblPr>
      <w:tr>
        <w:trPr>
          <w:trHeight w:val="234"/>
        </w:trPr>
        <w:tc>
          <w:tcPr>
            <w:tcW w:w="68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360" w:type="dxa"/>
            <w:vAlign w:val="bottom"/>
          </w:tcPr>
          <w:p>
            <w:pPr>
              <w:ind w:left="2660"/>
              <w:spacing w:after="0"/>
              <w:rPr>
                <w:sz w:val="20"/>
                <w:szCs w:val="20"/>
                <w:color w:val="auto"/>
              </w:rPr>
            </w:pPr>
            <w:r>
              <w:rPr>
                <w:rFonts w:ascii="Arial" w:cs="Arial" w:eastAsia="Arial" w:hAnsi="Arial"/>
                <w:sz w:val="18"/>
                <w:szCs w:val="18"/>
                <w:b w:val="1"/>
                <w:bCs w:val="1"/>
                <w:color w:val="auto"/>
              </w:rPr>
              <w:t>EXHIBIT INDEX</w:t>
            </w:r>
          </w:p>
        </w:tc>
      </w:tr>
      <w:tr>
        <w:trPr>
          <w:trHeight w:val="392"/>
        </w:trPr>
        <w:tc>
          <w:tcPr>
            <w:tcW w:w="680" w:type="dxa"/>
            <w:vAlign w:val="bottom"/>
            <w:tcBorders>
              <w:bottom w:val="single" w:sz="8" w:color="auto"/>
            </w:tcBorders>
          </w:tcPr>
          <w:p>
            <w:pPr>
              <w:ind w:left="20"/>
              <w:spacing w:after="0"/>
              <w:rPr>
                <w:sz w:val="20"/>
                <w:szCs w:val="20"/>
                <w:color w:val="auto"/>
              </w:rPr>
            </w:pPr>
            <w:r>
              <w:rPr>
                <w:rFonts w:ascii="Arial" w:cs="Arial" w:eastAsia="Arial" w:hAnsi="Arial"/>
                <w:sz w:val="14"/>
                <w:szCs w:val="14"/>
                <w:b w:val="1"/>
                <w:bCs w:val="1"/>
                <w:color w:val="auto"/>
                <w:w w:val="92"/>
              </w:rPr>
              <w:t>Exhibit No</w:t>
            </w:r>
          </w:p>
        </w:tc>
        <w:tc>
          <w:tcPr>
            <w:tcW w:w="960" w:type="dxa"/>
            <w:vAlign w:val="bottom"/>
          </w:tcPr>
          <w:p>
            <w:pPr>
              <w:spacing w:after="0"/>
              <w:rPr>
                <w:sz w:val="24"/>
                <w:szCs w:val="24"/>
                <w:color w:val="auto"/>
              </w:rPr>
            </w:pPr>
          </w:p>
        </w:tc>
        <w:tc>
          <w:tcPr>
            <w:tcW w:w="72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0"/>
              </w:rPr>
              <w:t>Description</w:t>
            </w:r>
          </w:p>
        </w:tc>
        <w:tc>
          <w:tcPr>
            <w:tcW w:w="5360" w:type="dxa"/>
            <w:vAlign w:val="bottom"/>
          </w:tcPr>
          <w:p>
            <w:pPr>
              <w:spacing w:after="0"/>
              <w:rPr>
                <w:sz w:val="24"/>
                <w:szCs w:val="24"/>
                <w:color w:val="auto"/>
              </w:rPr>
            </w:pPr>
          </w:p>
        </w:tc>
      </w:tr>
      <w:tr>
        <w:trPr>
          <w:trHeight w:val="318"/>
        </w:trPr>
        <w:tc>
          <w:tcPr>
            <w:tcW w:w="680" w:type="dxa"/>
            <w:vAlign w:val="bottom"/>
          </w:tcPr>
          <w:p>
            <w:pPr>
              <w:spacing w:after="0"/>
              <w:rPr>
                <w:sz w:val="20"/>
                <w:szCs w:val="20"/>
                <w:color w:val="auto"/>
              </w:rPr>
            </w:pPr>
            <w:r>
              <w:rPr>
                <w:rFonts w:ascii="Arial" w:cs="Arial" w:eastAsia="Arial" w:hAnsi="Arial"/>
                <w:sz w:val="18"/>
                <w:szCs w:val="18"/>
                <w:color w:val="auto"/>
              </w:rPr>
              <w:t>16</w:t>
            </w:r>
          </w:p>
        </w:tc>
        <w:tc>
          <w:tcPr>
            <w:tcW w:w="960" w:type="dxa"/>
            <w:vAlign w:val="bottom"/>
          </w:tcPr>
          <w:p>
            <w:pPr>
              <w:spacing w:after="0"/>
              <w:rPr>
                <w:sz w:val="24"/>
                <w:szCs w:val="24"/>
                <w:color w:val="auto"/>
              </w:rPr>
            </w:pPr>
          </w:p>
        </w:tc>
        <w:tc>
          <w:tcPr>
            <w:tcW w:w="6080" w:type="dxa"/>
            <w:vAlign w:val="bottom"/>
            <w:gridSpan w:val="2"/>
          </w:tcPr>
          <w:p>
            <w:pPr>
              <w:spacing w:after="0"/>
              <w:rPr>
                <w:sz w:val="20"/>
                <w:szCs w:val="20"/>
                <w:color w:val="auto"/>
              </w:rPr>
            </w:pPr>
            <w:r>
              <w:rPr>
                <w:rFonts w:ascii="Arial" w:cs="Arial" w:eastAsia="Arial" w:hAnsi="Arial"/>
                <w:sz w:val="18"/>
                <w:szCs w:val="18"/>
                <w:color w:val="auto"/>
                <w:w w:val="90"/>
              </w:rPr>
              <w:t>Letter from PricewaterhouseCoopers Ltd. regarding change in certifying accountant.</w:t>
            </w:r>
          </w:p>
        </w:tc>
      </w:tr>
    </w:tbl>
    <w:p>
      <w:pPr>
        <w:spacing w:after="0"/>
        <w:rPr>
          <w:sz w:val="20"/>
          <w:szCs w:val="20"/>
          <w:color w:val="auto"/>
        </w:rPr>
        <w:sectPr>
          <w:pgSz w:w="11900" w:h="16838" w:orient="portrait"/>
          <w:cols w:equalWidth="0" w:num="1">
            <w:col w:w="10219"/>
          </w:cols>
          <w:pgMar w:left="240" w:top="270" w:right="1440" w:bottom="1440" w:gutter="0" w:footer="0" w:header="0"/>
        </w:sect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16</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[PwC Letterhead]</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Securities and Exchange Commission</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100 F Street, N.E.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Washington, DC 20549</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USA</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October 26, 2015</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Commissioners:</w:t>
      </w:r>
    </w:p>
    <w:p>
      <w:pPr>
        <w:spacing w:after="0" w:line="117" w:lineRule="exact"/>
        <w:rPr>
          <w:sz w:val="20"/>
          <w:szCs w:val="20"/>
          <w:color w:val="auto"/>
        </w:rPr>
      </w:pPr>
    </w:p>
    <w:p>
      <w:pPr>
        <w:ind w:left="460" w:right="320"/>
        <w:spacing w:after="0" w:line="264" w:lineRule="auto"/>
        <w:rPr>
          <w:sz w:val="20"/>
          <w:szCs w:val="20"/>
          <w:color w:val="auto"/>
        </w:rPr>
      </w:pPr>
      <w:r>
        <w:rPr>
          <w:rFonts w:ascii="Arial" w:cs="Arial" w:eastAsia="Arial" w:hAnsi="Arial"/>
          <w:sz w:val="18"/>
          <w:szCs w:val="18"/>
          <w:color w:val="auto"/>
        </w:rPr>
        <w:t>We have read the statements made by Marvell Technology Group Ltd. (copy attached), which we understand will be filed with the Securities and Exchange Commission, pursuant to Item 4.01 of Form 8-K, as part of the Form 8-K of Marvell Technology Group Ltd. dated October 20, 2015. We agree with the statements concerning our Firm in such Form 8-K.</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Very truly yours,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 PricewaterhouseCoopers LLP</w:t>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6334873"/>
    <w:multiLevelType w:val="hybridMultilevel"/>
    <w:lvl w:ilvl="0">
      <w:lvlJc w:val="left"/>
      <w:lvlText w:val="☐"/>
      <w:numFmt w:val="bullet"/>
      <w:start w:val="1"/>
    </w:lvl>
  </w:abstractNum>
  <w:abstractNum w:abstractNumId="1">
    <w:nsid w:val="74B0DC51"/>
    <w:multiLevelType w:val="hybridMultilevel"/>
    <w:lvl w:ilvl="0">
      <w:lvlJc w:val="left"/>
      <w:lvlText w:val="(%1)"/>
      <w:numFmt w:val="lowerLetter"/>
      <w:start w:val="1"/>
    </w:lvl>
  </w:abstractNum>
  <w:abstractNum w:abstractNumId="2">
    <w:nsid w:val="19495CFF"/>
    <w:multiLevelType w:val="hybridMultilevel"/>
    <w:lvl w:ilvl="0">
      <w:lvlJc w:val="left"/>
      <w:lvlText w:val="(%1)"/>
      <w:numFmt w:val="lowerLetter"/>
      <w:start w:val="2"/>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2019-12-07T03:17:20Z</dcterms:created>
  <dcterms:modified xsi:type="dcterms:W3CDTF">2019-12-07T03:17:20Z</dcterms:modified>
</cp:coreProperties>
</file>