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255270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5"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21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Date of Report (Date of earliest event reported): December 7,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240665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280" w:type="dxa"/>
            <w:vAlign w:val="bottom"/>
          </w:tcPr>
          <w:p>
            <w:pPr>
              <w:jc w:val="center"/>
              <w:ind w:right="402"/>
              <w:spacing w:after="0"/>
              <w:rPr>
                <w:sz w:val="20"/>
                <w:szCs w:val="20"/>
                <w:color w:val="auto"/>
              </w:rPr>
            </w:pPr>
            <w:r>
              <w:rPr>
                <w:rFonts w:ascii="Arial" w:cs="Arial" w:eastAsia="Arial" w:hAnsi="Arial"/>
                <w:sz w:val="18"/>
                <w:szCs w:val="18"/>
                <w:b w:val="1"/>
                <w:bCs w:val="1"/>
                <w:color w:val="auto"/>
                <w:w w:val="92"/>
              </w:rPr>
              <w:t>Bermuda</w:t>
            </w:r>
          </w:p>
        </w:tc>
        <w:tc>
          <w:tcPr>
            <w:tcW w:w="5020" w:type="dxa"/>
            <w:vAlign w:val="bottom"/>
          </w:tcPr>
          <w:p>
            <w:pPr>
              <w:jc w:val="right"/>
              <w:ind w:right="2017"/>
              <w:spacing w:after="0"/>
              <w:rPr>
                <w:sz w:val="20"/>
                <w:szCs w:val="20"/>
                <w:color w:val="auto"/>
              </w:rPr>
            </w:pPr>
            <w:r>
              <w:rPr>
                <w:rFonts w:ascii="Arial" w:cs="Arial" w:eastAsia="Arial" w:hAnsi="Arial"/>
                <w:sz w:val="18"/>
                <w:szCs w:val="18"/>
                <w:b w:val="1"/>
                <w:bCs w:val="1"/>
                <w:color w:val="auto"/>
              </w:rPr>
              <w:t>000-30877</w:t>
            </w:r>
          </w:p>
        </w:tc>
        <w:tc>
          <w:tcPr>
            <w:tcW w:w="1820" w:type="dxa"/>
            <w:vAlign w:val="bottom"/>
          </w:tcPr>
          <w:p>
            <w:pPr>
              <w:jc w:val="center"/>
              <w:ind w:left="622"/>
              <w:spacing w:after="0"/>
              <w:rPr>
                <w:sz w:val="20"/>
                <w:szCs w:val="20"/>
                <w:color w:val="auto"/>
              </w:rPr>
            </w:pPr>
            <w:r>
              <w:rPr>
                <w:rFonts w:ascii="Arial" w:cs="Arial" w:eastAsia="Arial" w:hAnsi="Arial"/>
                <w:sz w:val="18"/>
                <w:szCs w:val="18"/>
                <w:b w:val="1"/>
                <w:bCs w:val="1"/>
                <w:color w:val="auto"/>
                <w:w w:val="91"/>
              </w:rPr>
              <w:t>77-0481679</w:t>
            </w:r>
          </w:p>
        </w:tc>
        <w:tc>
          <w:tcPr>
            <w:tcW w:w="0" w:type="dxa"/>
            <w:vAlign w:val="bottom"/>
          </w:tcPr>
          <w:p>
            <w:pPr>
              <w:spacing w:after="0"/>
              <w:rPr>
                <w:sz w:val="1"/>
                <w:szCs w:val="1"/>
                <w:color w:val="auto"/>
              </w:rPr>
            </w:pPr>
          </w:p>
        </w:tc>
      </w:tr>
      <w:tr>
        <w:trPr>
          <w:trHeight w:val="149"/>
        </w:trPr>
        <w:tc>
          <w:tcPr>
            <w:tcW w:w="2280" w:type="dxa"/>
            <w:vAlign w:val="bottom"/>
          </w:tcPr>
          <w:p>
            <w:pPr>
              <w:jc w:val="center"/>
              <w:ind w:right="40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50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(Commission File Number)</w:t>
            </w:r>
          </w:p>
        </w:tc>
        <w:tc>
          <w:tcPr>
            <w:tcW w:w="1820" w:type="dxa"/>
            <w:vAlign w:val="bottom"/>
          </w:tcPr>
          <w:p>
            <w:pPr>
              <w:jc w:val="center"/>
              <w:ind w:left="622"/>
              <w:spacing w:after="0" w:line="149" w:lineRule="exact"/>
              <w:rPr>
                <w:sz w:val="20"/>
                <w:szCs w:val="20"/>
                <w:color w:val="auto"/>
              </w:rPr>
            </w:pPr>
            <w:r>
              <w:rPr>
                <w:rFonts w:ascii="Arial" w:cs="Arial" w:eastAsia="Arial" w:hAnsi="Arial"/>
                <w:sz w:val="14"/>
                <w:szCs w:val="14"/>
                <w:b w:val="1"/>
                <w:bCs w:val="1"/>
                <w:color w:val="auto"/>
                <w:w w:val="96"/>
              </w:rPr>
              <w:t>(I.R.S. Employer</w:t>
            </w:r>
          </w:p>
        </w:tc>
        <w:tc>
          <w:tcPr>
            <w:tcW w:w="0" w:type="dxa"/>
            <w:vAlign w:val="bottom"/>
          </w:tcPr>
          <w:p>
            <w:pPr>
              <w:spacing w:after="0"/>
              <w:rPr>
                <w:sz w:val="1"/>
                <w:szCs w:val="1"/>
                <w:color w:val="auto"/>
              </w:rPr>
            </w:pPr>
          </w:p>
        </w:tc>
      </w:tr>
      <w:tr>
        <w:trPr>
          <w:trHeight w:val="186"/>
        </w:trPr>
        <w:tc>
          <w:tcPr>
            <w:tcW w:w="2280" w:type="dxa"/>
            <w:vAlign w:val="bottom"/>
          </w:tcPr>
          <w:p>
            <w:pPr>
              <w:jc w:val="center"/>
              <w:ind w:right="382"/>
              <w:spacing w:after="0"/>
              <w:rPr>
                <w:sz w:val="20"/>
                <w:szCs w:val="20"/>
                <w:color w:val="auto"/>
              </w:rPr>
            </w:pPr>
            <w:r>
              <w:rPr>
                <w:rFonts w:ascii="Arial" w:cs="Arial" w:eastAsia="Arial" w:hAnsi="Arial"/>
                <w:sz w:val="14"/>
                <w:szCs w:val="14"/>
                <w:b w:val="1"/>
                <w:bCs w:val="1"/>
                <w:color w:val="auto"/>
                <w:w w:val="94"/>
              </w:rPr>
              <w:t>incorporation)</w:t>
            </w:r>
          </w:p>
        </w:tc>
        <w:tc>
          <w:tcPr>
            <w:tcW w:w="5020" w:type="dxa"/>
            <w:vAlign w:val="bottom"/>
            <w:vMerge w:val="restart"/>
          </w:tcPr>
          <w:p>
            <w:pPr>
              <w:jc w:val="center"/>
              <w:ind w:right="157"/>
              <w:spacing w:after="0"/>
              <w:rPr>
                <w:sz w:val="20"/>
                <w:szCs w:val="20"/>
                <w:color w:val="auto"/>
              </w:rPr>
            </w:pPr>
            <w:r>
              <w:rPr>
                <w:rFonts w:ascii="Arial" w:cs="Arial" w:eastAsia="Arial" w:hAnsi="Arial"/>
                <w:sz w:val="18"/>
                <w:szCs w:val="18"/>
                <w:b w:val="1"/>
                <w:bCs w:val="1"/>
                <w:color w:val="auto"/>
                <w:w w:val="91"/>
              </w:rPr>
              <w:t>Canon’s Court</w:t>
            </w:r>
          </w:p>
        </w:tc>
        <w:tc>
          <w:tcPr>
            <w:tcW w:w="1820" w:type="dxa"/>
            <w:vAlign w:val="bottom"/>
          </w:tcPr>
          <w:p>
            <w:pPr>
              <w:jc w:val="center"/>
              <w:ind w:left="622"/>
              <w:spacing w:after="0"/>
              <w:rPr>
                <w:sz w:val="20"/>
                <w:szCs w:val="20"/>
                <w:color w:val="auto"/>
              </w:rPr>
            </w:pPr>
            <w:r>
              <w:rPr>
                <w:rFonts w:ascii="Arial" w:cs="Arial" w:eastAsia="Arial" w:hAnsi="Arial"/>
                <w:sz w:val="14"/>
                <w:szCs w:val="14"/>
                <w:b w:val="1"/>
                <w:bCs w:val="1"/>
                <w:color w:val="auto"/>
                <w:w w:val="94"/>
              </w:rPr>
              <w:t>Identification No.)</w:t>
            </w:r>
          </w:p>
        </w:tc>
        <w:tc>
          <w:tcPr>
            <w:tcW w:w="0" w:type="dxa"/>
            <w:vAlign w:val="bottom"/>
          </w:tcPr>
          <w:p>
            <w:pPr>
              <w:spacing w:after="0"/>
              <w:rPr>
                <w:sz w:val="1"/>
                <w:szCs w:val="1"/>
                <w:color w:val="auto"/>
              </w:rPr>
            </w:pPr>
          </w:p>
        </w:tc>
      </w:tr>
      <w:tr>
        <w:trPr>
          <w:trHeight w:val="196"/>
        </w:trPr>
        <w:tc>
          <w:tcPr>
            <w:tcW w:w="2280" w:type="dxa"/>
            <w:vAlign w:val="bottom"/>
          </w:tcPr>
          <w:p>
            <w:pPr>
              <w:spacing w:after="0"/>
              <w:rPr>
                <w:sz w:val="17"/>
                <w:szCs w:val="17"/>
                <w:color w:val="auto"/>
              </w:rPr>
            </w:pPr>
          </w:p>
        </w:tc>
        <w:tc>
          <w:tcPr>
            <w:tcW w:w="5020" w:type="dxa"/>
            <w:vAlign w:val="bottom"/>
            <w:vMerge w:val="continue"/>
          </w:tcPr>
          <w:p>
            <w:pPr>
              <w:spacing w:after="0"/>
              <w:rPr>
                <w:sz w:val="17"/>
                <w:szCs w:val="17"/>
                <w:color w:val="auto"/>
              </w:rPr>
            </w:pPr>
          </w:p>
        </w:tc>
        <w:tc>
          <w:tcPr>
            <w:tcW w:w="18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280" w:type="dxa"/>
            <w:vAlign w:val="bottom"/>
          </w:tcPr>
          <w:p>
            <w:pPr>
              <w:spacing w:after="0"/>
              <w:rPr>
                <w:sz w:val="18"/>
                <w:szCs w:val="18"/>
                <w:color w:val="auto"/>
              </w:rPr>
            </w:pPr>
          </w:p>
        </w:tc>
        <w:tc>
          <w:tcPr>
            <w:tcW w:w="5020" w:type="dxa"/>
            <w:vAlign w:val="bottom"/>
          </w:tcPr>
          <w:p>
            <w:pPr>
              <w:jc w:val="center"/>
              <w:ind w:right="157"/>
              <w:spacing w:after="0"/>
              <w:rPr>
                <w:sz w:val="20"/>
                <w:szCs w:val="20"/>
                <w:color w:val="auto"/>
              </w:rPr>
            </w:pPr>
            <w:r>
              <w:rPr>
                <w:rFonts w:ascii="Arial" w:cs="Arial" w:eastAsia="Arial" w:hAnsi="Arial"/>
                <w:sz w:val="18"/>
                <w:szCs w:val="18"/>
                <w:b w:val="1"/>
                <w:bCs w:val="1"/>
                <w:color w:val="auto"/>
                <w:w w:val="91"/>
              </w:rPr>
              <w:t>22 Victoria Street</w:t>
            </w: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80" w:type="dxa"/>
            <w:vAlign w:val="bottom"/>
          </w:tcPr>
          <w:p>
            <w:pPr>
              <w:spacing w:after="0"/>
              <w:rPr>
                <w:sz w:val="18"/>
                <w:szCs w:val="18"/>
                <w:color w:val="auto"/>
              </w:rPr>
            </w:pPr>
          </w:p>
        </w:tc>
        <w:tc>
          <w:tcPr>
            <w:tcW w:w="5020" w:type="dxa"/>
            <w:vAlign w:val="bottom"/>
          </w:tcPr>
          <w:p>
            <w:pPr>
              <w:jc w:val="center"/>
              <w:ind w:right="157"/>
              <w:spacing w:after="0"/>
              <w:rPr>
                <w:sz w:val="20"/>
                <w:szCs w:val="20"/>
                <w:color w:val="auto"/>
              </w:rPr>
            </w:pPr>
            <w:r>
              <w:rPr>
                <w:rFonts w:ascii="Arial" w:cs="Arial" w:eastAsia="Arial" w:hAnsi="Arial"/>
                <w:sz w:val="18"/>
                <w:szCs w:val="18"/>
                <w:b w:val="1"/>
                <w:bCs w:val="1"/>
                <w:color w:val="auto"/>
                <w:w w:val="96"/>
              </w:rPr>
              <w:t>Hamilton HM 12</w:t>
            </w: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2280" w:type="dxa"/>
            <w:vAlign w:val="bottom"/>
          </w:tcPr>
          <w:p>
            <w:pPr>
              <w:spacing w:after="0"/>
              <w:rPr>
                <w:sz w:val="18"/>
                <w:szCs w:val="18"/>
                <w:color w:val="auto"/>
              </w:rPr>
            </w:pPr>
          </w:p>
        </w:tc>
        <w:tc>
          <w:tcPr>
            <w:tcW w:w="5020" w:type="dxa"/>
            <w:vAlign w:val="bottom"/>
          </w:tcPr>
          <w:p>
            <w:pPr>
              <w:jc w:val="center"/>
              <w:ind w:right="137"/>
              <w:spacing w:after="0"/>
              <w:rPr>
                <w:sz w:val="20"/>
                <w:szCs w:val="20"/>
                <w:color w:val="auto"/>
              </w:rPr>
            </w:pPr>
            <w:r>
              <w:rPr>
                <w:rFonts w:ascii="Arial" w:cs="Arial" w:eastAsia="Arial" w:hAnsi="Arial"/>
                <w:sz w:val="18"/>
                <w:szCs w:val="18"/>
                <w:b w:val="1"/>
                <w:bCs w:val="1"/>
                <w:color w:val="auto"/>
                <w:w w:val="92"/>
              </w:rPr>
              <w:t>Bermuda</w:t>
            </w:r>
          </w:p>
        </w:tc>
        <w:tc>
          <w:tcPr>
            <w:tcW w:w="1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6"/>
        </w:trPr>
        <w:tc>
          <w:tcPr>
            <w:tcW w:w="2280" w:type="dxa"/>
            <w:vAlign w:val="bottom"/>
          </w:tcPr>
          <w:p>
            <w:pPr>
              <w:spacing w:after="0"/>
              <w:rPr>
                <w:sz w:val="16"/>
                <w:szCs w:val="16"/>
                <w:color w:val="auto"/>
              </w:rPr>
            </w:pPr>
          </w:p>
        </w:tc>
        <w:tc>
          <w:tcPr>
            <w:tcW w:w="5020" w:type="dxa"/>
            <w:vAlign w:val="bottom"/>
          </w:tcPr>
          <w:p>
            <w:pPr>
              <w:jc w:val="center"/>
              <w:ind w:right="15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8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94"/>
        </w:trPr>
        <w:tc>
          <w:tcPr>
            <w:tcW w:w="2280" w:type="dxa"/>
            <w:vAlign w:val="bottom"/>
          </w:tcPr>
          <w:p>
            <w:pPr>
              <w:spacing w:after="0"/>
              <w:rPr>
                <w:sz w:val="24"/>
                <w:szCs w:val="24"/>
                <w:color w:val="auto"/>
              </w:rPr>
            </w:pPr>
          </w:p>
        </w:tc>
        <w:tc>
          <w:tcPr>
            <w:tcW w:w="5020" w:type="dxa"/>
            <w:vAlign w:val="bottom"/>
          </w:tcPr>
          <w:p>
            <w:pPr>
              <w:jc w:val="center"/>
              <w:ind w:right="137"/>
              <w:spacing w:after="0"/>
              <w:rPr>
                <w:sz w:val="20"/>
                <w:szCs w:val="20"/>
                <w:color w:val="auto"/>
              </w:rPr>
            </w:pPr>
            <w:r>
              <w:rPr>
                <w:rFonts w:ascii="Arial" w:cs="Arial" w:eastAsia="Arial" w:hAnsi="Arial"/>
                <w:sz w:val="18"/>
                <w:szCs w:val="18"/>
                <w:b w:val="1"/>
                <w:bCs w:val="1"/>
                <w:color w:val="auto"/>
                <w:w w:val="90"/>
              </w:rPr>
              <w:t>(441) 296-6395</w:t>
            </w:r>
          </w:p>
        </w:tc>
        <w:tc>
          <w:tcPr>
            <w:tcW w:w="1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6"/>
        </w:trPr>
        <w:tc>
          <w:tcPr>
            <w:tcW w:w="2280" w:type="dxa"/>
            <w:vAlign w:val="bottom"/>
          </w:tcPr>
          <w:p>
            <w:pPr>
              <w:spacing w:after="0"/>
              <w:rPr>
                <w:sz w:val="16"/>
                <w:szCs w:val="16"/>
                <w:color w:val="auto"/>
              </w:rPr>
            </w:pPr>
          </w:p>
        </w:tc>
        <w:tc>
          <w:tcPr>
            <w:tcW w:w="5020" w:type="dxa"/>
            <w:vAlign w:val="bottom"/>
          </w:tcPr>
          <w:p>
            <w:pPr>
              <w:jc w:val="center"/>
              <w:ind w:right="15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94"/>
        </w:trPr>
        <w:tc>
          <w:tcPr>
            <w:tcW w:w="2280" w:type="dxa"/>
            <w:vAlign w:val="bottom"/>
          </w:tcPr>
          <w:p>
            <w:pPr>
              <w:spacing w:after="0"/>
              <w:rPr>
                <w:sz w:val="24"/>
                <w:szCs w:val="24"/>
                <w:color w:val="auto"/>
              </w:rPr>
            </w:pPr>
          </w:p>
        </w:tc>
        <w:tc>
          <w:tcPr>
            <w:tcW w:w="5020" w:type="dxa"/>
            <w:vAlign w:val="bottom"/>
          </w:tcPr>
          <w:p>
            <w:pPr>
              <w:jc w:val="center"/>
              <w:ind w:right="157"/>
              <w:spacing w:after="0"/>
              <w:rPr>
                <w:sz w:val="20"/>
                <w:szCs w:val="20"/>
                <w:color w:val="auto"/>
              </w:rPr>
            </w:pPr>
            <w:r>
              <w:rPr>
                <w:rFonts w:ascii="Arial" w:cs="Arial" w:eastAsia="Arial" w:hAnsi="Arial"/>
                <w:sz w:val="18"/>
                <w:szCs w:val="18"/>
                <w:b w:val="1"/>
                <w:bCs w:val="1"/>
                <w:color w:val="auto"/>
                <w:w w:val="96"/>
              </w:rPr>
              <w:t>N/A</w:t>
            </w:r>
          </w:p>
        </w:tc>
        <w:tc>
          <w:tcPr>
            <w:tcW w:w="18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6"/>
        </w:trPr>
        <w:tc>
          <w:tcPr>
            <w:tcW w:w="2280" w:type="dxa"/>
            <w:vAlign w:val="bottom"/>
          </w:tcPr>
          <w:p>
            <w:pPr>
              <w:spacing w:after="0"/>
              <w:rPr>
                <w:sz w:val="16"/>
                <w:szCs w:val="16"/>
                <w:color w:val="auto"/>
              </w:rPr>
            </w:pPr>
          </w:p>
        </w:tc>
        <w:tc>
          <w:tcPr>
            <w:tcW w:w="5020" w:type="dxa"/>
            <w:vAlign w:val="bottom"/>
          </w:tcPr>
          <w:p>
            <w:pPr>
              <w:jc w:val="center"/>
              <w:ind w:right="137"/>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82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213360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177800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517" w:right="279" w:bottom="1440" w:gutter="0" w:footer="0" w:header="0"/>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20" w:firstLine="456"/>
        <w:spacing w:after="0" w:line="308" w:lineRule="auto"/>
        <w:rPr>
          <w:sz w:val="20"/>
          <w:szCs w:val="20"/>
          <w:color w:val="auto"/>
        </w:rPr>
      </w:pPr>
      <w:r>
        <w:rPr>
          <w:rFonts w:ascii="Arial" w:cs="Arial" w:eastAsia="Arial" w:hAnsi="Arial"/>
          <w:sz w:val="17"/>
          <w:szCs w:val="17"/>
          <w:color w:val="auto"/>
        </w:rPr>
        <w:t>On December 7, 2015, Marvell Technology Group Ltd. (“Marvell”) issued a press release regarding its financial results for its third fiscal quarter ended October 31, 2015. A copy of the press release is filed herewith as Exhibit 99.1 and is incorporated by reference herein and to Item 8.01 below.</w:t>
      </w:r>
    </w:p>
    <w:p>
      <w:pPr>
        <w:spacing w:after="0" w:line="29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7"/>
          <w:szCs w:val="17"/>
          <w:color w:val="auto"/>
        </w:rPr>
        <w:t>Marvell today issued a press release to announce that it had declared the payment of its quarterly dividend of $0.06 per share to be paid on</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December 29, 2015 to all shareholders of record as of December 16, 2015. A copy of the press release is filed herewith as Exhibit 99.2 and is incorporated by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reference herein. The payment of future quarterly cash dividends is subject to, among other things, the best interests of its shareholders, its results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operations, cash balances and future cash requirements, financial condition, developments in ongoing litigation, statutory requirements of Bermuda law, and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other factors that the board of directors may deem relevant.</w:t>
      </w:r>
    </w:p>
    <w:p>
      <w:pPr>
        <w:spacing w:after="0" w:line="35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920"/>
        <w:spacing w:after="0"/>
        <w:tabs>
          <w:tab w:leader="none" w:pos="15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7, 2015</w:t>
      </w:r>
    </w:p>
    <w:p>
      <w:pPr>
        <w:spacing w:after="0" w:line="117" w:lineRule="exact"/>
        <w:rPr>
          <w:sz w:val="20"/>
          <w:szCs w:val="20"/>
          <w:color w:val="auto"/>
        </w:rPr>
      </w:pPr>
    </w:p>
    <w:p>
      <w:pPr>
        <w:ind w:left="920"/>
        <w:spacing w:after="0"/>
        <w:tabs>
          <w:tab w:leader="none" w:pos="150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5"/>
          <w:szCs w:val="15"/>
          <w:color w:val="auto"/>
        </w:rPr>
        <w:t>Press Release dated December 7, 2015</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7,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3560" w:type="dxa"/>
            <w:vAlign w:val="bottom"/>
            <w:gridSpan w:val="3"/>
          </w:tcPr>
          <w:p>
            <w:pPr>
              <w:ind w:left="78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3560" w:type="dxa"/>
            <w:vAlign w:val="bottom"/>
            <w:gridSpan w:val="3"/>
          </w:tcPr>
          <w:p>
            <w:pPr>
              <w:ind w:left="780"/>
              <w:spacing w:after="0"/>
              <w:rPr>
                <w:sz w:val="20"/>
                <w:szCs w:val="20"/>
                <w:color w:val="auto"/>
              </w:rPr>
            </w:pPr>
            <w:r>
              <w:rPr>
                <w:rFonts w:ascii="Arial" w:cs="Arial" w:eastAsia="Arial" w:hAnsi="Arial"/>
                <w:sz w:val="18"/>
                <w:szCs w:val="18"/>
                <w:color w:val="auto"/>
                <w:w w:val="86"/>
              </w:rPr>
              <w:t>Press Release dated December 7, 2015</w:t>
            </w:r>
          </w:p>
        </w:tc>
      </w:tr>
      <w:tr>
        <w:trPr>
          <w:trHeight w:val="324"/>
        </w:trPr>
        <w:tc>
          <w:tcPr>
            <w:tcW w:w="720" w:type="dxa"/>
            <w:vAlign w:val="bottom"/>
          </w:tcPr>
          <w:p>
            <w:pPr>
              <w:spacing w:after="0"/>
              <w:rPr>
                <w:sz w:val="20"/>
                <w:szCs w:val="20"/>
                <w:color w:val="auto"/>
              </w:rPr>
            </w:pPr>
            <w:r>
              <w:rPr>
                <w:rFonts w:ascii="Arial" w:cs="Arial" w:eastAsia="Arial" w:hAnsi="Arial"/>
                <w:sz w:val="18"/>
                <w:szCs w:val="18"/>
                <w:color w:val="auto"/>
              </w:rPr>
              <w:t>99.2</w:t>
            </w:r>
          </w:p>
        </w:tc>
        <w:tc>
          <w:tcPr>
            <w:tcW w:w="3560" w:type="dxa"/>
            <w:vAlign w:val="bottom"/>
            <w:gridSpan w:val="3"/>
          </w:tcPr>
          <w:p>
            <w:pPr>
              <w:ind w:left="780"/>
              <w:spacing w:after="0"/>
              <w:rPr>
                <w:sz w:val="20"/>
                <w:szCs w:val="20"/>
                <w:color w:val="auto"/>
              </w:rPr>
            </w:pPr>
            <w:r>
              <w:rPr>
                <w:rFonts w:ascii="Arial" w:cs="Arial" w:eastAsia="Arial" w:hAnsi="Arial"/>
                <w:sz w:val="18"/>
                <w:szCs w:val="18"/>
                <w:color w:val="auto"/>
                <w:w w:val="86"/>
              </w:rPr>
              <w:t>Press Release dated December 7, 2015</w:t>
            </w:r>
          </w:p>
        </w:tc>
      </w:tr>
    </w:tbl>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5527675</wp:posOffset>
            </wp:positionH>
            <wp:positionV relativeFrom="paragraph">
              <wp:posOffset>326390</wp:posOffset>
            </wp:positionV>
            <wp:extent cx="1724025" cy="2146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24025" cy="2146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Preliminary Third Quarter Fiscal</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Financial Results</w:t>
      </w:r>
    </w:p>
    <w:p>
      <w:pPr>
        <w:spacing w:after="0" w:line="207" w:lineRule="exact"/>
        <w:rPr>
          <w:sz w:val="20"/>
          <w:szCs w:val="20"/>
          <w:color w:val="auto"/>
        </w:rPr>
      </w:pPr>
    </w:p>
    <w:p>
      <w:pPr>
        <w:ind w:right="220"/>
        <w:spacing w:after="0" w:line="281" w:lineRule="auto"/>
        <w:rPr>
          <w:sz w:val="20"/>
          <w:szCs w:val="20"/>
          <w:color w:val="auto"/>
        </w:rPr>
      </w:pPr>
      <w:r>
        <w:rPr>
          <w:rFonts w:ascii="Arial" w:cs="Arial" w:eastAsia="Arial" w:hAnsi="Arial"/>
          <w:sz w:val="17"/>
          <w:szCs w:val="17"/>
          <w:b w:val="1"/>
          <w:bCs w:val="1"/>
          <w:color w:val="auto"/>
        </w:rPr>
        <w:t xml:space="preserve">Santa Clara, Calif. (December 7, 2015) </w:t>
      </w:r>
      <w:r>
        <w:rPr>
          <w:rFonts w:ascii="Arial" w:cs="Arial" w:eastAsia="Arial" w:hAnsi="Arial"/>
          <w:sz w:val="17"/>
          <w:szCs w:val="17"/>
          <w:color w:val="auto"/>
        </w:rPr>
        <w:t>— Marvell Technology Group Ltd. (NASDAQ: MRVL), a global leader in integrated silicon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reported preliminary financial results for the third quarter of fiscal 2016, ended October 31, 2015, and reported updated preliminary financial results for the second quarter of fiscal 2016, ended August 1, 2015. The preliminary financial information presented in this press release has not been reviewed by an independent registered public accounting firm. See “Financial Information Is Preliminary and May Be Subject to Change” below.</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Third Quarter of Fiscal 2016 Financial Highlights (Preliminary)</w:t>
      </w:r>
    </w:p>
    <w:p>
      <w:pPr>
        <w:spacing w:after="0" w:line="135"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Q3 FY 2016, $674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Net Loss: Q3 FY 2016, ($62)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Loss Per Share: Q3 FY 2016, ($0.12)</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Net Income: Q3 FY 2016, $28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EPS: Q3 FY 2016, $0.05</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Free Cash Flow: Q3 FY 2016, $54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Restructuring and other related charges of $46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ST Investments: $2.3 Billion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2016</w:t>
      </w:r>
    </w:p>
    <w:p>
      <w:pPr>
        <w:spacing w:after="0" w:line="121" w:lineRule="exact"/>
        <w:rPr>
          <w:sz w:val="20"/>
          <w:szCs w:val="20"/>
          <w:color w:val="auto"/>
        </w:rPr>
      </w:pPr>
    </w:p>
    <w:p>
      <w:pPr>
        <w:ind w:right="100"/>
        <w:spacing w:after="0" w:line="308" w:lineRule="auto"/>
        <w:rPr>
          <w:sz w:val="20"/>
          <w:szCs w:val="20"/>
          <w:color w:val="auto"/>
        </w:rPr>
      </w:pPr>
      <w:r>
        <w:rPr>
          <w:rFonts w:ascii="Arial" w:cs="Arial" w:eastAsia="Arial" w:hAnsi="Arial"/>
          <w:sz w:val="17"/>
          <w:szCs w:val="17"/>
          <w:color w:val="auto"/>
        </w:rPr>
        <w:t>Revenues for the third quarter of fiscal 2016 were $674 million, down approximately 5 percent from $711 million in the second quarter of fiscal 2016, ended August 1, 2015, and down approximately 28 percent from $930 million in the third quarter of fiscal 2015, ended November 1, 2014.</w:t>
      </w:r>
    </w:p>
    <w:p>
      <w:pPr>
        <w:sectPr>
          <w:pgSz w:w="11900" w:h="16838" w:orient="portrait"/>
          <w:cols w:equalWidth="0" w:num="1">
            <w:col w:w="11420"/>
          </w:cols>
          <w:pgMar w:left="240" w:top="121" w:right="239" w:bottom="1440" w:gutter="0" w:footer="0" w:header="0"/>
        </w:sectPr>
      </w:pPr>
    </w:p>
    <w:bookmarkStart w:id="5" w:name="page6"/>
    <w:bookmarkEnd w:id="5"/>
    <w:p>
      <w:pPr>
        <w:ind w:right="8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third quarter of fiscal 2016, storage revenue declined 16% sequentially reflecting lower demand from HDD customers but was offset slightly by better-than-expected SSD controller sales. Networking revenue in the third quarter of fiscal 2016 declined 8% sequentially reflecting continued weak demand for enterprise networking products while mobile and wireless revenue grew 15% sequentially on stronger smartphone demand, particularly in the low-end. We are restructuring the mobile business as it relates to mobile handsets only</w:t>
      </w:r>
      <w:r>
        <w:rPr>
          <w:rFonts w:ascii="Arial" w:cs="Arial" w:eastAsia="Arial" w:hAnsi="Arial"/>
          <w:sz w:val="16"/>
          <w:szCs w:val="16"/>
          <w:b w:val="1"/>
          <w:bCs w:val="1"/>
          <w:color w:val="auto"/>
        </w:rPr>
        <w:t>.</w:t>
      </w:r>
      <w:r>
        <w:rPr>
          <w:rFonts w:ascii="Arial" w:cs="Arial" w:eastAsia="Arial" w:hAnsi="Arial"/>
          <w:sz w:val="16"/>
          <w:szCs w:val="16"/>
          <w:color w:val="auto"/>
        </w:rPr>
        <w:t xml:space="preserve"> The Company anticipates mobile handset platform-related revenue to decline through fiscal year 2017 due to the restructuring actions announced on September 24, 2015. The Company is in the process of assessing which transactions should be considered as “pull-in” transactions for which revenue is properly recognized in a quarter but would have been expected to be received and earned in the subsequent quarter. This process includes continued assessment of the amount of revenue recognized in the second quarter of fiscal 2016 derived from pull-in transactions, which is subject to the Audit Committee’s investigation. Although the Company believes revenue attributable to “pull-ins” was properly recognized in the second and third quarters of fiscal 2016, the amount of “pull-ins” has had an impact on the revenue attributable to each such quarter.</w:t>
      </w:r>
    </w:p>
    <w:p>
      <w:pPr>
        <w:spacing w:after="0" w:line="167" w:lineRule="exact"/>
        <w:rPr>
          <w:sz w:val="20"/>
          <w:szCs w:val="20"/>
          <w:color w:val="auto"/>
        </w:rPr>
      </w:pPr>
    </w:p>
    <w:p>
      <w:pPr>
        <w:jc w:val="both"/>
        <w:ind w:right="100"/>
        <w:spacing w:after="0" w:line="264" w:lineRule="auto"/>
        <w:rPr>
          <w:sz w:val="20"/>
          <w:szCs w:val="20"/>
          <w:color w:val="auto"/>
        </w:rPr>
      </w:pPr>
      <w:r>
        <w:rPr>
          <w:rFonts w:ascii="Arial" w:cs="Arial" w:eastAsia="Arial" w:hAnsi="Arial"/>
          <w:sz w:val="18"/>
          <w:szCs w:val="18"/>
          <w:color w:val="auto"/>
        </w:rPr>
        <w:t>The U.S. GAAP net loss for the third quarter of fiscal 2016 was ($62) million, or ($0.12) loss per share compared with a GAAP net loss of ($403) million, or ($0.78) loss per share, for the second quarter of fiscal 2016, and GAAP net income of $115 million, or $0.22 per share (diluted), for the third quarter of fiscal 2015.</w:t>
      </w:r>
    </w:p>
    <w:p>
      <w:pPr>
        <w:spacing w:after="0" w:line="181"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Non-GAAP net income for the third quarter of fiscal 2016 was $28 million, or $0.05 per share (diluted), which included adjustments of approximately $90 million including: $46 million for restructuring related to the mobile handset platform business, $31 million for share-based compensation, $6 million for litigation reserves and approximately $6 million for other items. By comparison, non-GAAP net income for the second quarter of fiscal 2016 was $62 million, or $0.12 per share (diluted), which included adjustments of approximately $465 million including; $395 million for litigation reserves, $37 million for share-based compensation, $27 million in restructuring expense which includes a $14 million write-down of inventory related to the mobile handset platform business, and approximately $7 million for other items. Non-GAAP net income for the third quarter of fiscal 2015 was $155 million, or $0.29 per share (diluted), which included adjustments of approximately $40 million including; $34 million for share-based compensation and approximately $6 million for other items. Refer to the GAAP to Non-GAAP reconciliation table and related footnotes contained in this press release for more details.</w:t>
      </w:r>
    </w:p>
    <w:p>
      <w:pPr>
        <w:sectPr>
          <w:pgSz w:w="11900" w:h="16838" w:orient="portrait"/>
          <w:cols w:equalWidth="0" w:num="1">
            <w:col w:w="11420"/>
          </w:cols>
          <w:pgMar w:left="240" w:top="274" w:right="239" w:bottom="1440" w:gutter="0" w:footer="0" w:header="0"/>
        </w:sectPr>
      </w:pPr>
    </w:p>
    <w:bookmarkStart w:id="6" w:name="page7"/>
    <w:bookmarkEnd w:id="6"/>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October 31, 2015, August 1, 2015, and November 1, 2014 appear in the financial statements below. Non-GAAP net income, where applicable, excludes the effect of share-based compensation, amortization and write-off of acquired intangible assets, acquisition-related costs, restructuring and other related charges, estimated litigation reserves and settlements, and certain one-time expenses and benefits that are driven by discrete events that management does not consider to be directly related to Marvell’s core operating performance.</w:t>
      </w:r>
    </w:p>
    <w:p>
      <w:pPr>
        <w:spacing w:after="0" w:line="193"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color w:val="auto"/>
        </w:rPr>
        <w:t>GAAP gross margin percentage for the third quarter of fiscal 2016 was 43.3 percent, compared to (7.3%) for the second quarter of fiscal 2016 and 51.1 percent for the third quarter of fiscal 2015.</w:t>
      </w:r>
    </w:p>
    <w:p>
      <w:pPr>
        <w:spacing w:after="0" w:line="170"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Gross margin percentage was impacted in the third and second quarters of fiscal 2016 by restructuring and other related charges of $10 million and $14 million, respectively, an additional $6 million in litigation reserves for the third quarter and $383 million in litigation reserves in the second quarter. Excluding the impact of these and other items, the non-GAAP gross margin percentage for the third quarter of fiscal 2016 was 46.1 percent, compared to 48.9 percent for the second quarter of fiscal 2016 and 51 percent for the third quarter of fiscal 2015. The third quarter GAAP and Non-GAAP gross margin percentages were negatively impacted due to a higher mix of lower margin mobile-related revenues. Refer to the GAAP to Non-GAAP reconciliation table and related footnotes at the end of this press release for more details.</w:t>
      </w:r>
    </w:p>
    <w:p>
      <w:pPr>
        <w:spacing w:after="0" w:line="193"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Operating expenses on a GAAP basis for the third quarter of fiscal 2016 were $354 million, or 3% lower compared with $366 million in the second quarter of fiscal year 2016, and 1% lower compared to $360 million in the third quarter of fiscal 2015.</w:t>
      </w:r>
    </w:p>
    <w:p>
      <w:pPr>
        <w:spacing w:after="0" w:line="170"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Excluding the impact of the restructuring charges of $35 million and $13 million in the third and second quarter of fiscal year 2016, respectively, $12 million of additional litigation reserves in the second quarter as well as other items which are included in operating expenses, non-GAAP operating expenses were $283 million in the third quarter compared to $300 million in the second quarter, a 6% decline and $319 million in the third quarter of fiscal 2015, an 11% decline. Refer to the GAAP to Non-GAAP reconciliation and related footnotes contained in this press release for more details.</w:t>
      </w:r>
    </w:p>
    <w:p>
      <w:pPr>
        <w:sectPr>
          <w:pgSz w:w="11900" w:h="16838" w:orient="portrait"/>
          <w:cols w:equalWidth="0" w:num="1">
            <w:col w:w="11380"/>
          </w:cols>
          <w:pgMar w:left="240" w:top="274" w:right="279" w:bottom="1440" w:gutter="0" w:footer="0" w:header="0"/>
        </w:sectPr>
      </w:pPr>
    </w:p>
    <w:bookmarkStart w:id="7" w:name="page8"/>
    <w:bookmarkEnd w:id="7"/>
    <w:p>
      <w:pPr>
        <w:ind w:right="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GAAP net income per diluted share for the third quarter of fiscal 2016 were 505 million shares, compared with 516 million shares in the second quarter of fiscal 2016 and 520 million shares in the third quarter of fiscal 2015.</w:t>
      </w:r>
    </w:p>
    <w:p>
      <w:pPr>
        <w:spacing w:after="0" w:line="170"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Shares used to compute non-GAAP net income per diluted share for the third quarter of fiscal 2016 were 519 million shares, compared with 533 million shares for the second quarter of fiscal 2016 and 533 million shares for the third quarter of fiscal 2015.</w:t>
      </w:r>
    </w:p>
    <w:p>
      <w:pPr>
        <w:spacing w:after="0" w:line="170"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Cash flow from operations for the third quarter of fiscal 2016 were $67 million, compared to $27 million in the second quarter of fiscal 2016 and $181 million reported in the third quarter of fiscal 2015. Free cash flow for the third quarter of fiscal 2016 was $54 million, compared to the $3 million in the second quarter of fiscal 2016 and the $154 million reported in the third quarter of fiscal 2015.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jc w:val="both"/>
        <w:ind w:right="40"/>
        <w:spacing w:after="0" w:line="302" w:lineRule="auto"/>
        <w:rPr>
          <w:sz w:val="20"/>
          <w:szCs w:val="20"/>
          <w:color w:val="auto"/>
        </w:rPr>
      </w:pPr>
      <w:r>
        <w:rPr>
          <w:rFonts w:ascii="Arial" w:cs="Arial" w:eastAsia="Arial" w:hAnsi="Arial"/>
          <w:sz w:val="16"/>
          <w:szCs w:val="16"/>
          <w:color w:val="auto"/>
        </w:rPr>
        <w:t>Under the company’s authorized share repurchase program, Marvell repurchased approximately 18 million shares for a total of $239 million in the third and second quarters of fiscal 2016. The remaining authorized amount for share repurchases at the end of the third quarter of fiscal 2016 was approximately $183 million. Marvell paid a quarterly dividend of $0.06 per share on October 22, 2015 to all shareholders of record as of October 8, 2015. On December 1, 2015, Marvell’s Board of Directors declared a quarterly dividend of $0.06 per share to all shareholders of record on December 16, 2015.</w:t>
      </w:r>
    </w:p>
    <w:p>
      <w:pPr>
        <w:spacing w:after="0" w:line="154" w:lineRule="exact"/>
        <w:rPr>
          <w:sz w:val="20"/>
          <w:szCs w:val="20"/>
          <w:color w:val="auto"/>
        </w:rPr>
      </w:pPr>
    </w:p>
    <w:p>
      <w:pPr>
        <w:ind w:right="340"/>
        <w:spacing w:after="0" w:line="312" w:lineRule="auto"/>
        <w:rPr>
          <w:sz w:val="20"/>
          <w:szCs w:val="20"/>
          <w:color w:val="auto"/>
        </w:rPr>
      </w:pPr>
      <w:r>
        <w:rPr>
          <w:rFonts w:ascii="Arial" w:cs="Arial" w:eastAsia="Arial" w:hAnsi="Arial"/>
          <w:sz w:val="16"/>
          <w:szCs w:val="16"/>
          <w:color w:val="auto"/>
        </w:rPr>
        <w:t>The payment of future quarterly cash dividends on Marvell’s common shares is subject to, among other things, the completion of the restructuring of the mobile handset platform business,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ectPr>
          <w:pgSz w:w="11900" w:h="16838" w:orient="portrait"/>
          <w:cols w:equalWidth="0" w:num="1">
            <w:col w:w="11340"/>
          </w:cols>
          <w:pgMar w:left="240" w:top="274" w:right="31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Key Second Quarter of Fiscal 2016 Preliminary Financial Highlights (Updated)</w:t>
      </w:r>
    </w:p>
    <w:p>
      <w:pPr>
        <w:spacing w:after="0" w:line="135"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Q2 FY 2016, $711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Net Loss: Q2 FY 2016, ($403)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Loss Per Share: Q2 FY 2016, ($0.78)</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Net Income: Q2 FY 2016, $62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Q2 FY 2016, $0.12</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Free Cash Flow: Q2 FY 2016, $3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Cash and ST Investments: $2.3 Billion</w:t>
      </w:r>
    </w:p>
    <w:p>
      <w:pPr>
        <w:spacing w:after="0" w:line="22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In the second quarter of fiscal 2016 the Company recorded litigation reserves of $395 million. Excluding this item, the impact of restructuring and other related charges of $27 million which includes a $14 million write-down of inventory related to the mobile handset platform business, and other non-GAAP adjustments, the Company reported non-GAAP net income of $62 million or $0.12 per share in the second quarter of fiscal 2016. Refer to the GAAP to non-GAAP reconciliation and related footnotes contained in the press release for more information.</w:t>
      </w:r>
    </w:p>
    <w:p>
      <w:pPr>
        <w:spacing w:after="0" w:line="187"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On September 11, 2015 Marvell released a preliminary statement of operations for the second quarter of fiscal 2016, ended August 1, 2015 and announced that the Audit Committee of the Company’s Board of Directors was conducting an independent investigation of certain accounting and internal control matters in the second quarter of fiscal 2016, which is further described below.</w:t>
      </w:r>
    </w:p>
    <w:p>
      <w:pPr>
        <w:spacing w:after="0" w:line="181"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Due to the Company’s delayed filing of its Form 10-Q, the Company is obligated to continue to adjust its financial results to account for subsequent activities (Type 1 subsequent events) occurring after September 11, 2015. For the second quarter of fiscal 2016, adjustments that have been recorded to the Company’s preliminary financial results due to the delayed filing as a result of matters occurring after September 11, 2015 comprise a $15 million charge that includes a write down of inventory primarily associated with certain products for the mobile handset platform business that the Company announced it was restructuring, $2.1 million of additional other charges and a $3.5 million reduction in income tax benefit. Accordingly, the Company’s GAAP net loss and GAAP diluted loss per share for the second quarter of fiscal 2016 are approximately ($21) million and ($0.04) more than previously reported respectively.</w:t>
      </w:r>
    </w:p>
    <w:p>
      <w:pPr>
        <w:sectPr>
          <w:pgSz w:w="11900" w:h="16838" w:orient="portrait"/>
          <w:cols w:equalWidth="0" w:num="1">
            <w:col w:w="11360"/>
          </w:cols>
          <w:pgMar w:left="240" w:top="270" w:right="29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Financial Information Is Preliminary and May Be Subject To Change</w:t>
      </w:r>
    </w:p>
    <w:p>
      <w:pPr>
        <w:spacing w:after="0" w:line="121"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The unaudited interim financial information presented in this press release is preliminary and has not been reviewed by an independent registered public accounting firm. Due to the Company’s delayed filing of its Form 10-Q, the Company is obligated to continue to adjust its financial results for the second and third quarters of fiscal 2016 to account for subsequent activities (Type 1 subsequent events) occurring after the release of this press release. As noted above, the Company’s net loss and net loss per share for the second quarter of fiscal 2016 increased as compared to the Company’s GAAP net loss and net loss per share announced on September 11, 2015 to account for subsequent events. As a result, if the Company reports information about the second and third quarters of fiscal 2016 in the future, and when Marvell files its Quarterly Reports on Form 10-Q for these periods, the financial statements are likely to differ from the results disclosed in this press release, and the differences may be material. The final financial results reported for these periods may also differ from the results reported in this release as a result of the Audit Committee’s ongoing investigation described under the heading “Audit Committee Investigation and Related Matters” and review procedures to be performed by an independent registered public accounting firm. Refer to the GAAP and non-GAAP related footnotes contained in the press release for more information.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 and Related Matters</w:t>
      </w:r>
    </w:p>
    <w:p>
      <w:pPr>
        <w:spacing w:after="0" w:line="121"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Marvell’s Audit Committee is conducting an independent investigation of certain accounting and internal control matters. The investigation generally includes a review of certain revenue recognized in the first and second quarters of fiscal 2016 and the fourth quarter of fiscal 2015, the accrual of a litigation reserve, and the initial assertion by the Company’s CEO and Chairman of ownership of certain patent rights related to his Final-Level Cache invention and his later assignment of associated patent applications to the Company. The Audit Committee is also reviewing disclosure concerning the foregoing matters and related circumstances, and whether senior management’s operating style during the relevant periods resulted in an open flow of information and communication to set an appropriate tone for an effective control environment. With respect to revenue recognition, the investigation to date has focused on and has been limited to revenue recognized in the first and second quarters of fiscal 2016 and the fourth quarter of fiscal 2015 with respect to transactions that, based upon the original customer request date, would have been received and earned in the subsequent quarter, and accordingly became no longer available for receipt in such subsequent quarter. It is common for governmental agencies to open investigations in these circumstances and the Company has been contacted by the Securities and Exchange Commission and the United States Attorney’s Office regarding the Audit Committee investigation. The Company is cooperating voluntarily with the requests of these agencies relating to matters subject to the Audit Committee’s investigation and certain other matters in hopes of resolving their inquiries in a timely fashion.</w:t>
      </w:r>
    </w:p>
    <w:p>
      <w:pPr>
        <w:sectPr>
          <w:pgSz w:w="11900" w:h="16838" w:orient="portrait"/>
          <w:cols w:equalWidth="0" w:num="1">
            <w:col w:w="11420"/>
          </w:cols>
          <w:pgMar w:left="240" w:top="270" w:right="2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NASDAQ Compliance Plan</w:t>
      </w:r>
    </w:p>
    <w:p>
      <w:pPr>
        <w:spacing w:after="0" w:line="12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Marvell announced on September 14, 2015 that it received a notice from The NASDAQ Stock Market stating that the Company is not in compliance with NASDAQ Marketplace Rule 5250(c)(1) because the Company has not timely filed its Quarterly Report on Form 10-Q for the fiscal quarter ended August 1, 2015. On December 1, 2015, Marvell received notification from NASDAQ that, in response to the previously filed compliance plan, it has granted the Company an extension of time to March 8, 2016 to regain compliance with continued listing requirements, including with respect to filing its Form 10-Q for third quarter of fiscal 2016, which will be due December 10, 2015 but which will not be filed timely as a result of the Audit Committee’s investigation and discussions with accounting firms in connection with the Company’s ongoing process to engage a new independent registered public accounting firm. Marvell intends to take all necessary steps to achieve compliance with the NASDAQ continued listing requirements as soon as practicable.</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Carnegie Mellon University Litigation</w:t>
      </w:r>
    </w:p>
    <w:p>
      <w:pPr>
        <w:spacing w:after="0" w:line="121" w:lineRule="exact"/>
        <w:rPr>
          <w:sz w:val="20"/>
          <w:szCs w:val="20"/>
          <w:color w:val="auto"/>
        </w:rPr>
      </w:pPr>
    </w:p>
    <w:p>
      <w:pPr>
        <w:ind w:right="40"/>
        <w:spacing w:after="0" w:line="289" w:lineRule="auto"/>
        <w:rPr>
          <w:sz w:val="20"/>
          <w:szCs w:val="20"/>
          <w:color w:val="auto"/>
        </w:rPr>
      </w:pPr>
      <w:r>
        <w:rPr>
          <w:rFonts w:ascii="Arial" w:cs="Arial" w:eastAsia="Arial" w:hAnsi="Arial"/>
          <w:sz w:val="16"/>
          <w:szCs w:val="16"/>
          <w:color w:val="auto"/>
        </w:rPr>
        <w:t>As previously disclosed, in May of 2014, CMU obtained a judgment against the Company from the U.S. District Court (W.D. Pennsylvania) in the amount of approximately $1.54 billion (plus an ongoing royalty) based on patent infringement claims, which decision was appealed to the Federal Circuit. On August 4, 2015, a panel of the Federal Circuit (“Panel Decision”) affirmed on liability and royalty rate (50 cents per chip), affirmed denial of laches, reversed on willfulness and related enhancement, affirmed on the portion of the royalty base attributable to chips imported into the U.S., vacated the portion of the royalty base attributable to chips not imported into the U.S., and remanded for a partial new trial on the location of the Company’s remaining sales, namely, whether additional sales of chips that did not enter the U.S. were “U.S. sales.” Both parties sought a rehearing en banc by the entire Federal Circuit, which was denied by the Federal Circuit on November 17, 2015, except that the Federal Circuit held any decision on willfulness and enhancement in abeyance pending the Supreme Court’s decision in Halo Electronics, Inc. v. Pulse Electronics, Inc ., 769 F.3d 1371 (Fed. Cir. 2014) cert. granted, No. 14-1513, 2015 WL 3883472 (U.S. Oct. 19, 2015) and Stryker Corp. v. Zimmer, Inc., 782 F.3d 649 (Fed. Cir. 2015) cert. granted, No. 14-1520, 2015 WL 3883499 (U.S. Oct. 19, 2015).</w:t>
      </w:r>
    </w:p>
    <w:p>
      <w:pPr>
        <w:sectPr>
          <w:pgSz w:w="11900" w:h="16838" w:orient="portrait"/>
          <w:cols w:equalWidth="0" w:num="1">
            <w:col w:w="11420"/>
          </w:cols>
          <w:pgMar w:left="240" w:top="270" w:right="239" w:bottom="1440" w:gutter="0" w:footer="0" w:header="0"/>
        </w:sectPr>
      </w:pPr>
    </w:p>
    <w:bookmarkStart w:id="11" w:name="page12"/>
    <w:bookmarkEnd w:id="11"/>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will be seeking review of the Panel Decision by the U.S. Supreme Court, and in any event several issues remain in dispute that could materially affect damages ultimately awarded to CMU. Pending further legal developments, however, the Company has been accounting for its damages exposure based on the Panel Decision and the reserve for this litigation is included in the litigation reserves discussed above. Additional royalties would accrue on continuing sales after November 1, 2015 through expiration of the relevant patents on April 3, 2018. The amount of such future royalties may vary substantially and may be materially affected by, among other potential factors, the total level of the Company’s sales, the customer mix for such sales, and the variability in U.S. importation rates for such customers, and accordingly, the Company cannot reliably estimate such future royalty payments. The Company has established a litigation reserve covering such estimated royalties on sales of chips through October 31, 2015, and, subject to further legal developments, expects to add to such reserve quarterly based on appropriate sales data.</w:t>
      </w:r>
    </w:p>
    <w:p>
      <w:pPr>
        <w:spacing w:after="0" w:line="179"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No additional reserve has been taken with respect to the issues to be considered in the partial new trial on remand to the U.S. District Court because the Company believes there is no legal basis for imposing U.S. patent infringement damages on sales of chips that do not enter the U.S. and the Company intends to vigorously contest any claims to the contrary.</w:t>
      </w:r>
    </w:p>
    <w:p>
      <w:pPr>
        <w:spacing w:after="0" w:line="18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The Company has indemnity obligations to sureties under two surety bonds in connection with the litigation with CMU: (1) one bond which is secured by the Company’s campus located in Santa Clara, California, which bond was in the initial amount of $216 million and is subject to commitments by such sureties to issue up to an additional $95M in bonding under certain conditions, and (2) one bond in the aggregate amount of $1.54 billion (the “Primary Bond”). As previously reported, the Primary Bond has been unsecured and supported by a Bond –Specific Indemnity Agreement pursuant to which the sureties are allowed to demand that Marvell provide collateral to secure its obligations. In light of the current status of the CMU litigation, the Company is in discussions with a representative of the sureties under the Primary Bond which the Company anticipates may result in a restricted cash arrangement for approximately $300 million to support the Company’s indemnity obligations to such sureties under the Primary Bond.</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Matters:</w:t>
      </w:r>
    </w:p>
    <w:p>
      <w:pPr>
        <w:spacing w:after="0" w:line="121"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color w:val="auto"/>
        </w:rPr>
        <w:t>The Board of Directors has engaged an international executive search firm to conduct a search for additional independent Board members and with another firm to conduct a search for a permanent Chief Financial Officer. Mr. David Eichler has been appointed as Interim Chief Financial Officer since October 15, 2015 as previously announced.</w:t>
      </w:r>
    </w:p>
    <w:p>
      <w:pPr>
        <w:sectPr>
          <w:pgSz w:w="11900" w:h="16838" w:orient="portrait"/>
          <w:cols w:equalWidth="0" w:num="1">
            <w:col w:w="11420"/>
          </w:cols>
          <w:pgMar w:left="240" w:top="274" w:right="23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121"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related charges, litigation settlement,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w:t>
      </w:r>
    </w:p>
    <w:p>
      <w:pPr>
        <w:sectPr>
          <w:pgSz w:w="11900" w:h="16838" w:orient="portrait"/>
          <w:cols w:equalWidth="0" w:num="1">
            <w:col w:w="11400"/>
          </w:cols>
          <w:pgMar w:left="240" w:top="270" w:right="259" w:bottom="1440" w:gutter="0" w:footer="0" w:header="0"/>
        </w:sectPr>
      </w:pPr>
    </w:p>
    <w:bookmarkStart w:id="13" w:name="page14"/>
    <w:bookmarkEnd w:id="13"/>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the timing and outcome of the Audit Committee’s investigation and the findings and recommendations of the Audit Committee, actions that may be taken by Marvell as a result of the Audit Committee’s investigation, adverse impact of litigation or regulatory activities, Marvell’s ability to add additional directors, hire a permanent Chief Financial Officer and to engage a new independent public accounting firm in a timely manner, Marvell’s ability to regain compliance with its SEC reporting obligations within the time of any exemption granted by NASDAQ,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 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and other risks detailed in Marvell’s SEC filings from time to time. When Marvell files its Quarterly Report on Form 10-Q for the second and third quarters of fiscal 2016,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ectPr>
          <w:pgSz w:w="11900" w:h="16838" w:orient="portrait"/>
          <w:cols w:equalWidth="0" w:num="1">
            <w:col w:w="11400"/>
          </w:cols>
          <w:pgMar w:left="240" w:top="274" w:right="259" w:bottom="1440" w:gutter="0" w:footer="0" w:header="0"/>
        </w:sectPr>
      </w:pPr>
    </w:p>
    <w:bookmarkStart w:id="14" w:name="page15"/>
    <w:bookmarkEnd w:id="14"/>
    <w:p>
      <w:pPr>
        <w:ind w:right="11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the M logo, ARMADA, Avastar and Kinoma are registered trademarks of Marvell and/or its affiliates. Other names and brands may be claimed as the property of others.</w:t>
      </w:r>
    </w:p>
    <w:p>
      <w:pPr>
        <w:sectPr>
          <w:pgSz w:w="11900" w:h="16838" w:orient="portrait"/>
          <w:cols w:equalWidth="0" w:num="1">
            <w:col w:w="11200"/>
          </w:cols>
          <w:pgMar w:left="240" w:top="274" w:right="45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60" w:type="dxa"/>
            <w:vAlign w:val="bottom"/>
            <w:gridSpan w:val="4"/>
          </w:tcPr>
          <w:p>
            <w:pPr>
              <w:jc w:val="right"/>
              <w:spacing w:after="0"/>
              <w:rPr>
                <w:sz w:val="20"/>
                <w:szCs w:val="20"/>
                <w:color w:val="auto"/>
              </w:rPr>
            </w:pPr>
            <w:r>
              <w:rPr>
                <w:rFonts w:ascii="Arial" w:cs="Arial" w:eastAsia="Arial" w:hAnsi="Arial"/>
                <w:sz w:val="14"/>
                <w:szCs w:val="14"/>
                <w:b w:val="1"/>
                <w:bCs w:val="1"/>
                <w:color w:val="auto"/>
                <w:w w:val="96"/>
              </w:rPr>
              <w:t>Three Months Ended</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2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04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31,</w:t>
            </w:r>
          </w:p>
        </w:tc>
        <w:tc>
          <w:tcPr>
            <w:tcW w:w="1060" w:type="dxa"/>
            <w:vAlign w:val="bottom"/>
            <w:tcBorders>
              <w:top w:val="single" w:sz="8" w:color="auto"/>
            </w:tcBorders>
            <w:gridSpan w:val="3"/>
          </w:tcPr>
          <w:p>
            <w:pPr>
              <w:jc w:val="right"/>
              <w:ind w:right="320"/>
              <w:spacing w:after="0" w:line="119" w:lineRule="exact"/>
              <w:rPr>
                <w:sz w:val="20"/>
                <w:szCs w:val="20"/>
                <w:color w:val="auto"/>
              </w:rPr>
            </w:pPr>
            <w:r>
              <w:rPr>
                <w:rFonts w:ascii="Arial" w:cs="Arial" w:eastAsia="Arial" w:hAnsi="Arial"/>
                <w:sz w:val="13"/>
                <w:szCs w:val="13"/>
                <w:b w:val="1"/>
                <w:bCs w:val="1"/>
                <w:color w:val="auto"/>
              </w:rPr>
              <w:t>August 1,</w:t>
            </w:r>
          </w:p>
        </w:tc>
        <w:tc>
          <w:tcPr>
            <w:tcW w:w="78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November 1,</w:t>
            </w:r>
          </w:p>
        </w:tc>
        <w:tc>
          <w:tcPr>
            <w:tcW w:w="1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00" w:type="dxa"/>
            <w:vAlign w:val="bottom"/>
            <w:tcBorders>
              <w:top w:val="single" w:sz="8" w:color="auto"/>
            </w:tcBorders>
            <w:gridSpan w:val="3"/>
          </w:tcPr>
          <w:p>
            <w:pPr>
              <w:jc w:val="center"/>
              <w:ind w:right="120"/>
              <w:spacing w:after="0" w:line="119" w:lineRule="exact"/>
              <w:rPr>
                <w:sz w:val="20"/>
                <w:szCs w:val="20"/>
                <w:color w:val="auto"/>
              </w:rPr>
            </w:pPr>
            <w:r>
              <w:rPr>
                <w:rFonts w:ascii="Arial" w:cs="Arial" w:eastAsia="Arial" w:hAnsi="Arial"/>
                <w:sz w:val="13"/>
                <w:szCs w:val="13"/>
                <w:b w:val="1"/>
                <w:bCs w:val="1"/>
                <w:color w:val="auto"/>
              </w:rPr>
              <w:t>October 31,</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November 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20" w:type="dxa"/>
            <w:vAlign w:val="bottom"/>
            <w:gridSpan w:val="2"/>
          </w:tcPr>
          <w:p>
            <w:pPr>
              <w:jc w:val="right"/>
              <w:ind w:right="343"/>
              <w:spacing w:after="0"/>
              <w:rPr>
                <w:sz w:val="20"/>
                <w:szCs w:val="20"/>
                <w:color w:val="auto"/>
              </w:rPr>
            </w:pPr>
            <w:r>
              <w:rPr>
                <w:rFonts w:ascii="Arial" w:cs="Arial" w:eastAsia="Arial" w:hAnsi="Arial"/>
                <w:sz w:val="14"/>
                <w:szCs w:val="14"/>
                <w:b w:val="1"/>
                <w:bCs w:val="1"/>
                <w:color w:val="auto"/>
                <w:w w:val="91"/>
              </w:rPr>
              <w:t xml:space="preserve">2015 </w:t>
            </w:r>
            <w:r>
              <w:rPr>
                <w:rFonts w:ascii="Arial" w:cs="Arial" w:eastAsia="Arial" w:hAnsi="Arial"/>
                <w:sz w:val="14"/>
                <w:szCs w:val="14"/>
                <w:b w:val="1"/>
                <w:bCs w:val="1"/>
                <w:i w:val="1"/>
                <w:iCs w:val="1"/>
                <w:color w:val="auto"/>
                <w:w w:val="91"/>
              </w:rPr>
              <w:t>(a)</w:t>
            </w:r>
          </w:p>
        </w:tc>
        <w:tc>
          <w:tcPr>
            <w:tcW w:w="106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7"/>
              </w:rPr>
              <w:t xml:space="preserve">2015 </w:t>
            </w:r>
            <w:r>
              <w:rPr>
                <w:rFonts w:ascii="Arial" w:cs="Arial" w:eastAsia="Arial" w:hAnsi="Arial"/>
                <w:sz w:val="14"/>
                <w:szCs w:val="14"/>
                <w:b w:val="1"/>
                <w:bCs w:val="1"/>
                <w:i w:val="1"/>
                <w:iCs w:val="1"/>
                <w:color w:val="auto"/>
                <w:w w:val="97"/>
              </w:rPr>
              <w:t>(a)(b)</w:t>
            </w:r>
          </w:p>
        </w:tc>
        <w:tc>
          <w:tcPr>
            <w:tcW w:w="140" w:type="dxa"/>
            <w:vAlign w:val="bottom"/>
          </w:tcPr>
          <w:p>
            <w:pPr>
              <w:spacing w:after="0"/>
              <w:rPr>
                <w:sz w:val="14"/>
                <w:szCs w:val="14"/>
                <w:color w:val="auto"/>
              </w:rPr>
            </w:pPr>
          </w:p>
        </w:tc>
        <w:tc>
          <w:tcPr>
            <w:tcW w:w="640" w:type="dxa"/>
            <w:vAlign w:val="bottom"/>
          </w:tcPr>
          <w:p>
            <w:pPr>
              <w:jc w:val="right"/>
              <w:ind w:right="151"/>
              <w:spacing w:after="0"/>
              <w:rPr>
                <w:sz w:val="20"/>
                <w:szCs w:val="20"/>
                <w:color w:val="auto"/>
              </w:rPr>
            </w:pPr>
            <w:r>
              <w:rPr>
                <w:rFonts w:ascii="Arial" w:cs="Arial" w:eastAsia="Arial" w:hAnsi="Arial"/>
                <w:sz w:val="14"/>
                <w:szCs w:val="14"/>
                <w:b w:val="1"/>
                <w:bCs w:val="1"/>
                <w:color w:val="auto"/>
              </w:rPr>
              <w:t>2014</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 xml:space="preserve">2015 </w:t>
            </w:r>
            <w:r>
              <w:rPr>
                <w:rFonts w:ascii="Arial" w:cs="Arial" w:eastAsia="Arial" w:hAnsi="Arial"/>
                <w:sz w:val="14"/>
                <w:szCs w:val="14"/>
                <w:b w:val="1"/>
                <w:bCs w:val="1"/>
                <w:i w:val="1"/>
                <w:iCs w:val="1"/>
                <w:color w:val="auto"/>
                <w:w w:val="95"/>
              </w:rPr>
              <w:t>(a)</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660" w:type="dxa"/>
            <w:vAlign w:val="bottom"/>
            <w:tcBorders>
              <w:top w:val="single" w:sz="8" w:color="auto"/>
            </w:tcBorders>
            <w:gridSpan w:val="4"/>
          </w:tcPr>
          <w:p>
            <w:pPr>
              <w:jc w:val="right"/>
              <w:ind w:right="410"/>
              <w:spacing w:after="0" w:line="142" w:lineRule="exact"/>
              <w:rPr>
                <w:sz w:val="20"/>
                <w:szCs w:val="20"/>
                <w:color w:val="auto"/>
              </w:rPr>
            </w:pPr>
            <w:r>
              <w:rPr>
                <w:rFonts w:ascii="Arial" w:cs="Arial" w:eastAsia="Arial" w:hAnsi="Arial"/>
                <w:sz w:val="14"/>
                <w:szCs w:val="14"/>
                <w:color w:val="auto"/>
              </w:rPr>
              <w:t>(Preliminary)</w:t>
            </w:r>
          </w:p>
        </w:tc>
        <w:tc>
          <w:tcPr>
            <w:tcW w:w="32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000" w:type="dxa"/>
            <w:vAlign w:val="bottom"/>
            <w:tcBorders>
              <w:top w:val="single" w:sz="8" w:color="auto"/>
            </w:tcBorders>
            <w:gridSpan w:val="3"/>
          </w:tcPr>
          <w:p>
            <w:pPr>
              <w:jc w:val="center"/>
              <w:ind w:right="60"/>
              <w:spacing w:after="0" w:line="142" w:lineRule="exact"/>
              <w:rPr>
                <w:sz w:val="20"/>
                <w:szCs w:val="20"/>
                <w:color w:val="auto"/>
              </w:rPr>
            </w:pPr>
            <w:r>
              <w:rPr>
                <w:rFonts w:ascii="Arial" w:cs="Arial" w:eastAsia="Arial" w:hAnsi="Arial"/>
                <w:sz w:val="14"/>
                <w:szCs w:val="14"/>
                <w:color w:val="auto"/>
                <w:w w:val="98"/>
              </w:rPr>
              <w:t>(Preliminary)</w:t>
            </w:r>
          </w:p>
        </w:tc>
        <w:tc>
          <w:tcPr>
            <w:tcW w:w="1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w w:val="92"/>
              </w:rPr>
              <w:t>674,056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711,326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5"/>
              </w:rPr>
              <w:t>930,136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2,109,670</w:t>
            </w:r>
          </w:p>
        </w:tc>
        <w:tc>
          <w:tcPr>
            <w:tcW w:w="18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2,849,511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Cost of goods sold</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382,386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763,370</w:t>
            </w:r>
          </w:p>
        </w:tc>
        <w:tc>
          <w:tcPr>
            <w:tcW w:w="14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w w:val="95"/>
              </w:rPr>
              <w:t>454,974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1,496,909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1,426,575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Gross profit (loss)</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291,670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(52,044)</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5"/>
              </w:rPr>
              <w:t>475,162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612,761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1,422,936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Operating expenses:</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w w:val="92"/>
              </w:rPr>
              <w:t>284,309</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296,160</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5"/>
              </w:rPr>
              <w:t>288,435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860,583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878,562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20" w:type="dxa"/>
            <w:vAlign w:val="bottom"/>
            <w:gridSpan w:val="2"/>
          </w:tcPr>
          <w:p>
            <w:pPr>
              <w:jc w:val="right"/>
              <w:ind w:right="223"/>
              <w:spacing w:after="0"/>
              <w:rPr>
                <w:sz w:val="20"/>
                <w:szCs w:val="20"/>
                <w:color w:val="auto"/>
              </w:rPr>
            </w:pPr>
            <w:r>
              <w:rPr>
                <w:rFonts w:ascii="Arial" w:cs="Arial" w:eastAsia="Arial" w:hAnsi="Arial"/>
                <w:sz w:val="18"/>
                <w:szCs w:val="18"/>
                <w:color w:val="auto"/>
              </w:rPr>
              <w:t>32,481</w:t>
            </w: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30,841</w:t>
            </w:r>
          </w:p>
        </w:tc>
        <w:tc>
          <w:tcPr>
            <w:tcW w:w="14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34,410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99,496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106,717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34,731</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36,033</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33,473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111,791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95,379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8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2,848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2,568</w:t>
            </w:r>
          </w:p>
        </w:tc>
        <w:tc>
          <w:tcPr>
            <w:tcW w:w="14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3,304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7,984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13,297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260" w:type="dxa"/>
            <w:vAlign w:val="bottom"/>
          </w:tcPr>
          <w:p>
            <w:pPr>
              <w:spacing w:after="0"/>
              <w:rPr>
                <w:sz w:val="2"/>
                <w:szCs w:val="2"/>
                <w:color w:val="auto"/>
              </w:rPr>
            </w:pPr>
          </w:p>
        </w:tc>
        <w:tc>
          <w:tcPr>
            <w:tcW w:w="8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354,369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365,602</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5"/>
              </w:rPr>
              <w:t>359,622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1,079,854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1,093,955</w:t>
            </w:r>
          </w:p>
        </w:tc>
        <w:tc>
          <w:tcPr>
            <w:tcW w:w="0" w:type="dxa"/>
            <w:vAlign w:val="bottom"/>
          </w:tcPr>
          <w:p>
            <w:pPr>
              <w:spacing w:after="0"/>
              <w:rPr>
                <w:sz w:val="1"/>
                <w:szCs w:val="1"/>
                <w:color w:val="auto"/>
              </w:rPr>
            </w:pPr>
          </w:p>
        </w:tc>
      </w:tr>
      <w:tr>
        <w:trPr>
          <w:trHeight w:val="223"/>
        </w:trPr>
        <w:tc>
          <w:tcPr>
            <w:tcW w:w="528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8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(62,699)</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0"/>
              </w:rPr>
              <w:t>(417,646)</w:t>
            </w:r>
          </w:p>
        </w:tc>
        <w:tc>
          <w:tcPr>
            <w:tcW w:w="3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115,540</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(467,093)</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328,981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4,645</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6,790</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4,764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16,602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18,952</w:t>
            </w:r>
          </w:p>
        </w:tc>
        <w:tc>
          <w:tcPr>
            <w:tcW w:w="0" w:type="dxa"/>
            <w:vAlign w:val="bottom"/>
          </w:tcPr>
          <w:p>
            <w:pPr>
              <w:spacing w:after="0"/>
              <w:rPr>
                <w:sz w:val="1"/>
                <w:szCs w:val="1"/>
                <w:color w:val="auto"/>
              </w:rPr>
            </w:pPr>
          </w:p>
        </w:tc>
      </w:tr>
      <w:tr>
        <w:trPr>
          <w:trHeight w:val="223"/>
        </w:trPr>
        <w:tc>
          <w:tcPr>
            <w:tcW w:w="528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88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(58,054)</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0"/>
              </w:rPr>
              <w:t>(410,856)</w:t>
            </w:r>
          </w:p>
        </w:tc>
        <w:tc>
          <w:tcPr>
            <w:tcW w:w="3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120,304</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(450,491)</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347,933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rPr>
              <w:t>3,684</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(7,817)</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(5,720)</w:t>
            </w:r>
          </w:p>
        </w:tc>
        <w:tc>
          <w:tcPr>
            <w:tcW w:w="0" w:type="dxa"/>
            <w:vAlign w:val="bottom"/>
          </w:tcPr>
          <w:p>
            <w:pPr>
              <w:spacing w:after="0"/>
              <w:rPr>
                <w:sz w:val="1"/>
                <w:szCs w:val="1"/>
                <w:color w:val="auto"/>
              </w:rPr>
            </w:pPr>
          </w:p>
        </w:tc>
      </w:tr>
      <w:tr>
        <w:trPr>
          <w:trHeight w:val="223"/>
        </w:trPr>
        <w:tc>
          <w:tcPr>
            <w:tcW w:w="528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8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(61,738</w:t>
            </w:r>
          </w:p>
        </w:tc>
        <w:tc>
          <w:tcPr>
            <w:tcW w:w="300" w:type="dxa"/>
            <w:vAlign w:val="bottom"/>
          </w:tcPr>
          <w:p>
            <w:pPr>
              <w:jc w:val="right"/>
              <w:ind w:right="163"/>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(403,039</w:t>
            </w:r>
          </w:p>
        </w:tc>
        <w:tc>
          <w:tcPr>
            <w:tcW w:w="320" w:type="dxa"/>
            <w:vAlign w:val="bottom"/>
          </w:tcPr>
          <w:p>
            <w:pPr>
              <w:jc w:val="right"/>
              <w:ind w:right="180"/>
              <w:spacing w:after="0"/>
              <w:rPr>
                <w:sz w:val="20"/>
                <w:szCs w:val="20"/>
                <w:color w:val="auto"/>
              </w:rPr>
            </w:pPr>
            <w:r>
              <w:rPr>
                <w:rFonts w:ascii="Arial" w:cs="Arial" w:eastAsia="Arial" w:hAnsi="Arial"/>
                <w:sz w:val="16"/>
                <w:szCs w:val="16"/>
                <w:color w:val="auto"/>
                <w:w w:val="74"/>
              </w:rPr>
              <w:t>)</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115,304</w:t>
            </w:r>
          </w:p>
        </w:tc>
        <w:tc>
          <w:tcPr>
            <w:tcW w:w="1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(450,687</w:t>
            </w:r>
          </w:p>
        </w:tc>
        <w:tc>
          <w:tcPr>
            <w:tcW w:w="180" w:type="dxa"/>
            <w:vAlign w:val="bottom"/>
          </w:tcPr>
          <w:p>
            <w:pPr>
              <w:jc w:val="right"/>
              <w:ind w:right="4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353,653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20" w:type="dxa"/>
            <w:vAlign w:val="bottom"/>
            <w:gridSpan w:val="2"/>
            <w:shd w:val="clear" w:color="auto" w:fill="CCEEFF"/>
          </w:tcPr>
          <w:p>
            <w:pPr>
              <w:jc w:val="right"/>
              <w:ind w:right="163"/>
              <w:spacing w:after="0"/>
              <w:rPr>
                <w:sz w:val="20"/>
                <w:szCs w:val="20"/>
                <w:color w:val="auto"/>
              </w:rPr>
            </w:pPr>
            <w:r>
              <w:rPr>
                <w:rFonts w:ascii="Arial" w:cs="Arial" w:eastAsia="Arial" w:hAnsi="Arial"/>
                <w:sz w:val="18"/>
                <w:szCs w:val="18"/>
                <w:color w:val="auto"/>
              </w:rPr>
              <w:t>(0.12)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(0.78)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(0.88)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0.69</w:t>
            </w:r>
          </w:p>
        </w:tc>
        <w:tc>
          <w:tcPr>
            <w:tcW w:w="0" w:type="dxa"/>
            <w:vAlign w:val="bottom"/>
          </w:tcPr>
          <w:p>
            <w:pPr>
              <w:spacing w:after="0"/>
              <w:rPr>
                <w:sz w:val="1"/>
                <w:szCs w:val="1"/>
                <w:color w:val="auto"/>
              </w:rPr>
            </w:pPr>
          </w:p>
        </w:tc>
      </w:tr>
      <w:tr>
        <w:trPr>
          <w:trHeight w:val="20"/>
        </w:trPr>
        <w:tc>
          <w:tcPr>
            <w:tcW w:w="52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8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80" w:type="dxa"/>
            <w:vAlign w:val="bottom"/>
            <w:gridSpan w:val="2"/>
            <w:vMerge w:val="continue"/>
          </w:tcPr>
          <w:p>
            <w:pPr>
              <w:spacing w:after="0"/>
              <w:rPr>
                <w:sz w:val="18"/>
                <w:szCs w:val="18"/>
                <w:color w:val="auto"/>
              </w:rPr>
            </w:pPr>
          </w:p>
        </w:tc>
        <w:tc>
          <w:tcPr>
            <w:tcW w:w="88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300" w:type="dxa"/>
            <w:vAlign w:val="bottom"/>
          </w:tcPr>
          <w:p>
            <w:pPr>
              <w:jc w:val="right"/>
              <w:ind w:right="163"/>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(0.78</w:t>
            </w:r>
          </w:p>
        </w:tc>
        <w:tc>
          <w:tcPr>
            <w:tcW w:w="320" w:type="dxa"/>
            <w:vAlign w:val="bottom"/>
          </w:tcPr>
          <w:p>
            <w:pPr>
              <w:jc w:val="right"/>
              <w:ind w:right="180"/>
              <w:spacing w:after="0"/>
              <w:rPr>
                <w:sz w:val="20"/>
                <w:szCs w:val="20"/>
                <w:color w:val="auto"/>
              </w:rPr>
            </w:pPr>
            <w:r>
              <w:rPr>
                <w:rFonts w:ascii="Arial" w:cs="Arial" w:eastAsia="Arial" w:hAnsi="Arial"/>
                <w:sz w:val="16"/>
                <w:szCs w:val="16"/>
                <w:color w:val="auto"/>
                <w:w w:val="74"/>
              </w:rPr>
              <w:t>)</w:t>
            </w: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0.22</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(0.88)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8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3"/>
              <w:spacing w:after="0"/>
              <w:rPr>
                <w:sz w:val="20"/>
                <w:szCs w:val="20"/>
                <w:color w:val="auto"/>
              </w:rPr>
            </w:pPr>
            <w:r>
              <w:rPr>
                <w:rFonts w:ascii="Arial" w:cs="Arial" w:eastAsia="Arial" w:hAnsi="Arial"/>
                <w:sz w:val="18"/>
                <w:szCs w:val="18"/>
                <w:color w:val="auto"/>
                <w:w w:val="92"/>
              </w:rPr>
              <w:t>504,831</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5"/>
              </w:rPr>
              <w:t>516,368</w:t>
            </w: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5"/>
              </w:rPr>
              <w:t>513,859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512,476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510,261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20" w:type="dxa"/>
            <w:vAlign w:val="bottom"/>
            <w:gridSpan w:val="2"/>
          </w:tcPr>
          <w:p>
            <w:pPr>
              <w:jc w:val="right"/>
              <w:ind w:right="223"/>
              <w:spacing w:after="0"/>
              <w:rPr>
                <w:sz w:val="20"/>
                <w:szCs w:val="20"/>
                <w:color w:val="auto"/>
              </w:rPr>
            </w:pPr>
            <w:r>
              <w:rPr>
                <w:rFonts w:ascii="Arial" w:cs="Arial" w:eastAsia="Arial" w:hAnsi="Arial"/>
                <w:sz w:val="18"/>
                <w:szCs w:val="18"/>
                <w:color w:val="auto"/>
                <w:w w:val="92"/>
              </w:rPr>
              <w:t>504,831</w:t>
            </w:r>
          </w:p>
        </w:tc>
        <w:tc>
          <w:tcPr>
            <w:tcW w:w="100" w:type="dxa"/>
            <w:vAlign w:val="bottom"/>
          </w:tcPr>
          <w:p>
            <w:pPr>
              <w:spacing w:after="0"/>
              <w:rPr>
                <w:sz w:val="20"/>
                <w:szCs w:val="20"/>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516,368</w:t>
            </w:r>
          </w:p>
        </w:tc>
        <w:tc>
          <w:tcPr>
            <w:tcW w:w="140" w:type="dxa"/>
            <w:vAlign w:val="bottom"/>
          </w:tcPr>
          <w:p>
            <w:pPr>
              <w:spacing w:after="0"/>
              <w:rPr>
                <w:sz w:val="20"/>
                <w:szCs w:val="20"/>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w w:val="95"/>
              </w:rPr>
              <w:t>519,907</w:t>
            </w: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512,476</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520,309</w:t>
            </w:r>
          </w:p>
        </w:tc>
        <w:tc>
          <w:tcPr>
            <w:tcW w:w="0" w:type="dxa"/>
            <w:vAlign w:val="bottom"/>
          </w:tcPr>
          <w:p>
            <w:pPr>
              <w:spacing w:after="0"/>
              <w:rPr>
                <w:sz w:val="1"/>
                <w:szCs w:val="1"/>
                <w:color w:val="auto"/>
              </w:rPr>
            </w:pPr>
          </w:p>
        </w:tc>
      </w:tr>
    </w:tbl>
    <w:p>
      <w:pPr>
        <w:spacing w:after="0" w:line="214" w:lineRule="exact"/>
        <w:rPr>
          <w:sz w:val="20"/>
          <w:szCs w:val="20"/>
          <w:color w:val="auto"/>
        </w:rPr>
      </w:pPr>
    </w:p>
    <w:p>
      <w:pPr>
        <w:ind w:left="460" w:right="20" w:hanging="452"/>
        <w:spacing w:after="0" w:line="252" w:lineRule="auto"/>
        <w:tabs>
          <w:tab w:leader="none" w:pos="46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The condensed consolidated financial statements for the three and nine months ended October 31, 2015, and the three months ended August 1, 2015 are preliminary and therefore, subject to adjustments in connection with subsequent events arising through the date of the Company’s filing of its Quarterly Reports on Form 10-Q for the corresponding periods. The filing of each respective Form 10-Q will be completed as soon as practicable after the completion of the independent investigation by the Audit Committee of certain accounting and internal control matters in the second quarter of fiscal 2016, the appointment of an independent registered public accounting firm and the completion of review procedures by such firm.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pacing w:after="0" w:line="4" w:lineRule="exact"/>
        <w:rPr>
          <w:rFonts w:ascii="Arial" w:cs="Arial" w:eastAsia="Arial" w:hAnsi="Arial"/>
          <w:sz w:val="18"/>
          <w:szCs w:val="18"/>
          <w:i w:val="1"/>
          <w:iCs w:val="1"/>
          <w:color w:val="auto"/>
        </w:rPr>
      </w:pPr>
    </w:p>
    <w:p>
      <w:pPr>
        <w:ind w:left="460" w:right="40" w:hanging="452"/>
        <w:spacing w:after="0" w:line="286" w:lineRule="auto"/>
        <w:tabs>
          <w:tab w:leader="none" w:pos="46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The condensed consolidated financial statements for the three months ended August 1, 2015, for which the Company previously reported preliminary financial results on September 11, 2015, have been adjusted due to the delayed filing of its Form 10-Q for the second quarter. These adjustments were made to account for subsequent activities associated with conditions that existed as of August 1, 2015 (Type I Subsequent Events) and are not related to the Audit Committee’s investigation of certain accounting and internal control matters. Adjustments that have been recorded to the Company’s preliminary financial results after September 11, 2015 include a $13.9 million write down of inventory primarily associated with certain products for the mobile platform business that the Company announced it was restructuring, a $1.2 million charge related to litigation, a $0.9 million impairment on equipment held for sale, an adjustment of $1.1 million to cost of goods sold and corresponding change to the income tax benefit from $11.4 million to $7.8 million. Due to the delayed filing and as a result of future subsequent events, there may be additional adjustments to these preliminary financial results through the date of the Company’s filing of its Forms 10-Q.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ectPr>
          <w:pgSz w:w="11900" w:h="16838" w:orient="portrait"/>
          <w:cols w:equalWidth="0" w:num="1">
            <w:col w:w="11420"/>
          </w:cols>
          <w:pgMar w:left="240" w:top="270" w:right="23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100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3"/>
              </w:rPr>
              <w:t>October 31,</w:t>
            </w:r>
          </w:p>
        </w:tc>
        <w:tc>
          <w:tcPr>
            <w:tcW w:w="14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8"/>
              </w:rPr>
              <w:t>Janaury 31,</w:t>
            </w:r>
          </w:p>
        </w:tc>
      </w:tr>
      <w:tr>
        <w:trPr>
          <w:trHeight w:val="171"/>
        </w:trPr>
        <w:tc>
          <w:tcPr>
            <w:tcW w:w="20" w:type="dxa"/>
            <w:vAlign w:val="bottom"/>
          </w:tcPr>
          <w:p>
            <w:pPr>
              <w:spacing w:after="0"/>
              <w:rPr>
                <w:sz w:val="14"/>
                <w:szCs w:val="14"/>
                <w:color w:val="auto"/>
              </w:rPr>
            </w:pPr>
          </w:p>
        </w:tc>
        <w:tc>
          <w:tcPr>
            <w:tcW w:w="666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5"/>
              </w:rPr>
              <w:t xml:space="preserve">2015 </w:t>
            </w:r>
            <w:r>
              <w:rPr>
                <w:rFonts w:ascii="Arial" w:cs="Arial" w:eastAsia="Arial" w:hAnsi="Arial"/>
                <w:sz w:val="14"/>
                <w:szCs w:val="14"/>
                <w:b w:val="1"/>
                <w:bCs w:val="1"/>
                <w:i w:val="1"/>
                <w:iCs w:val="1"/>
                <w:color w:val="auto"/>
                <w:w w:val="95"/>
              </w:rPr>
              <w:t>(a)</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jc w:val="right"/>
              <w:ind w:right="171"/>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60" w:type="dxa"/>
            <w:vAlign w:val="bottom"/>
          </w:tcPr>
          <w:p>
            <w:pPr>
              <w:spacing w:after="0"/>
              <w:rPr>
                <w:sz w:val="12"/>
                <w:szCs w:val="12"/>
                <w:color w:val="auto"/>
              </w:rPr>
            </w:pPr>
          </w:p>
        </w:tc>
        <w:tc>
          <w:tcPr>
            <w:tcW w:w="2680" w:type="dxa"/>
            <w:vAlign w:val="bottom"/>
          </w:tcPr>
          <w:p>
            <w:pPr>
              <w:spacing w:after="0"/>
              <w:rPr>
                <w:sz w:val="12"/>
                <w:szCs w:val="12"/>
                <w:color w:val="auto"/>
              </w:rPr>
            </w:pPr>
          </w:p>
        </w:tc>
        <w:tc>
          <w:tcPr>
            <w:tcW w:w="82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color w:val="auto"/>
                <w:w w:val="98"/>
              </w:rPr>
              <w:t>(Preliminary)</w:t>
            </w: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Current assets: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2,303,752</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2,529,555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380,928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420,955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279,359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308,162</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66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2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71,454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85,368</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26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3,035,493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3,344,040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310,869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340,639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10,182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10,226</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2,051,204</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2,060,643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103,262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128,839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66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26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5,511,010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Current liabilities: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236,675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282,899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663,573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286,357</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58,086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68,120</w:t>
            </w:r>
          </w:p>
        </w:tc>
      </w:tr>
      <w:tr>
        <w:trPr>
          <w:trHeight w:val="223"/>
        </w:trPr>
        <w:tc>
          <w:tcPr>
            <w:tcW w:w="20" w:type="dxa"/>
            <w:vAlign w:val="bottom"/>
          </w:tcPr>
          <w:p>
            <w:pPr>
              <w:spacing w:after="0"/>
              <w:rPr>
                <w:sz w:val="19"/>
                <w:szCs w:val="19"/>
                <w:color w:val="auto"/>
              </w:rPr>
            </w:pPr>
          </w:p>
        </w:tc>
        <w:tc>
          <w:tcPr>
            <w:tcW w:w="666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26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958,334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637,376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76,280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100,922</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666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26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1,034,614</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738,298</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1,010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1,030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2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2,975,426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3,099,548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60" w:type="dxa"/>
            <w:vAlign w:val="bottom"/>
          </w:tcPr>
          <w:p>
            <w:pPr>
              <w:ind w:left="340"/>
              <w:spacing w:after="0"/>
              <w:rPr>
                <w:sz w:val="20"/>
                <w:szCs w:val="20"/>
                <w:color w:val="auto"/>
              </w:rPr>
            </w:pPr>
            <w:r>
              <w:rPr>
                <w:rFonts w:ascii="Arial" w:cs="Arial" w:eastAsia="Arial" w:hAnsi="Arial"/>
                <w:sz w:val="18"/>
                <w:szCs w:val="18"/>
                <w:color w:val="auto"/>
              </w:rPr>
              <w:t>Accumulated other comprehensive income (loss)</w:t>
            </w:r>
          </w:p>
        </w:tc>
        <w:tc>
          <w:tcPr>
            <w:tcW w:w="2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(2,182)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308</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26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1,502,142</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2,045,203</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666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26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4,476,396</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5,146,089</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7"/>
              </w:rPr>
              <w:t>5,511,010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5,884,387</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line="272" w:lineRule="auto"/>
        <w:tabs>
          <w:tab w:leader="none" w:pos="460" w:val="left"/>
        </w:tabs>
        <w:numPr>
          <w:ilvl w:val="0"/>
          <w:numId w:val="6"/>
        </w:numPr>
        <w:rPr>
          <w:rFonts w:ascii="Arial" w:cs="Arial" w:eastAsia="Arial" w:hAnsi="Arial"/>
          <w:sz w:val="17"/>
          <w:szCs w:val="17"/>
          <w:i w:val="1"/>
          <w:iCs w:val="1"/>
          <w:color w:val="auto"/>
        </w:rPr>
      </w:pPr>
      <w:r>
        <w:rPr>
          <w:rFonts w:ascii="Arial" w:cs="Arial" w:eastAsia="Arial" w:hAnsi="Arial"/>
          <w:sz w:val="17"/>
          <w:szCs w:val="17"/>
          <w:color w:val="auto"/>
        </w:rPr>
        <w:t>The condensed consolidated balance sheet at October 31, 2015 is preliminary and therefore, subject to adjustments in connection with subsequent events arising through the date of the Company’s filing of its Quarterly Reports on Form 10-Q for the corresponding period. The filing of the respective Form 10-Q will be completed as soon as practicable after the completion of the independent investigation by the Audit Committee of certain accounting and internal control matters in the second quarter of fiscal 2016, the appointment of an independent registered public accounting firm and the completion of review procedures by such firm.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ectPr>
          <w:pgSz w:w="11900" w:h="16838" w:orient="portrait"/>
          <w:cols w:equalWidth="0" w:num="1">
            <w:col w:w="11420"/>
          </w:cols>
          <w:pgMar w:left="240" w:top="270" w:right="239" w:bottom="1440" w:gutter="0" w:footer="0" w:header="0"/>
        </w:sectPr>
      </w:pPr>
    </w:p>
    <w:bookmarkStart w:id="17" w:name="page18"/>
    <w:bookmarkEnd w:id="1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6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8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20" w:type="dxa"/>
            <w:vAlign w:val="bottom"/>
          </w:tcPr>
          <w:p>
            <w:pPr>
              <w:spacing w:after="0"/>
              <w:rPr>
                <w:sz w:val="10"/>
                <w:szCs w:val="10"/>
                <w:color w:val="auto"/>
              </w:rPr>
            </w:pPr>
          </w:p>
        </w:tc>
        <w:tc>
          <w:tcPr>
            <w:tcW w:w="668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980" w:type="dxa"/>
            <w:vAlign w:val="bottom"/>
            <w:tcBorders>
              <w:top w:val="single" w:sz="8" w:color="auto"/>
            </w:tcBorders>
            <w:gridSpan w:val="3"/>
          </w:tcPr>
          <w:p>
            <w:pPr>
              <w:jc w:val="right"/>
              <w:ind w:right="220"/>
              <w:spacing w:after="0" w:line="119" w:lineRule="exact"/>
              <w:rPr>
                <w:sz w:val="20"/>
                <w:szCs w:val="20"/>
                <w:color w:val="auto"/>
              </w:rPr>
            </w:pPr>
            <w:r>
              <w:rPr>
                <w:rFonts w:ascii="Arial" w:cs="Arial" w:eastAsia="Arial" w:hAnsi="Arial"/>
                <w:sz w:val="13"/>
                <w:szCs w:val="13"/>
                <w:b w:val="1"/>
                <w:bCs w:val="1"/>
                <w:color w:val="auto"/>
              </w:rPr>
              <w:t>October 31,</w:t>
            </w:r>
          </w:p>
        </w:tc>
        <w:tc>
          <w:tcPr>
            <w:tcW w:w="12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tcPr>
          <w:p>
            <w:pPr>
              <w:jc w:val="right"/>
              <w:spacing w:after="0" w:line="119" w:lineRule="exact"/>
              <w:rPr>
                <w:sz w:val="20"/>
                <w:szCs w:val="20"/>
                <w:color w:val="auto"/>
              </w:rPr>
            </w:pPr>
            <w:r>
              <w:rPr>
                <w:rFonts w:ascii="Arial" w:cs="Arial" w:eastAsia="Arial" w:hAnsi="Arial"/>
                <w:sz w:val="13"/>
                <w:szCs w:val="13"/>
                <w:b w:val="1"/>
                <w:bCs w:val="1"/>
                <w:color w:val="auto"/>
                <w:w w:val="99"/>
              </w:rPr>
              <w:t>November 1,</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0" w:type="dxa"/>
            <w:vAlign w:val="bottom"/>
            <w:tcBorders>
              <w:top w:val="single" w:sz="8" w:color="auto"/>
            </w:tcBorders>
            <w:gridSpan w:val="3"/>
          </w:tcPr>
          <w:p>
            <w:pPr>
              <w:jc w:val="center"/>
              <w:ind w:right="200"/>
              <w:spacing w:after="0" w:line="119" w:lineRule="exact"/>
              <w:rPr>
                <w:sz w:val="20"/>
                <w:szCs w:val="20"/>
                <w:color w:val="auto"/>
              </w:rPr>
            </w:pPr>
            <w:r>
              <w:rPr>
                <w:rFonts w:ascii="Arial" w:cs="Arial" w:eastAsia="Arial" w:hAnsi="Arial"/>
                <w:sz w:val="13"/>
                <w:szCs w:val="13"/>
                <w:b w:val="1"/>
                <w:bCs w:val="1"/>
                <w:color w:val="auto"/>
              </w:rPr>
              <w:t>October 31,</w:t>
            </w: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November 1,</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66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4"/>
              </w:rPr>
              <w:t xml:space="preserve">2015 </w:t>
            </w:r>
            <w:r>
              <w:rPr>
                <w:rFonts w:ascii="Arial" w:cs="Arial" w:eastAsia="Arial" w:hAnsi="Arial"/>
                <w:sz w:val="14"/>
                <w:szCs w:val="14"/>
                <w:b w:val="1"/>
                <w:bCs w:val="1"/>
                <w:i w:val="1"/>
                <w:iCs w:val="1"/>
                <w:color w:val="auto"/>
                <w:w w:val="94"/>
              </w:rPr>
              <w:t>(b)</w:t>
            </w:r>
          </w:p>
        </w:tc>
        <w:tc>
          <w:tcPr>
            <w:tcW w:w="940" w:type="dxa"/>
            <w:vAlign w:val="bottom"/>
            <w:gridSpan w:val="2"/>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4"/>
              </w:rPr>
              <w:t xml:space="preserve">2015 </w:t>
            </w:r>
            <w:r>
              <w:rPr>
                <w:rFonts w:ascii="Arial" w:cs="Arial" w:eastAsia="Arial" w:hAnsi="Arial"/>
                <w:sz w:val="14"/>
                <w:szCs w:val="14"/>
                <w:b w:val="1"/>
                <w:bCs w:val="1"/>
                <w:i w:val="1"/>
                <w:iCs w:val="1"/>
                <w:color w:val="auto"/>
                <w:w w:val="94"/>
              </w:rPr>
              <w:t>(b)</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6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8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color w:val="auto"/>
                <w:w w:val="95"/>
              </w:rPr>
              <w:t>(Preliminary)</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color w:val="auto"/>
                <w:w w:val="98"/>
              </w:rPr>
              <w:t>(Preliminary)</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80" w:type="dxa"/>
            <w:vAlign w:val="bottom"/>
          </w:tcPr>
          <w:p>
            <w:pPr>
              <w:spacing w:after="0"/>
              <w:rPr>
                <w:sz w:val="20"/>
                <w:szCs w:val="20"/>
                <w:color w:val="auto"/>
              </w:rPr>
            </w:pPr>
            <w:r>
              <w:rPr>
                <w:rFonts w:ascii="Arial" w:cs="Arial" w:eastAsia="Arial" w:hAnsi="Arial"/>
                <w:sz w:val="18"/>
                <w:szCs w:val="18"/>
                <w:color w:val="auto"/>
              </w:rPr>
              <w:t>Net income (loss)</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(61,738)</w:t>
            </w:r>
          </w:p>
        </w:tc>
        <w:tc>
          <w:tcPr>
            <w:tcW w:w="1120" w:type="dxa"/>
            <w:vAlign w:val="bottom"/>
            <w:gridSpan w:val="3"/>
          </w:tcPr>
          <w:p>
            <w:pPr>
              <w:jc w:val="right"/>
              <w:ind w:right="180"/>
              <w:spacing w:after="0"/>
              <w:rPr>
                <w:sz w:val="20"/>
                <w:szCs w:val="20"/>
                <w:color w:val="auto"/>
              </w:rPr>
            </w:pPr>
            <w:r>
              <w:rPr>
                <w:rFonts w:ascii="Arial" w:cs="Arial" w:eastAsia="Arial" w:hAnsi="Arial"/>
                <w:sz w:val="18"/>
                <w:szCs w:val="18"/>
                <w:color w:val="auto"/>
              </w:rPr>
              <w:t>115,304</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(450,687)</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353,653</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w w:val="96"/>
              </w:rPr>
              <w:t>Adjustments to reconcile net income (loss) to net cash provided by operating activities: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25,565</w:t>
            </w:r>
          </w:p>
        </w:tc>
        <w:tc>
          <w:tcPr>
            <w:tcW w:w="1120" w:type="dxa"/>
            <w:vAlign w:val="bottom"/>
            <w:gridSpan w:val="3"/>
          </w:tcPr>
          <w:p>
            <w:pPr>
              <w:jc w:val="right"/>
              <w:ind w:right="180"/>
              <w:spacing w:after="0"/>
              <w:rPr>
                <w:sz w:val="20"/>
                <w:szCs w:val="20"/>
                <w:color w:val="auto"/>
              </w:rPr>
            </w:pPr>
            <w:r>
              <w:rPr>
                <w:rFonts w:ascii="Arial" w:cs="Arial" w:eastAsia="Arial" w:hAnsi="Arial"/>
                <w:sz w:val="18"/>
                <w:szCs w:val="18"/>
                <w:color w:val="auto"/>
              </w:rPr>
              <w:t>26,515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77,376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79,784</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31,465</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34,294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101,360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99,283</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3,333</w:t>
            </w:r>
          </w:p>
        </w:tc>
        <w:tc>
          <w:tcPr>
            <w:tcW w:w="1120" w:type="dxa"/>
            <w:vAlign w:val="bottom"/>
            <w:gridSpan w:val="3"/>
          </w:tcPr>
          <w:p>
            <w:pPr>
              <w:jc w:val="right"/>
              <w:ind w:right="180"/>
              <w:spacing w:after="0"/>
              <w:rPr>
                <w:sz w:val="20"/>
                <w:szCs w:val="20"/>
                <w:color w:val="auto"/>
              </w:rPr>
            </w:pPr>
            <w:r>
              <w:rPr>
                <w:rFonts w:ascii="Arial" w:cs="Arial" w:eastAsia="Arial" w:hAnsi="Arial"/>
                <w:sz w:val="18"/>
                <w:szCs w:val="18"/>
                <w:color w:val="auto"/>
              </w:rPr>
              <w:t>3,789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9,439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14,752</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non-cash expense (income), net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2,983</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(6,034)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7,081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(12,160)</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Non-cash restructuring and other related charges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14,270</w:t>
            </w:r>
          </w:p>
        </w:tc>
        <w:tc>
          <w:tcPr>
            <w:tcW w:w="12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28,167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(78)</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Changes in assets and liabilities: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receivable</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36,793</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40,214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40,027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10,055</w:t>
            </w:r>
          </w:p>
        </w:tc>
      </w:tr>
      <w:tr>
        <w:trPr>
          <w:trHeight w:val="216"/>
        </w:trPr>
        <w:tc>
          <w:tcPr>
            <w:tcW w:w="20" w:type="dxa"/>
            <w:vAlign w:val="bottom"/>
          </w:tcPr>
          <w:p>
            <w:pPr>
              <w:spacing w:after="0"/>
              <w:rPr>
                <w:sz w:val="18"/>
                <w:szCs w:val="18"/>
                <w:color w:val="auto"/>
              </w:rPr>
            </w:pPr>
          </w:p>
        </w:tc>
        <w:tc>
          <w:tcPr>
            <w:tcW w:w="668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39,457</w:t>
            </w:r>
          </w:p>
        </w:tc>
        <w:tc>
          <w:tcPr>
            <w:tcW w:w="1120" w:type="dxa"/>
            <w:vAlign w:val="bottom"/>
            <w:gridSpan w:val="3"/>
          </w:tcPr>
          <w:p>
            <w:pPr>
              <w:jc w:val="right"/>
              <w:ind w:right="180"/>
              <w:spacing w:after="0"/>
              <w:rPr>
                <w:sz w:val="20"/>
                <w:szCs w:val="20"/>
                <w:color w:val="auto"/>
              </w:rPr>
            </w:pPr>
            <w:r>
              <w:rPr>
                <w:rFonts w:ascii="Arial" w:cs="Arial" w:eastAsia="Arial" w:hAnsi="Arial"/>
                <w:sz w:val="18"/>
                <w:szCs w:val="18"/>
                <w:color w:val="auto"/>
              </w:rPr>
              <w:t>37,506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7,145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(8,793)</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Prepaid expenses and other assets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6,303</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18,536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14,266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(8,621)</w:t>
            </w:r>
          </w:p>
        </w:tc>
      </w:tr>
      <w:tr>
        <w:trPr>
          <w:trHeight w:val="216"/>
        </w:trPr>
        <w:tc>
          <w:tcPr>
            <w:tcW w:w="20" w:type="dxa"/>
            <w:vAlign w:val="bottom"/>
          </w:tcPr>
          <w:p>
            <w:pPr>
              <w:spacing w:after="0"/>
              <w:rPr>
                <w:sz w:val="18"/>
                <w:szCs w:val="18"/>
                <w:color w:val="auto"/>
              </w:rPr>
            </w:pPr>
          </w:p>
        </w:tc>
        <w:tc>
          <w:tcPr>
            <w:tcW w:w="6680" w:type="dxa"/>
            <w:vAlign w:val="bottom"/>
          </w:tcPr>
          <w:p>
            <w:pPr>
              <w:ind w:left="700"/>
              <w:spacing w:after="0"/>
              <w:rPr>
                <w:sz w:val="20"/>
                <w:szCs w:val="20"/>
                <w:color w:val="auto"/>
              </w:rPr>
            </w:pPr>
            <w:r>
              <w:rPr>
                <w:rFonts w:ascii="Arial" w:cs="Arial" w:eastAsia="Arial" w:hAnsi="Arial"/>
                <w:sz w:val="18"/>
                <w:szCs w:val="18"/>
                <w:color w:val="auto"/>
              </w:rPr>
              <w:t>Accounts payable</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(55,693)</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(70,749)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(43,735)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16,937</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11,129</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(24,997)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386,304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(22,035)</w:t>
            </w:r>
          </w:p>
        </w:tc>
      </w:tr>
      <w:tr>
        <w:trPr>
          <w:trHeight w:val="216"/>
        </w:trPr>
        <w:tc>
          <w:tcPr>
            <w:tcW w:w="20" w:type="dxa"/>
            <w:vAlign w:val="bottom"/>
          </w:tcPr>
          <w:p>
            <w:pPr>
              <w:spacing w:after="0"/>
              <w:rPr>
                <w:sz w:val="18"/>
                <w:szCs w:val="18"/>
                <w:color w:val="auto"/>
              </w:rPr>
            </w:pPr>
          </w:p>
        </w:tc>
        <w:tc>
          <w:tcPr>
            <w:tcW w:w="6680" w:type="dxa"/>
            <w:vAlign w:val="bottom"/>
          </w:tcPr>
          <w:p>
            <w:pPr>
              <w:ind w:left="700"/>
              <w:spacing w:after="0"/>
              <w:rPr>
                <w:sz w:val="20"/>
                <w:szCs w:val="20"/>
                <w:color w:val="auto"/>
              </w:rPr>
            </w:pPr>
            <w:r>
              <w:rPr>
                <w:rFonts w:ascii="Arial" w:cs="Arial" w:eastAsia="Arial" w:hAnsi="Arial"/>
                <w:sz w:val="18"/>
                <w:szCs w:val="18"/>
                <w:color w:val="auto"/>
              </w:rPr>
              <w:t>Accrued employee compensation</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14,295</w:t>
            </w:r>
          </w:p>
        </w:tc>
        <w:tc>
          <w:tcPr>
            <w:tcW w:w="1120" w:type="dxa"/>
            <w:vAlign w:val="bottom"/>
            <w:gridSpan w:val="3"/>
          </w:tcPr>
          <w:p>
            <w:pPr>
              <w:jc w:val="right"/>
              <w:ind w:right="180"/>
              <w:spacing w:after="0"/>
              <w:rPr>
                <w:sz w:val="20"/>
                <w:szCs w:val="20"/>
                <w:color w:val="auto"/>
              </w:rPr>
            </w:pPr>
            <w:r>
              <w:rPr>
                <w:rFonts w:ascii="Arial" w:cs="Arial" w:eastAsia="Arial" w:hAnsi="Arial"/>
                <w:sz w:val="18"/>
                <w:szCs w:val="18"/>
                <w:color w:val="auto"/>
              </w:rPr>
              <w:t>19,101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(14,636)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41,651</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700"/>
              <w:spacing w:after="0"/>
              <w:rPr>
                <w:sz w:val="20"/>
                <w:szCs w:val="20"/>
                <w:color w:val="auto"/>
              </w:rPr>
            </w:pPr>
            <w:r>
              <w:rPr>
                <w:rFonts w:ascii="Arial" w:cs="Arial" w:eastAsia="Arial" w:hAnsi="Arial"/>
                <w:sz w:val="18"/>
                <w:szCs w:val="18"/>
                <w:color w:val="auto"/>
              </w:rPr>
              <w:t>Deferred income</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(1,566)</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(12,053)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9,087</w:t>
            </w:r>
          </w:p>
        </w:tc>
      </w:tr>
      <w:tr>
        <w:trPr>
          <w:trHeight w:val="223"/>
        </w:trPr>
        <w:tc>
          <w:tcPr>
            <w:tcW w:w="20" w:type="dxa"/>
            <w:vAlign w:val="bottom"/>
          </w:tcPr>
          <w:p>
            <w:pPr>
              <w:spacing w:after="0"/>
              <w:rPr>
                <w:sz w:val="19"/>
                <w:szCs w:val="19"/>
                <w:color w:val="auto"/>
              </w:rPr>
            </w:pPr>
          </w:p>
        </w:tc>
        <w:tc>
          <w:tcPr>
            <w:tcW w:w="6680" w:type="dxa"/>
            <w:vAlign w:val="bottom"/>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66,594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181,424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152,046</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573,515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(353,465)</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(448,526)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(919,830)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(784,296)</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356,409</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205,685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826,199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578,095</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Distribution from (investments in) privately-held companies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(130)</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(260)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(701)</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sale of an investment in a privately-held company</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13,220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13,220</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(980)</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(5,105)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(6,657)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(14,514)</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(9,041)</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(16,661)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(33,361)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(48,615)</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Purchase of equipment previously leased</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(10,240)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Net proceeds from sale of equipment held for sale</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10,007</w:t>
            </w: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10,007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23"/>
        </w:trPr>
        <w:tc>
          <w:tcPr>
            <w:tcW w:w="20" w:type="dxa"/>
            <w:vAlign w:val="bottom"/>
          </w:tcPr>
          <w:p>
            <w:pPr>
              <w:spacing w:after="0"/>
              <w:rPr>
                <w:sz w:val="19"/>
                <w:szCs w:val="19"/>
                <w:color w:val="auto"/>
              </w:rPr>
            </w:pPr>
          </w:p>
        </w:tc>
        <w:tc>
          <w:tcPr>
            <w:tcW w:w="6680" w:type="dxa"/>
            <w:vAlign w:val="bottom"/>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2,800</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(251,647)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(133,804)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(256,811)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(65,291)</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(43,774)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(260,875)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(43,774)</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2,174</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2,934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59,348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71,308</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(869)</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(663)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(23,876)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(25,586)</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(30,270)</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(30,867)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(92,374)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(91,859)</w:t>
            </w:r>
          </w:p>
        </w:tc>
      </w:tr>
      <w:tr>
        <w:trPr>
          <w:trHeight w:val="216"/>
        </w:trPr>
        <w:tc>
          <w:tcPr>
            <w:tcW w:w="20" w:type="dxa"/>
            <w:vAlign w:val="bottom"/>
          </w:tcPr>
          <w:p>
            <w:pPr>
              <w:spacing w:after="0"/>
              <w:rPr>
                <w:sz w:val="18"/>
                <w:szCs w:val="18"/>
                <w:color w:val="auto"/>
              </w:rPr>
            </w:pPr>
          </w:p>
        </w:tc>
        <w:tc>
          <w:tcPr>
            <w:tcW w:w="668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(2,617)</w:t>
            </w:r>
          </w:p>
        </w:tc>
        <w:tc>
          <w:tcPr>
            <w:tcW w:w="1120" w:type="dxa"/>
            <w:vAlign w:val="bottom"/>
            <w:gridSpan w:val="3"/>
          </w:tcPr>
          <w:p>
            <w:pPr>
              <w:jc w:val="right"/>
              <w:ind w:right="120"/>
              <w:spacing w:after="0"/>
              <w:rPr>
                <w:sz w:val="20"/>
                <w:szCs w:val="20"/>
                <w:color w:val="auto"/>
              </w:rPr>
            </w:pPr>
            <w:r>
              <w:rPr>
                <w:rFonts w:ascii="Arial" w:cs="Arial" w:eastAsia="Arial" w:hAnsi="Arial"/>
                <w:sz w:val="18"/>
                <w:szCs w:val="18"/>
                <w:color w:val="auto"/>
              </w:rPr>
              <w:t>(5,951)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(11,416)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40"/>
              <w:spacing w:after="0"/>
              <w:rPr>
                <w:sz w:val="20"/>
                <w:szCs w:val="20"/>
                <w:color w:val="auto"/>
              </w:rPr>
            </w:pPr>
            <w:r>
              <w:rPr>
                <w:rFonts w:ascii="Arial" w:cs="Arial" w:eastAsia="Arial" w:hAnsi="Arial"/>
                <w:sz w:val="18"/>
                <w:szCs w:val="18"/>
                <w:color w:val="auto"/>
              </w:rPr>
              <w:t>(8,628)</w:t>
            </w: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w:t>
            </w:r>
          </w:p>
        </w:tc>
        <w:tc>
          <w:tcPr>
            <w:tcW w:w="112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w:t>
            </w:r>
          </w:p>
        </w:tc>
      </w:tr>
      <w:tr>
        <w:trPr>
          <w:trHeight w:val="230"/>
        </w:trPr>
        <w:tc>
          <w:tcPr>
            <w:tcW w:w="20" w:type="dxa"/>
            <w:vAlign w:val="bottom"/>
          </w:tcPr>
          <w:p>
            <w:pPr>
              <w:spacing w:after="0"/>
              <w:rPr>
                <w:sz w:val="20"/>
                <w:szCs w:val="20"/>
                <w:color w:val="auto"/>
              </w:rPr>
            </w:pPr>
          </w:p>
        </w:tc>
        <w:tc>
          <w:tcPr>
            <w:tcW w:w="6680" w:type="dxa"/>
            <w:vAlign w:val="bottom"/>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4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(96,871)</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(78,319)</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(329,166)</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(98,461)</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(27,477)</w:t>
            </w:r>
          </w:p>
        </w:tc>
        <w:tc>
          <w:tcPr>
            <w:tcW w:w="11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(148,542)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(310,924)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218,243</w:t>
            </w:r>
          </w:p>
        </w:tc>
      </w:tr>
      <w:tr>
        <w:trPr>
          <w:trHeight w:val="230"/>
        </w:trPr>
        <w:tc>
          <w:tcPr>
            <w:tcW w:w="670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42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927,530</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1,332,535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1,210,977</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965,750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6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900,053</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1,183,993</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900,053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1,183,993</w:t>
            </w:r>
          </w:p>
        </w:tc>
      </w:tr>
      <w:tr>
        <w:trPr>
          <w:trHeight w:val="20"/>
        </w:trPr>
        <w:tc>
          <w:tcPr>
            <w:tcW w:w="20" w:type="dxa"/>
            <w:vAlign w:val="bottom"/>
          </w:tcPr>
          <w:p>
            <w:pPr>
              <w:spacing w:after="0" w:line="20" w:lineRule="exact"/>
              <w:rPr>
                <w:sz w:val="1"/>
                <w:szCs w:val="1"/>
                <w:color w:val="auto"/>
              </w:rPr>
            </w:pPr>
          </w:p>
        </w:tc>
        <w:tc>
          <w:tcPr>
            <w:tcW w:w="66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21" w:lineRule="exact"/>
        <w:rPr>
          <w:sz w:val="20"/>
          <w:szCs w:val="20"/>
          <w:color w:val="auto"/>
        </w:rPr>
      </w:pPr>
    </w:p>
    <w:p>
      <w:pPr>
        <w:ind w:left="460" w:right="20" w:hanging="452"/>
        <w:spacing w:after="0" w:line="254"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3.7 million shares repurchased for $45.6 million in the third quarter of fiscal 2016, adjusted for the change in repurchases made within the final three days of the current and previous quarters that are accrued but not yet paid due to the standard settlement period that normally takes up to three days.</w:t>
      </w:r>
    </w:p>
    <w:p>
      <w:pPr>
        <w:spacing w:after="0" w:line="2" w:lineRule="exact"/>
        <w:rPr>
          <w:rFonts w:ascii="Arial" w:cs="Arial" w:eastAsia="Arial" w:hAnsi="Arial"/>
          <w:sz w:val="18"/>
          <w:szCs w:val="18"/>
          <w:i w:val="1"/>
          <w:iCs w:val="1"/>
          <w:color w:val="auto"/>
        </w:rPr>
      </w:pPr>
    </w:p>
    <w:p>
      <w:pPr>
        <w:ind w:left="460" w:right="360" w:hanging="452"/>
        <w:spacing w:after="0" w:line="288"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The condensed consolidated statement of cash flows for the three and nine months ended October 31, 2015 is preliminary and therefore, subject to adjustments in connection with subsequent events arising through the date of the Company’s filing of its Quarterly Reports on Form 10-Q for the corresponding periods. The filing of the respective Form 10-Q will be completed as soon as practicable after the completion of the independent investigation by the Audit Committee of certain accounting and internal control matters in the second quarter of fiscal 2016, the appointment of an independent registered public accounting firm and the completion of review procedures by such firm.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ectPr>
          <w:pgSz w:w="11900" w:h="16838" w:orient="portrait"/>
          <w:cols w:equalWidth="0" w:num="1">
            <w:col w:w="11420"/>
          </w:cols>
          <w:pgMar w:left="240" w:top="270" w:right="239" w:bottom="1440" w:gutter="0" w:footer="0" w:header="0"/>
        </w:sectPr>
      </w:pPr>
    </w:p>
    <w:bookmarkStart w:id="18" w:name="page19"/>
    <w:bookmarkEnd w:id="1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20" w:type="dxa"/>
            <w:vAlign w:val="bottom"/>
            <w:gridSpan w:val="4"/>
          </w:tcPr>
          <w:p>
            <w:pPr>
              <w:jc w:val="right"/>
              <w:ind w:right="80"/>
              <w:spacing w:after="0"/>
              <w:rPr>
                <w:sz w:val="20"/>
                <w:szCs w:val="20"/>
                <w:color w:val="auto"/>
              </w:rPr>
            </w:pPr>
            <w:r>
              <w:rPr>
                <w:rFonts w:ascii="Arial" w:cs="Arial" w:eastAsia="Arial" w:hAnsi="Arial"/>
                <w:sz w:val="14"/>
                <w:szCs w:val="14"/>
                <w:b w:val="1"/>
                <w:bCs w:val="1"/>
                <w:color w:val="auto"/>
                <w:w w:val="95"/>
              </w:rPr>
              <w:t>Three Months Ended</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47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92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October 31,</w:t>
            </w:r>
          </w:p>
        </w:tc>
        <w:tc>
          <w:tcPr>
            <w:tcW w:w="280" w:type="dxa"/>
            <w:vAlign w:val="bottom"/>
            <w:tcBorders>
              <w:top w:val="single" w:sz="8" w:color="auto"/>
            </w:tcBorders>
          </w:tcPr>
          <w:p>
            <w:pPr>
              <w:spacing w:after="0"/>
              <w:rPr>
                <w:sz w:val="10"/>
                <w:szCs w:val="10"/>
                <w:color w:val="auto"/>
              </w:rPr>
            </w:pPr>
          </w:p>
        </w:tc>
        <w:tc>
          <w:tcPr>
            <w:tcW w:w="1140" w:type="dxa"/>
            <w:vAlign w:val="bottom"/>
            <w:tcBorders>
              <w:top w:val="single" w:sz="8" w:color="auto"/>
            </w:tcBorders>
            <w:gridSpan w:val="3"/>
          </w:tcPr>
          <w:p>
            <w:pPr>
              <w:jc w:val="right"/>
              <w:ind w:right="480"/>
              <w:spacing w:after="0" w:line="119" w:lineRule="exact"/>
              <w:rPr>
                <w:sz w:val="20"/>
                <w:szCs w:val="20"/>
                <w:color w:val="auto"/>
              </w:rPr>
            </w:pPr>
            <w:r>
              <w:rPr>
                <w:rFonts w:ascii="Arial" w:cs="Arial" w:eastAsia="Arial" w:hAnsi="Arial"/>
                <w:sz w:val="13"/>
                <w:szCs w:val="13"/>
                <w:b w:val="1"/>
                <w:bCs w:val="1"/>
                <w:color w:val="auto"/>
              </w:rPr>
              <w:t>August 1,</w:t>
            </w:r>
          </w:p>
        </w:tc>
        <w:tc>
          <w:tcPr>
            <w:tcW w:w="8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November 1,</w:t>
            </w:r>
          </w:p>
        </w:tc>
        <w:tc>
          <w:tcPr>
            <w:tcW w:w="3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300" w:type="dxa"/>
            <w:vAlign w:val="bottom"/>
            <w:tcBorders>
              <w:top w:val="single" w:sz="8" w:color="auto"/>
            </w:tcBorders>
            <w:gridSpan w:val="3"/>
          </w:tcPr>
          <w:p>
            <w:pPr>
              <w:jc w:val="center"/>
              <w:ind w:right="480"/>
              <w:spacing w:after="0" w:line="119" w:lineRule="exact"/>
              <w:rPr>
                <w:sz w:val="20"/>
                <w:szCs w:val="20"/>
                <w:color w:val="auto"/>
              </w:rPr>
            </w:pPr>
            <w:r>
              <w:rPr>
                <w:rFonts w:ascii="Arial" w:cs="Arial" w:eastAsia="Arial" w:hAnsi="Arial"/>
                <w:sz w:val="13"/>
                <w:szCs w:val="13"/>
                <w:b w:val="1"/>
                <w:bCs w:val="1"/>
                <w:color w:val="auto"/>
                <w:w w:val="97"/>
              </w:rPr>
              <w:t>October 31,</w:t>
            </w:r>
          </w:p>
        </w:tc>
        <w:tc>
          <w:tcPr>
            <w:tcW w:w="82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1"/>
              </w:rPr>
              <w:t xml:space="preserve">2015 </w:t>
            </w:r>
            <w:r>
              <w:rPr>
                <w:rFonts w:ascii="Arial" w:cs="Arial" w:eastAsia="Arial" w:hAnsi="Arial"/>
                <w:sz w:val="14"/>
                <w:szCs w:val="14"/>
                <w:b w:val="1"/>
                <w:bCs w:val="1"/>
                <w:i w:val="1"/>
                <w:iCs w:val="1"/>
                <w:color w:val="auto"/>
                <w:w w:val="91"/>
              </w:rPr>
              <w:t>(e)</w:t>
            </w:r>
          </w:p>
        </w:tc>
        <w:tc>
          <w:tcPr>
            <w:tcW w:w="280" w:type="dxa"/>
            <w:vAlign w:val="bottom"/>
          </w:tcPr>
          <w:p>
            <w:pPr>
              <w:spacing w:after="0"/>
              <w:rPr>
                <w:sz w:val="14"/>
                <w:szCs w:val="14"/>
                <w:color w:val="auto"/>
              </w:rPr>
            </w:pPr>
          </w:p>
        </w:tc>
        <w:tc>
          <w:tcPr>
            <w:tcW w:w="114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 xml:space="preserve">2015 </w:t>
            </w:r>
            <w:r>
              <w:rPr>
                <w:rFonts w:ascii="Arial" w:cs="Arial" w:eastAsia="Arial" w:hAnsi="Arial"/>
                <w:sz w:val="14"/>
                <w:szCs w:val="14"/>
                <w:b w:val="1"/>
                <w:bCs w:val="1"/>
                <w:i w:val="1"/>
                <w:iCs w:val="1"/>
                <w:color w:val="auto"/>
              </w:rPr>
              <w:t>(e)(f)</w:t>
            </w: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jc w:val="right"/>
              <w:ind w:right="150"/>
              <w:spacing w:after="0"/>
              <w:rPr>
                <w:sz w:val="20"/>
                <w:szCs w:val="20"/>
                <w:color w:val="auto"/>
              </w:rPr>
            </w:pPr>
            <w:r>
              <w:rPr>
                <w:rFonts w:ascii="Arial" w:cs="Arial" w:eastAsia="Arial" w:hAnsi="Arial"/>
                <w:sz w:val="14"/>
                <w:szCs w:val="14"/>
                <w:b w:val="1"/>
                <w:bCs w:val="1"/>
                <w:color w:val="auto"/>
              </w:rPr>
              <w:t>2014</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95"/>
              </w:rPr>
              <w:t>2015 (e)</w:t>
            </w:r>
          </w:p>
        </w:tc>
        <w:tc>
          <w:tcPr>
            <w:tcW w:w="100" w:type="dxa"/>
            <w:vAlign w:val="bottom"/>
          </w:tcPr>
          <w:p>
            <w:pPr>
              <w:spacing w:after="0"/>
              <w:rPr>
                <w:sz w:val="14"/>
                <w:szCs w:val="14"/>
                <w:color w:val="auto"/>
              </w:rPr>
            </w:pPr>
          </w:p>
        </w:tc>
        <w:tc>
          <w:tcPr>
            <w:tcW w:w="720" w:type="dxa"/>
            <w:vAlign w:val="bottom"/>
          </w:tcPr>
          <w:p>
            <w:pPr>
              <w:jc w:val="right"/>
              <w:ind w:right="190"/>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7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820" w:type="dxa"/>
            <w:vAlign w:val="bottom"/>
            <w:tcBorders>
              <w:top w:val="single" w:sz="8" w:color="auto"/>
            </w:tcBorders>
            <w:gridSpan w:val="5"/>
          </w:tcPr>
          <w:p>
            <w:pPr>
              <w:jc w:val="right"/>
              <w:ind w:right="490"/>
              <w:spacing w:after="0" w:line="142" w:lineRule="exact"/>
              <w:rPr>
                <w:sz w:val="20"/>
                <w:szCs w:val="20"/>
                <w:color w:val="auto"/>
              </w:rPr>
            </w:pPr>
            <w:r>
              <w:rPr>
                <w:rFonts w:ascii="Arial" w:cs="Arial" w:eastAsia="Arial" w:hAnsi="Arial"/>
                <w:sz w:val="14"/>
                <w:szCs w:val="14"/>
                <w:color w:val="auto"/>
              </w:rPr>
              <w:t>(Preliminary)</w:t>
            </w:r>
          </w:p>
        </w:tc>
        <w:tc>
          <w:tcPr>
            <w:tcW w:w="4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Borders>
              <w:top w:val="single" w:sz="8" w:color="auto"/>
            </w:tcBorders>
            <w:gridSpan w:val="2"/>
          </w:tcPr>
          <w:p>
            <w:pPr>
              <w:jc w:val="center"/>
              <w:spacing w:after="0" w:line="142" w:lineRule="exact"/>
              <w:rPr>
                <w:sz w:val="20"/>
                <w:szCs w:val="20"/>
                <w:color w:val="auto"/>
              </w:rPr>
            </w:pPr>
            <w:r>
              <w:rPr>
                <w:rFonts w:ascii="Arial" w:cs="Arial" w:eastAsia="Arial" w:hAnsi="Arial"/>
                <w:sz w:val="14"/>
                <w:szCs w:val="14"/>
                <w:color w:val="auto"/>
                <w:w w:val="98"/>
              </w:rPr>
              <w:t>(Preliminary)</w:t>
            </w:r>
          </w:p>
        </w:tc>
        <w:tc>
          <w:tcPr>
            <w:tcW w:w="4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(61,738)</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w w:val="88"/>
              </w:rPr>
              <w:t>(403,039)</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115,304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8"/>
              </w:rPr>
              <w:t>(450,687)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353,653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31,465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36,674</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34,294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101,360</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99,283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45,555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26,898</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1,203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73,045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7,026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3,333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3,347</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4,229</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10,173</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16,072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5,513</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395,100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(2,398)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398,913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3,834</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3,472</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2,318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28,688</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4,473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27,962</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62,452</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154,950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161,492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480,584</w:t>
            </w:r>
          </w:p>
        </w:tc>
        <w:tc>
          <w:tcPr>
            <w:tcW w:w="0" w:type="dxa"/>
            <w:vAlign w:val="bottom"/>
          </w:tcPr>
          <w:p>
            <w:pPr>
              <w:spacing w:after="0"/>
              <w:rPr>
                <w:sz w:val="1"/>
                <w:szCs w:val="1"/>
                <w:color w:val="auto"/>
              </w:rPr>
            </w:pPr>
          </w:p>
        </w:tc>
      </w:tr>
      <w:tr>
        <w:trPr>
          <w:trHeight w:val="20"/>
        </w:trPr>
        <w:tc>
          <w:tcPr>
            <w:tcW w:w="474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6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40" w:type="dxa"/>
            <w:vAlign w:val="bottom"/>
            <w:gridSpan w:val="2"/>
            <w:vMerge w:val="continue"/>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504,831</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516,368</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519,907</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512,476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520,309</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Non-GAAP adjustment</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13,674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16,574</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12,905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16,393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11,910</w:t>
            </w:r>
          </w:p>
        </w:tc>
        <w:tc>
          <w:tcPr>
            <w:tcW w:w="0" w:type="dxa"/>
            <w:vAlign w:val="bottom"/>
          </w:tcPr>
          <w:p>
            <w:pPr>
              <w:spacing w:after="0"/>
              <w:rPr>
                <w:sz w:val="1"/>
                <w:szCs w:val="1"/>
                <w:color w:val="auto"/>
              </w:rPr>
            </w:pPr>
          </w:p>
        </w:tc>
      </w:tr>
      <w:tr>
        <w:trPr>
          <w:trHeight w:val="223"/>
        </w:trPr>
        <w:tc>
          <w:tcPr>
            <w:tcW w:w="474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6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518,505</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532,942</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532,812</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528,869</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532,219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(0.78)</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(0.88)</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0.68</w:t>
            </w:r>
          </w:p>
        </w:tc>
        <w:tc>
          <w:tcPr>
            <w:tcW w:w="0" w:type="dxa"/>
            <w:vAlign w:val="bottom"/>
          </w:tcPr>
          <w:p>
            <w:pPr>
              <w:spacing w:after="0"/>
              <w:rPr>
                <w:sz w:val="1"/>
                <w:szCs w:val="1"/>
                <w:color w:val="auto"/>
              </w:rPr>
            </w:pPr>
          </w:p>
        </w:tc>
      </w:tr>
      <w:tr>
        <w:trPr>
          <w:trHeight w:val="20"/>
        </w:trPr>
        <w:tc>
          <w:tcPr>
            <w:tcW w:w="474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6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40" w:type="dxa"/>
            <w:vAlign w:val="bottom"/>
            <w:gridSpan w:val="2"/>
            <w:vMerge w:val="continue"/>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0.05</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0.29</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0.31</w:t>
            </w:r>
          </w:p>
        </w:tc>
        <w:tc>
          <w:tcPr>
            <w:tcW w:w="48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0.90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(loss):</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2"/>
              </w:rPr>
              <w:t>291,670</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(52,044)</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475,162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612,761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1,422,936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2,495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2,012</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1,934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6,054</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5,966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10,285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13,898</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24,183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8"/>
                <w:szCs w:val="18"/>
                <w:color w:val="auto"/>
              </w:rPr>
              <w:t>485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779</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925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80"/>
              <w:spacing w:after="0"/>
              <w:rPr>
                <w:sz w:val="20"/>
                <w:szCs w:val="20"/>
                <w:color w:val="auto"/>
              </w:rPr>
            </w:pPr>
            <w:r>
              <w:rPr>
                <w:rFonts w:ascii="Arial" w:cs="Arial" w:eastAsia="Arial" w:hAnsi="Arial"/>
                <w:sz w:val="18"/>
                <w:szCs w:val="18"/>
                <w:color w:val="auto"/>
              </w:rPr>
              <w:t>2,189</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2,775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5,513</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383,040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(3,998)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386,853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(3,998)</w:t>
            </w:r>
          </w:p>
        </w:tc>
        <w:tc>
          <w:tcPr>
            <w:tcW w:w="0" w:type="dxa"/>
            <w:vAlign w:val="bottom"/>
          </w:tcPr>
          <w:p>
            <w:pPr>
              <w:spacing w:after="0"/>
              <w:rPr>
                <w:sz w:val="1"/>
                <w:szCs w:val="1"/>
                <w:color w:val="auto"/>
              </w:rPr>
            </w:pPr>
          </w:p>
        </w:tc>
      </w:tr>
      <w:tr>
        <w:trPr>
          <w:trHeight w:val="223"/>
        </w:trPr>
        <w:tc>
          <w:tcPr>
            <w:tcW w:w="474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6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310,448</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347,685</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474,023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1,032,040</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1,427,679</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43.3%</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-7.3%</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0.4%</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0.1%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0.1%</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53.8%</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0"/>
        </w:trPr>
        <w:tc>
          <w:tcPr>
            <w:tcW w:w="474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6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4740" w:type="dxa"/>
            <w:vAlign w:val="bottom"/>
            <w:gridSpan w:val="2"/>
            <w:vMerge w:val="continue"/>
          </w:tcPr>
          <w:p>
            <w:pPr>
              <w:spacing w:after="0"/>
              <w:rPr>
                <w:sz w:val="19"/>
                <w:szCs w:val="19"/>
                <w:color w:val="auto"/>
              </w:rPr>
            </w:pPr>
          </w:p>
        </w:tc>
        <w:tc>
          <w:tcPr>
            <w:tcW w:w="6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46.1%</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48.9%</w:t>
            </w: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60" w:type="dxa"/>
            <w:vAlign w:val="bottom"/>
            <w:gridSpan w:val="2"/>
          </w:tcPr>
          <w:p>
            <w:pPr>
              <w:jc w:val="right"/>
              <w:ind w:right="160"/>
              <w:spacing w:after="0"/>
              <w:rPr>
                <w:sz w:val="20"/>
                <w:szCs w:val="20"/>
                <w:color w:val="auto"/>
              </w:rPr>
            </w:pPr>
            <w:r>
              <w:rPr>
                <w:rFonts w:ascii="Arial" w:cs="Arial" w:eastAsia="Arial" w:hAnsi="Arial"/>
                <w:sz w:val="18"/>
                <w:szCs w:val="18"/>
                <w:color w:val="auto"/>
              </w:rPr>
              <w:t>51.0%</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8"/>
                <w:szCs w:val="18"/>
                <w:color w:val="auto"/>
              </w:rPr>
              <w:t>48.9%</w:t>
            </w:r>
          </w:p>
        </w:tc>
        <w:tc>
          <w:tcPr>
            <w:tcW w:w="100" w:type="dxa"/>
            <w:vAlign w:val="bottom"/>
          </w:tcPr>
          <w:p>
            <w:pPr>
              <w:spacing w:after="0"/>
              <w:rPr>
                <w:sz w:val="19"/>
                <w:szCs w:val="19"/>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2"/>
              </w:rPr>
              <w:t>284,309</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296,160</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288,435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860,583</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878,562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(22,573)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(27,808)</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(24,198)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(75,162)</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(68,842)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(31,806)</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(11,680)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(88)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(43,486)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(5,182)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(5,000)</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(894)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(132)</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(1,026)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474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6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229,036</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251,540</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264,149</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735,909</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804,538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32,481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30,841</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34,410</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99,496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(2,608)</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(2,707)</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(2,855)</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(7,892)</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(8,400)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(1,899)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(1,899)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(1,600)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(1,600)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474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6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27,935</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28,134</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29,955</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89,666</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96,717</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34,731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36,033</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33,473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111,791</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95,379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(3,789)</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(4,147)</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(5,307)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(12,252)</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(16,075)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related charges </w:t>
            </w:r>
            <w:r>
              <w:rPr>
                <w:rFonts w:ascii="Arial" w:cs="Arial" w:eastAsia="Arial" w:hAnsi="Arial"/>
                <w:sz w:val="18"/>
                <w:szCs w:val="18"/>
                <w:i w:val="1"/>
                <w:iCs w:val="1"/>
                <w:color w:val="auto"/>
              </w:rPr>
              <w:t>(a)</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(1,565)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(1,320)</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(1,115)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(3,477)</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 xml:space="preserve">Litigation matters </w:t>
            </w:r>
            <w:r>
              <w:rPr>
                <w:rFonts w:ascii="Arial" w:cs="Arial" w:eastAsia="Arial" w:hAnsi="Arial"/>
                <w:sz w:val="18"/>
                <w:szCs w:val="18"/>
                <w:i w:val="1"/>
                <w:iCs w:val="1"/>
                <w:color w:val="auto"/>
              </w:rPr>
              <w:t>(b)</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(7,060)</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(7,060)</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(2,475)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(2,901)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(2,749)</w:t>
            </w: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(2,318)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(23,952)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(4,473)</w:t>
            </w:r>
          </w:p>
        </w:tc>
        <w:tc>
          <w:tcPr>
            <w:tcW w:w="0" w:type="dxa"/>
            <w:vAlign w:val="bottom"/>
          </w:tcPr>
          <w:p>
            <w:pPr>
              <w:spacing w:after="0"/>
              <w:rPr>
                <w:sz w:val="1"/>
                <w:szCs w:val="1"/>
                <w:color w:val="auto"/>
              </w:rPr>
            </w:pPr>
          </w:p>
        </w:tc>
      </w:tr>
      <w:tr>
        <w:trPr>
          <w:trHeight w:val="223"/>
        </w:trPr>
        <w:tc>
          <w:tcPr>
            <w:tcW w:w="474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6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26,476</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20,757</w:t>
            </w:r>
          </w:p>
        </w:tc>
        <w:tc>
          <w:tcPr>
            <w:tcW w:w="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24,733</w:t>
            </w:r>
          </w:p>
        </w:tc>
        <w:tc>
          <w:tcPr>
            <w:tcW w:w="3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65,050</w:t>
            </w:r>
          </w:p>
        </w:tc>
        <w:tc>
          <w:tcPr>
            <w:tcW w:w="4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70,512</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GAAP provision (benefit) for income taxes</w:t>
            </w:r>
          </w:p>
        </w:tc>
        <w:tc>
          <w:tcPr>
            <w:tcW w:w="8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3,684</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(7,817)</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5,000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196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(591)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0" w:type="dxa"/>
            <w:vAlign w:val="bottom"/>
            <w:gridSpan w:val="2"/>
          </w:tcPr>
          <w:p>
            <w:pPr>
              <w:jc w:val="right"/>
              <w:ind w:right="420"/>
              <w:spacing w:after="0"/>
              <w:rPr>
                <w:sz w:val="20"/>
                <w:szCs w:val="20"/>
                <w:color w:val="auto"/>
              </w:rPr>
            </w:pPr>
            <w:r>
              <w:rPr>
                <w:rFonts w:ascii="Arial" w:cs="Arial" w:eastAsia="Arial" w:hAnsi="Arial"/>
                <w:sz w:val="18"/>
                <w:szCs w:val="18"/>
                <w:color w:val="auto"/>
              </w:rPr>
              <w:t>(3,671)</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Non-GAAP provision (benefit) for income taxes</w:t>
            </w: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3,684</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(8,408)</w:t>
            </w:r>
          </w:p>
        </w:tc>
        <w:tc>
          <w:tcPr>
            <w:tcW w:w="22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5,000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(3,475)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(5,720)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9" w:name="page20"/>
    <w:bookmarkEnd w:id="19"/>
    <w:p>
      <w:pPr>
        <w:ind w:left="452" w:hanging="452"/>
        <w:spacing w:after="0" w:line="252" w:lineRule="auto"/>
        <w:tabs>
          <w:tab w:leader="none" w:pos="452"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Restructuring and other related charges include costs that qualify under U.S. GAAP as restructuring costs and other incremental charges that are a direct result of restructuring. For the three months ended October 31, 2015, such other related charges include $6.2 million for the impairment of certain equipment (of which $2.2 million is in cost of goods sold) and an $8.1 million write down of inventory (in cost of goods sold) due to the restructuring of the mobile platform business. For the three months ended August 1, 2015, such other related charges included a $0.9 million impairment of equipment held for sale (in general and administrative) and a $13.9 million write down of inventory (in cost of goods sold) related to the restructuring of the mobile platform business. In addition, other related charges for all periods reported include operating expenses incurred for the maintenance of equipment held for sale.</w:t>
      </w:r>
    </w:p>
    <w:p>
      <w:pPr>
        <w:spacing w:after="0" w:line="5" w:lineRule="exact"/>
        <w:rPr>
          <w:rFonts w:ascii="Arial" w:cs="Arial" w:eastAsia="Arial" w:hAnsi="Arial"/>
          <w:sz w:val="18"/>
          <w:szCs w:val="18"/>
          <w:i w:val="1"/>
          <w:iCs w:val="1"/>
          <w:color w:val="auto"/>
        </w:rPr>
      </w:pPr>
    </w:p>
    <w:p>
      <w:pPr>
        <w:ind w:left="452" w:right="420" w:hanging="452"/>
        <w:spacing w:after="0" w:line="250" w:lineRule="auto"/>
        <w:tabs>
          <w:tab w:leader="none" w:pos="452"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Litigation matters represent accruals recognized by the Company under ASC Topic 450, “Contingencies,” in connection with the Carnegie Mellon University and certain other pending litigation.</w:t>
      </w:r>
    </w:p>
    <w:p>
      <w:pPr>
        <w:ind w:left="452" w:right="20" w:hanging="452"/>
        <w:spacing w:after="0" w:line="250" w:lineRule="auto"/>
        <w:tabs>
          <w:tab w:leader="none" w:pos="452"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costs included in general and administrative expenses for the nine months ended October 31, 2015 include authorization of a cash payment by the Board of Directors of $15.4 million to Dr. Sehat Sutardja, the Company’s Chief Executive Officer (“CEO”) (see “Note 15 - Subsequent Events” in the Notes to the Consolidated Financial Statements set forth in Part II, Item 8 of the Company’s Annual Report on Form 10-K for fiscal 2015). Other costs for all periods presented also includes costs primarily associated with the surety bond to appeal the Carnegie Mellon University judgment. Other costs included in the provision for income taxes for the nine ended October 31, 2015 include the corporate income tax effect of the $15.4 million cash payment to the Company’s CEO. Other costs included in the provision for income taxes also reflects the tax effect of restructuring costs in the three and six months ended August 1, 2015.</w:t>
      </w:r>
    </w:p>
    <w:p>
      <w:pPr>
        <w:spacing w:after="0" w:line="3" w:lineRule="exact"/>
        <w:rPr>
          <w:rFonts w:ascii="Arial" w:cs="Arial" w:eastAsia="Arial" w:hAnsi="Arial"/>
          <w:sz w:val="18"/>
          <w:szCs w:val="18"/>
          <w:i w:val="1"/>
          <w:iCs w:val="1"/>
          <w:color w:val="auto"/>
        </w:rPr>
      </w:pPr>
    </w:p>
    <w:p>
      <w:pPr>
        <w:ind w:left="452" w:right="80" w:hanging="452"/>
        <w:spacing w:after="0" w:line="281" w:lineRule="auto"/>
        <w:tabs>
          <w:tab w:leader="none" w:pos="452" w:val="left"/>
        </w:tabs>
        <w:numPr>
          <w:ilvl w:val="0"/>
          <w:numId w:val="8"/>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in all periods presented, the GAAP diluted weighted average shares outstanding is adjusted to exclude the potential benefits of share-based compensation costs expected to be incurred in future periods but not yet recognized in the financial statements. The non-GAAP diluted weighted average shares outstanding for the three and nine months ended October 31, 2015, and the three months ended August 1, 2015 also include the effects from dilutive securities which were excluded from the GAAP diluted weighted average shares outstanding since their effect was antidilutive due to the GAAP net loss reported in each of the corresponding periods.</w:t>
      </w:r>
    </w:p>
    <w:p>
      <w:pPr>
        <w:spacing w:after="0" w:line="3" w:lineRule="exact"/>
        <w:rPr>
          <w:rFonts w:ascii="Arial" w:cs="Arial" w:eastAsia="Arial" w:hAnsi="Arial"/>
          <w:sz w:val="16"/>
          <w:szCs w:val="16"/>
          <w:i w:val="1"/>
          <w:iCs w:val="1"/>
          <w:color w:val="auto"/>
        </w:rPr>
      </w:pPr>
    </w:p>
    <w:p>
      <w:pPr>
        <w:ind w:left="452" w:right="20" w:hanging="452"/>
        <w:spacing w:after="0" w:line="250" w:lineRule="auto"/>
        <w:tabs>
          <w:tab w:leader="none" w:pos="452"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The condensed consolidated financial statements for the three and nine months ended October 31, 2015, and the three months ended August 1, 2015 are preliminary and therefore, subject to adjustments in connection with subsequent events arising through the date of the Company’s filing of its Quarterly Reports on Form 10-Q for the corresponding periods. The filing of each respective Form 10-Q will be completed as soon as practicable after the completion of the independent investigation by the Audit Committee of certain accounting and internal control matters in the second quarter of fiscal 2016, the appointment of an independent registered public accounting firm and the completion of review procedures by such firm.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pacing w:after="0" w:line="3" w:lineRule="exact"/>
        <w:rPr>
          <w:rFonts w:ascii="Arial" w:cs="Arial" w:eastAsia="Arial" w:hAnsi="Arial"/>
          <w:sz w:val="18"/>
          <w:szCs w:val="18"/>
          <w:i w:val="1"/>
          <w:iCs w:val="1"/>
          <w:color w:val="auto"/>
        </w:rPr>
      </w:pPr>
    </w:p>
    <w:p>
      <w:pPr>
        <w:ind w:left="452" w:right="40" w:hanging="452"/>
        <w:spacing w:after="0" w:line="286" w:lineRule="auto"/>
        <w:tabs>
          <w:tab w:leader="none" w:pos="452" w:val="left"/>
        </w:tabs>
        <w:numPr>
          <w:ilvl w:val="0"/>
          <w:numId w:val="8"/>
        </w:numPr>
        <w:rPr>
          <w:rFonts w:ascii="Arial" w:cs="Arial" w:eastAsia="Arial" w:hAnsi="Arial"/>
          <w:sz w:val="16"/>
          <w:szCs w:val="16"/>
          <w:i w:val="1"/>
          <w:iCs w:val="1"/>
          <w:color w:val="auto"/>
        </w:rPr>
      </w:pPr>
      <w:r>
        <w:rPr>
          <w:rFonts w:ascii="Arial" w:cs="Arial" w:eastAsia="Arial" w:hAnsi="Arial"/>
          <w:sz w:val="16"/>
          <w:szCs w:val="16"/>
          <w:color w:val="auto"/>
        </w:rPr>
        <w:t>The condensed consolidated financial statements for the three months ended August 1, 2015, for which the Company previously reported preliminary financial results on September 11, 2015, have been adjusted due to the delayed filing of its Form 10-Q for the second quarter. These adjustments were made to account for subsequent activities associated with conditions that existed as of August 1, 2015 (Type I Subsequent Events) and are not related to the Audit Committee’s investigation of certain accounting and internal control matters. Adjustments that have been recorded to the Company’s preliminary financial results after September 11, 2015 include a $13.9 million write down of inventory primarily associated with certain products for the mobile platform business that the Company announced it was restructuring, a $1.2 million charge related to litigation, a $0.9 million impairment on equipment held for sale, an adjustment of $1.1 million to cost of goods sold and corresponding change to the income tax benefit from $11.4 million to $7.8 million. Due to the delayed filing and as a result of future subsequent events, there may be additional adjustments to these preliminary financial results through the date of the Company’s filing of its Form 10-Q. The final financial results reported for these periods may differ from the results reported in this release as a result of the Audit Committee’s ongoing investigation described under the heading “Audit Committee Investigation and Related Matters” and review procedures to be performed by an independent registered public accounting firm.</w:t>
      </w:r>
    </w:p>
    <w:p>
      <w:pPr>
        <w:sectPr>
          <w:pgSz w:w="11900" w:h="16838" w:orient="portrait"/>
          <w:cols w:equalWidth="0" w:num="1">
            <w:col w:w="11412"/>
          </w:cols>
          <w:pgMar w:left="248" w:top="274" w:right="239" w:bottom="1440" w:gutter="0" w:footer="0" w:header="0"/>
        </w:sectPr>
      </w:pPr>
    </w:p>
    <w:bookmarkStart w:id="20" w:name="page21"/>
    <w:bookmarkEnd w:id="20"/>
    <w:p>
      <w:pPr>
        <w:jc w:val="right"/>
        <w:spacing w:after="0"/>
        <w:rPr>
          <w:sz w:val="20"/>
          <w:szCs w:val="20"/>
          <w:color w:val="auto"/>
        </w:rPr>
      </w:pPr>
      <w:r>
        <w:rPr>
          <w:rFonts w:ascii="Arial" w:cs="Arial" w:eastAsia="Arial" w:hAnsi="Arial"/>
          <w:sz w:val="18"/>
          <w:szCs w:val="18"/>
          <w:b w:val="1"/>
          <w:bCs w:val="1"/>
          <w:color w:val="auto"/>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5150485</wp:posOffset>
            </wp:positionH>
            <wp:positionV relativeFrom="paragraph">
              <wp:posOffset>172085</wp:posOffset>
            </wp:positionV>
            <wp:extent cx="1792605" cy="13716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81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19"/>
                <w:szCs w:val="19"/>
                <w:color w:val="auto"/>
              </w:rPr>
            </w:pPr>
          </w:p>
        </w:tc>
      </w:tr>
      <w:tr>
        <w:trPr>
          <w:trHeight w:val="216"/>
        </w:trPr>
        <w:tc>
          <w:tcPr>
            <w:tcW w:w="812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81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646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646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200"/>
        <w:spacing w:after="0" w:line="266" w:lineRule="auto"/>
        <w:rPr>
          <w:sz w:val="20"/>
          <w:szCs w:val="20"/>
          <w:color w:val="auto"/>
        </w:rPr>
      </w:pPr>
      <w:r>
        <w:rPr>
          <w:rFonts w:ascii="Arial" w:cs="Arial" w:eastAsia="Arial" w:hAnsi="Arial"/>
          <w:sz w:val="18"/>
          <w:szCs w:val="18"/>
          <w:b w:val="1"/>
          <w:bCs w:val="1"/>
          <w:color w:val="auto"/>
        </w:rPr>
        <w:t xml:space="preserve">Santa Clara, Calif. (December 7, 2015)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the Board of Directors has approved a quarterly dividend payment of $0.06 per share to all shareholders of record as of December 16, 2015. Marvell intends to pay the dividend on December 29, 2015.</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expectations regarding the timing of payment of declared or future dividends.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results of operations, cash balances and future cash requirements, financial condition, developments in ongoing litigation, statutory requirements of Bermuda law and other factors that Marvell’s board of directors may deem relevant. For other factors that could cause Marvell’s results to vary from expectations, please see the risk factors identified in the Marvell’s latest Annual Report on Form 10-K for the fiscal year ended January 31, 2015 and latest Quarterly Report on Form 10-Q for the fiscal quarter ended May 2, 2015 as filed with the SEC,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121" w:right="239" w:bottom="1440" w:gutter="0" w:footer="0" w:header="0"/>
        </w:sectPr>
      </w:pPr>
    </w:p>
    <w:bookmarkStart w:id="21" w:name="page22"/>
    <w:bookmarkEnd w:id="2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1)"/>
      <w:numFmt w:val="lowerLetter"/>
      <w:start w:val="4"/>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1)"/>
      <w:numFmt w:val="lowerLetter"/>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jpeg"/><Relationship Id="rId38" Type="http://schemas.openxmlformats.org/officeDocument/2006/relationships/image" Target="media/image3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2019-12-07T03:04:33Z</dcterms:created>
  <dcterms:modified xsi:type="dcterms:W3CDTF">2019-12-07T03:04:33Z</dcterms:modified>
</cp:coreProperties>
</file>