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(Date of earliest event reported): March 15,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60"/>
          </w:cols>
          <w:pgMar w:left="240" w:top="368" w:right="23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80"/>
          </w:cols>
          <w:pgMar w:left="240" w:top="368" w:right="239" w:bottom="1440" w:gutter="0" w:footer="0" w:header="0"/>
          <w:type w:val="continuous"/>
        </w:sectPr>
      </w:pPr>
    </w:p>
    <w:p>
      <w:pPr>
        <w:spacing w:after="0" w:line="6"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1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9200"/>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right="1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20"/>
          </w:cols>
          <w:pgMar w:left="240" w:top="368" w:right="2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On March 15, 2018, Marvell Technology Group Ltd. (the “Company”) announced that its Board of Directors had declared the payment of its quarterly dividend of $0.06 per share to be paid on April 18, 2018 to all shareholders of record as of March 29, 2018.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8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March 15, 2018, titled “Marvell Technology Group Ltd. Declares Quarterly Dividend Payment”</w:t>
        </w:r>
      </w:hyperlink>
    </w:p>
    <w:p>
      <w:pPr>
        <w:sectPr>
          <w:pgSz w:w="11900" w:h="16838" w:orient="portrait"/>
          <w:cols w:equalWidth="0" w:num="1">
            <w:col w:w="11320"/>
          </w:cols>
          <w:pgMar w:left="240" w:top="270" w:right="3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March 15, 2018</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1420"/>
          </w:cols>
          <w:pgMar w:left="240" w:top="270" w:right="2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172085</wp:posOffset>
            </wp:positionV>
            <wp:extent cx="2263775" cy="2743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263775" cy="2743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200"/>
        <w:spacing w:after="0" w:line="313" w:lineRule="auto"/>
        <w:rPr>
          <w:sz w:val="20"/>
          <w:szCs w:val="20"/>
          <w:color w:val="auto"/>
        </w:rPr>
      </w:pPr>
      <w:r>
        <w:rPr>
          <w:rFonts w:ascii="Arial" w:cs="Arial" w:eastAsia="Arial" w:hAnsi="Arial"/>
          <w:sz w:val="17"/>
          <w:szCs w:val="17"/>
          <w:b w:val="1"/>
          <w:bCs w:val="1"/>
          <w:color w:val="auto"/>
        </w:rPr>
        <w:t>SANTA CLARA, Calif. (March 15, 2018</w:t>
      </w:r>
      <w:r>
        <w:rPr>
          <w:rFonts w:ascii="Arial" w:cs="Arial" w:eastAsia="Arial" w:hAnsi="Arial"/>
          <w:sz w:val="17"/>
          <w:szCs w:val="17"/>
          <w:color w:val="auto"/>
        </w:rPr>
        <w:t>) –</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Marvell</w:t>
      </w:r>
      <w:r>
        <w:rPr>
          <w:rFonts w:ascii="Arial" w:cs="Arial" w:eastAsia="Arial" w:hAnsi="Arial"/>
          <w:sz w:val="17"/>
          <w:szCs w:val="17"/>
          <w:b w:val="1"/>
          <w:bCs w:val="1"/>
          <w:color w:val="auto"/>
        </w:rPr>
        <w:t xml:space="preserve"> </w:t>
      </w:r>
      <w:r>
        <w:rPr>
          <w:rFonts w:ascii="Arial" w:cs="Arial" w:eastAsia="Arial" w:hAnsi="Arial"/>
          <w:sz w:val="17"/>
          <w:szCs w:val="17"/>
          <w:color w:val="auto"/>
        </w:rPr>
        <w:t>(NASDAQ:MRVL), a leader in storage, networking and connectivity semiconductor solutions, today</w:t>
      </w:r>
      <w:r>
        <w:rPr>
          <w:rFonts w:ascii="Arial" w:cs="Arial" w:eastAsia="Arial" w:hAnsi="Arial"/>
          <w:sz w:val="17"/>
          <w:szCs w:val="17"/>
          <w:b w:val="1"/>
          <w:bCs w:val="1"/>
          <w:color w:val="auto"/>
        </w:rPr>
        <w:t xml:space="preserve"> </w:t>
      </w:r>
      <w:r>
        <w:rPr>
          <w:rFonts w:ascii="Arial" w:cs="Arial" w:eastAsia="Arial" w:hAnsi="Arial"/>
          <w:sz w:val="17"/>
          <w:szCs w:val="17"/>
          <w:color w:val="auto"/>
        </w:rPr>
        <w:t>announced a quarterly dividend of $0.06 per share of common stock payable on April 18, 2018 to stockholders of record as of March 29, 2018.</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Marvell logo are registered trademarks of Marvell and/or its affiliates.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2019-12-28T23:13:09Z</dcterms:created>
  <dcterms:modified xsi:type="dcterms:W3CDTF">2019-12-28T23:13:09Z</dcterms:modified>
</cp:coreProperties>
</file>