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October 29, 2016</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20"/>
        <w:spacing w:after="0"/>
        <w:tabs>
          <w:tab w:leader="none" w:pos="678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-10160</wp:posOffset>
            </wp:positionV>
            <wp:extent cx="81724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November 28, 2016 was 507.9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13"/>
            <w:vMerge w:val="restart"/>
          </w:tcPr>
          <w:p>
            <w:pPr>
              <w:jc w:val="center"/>
              <w:ind w:right="2320"/>
              <w:spacing w:after="0"/>
              <w:rPr>
                <w:rFonts w:ascii="Arial" w:cs="Arial" w:eastAsia="Arial" w:hAnsi="Arial"/>
                <w:sz w:val="18"/>
                <w:szCs w:val="18"/>
                <w:b w:val="1"/>
                <w:bCs w:val="1"/>
                <w:color w:val="0000EE"/>
                <w:w w:val="99"/>
              </w:rPr>
            </w:pPr>
            <w:hyperlink w:anchor="page3">
              <w:r>
                <w:rPr>
                  <w:rFonts w:ascii="Arial" w:cs="Arial" w:eastAsia="Arial" w:hAnsi="Arial"/>
                  <w:sz w:val="18"/>
                  <w:szCs w:val="18"/>
                  <w:b w:val="1"/>
                  <w:bCs w:val="1"/>
                  <w:color w:val="0000EE"/>
                  <w:w w:val="99"/>
                </w:rPr>
                <w:t>PART I. FINANCIAL INFORMATION</w:t>
              </w:r>
            </w:hyperlink>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56"/>
        </w:trPr>
        <w:tc>
          <w:tcPr>
            <w:tcW w:w="8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8300" w:type="dxa"/>
            <w:vAlign w:val="bottom"/>
            <w:gridSpan w:val="13"/>
            <w:vMerge w:val="continue"/>
          </w:tcPr>
          <w:p>
            <w:pPr>
              <w:spacing w:after="0"/>
              <w:rPr>
                <w:sz w:val="13"/>
                <w:szCs w:val="13"/>
                <w:color w:val="auto"/>
              </w:rPr>
            </w:pPr>
          </w:p>
        </w:tc>
        <w:tc>
          <w:tcPr>
            <w:tcW w:w="2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240" w:type="dxa"/>
            <w:vAlign w:val="bottom"/>
            <w:gridSpan w:val="7"/>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980" w:type="dxa"/>
            <w:vAlign w:val="bottom"/>
            <w:tcBorders>
              <w:top w:val="single" w:sz="8" w:color="0000EE"/>
            </w:tcBorders>
            <w:gridSpan w:val="6"/>
          </w:tcPr>
          <w:p>
            <w:pPr>
              <w:spacing w:after="0"/>
              <w:rPr>
                <w:sz w:val="17"/>
                <w:szCs w:val="17"/>
                <w:color w:val="auto"/>
              </w:rPr>
            </w:pPr>
          </w:p>
        </w:tc>
        <w:tc>
          <w:tcPr>
            <w:tcW w:w="3820" w:type="dxa"/>
            <w:vAlign w:val="bottom"/>
            <w:gridSpan w:val="6"/>
          </w:tcPr>
          <w:p>
            <w:pPr>
              <w:spacing w:after="0"/>
              <w:rPr>
                <w:sz w:val="17"/>
                <w:szCs w:val="17"/>
                <w:color w:val="auto"/>
              </w:rPr>
            </w:pPr>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6840" w:type="dxa"/>
            <w:vAlign w:val="bottom"/>
            <w:tcBorders>
              <w:bottom w:val="single" w:sz="8" w:color="0000EE"/>
            </w:tcBorders>
            <w:gridSpan w:val="15"/>
          </w:tcPr>
          <w:p>
            <w:pPr>
              <w:spacing w:after="0" w:line="196" w:lineRule="exact"/>
              <w:rPr>
                <w:rFonts w:ascii="Arial" w:cs="Arial" w:eastAsia="Arial" w:hAnsi="Arial"/>
                <w:sz w:val="18"/>
                <w:szCs w:val="18"/>
                <w:color w:val="0000EE"/>
                <w:w w:val="86"/>
              </w:rPr>
            </w:pPr>
            <w:hyperlink w:anchor="page3">
              <w:r>
                <w:rPr>
                  <w:rFonts w:ascii="Arial" w:cs="Arial" w:eastAsia="Arial" w:hAnsi="Arial"/>
                  <w:sz w:val="18"/>
                  <w:szCs w:val="18"/>
                  <w:color w:val="0000EE"/>
                  <w:w w:val="86"/>
                </w:rPr>
                <w:t>Unaudited Condensed Consolidated Balance Sheets as of October 29, 2016 and January 30, 2016</w:t>
              </w:r>
            </w:hyperlink>
          </w:p>
        </w:tc>
        <w:tc>
          <w:tcPr>
            <w:tcW w:w="3200" w:type="dxa"/>
            <w:vAlign w:val="bottom"/>
            <w:gridSpan w:val="4"/>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9760" w:type="dxa"/>
            <w:vAlign w:val="bottom"/>
            <w:tcBorders>
              <w:bottom w:val="single" w:sz="8" w:color="0000EE"/>
            </w:tcBorders>
            <w:gridSpan w:val="18"/>
          </w:tcPr>
          <w:p>
            <w:pPr>
              <w:spacing w:after="0" w:line="196" w:lineRule="exact"/>
              <w:rPr>
                <w:rFonts w:ascii="Arial" w:cs="Arial" w:eastAsia="Arial" w:hAnsi="Arial"/>
                <w:sz w:val="18"/>
                <w:szCs w:val="18"/>
                <w:color w:val="0000EE"/>
                <w:w w:val="87"/>
              </w:rPr>
            </w:pPr>
            <w:hyperlink w:anchor="page4">
              <w:r>
                <w:rPr>
                  <w:rFonts w:ascii="Arial" w:cs="Arial" w:eastAsia="Arial" w:hAnsi="Arial"/>
                  <w:sz w:val="18"/>
                  <w:szCs w:val="18"/>
                  <w:color w:val="0000EE"/>
                  <w:w w:val="87"/>
                </w:rPr>
                <w:t>Unaudited Condensed Consolidated Statements of Operations for the three and nine months ended October 29, 2016 and October 31, 2015</w:t>
              </w:r>
            </w:hyperlink>
          </w:p>
        </w:tc>
        <w:tc>
          <w:tcPr>
            <w:tcW w:w="28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19"/>
          </w:tcPr>
          <w:p>
            <w:pPr>
              <w:spacing w:after="0" w:line="196" w:lineRule="exact"/>
              <w:rPr>
                <w:rFonts w:ascii="Arial" w:cs="Arial" w:eastAsia="Arial" w:hAnsi="Arial"/>
                <w:sz w:val="18"/>
                <w:szCs w:val="18"/>
                <w:color w:val="0000EE"/>
                <w:w w:val="91"/>
              </w:rPr>
            </w:pPr>
            <w:hyperlink w:anchor="page5">
              <w:r>
                <w:rPr>
                  <w:rFonts w:ascii="Arial" w:cs="Arial" w:eastAsia="Arial" w:hAnsi="Arial"/>
                  <w:sz w:val="18"/>
                  <w:szCs w:val="18"/>
                  <w:color w:val="0000EE"/>
                  <w:w w:val="91"/>
                </w:rPr>
                <w:t>Unaudited Condensed Consolidated Statements of Comprehensive Income (Loss) for the three and nine months ended October 29, 2016</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9580" w:type="dxa"/>
            <w:vAlign w:val="bottom"/>
            <w:tcBorders>
              <w:top w:val="single" w:sz="8" w:color="0000EE"/>
            </w:tcBorders>
            <w:gridSpan w:val="17"/>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and October 31, 2015</w:t>
              </w:r>
            </w:hyperlink>
          </w:p>
        </w:tc>
        <w:tc>
          <w:tcPr>
            <w:tcW w:w="46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820" w:type="dxa"/>
            <w:vAlign w:val="bottom"/>
            <w:gridSpan w:val="2"/>
          </w:tcPr>
          <w:p>
            <w:pPr>
              <w:spacing w:after="0" w:line="20" w:lineRule="exact"/>
              <w:rPr>
                <w:sz w:val="1"/>
                <w:szCs w:val="1"/>
                <w:color w:val="auto"/>
              </w:rPr>
            </w:pPr>
          </w:p>
        </w:tc>
        <w:tc>
          <w:tcPr>
            <w:tcW w:w="92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rPr>
                <w:sz w:val="17"/>
                <w:szCs w:val="17"/>
                <w:color w:val="auto"/>
              </w:rPr>
            </w:pPr>
          </w:p>
        </w:tc>
        <w:tc>
          <w:tcPr>
            <w:tcW w:w="9120" w:type="dxa"/>
            <w:vAlign w:val="bottom"/>
            <w:tcBorders>
              <w:bottom w:val="single" w:sz="8" w:color="0000EE"/>
            </w:tcBorders>
            <w:gridSpan w:val="16"/>
          </w:tcPr>
          <w:p>
            <w:pPr>
              <w:spacing w:after="0" w:line="196" w:lineRule="exact"/>
              <w:rPr>
                <w:rFonts w:ascii="Arial" w:cs="Arial" w:eastAsia="Arial" w:hAnsi="Arial"/>
                <w:sz w:val="18"/>
                <w:szCs w:val="18"/>
                <w:color w:val="0000EE"/>
                <w:w w:val="87"/>
              </w:rPr>
            </w:pPr>
            <w:hyperlink w:anchor="page6">
              <w:r>
                <w:rPr>
                  <w:rFonts w:ascii="Arial" w:cs="Arial" w:eastAsia="Arial" w:hAnsi="Arial"/>
                  <w:sz w:val="18"/>
                  <w:szCs w:val="18"/>
                  <w:color w:val="0000EE"/>
                  <w:w w:val="87"/>
                </w:rPr>
                <w:t>Unaudited Condensed Consolidated Statements of Cash Flows for the nine months ended October 29, 2016 and October 31, 2015</w:t>
              </w:r>
            </w:hyperlink>
          </w:p>
        </w:tc>
        <w:tc>
          <w:tcPr>
            <w:tcW w:w="92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4680" w:type="dxa"/>
            <w:vAlign w:val="bottom"/>
            <w:tcBorders>
              <w:bottom w:val="single" w:sz="8" w:color="0000EE"/>
            </w:tcBorders>
            <w:gridSpan w:val="11"/>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5360" w:type="dxa"/>
            <w:vAlign w:val="bottom"/>
            <w:gridSpan w:val="8"/>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19"/>
          </w:tcPr>
          <w:p>
            <w:pPr>
              <w:spacing w:after="0" w:line="196" w:lineRule="exact"/>
              <w:rPr>
                <w:rFonts w:ascii="Arial" w:cs="Arial" w:eastAsia="Arial" w:hAnsi="Arial"/>
                <w:sz w:val="18"/>
                <w:szCs w:val="18"/>
                <w:color w:val="0000EE"/>
              </w:rPr>
            </w:pPr>
            <w:hyperlink w:anchor="page27">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26</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10"/>
          </w:tcPr>
          <w:p>
            <w:pPr>
              <w:spacing w:after="0" w:line="196" w:lineRule="exact"/>
              <w:rPr>
                <w:rFonts w:ascii="Arial" w:cs="Arial" w:eastAsia="Arial" w:hAnsi="Arial"/>
                <w:sz w:val="18"/>
                <w:szCs w:val="18"/>
                <w:color w:val="0000EE"/>
                <w:w w:val="89"/>
              </w:rPr>
            </w:pPr>
            <w:hyperlink w:anchor="page35">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4"/>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19"/>
          </w:tcPr>
          <w:p>
            <w:pPr>
              <w:spacing w:after="0" w:line="196" w:lineRule="exact"/>
              <w:rPr>
                <w:rFonts w:ascii="Arial" w:cs="Arial" w:eastAsia="Arial" w:hAnsi="Arial"/>
                <w:sz w:val="18"/>
                <w:szCs w:val="18"/>
                <w:color w:val="0000EE"/>
              </w:rPr>
            </w:pPr>
            <w:hyperlink w:anchor="page36">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60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500" w:type="dxa"/>
            <w:vAlign w:val="bottom"/>
          </w:tcPr>
          <w:p>
            <w:pPr>
              <w:spacing w:after="0"/>
              <w:rPr>
                <w:sz w:val="17"/>
                <w:szCs w:val="17"/>
                <w:color w:val="auto"/>
              </w:rPr>
            </w:pPr>
          </w:p>
        </w:tc>
        <w:tc>
          <w:tcPr>
            <w:tcW w:w="6800" w:type="dxa"/>
            <w:vAlign w:val="bottom"/>
            <w:gridSpan w:val="12"/>
          </w:tcPr>
          <w:p>
            <w:pPr>
              <w:jc w:val="center"/>
              <w:ind w:right="3820"/>
              <w:spacing w:after="0" w:line="196" w:lineRule="exact"/>
              <w:rPr>
                <w:rFonts w:ascii="Arial" w:cs="Arial" w:eastAsia="Arial" w:hAnsi="Arial"/>
                <w:sz w:val="18"/>
                <w:szCs w:val="18"/>
                <w:b w:val="1"/>
                <w:bCs w:val="1"/>
                <w:color w:val="0000EE"/>
              </w:rPr>
            </w:pPr>
            <w:hyperlink w:anchor="page41">
              <w:r>
                <w:rPr>
                  <w:rFonts w:ascii="Arial" w:cs="Arial" w:eastAsia="Arial" w:hAnsi="Arial"/>
                  <w:sz w:val="18"/>
                  <w:szCs w:val="18"/>
                  <w:b w:val="1"/>
                  <w:bCs w:val="1"/>
                  <w:color w:val="0000EE"/>
                </w:rPr>
                <w:t>PART II. OTHER INFORMATION</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w:t>
            </w:r>
          </w:p>
        </w:tc>
        <w:tc>
          <w:tcPr>
            <w:tcW w:w="3380" w:type="dxa"/>
            <w:vAlign w:val="bottom"/>
            <w:gridSpan w:val="8"/>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Legal Proceedings</w:t>
              </w:r>
            </w:hyperlink>
          </w:p>
        </w:tc>
        <w:tc>
          <w:tcPr>
            <w:tcW w:w="2700" w:type="dxa"/>
            <w:vAlign w:val="bottom"/>
            <w:tcBorders>
              <w:top w:val="single" w:sz="8" w:color="0000EE"/>
            </w:tcBorders>
            <w:gridSpan w:val="4"/>
          </w:tcPr>
          <w:p>
            <w:pPr>
              <w:spacing w:after="0"/>
              <w:rPr>
                <w:sz w:val="17"/>
                <w:szCs w:val="17"/>
                <w:color w:val="auto"/>
              </w:rPr>
            </w:pPr>
          </w:p>
        </w:tc>
        <w:tc>
          <w:tcPr>
            <w:tcW w:w="3960" w:type="dxa"/>
            <w:vAlign w:val="bottom"/>
            <w:gridSpan w:val="7"/>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line="196" w:lineRule="exact"/>
              <w:rPr>
                <w:rFonts w:ascii="Arial" w:cs="Arial" w:eastAsia="Arial" w:hAnsi="Arial"/>
                <w:sz w:val="18"/>
                <w:szCs w:val="18"/>
                <w:color w:val="0000EE"/>
              </w:rPr>
            </w:pPr>
            <w:hyperlink w:anchor="page41">
              <w:r>
                <w:rPr>
                  <w:rFonts w:ascii="Arial" w:cs="Arial" w:eastAsia="Arial" w:hAnsi="Arial"/>
                  <w:sz w:val="18"/>
                  <w:szCs w:val="18"/>
                  <w:color w:val="0000EE"/>
                </w:rPr>
                <w:t>Risk Factors</w:t>
              </w:r>
            </w:hyperlink>
          </w:p>
        </w:tc>
        <w:tc>
          <w:tcPr>
            <w:tcW w:w="8740" w:type="dxa"/>
            <w:vAlign w:val="bottom"/>
            <w:gridSpan w:val="1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360" w:type="dxa"/>
            <w:vAlign w:val="bottom"/>
            <w:gridSpan w:val="6"/>
          </w:tcPr>
          <w:p>
            <w:pPr>
              <w:spacing w:after="0" w:line="20" w:lineRule="exact"/>
              <w:rPr>
                <w:sz w:val="1"/>
                <w:szCs w:val="1"/>
                <w:color w:val="auto"/>
              </w:rPr>
            </w:pPr>
          </w:p>
        </w:tc>
        <w:tc>
          <w:tcPr>
            <w:tcW w:w="5800" w:type="dxa"/>
            <w:vAlign w:val="bottom"/>
            <w:gridSpan w:val="1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19"/>
          </w:tcPr>
          <w:p>
            <w:pPr>
              <w:spacing w:after="0" w:line="196" w:lineRule="exact"/>
              <w:rPr>
                <w:rFonts w:ascii="Arial" w:cs="Arial" w:eastAsia="Arial" w:hAnsi="Arial"/>
                <w:sz w:val="18"/>
                <w:szCs w:val="18"/>
                <w:color w:val="0000EE"/>
              </w:rPr>
            </w:pPr>
            <w:hyperlink w:anchor="page56">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Item 6.</w:t>
            </w:r>
          </w:p>
        </w:tc>
        <w:tc>
          <w:tcPr>
            <w:tcW w:w="60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91"/>
              </w:rPr>
            </w:pPr>
            <w:hyperlink w:anchor="page56">
              <w:r>
                <w:rPr>
                  <w:rFonts w:ascii="Arial" w:cs="Arial" w:eastAsia="Arial" w:hAnsi="Arial"/>
                  <w:sz w:val="18"/>
                  <w:szCs w:val="18"/>
                  <w:color w:val="0000EE"/>
                  <w:w w:val="91"/>
                </w:rPr>
                <w:t>Exhibits</w:t>
              </w:r>
            </w:hyperlink>
          </w:p>
        </w:tc>
        <w:tc>
          <w:tcPr>
            <w:tcW w:w="3640" w:type="dxa"/>
            <w:vAlign w:val="bottom"/>
            <w:tcBorders>
              <w:top w:val="single" w:sz="8" w:color="0000EE"/>
            </w:tcBorders>
            <w:gridSpan w:val="8"/>
          </w:tcPr>
          <w:p>
            <w:pPr>
              <w:spacing w:after="0"/>
              <w:rPr>
                <w:sz w:val="17"/>
                <w:szCs w:val="17"/>
                <w:color w:val="auto"/>
              </w:rPr>
            </w:pPr>
          </w:p>
        </w:tc>
        <w:tc>
          <w:tcPr>
            <w:tcW w:w="5800" w:type="dxa"/>
            <w:vAlign w:val="bottom"/>
            <w:gridSpan w:val="10"/>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196"/>
        </w:trPr>
        <w:tc>
          <w:tcPr>
            <w:tcW w:w="880" w:type="dxa"/>
            <w:vAlign w:val="bottom"/>
          </w:tcPr>
          <w:p>
            <w:pPr>
              <w:spacing w:after="0"/>
              <w:rPr>
                <w:sz w:val="17"/>
                <w:szCs w:val="17"/>
                <w:color w:val="auto"/>
              </w:rPr>
            </w:pPr>
          </w:p>
        </w:tc>
        <w:tc>
          <w:tcPr>
            <w:tcW w:w="10040" w:type="dxa"/>
            <w:vAlign w:val="bottom"/>
            <w:gridSpan w:val="19"/>
          </w:tcPr>
          <w:p>
            <w:pPr>
              <w:spacing w:after="0" w:line="196" w:lineRule="exact"/>
              <w:rPr>
                <w:rFonts w:ascii="Arial" w:cs="Arial" w:eastAsia="Arial" w:hAnsi="Arial"/>
                <w:sz w:val="18"/>
                <w:szCs w:val="18"/>
                <w:color w:val="0000EE"/>
              </w:rPr>
            </w:pPr>
            <w:hyperlink w:anchor="page58">
              <w:r>
                <w:rPr>
                  <w:rFonts w:ascii="Arial" w:cs="Arial" w:eastAsia="Arial" w:hAnsi="Arial"/>
                  <w:sz w:val="18"/>
                  <w:szCs w:val="18"/>
                  <w:color w:val="0000EE"/>
                </w:rPr>
                <w:t>Signatures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383"/>
        </w:trPr>
        <w:tc>
          <w:tcPr>
            <w:tcW w:w="880" w:type="dxa"/>
            <w:vAlign w:val="bottom"/>
          </w:tcPr>
          <w:p>
            <w:pPr>
              <w:spacing w:after="0"/>
              <w:rPr>
                <w:sz w:val="24"/>
                <w:szCs w:val="24"/>
                <w:color w:val="auto"/>
              </w:rPr>
            </w:pPr>
          </w:p>
        </w:tc>
        <w:tc>
          <w:tcPr>
            <w:tcW w:w="740" w:type="dxa"/>
            <w:vAlign w:val="bottom"/>
            <w:tcBorders>
              <w:top w:val="single" w:sz="8" w:color="0000EE"/>
            </w:tcBorders>
            <w:gridSpan w:val="2"/>
          </w:tcPr>
          <w:p>
            <w:pPr>
              <w:spacing w:after="0"/>
              <w:rPr>
                <w:sz w:val="24"/>
                <w:szCs w:val="24"/>
                <w:color w:val="auto"/>
              </w:rPr>
            </w:pPr>
          </w:p>
        </w:tc>
        <w:tc>
          <w:tcPr>
            <w:tcW w:w="5340" w:type="dxa"/>
            <w:vAlign w:val="bottom"/>
            <w:gridSpan w:val="10"/>
          </w:tcPr>
          <w:p>
            <w:pPr>
              <w:jc w:val="right"/>
              <w:ind w:right="1200"/>
              <w:spacing w:after="0"/>
              <w:rPr>
                <w:sz w:val="20"/>
                <w:szCs w:val="20"/>
                <w:color w:val="auto"/>
              </w:rPr>
            </w:pPr>
            <w:r>
              <w:rPr>
                <w:rFonts w:ascii="Arial" w:cs="Arial" w:eastAsia="Arial" w:hAnsi="Arial"/>
                <w:sz w:val="18"/>
                <w:szCs w:val="18"/>
                <w:color w:val="auto"/>
              </w:rPr>
              <w:t>1</w:t>
            </w: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800" w:type="dxa"/>
            <w:vAlign w:val="bottom"/>
            <w:gridSpan w:val="2"/>
          </w:tcPr>
          <w:p>
            <w:pPr>
              <w:jc w:val="right"/>
              <w:spacing w:after="0"/>
              <w:rPr>
                <w:sz w:val="20"/>
                <w:szCs w:val="20"/>
                <w:color w:val="auto"/>
              </w:rPr>
            </w:pPr>
            <w:r>
              <w:rPr>
                <w:rFonts w:ascii="Arial" w:cs="Arial" w:eastAsia="Arial" w:hAnsi="Arial"/>
                <w:sz w:val="14"/>
                <w:szCs w:val="14"/>
                <w:b w:val="1"/>
                <w:bCs w:val="1"/>
                <w:color w:val="auto"/>
                <w:w w:val="93"/>
              </w:rPr>
              <w:t>October 29,</w:t>
            </w:r>
          </w:p>
        </w:tc>
        <w:tc>
          <w:tcPr>
            <w:tcW w:w="300" w:type="dxa"/>
            <w:vAlign w:val="bottom"/>
          </w:tcPr>
          <w:p>
            <w:pPr>
              <w:spacing w:after="0"/>
              <w:rPr>
                <w:sz w:val="14"/>
                <w:szCs w:val="14"/>
                <w:color w:val="auto"/>
              </w:rPr>
            </w:pPr>
          </w:p>
        </w:tc>
        <w:tc>
          <w:tcPr>
            <w:tcW w:w="1020" w:type="dxa"/>
            <w:vAlign w:val="bottom"/>
            <w:gridSpan w:val="3"/>
          </w:tcPr>
          <w:p>
            <w:pPr>
              <w:jc w:val="right"/>
              <w:ind w:right="280"/>
              <w:spacing w:after="0"/>
              <w:rPr>
                <w:sz w:val="20"/>
                <w:szCs w:val="20"/>
                <w:color w:val="auto"/>
              </w:rPr>
            </w:pPr>
            <w:r>
              <w:rPr>
                <w:rFonts w:ascii="Arial" w:cs="Arial" w:eastAsia="Arial" w:hAnsi="Arial"/>
                <w:sz w:val="14"/>
                <w:szCs w:val="14"/>
                <w:b w:val="1"/>
                <w:bCs w:val="1"/>
                <w:color w:val="auto"/>
                <w:w w:val="93"/>
              </w:rPr>
              <w:t>January 30,</w:t>
            </w: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220" w:type="dxa"/>
            <w:vAlign w:val="bottom"/>
            <w:tcBorders>
              <w:bottom w:val="single" w:sz="8" w:color="CCEEFF"/>
            </w:tcBorders>
          </w:tcPr>
          <w:p>
            <w:pPr>
              <w:spacing w:after="0"/>
              <w:rPr>
                <w:sz w:val="14"/>
                <w:szCs w:val="14"/>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751,588</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1,278,180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898,784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362,195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323,300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198,843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210,017</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49,731</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102,560</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2,261,141</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2,918,626</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265,984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299,540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Goodwill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9,334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18,010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179,068</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164,710</w:t>
            </w:r>
          </w:p>
        </w:tc>
        <w:tc>
          <w:tcPr>
            <w:tcW w:w="220" w:type="dxa"/>
            <w:vAlign w:val="bottom"/>
            <w:shd w:val="clear" w:color="auto" w:fill="CCEEFF"/>
          </w:tcPr>
          <w:p>
            <w:pPr>
              <w:spacing w:after="0"/>
              <w:rPr>
                <w:sz w:val="18"/>
                <w:szCs w:val="18"/>
                <w:color w:val="auto"/>
              </w:rPr>
            </w:pPr>
          </w:p>
        </w:tc>
      </w:tr>
      <w:tr>
        <w:trPr>
          <w:trHeight w:val="222"/>
        </w:trPr>
        <w:tc>
          <w:tcPr>
            <w:tcW w:w="788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4,754,446</w:t>
            </w:r>
          </w:p>
        </w:tc>
        <w:tc>
          <w:tcPr>
            <w:tcW w:w="4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tcPr>
          <w:p>
            <w:pPr>
              <w:spacing w:after="0"/>
              <w:rPr>
                <w:sz w:val="19"/>
                <w:szCs w:val="19"/>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r>
        <w:trPr>
          <w:trHeight w:val="211"/>
        </w:trPr>
        <w:tc>
          <w:tcPr>
            <w:tcW w:w="7880" w:type="dxa"/>
            <w:vAlign w:val="bottom"/>
            <w:shd w:val="clear" w:color="auto" w:fill="CCEEFF"/>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183,252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180,372</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124,289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132,060</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Carnegie Mellon University accrued litigation settlement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736,000</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132,050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121,631</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63,656</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55,722</w:t>
            </w:r>
          </w:p>
        </w:tc>
        <w:tc>
          <w:tcPr>
            <w:tcW w:w="220" w:type="dxa"/>
            <w:vAlign w:val="bottom"/>
            <w:shd w:val="clear" w:color="auto" w:fill="CCEEFF"/>
          </w:tcPr>
          <w:p>
            <w:pPr>
              <w:spacing w:after="0"/>
              <w:rPr>
                <w:sz w:val="18"/>
                <w:szCs w:val="18"/>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503,247</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1,225,785</w:t>
            </w:r>
          </w:p>
        </w:tc>
        <w:tc>
          <w:tcPr>
            <w:tcW w:w="220" w:type="dxa"/>
            <w:vAlign w:val="bottom"/>
          </w:tcPr>
          <w:p>
            <w:pPr>
              <w:spacing w:after="0"/>
              <w:rPr>
                <w:sz w:val="19"/>
                <w:szCs w:val="19"/>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40,524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49,256</w:t>
            </w:r>
          </w:p>
        </w:tc>
        <w:tc>
          <w:tcPr>
            <w:tcW w:w="220" w:type="dxa"/>
            <w:vAlign w:val="bottom"/>
            <w:shd w:val="clear" w:color="auto" w:fill="CCEEFF"/>
          </w:tcPr>
          <w:p>
            <w:pPr>
              <w:spacing w:after="0"/>
              <w:rPr>
                <w:sz w:val="18"/>
                <w:szCs w:val="18"/>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30,181</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26,963</w:t>
            </w:r>
          </w:p>
        </w:tc>
        <w:tc>
          <w:tcPr>
            <w:tcW w:w="220" w:type="dxa"/>
            <w:vAlign w:val="bottom"/>
          </w:tcPr>
          <w:p>
            <w:pPr>
              <w:spacing w:after="0"/>
              <w:rPr>
                <w:sz w:val="19"/>
                <w:szCs w:val="19"/>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573,952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1,302,004</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1,015</w:t>
            </w:r>
          </w:p>
        </w:tc>
        <w:tc>
          <w:tcPr>
            <w:tcW w:w="220" w:type="dxa"/>
            <w:vAlign w:val="bottom"/>
          </w:tcPr>
          <w:p>
            <w:pPr>
              <w:spacing w:after="0"/>
              <w:rPr>
                <w:sz w:val="18"/>
                <w:szCs w:val="18"/>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3,057,535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3,028,921</w:t>
            </w:r>
          </w:p>
        </w:tc>
        <w:tc>
          <w:tcPr>
            <w:tcW w:w="220" w:type="dxa"/>
            <w:vAlign w:val="bottom"/>
            <w:shd w:val="clear" w:color="auto" w:fill="CCEEFF"/>
          </w:tcPr>
          <w:p>
            <w:pPr>
              <w:spacing w:after="0"/>
              <w:rPr>
                <w:sz w:val="18"/>
                <w:szCs w:val="18"/>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 (loss)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8"/>
                <w:szCs w:val="18"/>
                <w:color w:val="auto"/>
              </w:rPr>
              <w:t>(795)</w:t>
            </w: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1,120,389</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1,110,982</w:t>
            </w:r>
          </w:p>
        </w:tc>
        <w:tc>
          <w:tcPr>
            <w:tcW w:w="220" w:type="dxa"/>
            <w:vAlign w:val="bottom"/>
            <w:shd w:val="clear" w:color="auto" w:fill="CCEEFF"/>
          </w:tcPr>
          <w:p>
            <w:pPr>
              <w:spacing w:after="0"/>
              <w:rPr>
                <w:sz w:val="18"/>
                <w:szCs w:val="18"/>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4,180,494</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4,140,123</w:t>
            </w:r>
          </w:p>
        </w:tc>
        <w:tc>
          <w:tcPr>
            <w:tcW w:w="220" w:type="dxa"/>
            <w:vAlign w:val="bottom"/>
          </w:tcPr>
          <w:p>
            <w:pPr>
              <w:spacing w:after="0"/>
              <w:rPr>
                <w:sz w:val="20"/>
                <w:szCs w:val="20"/>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4,754,446</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5,442,127</w:t>
            </w:r>
          </w:p>
        </w:tc>
        <w:tc>
          <w:tcPr>
            <w:tcW w:w="220" w:type="dxa"/>
            <w:vAlign w:val="bottom"/>
            <w:shd w:val="clear" w:color="auto" w:fill="CCEEFF"/>
          </w:tcPr>
          <w:p>
            <w:pPr>
              <w:spacing w:after="0"/>
              <w:rPr>
                <w:sz w:val="18"/>
                <w:szCs w:val="18"/>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6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w w:val="95"/>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4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29,</w:t>
            </w:r>
          </w:p>
        </w:tc>
        <w:tc>
          <w:tcPr>
            <w:tcW w:w="30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380"/>
              <w:spacing w:after="0" w:line="129" w:lineRule="exact"/>
              <w:rPr>
                <w:sz w:val="20"/>
                <w:szCs w:val="20"/>
                <w:color w:val="auto"/>
              </w:rPr>
            </w:pPr>
            <w:r>
              <w:rPr>
                <w:rFonts w:ascii="Arial" w:cs="Arial" w:eastAsia="Arial" w:hAnsi="Arial"/>
                <w:sz w:val="14"/>
                <w:szCs w:val="14"/>
                <w:b w:val="1"/>
                <w:bCs w:val="1"/>
                <w:color w:val="auto"/>
                <w:w w:val="93"/>
              </w:rPr>
              <w:t>October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4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2016</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2016</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654,422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674,890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1,821,648</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2,109,670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286,063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379,254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832,881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1,192,126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222,463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252,502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691,812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818,257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30,576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30,582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93,022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97,597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28,904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33,206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97,049</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108,884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654,667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1,164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35,270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6,326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48,862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3,150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8,286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740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571,469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733,964</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w w:val="84"/>
              </w:rPr>
              <w:t>1,728,311</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2,928,679</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4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82,953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(59,074)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93,337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(819,009)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5,470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4,644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13,242</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16,601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88,423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(54,430)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106,579</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(802,408)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15,807</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3,320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5,337</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13,192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72,616</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2"/>
              </w:rPr>
              <w:t>(57,750)</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101,242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(815,600)</w:t>
            </w:r>
          </w:p>
        </w:tc>
        <w:tc>
          <w:tcPr>
            <w:tcW w:w="0" w:type="dxa"/>
            <w:vAlign w:val="bottom"/>
          </w:tcPr>
          <w:p>
            <w:pPr>
              <w:spacing w:after="0"/>
              <w:rPr>
                <w:sz w:val="1"/>
                <w:szCs w:val="1"/>
                <w:color w:val="auto"/>
              </w:rPr>
            </w:pPr>
          </w:p>
        </w:tc>
      </w:tr>
      <w:tr>
        <w:trPr>
          <w:trHeight w:val="20"/>
        </w:trPr>
        <w:tc>
          <w:tcPr>
            <w:tcW w:w="7420" w:type="dxa"/>
            <w:vAlign w:val="bottom"/>
            <w:gridSpan w:val="2"/>
            <w:vMerge w:val="restart"/>
          </w:tcPr>
          <w:p>
            <w:pPr>
              <w:spacing w:after="0"/>
              <w:rPr>
                <w:sz w:val="20"/>
                <w:szCs w:val="20"/>
                <w:color w:val="auto"/>
              </w:rPr>
            </w:pPr>
            <w:r>
              <w:rPr>
                <w:rFonts w:ascii="Arial" w:cs="Arial" w:eastAsia="Arial" w:hAnsi="Arial"/>
                <w:sz w:val="18"/>
                <w:szCs w:val="18"/>
                <w:color w:val="auto"/>
              </w:rPr>
              <w:t>Net income (loss)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2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100" w:type="dxa"/>
            <w:vAlign w:val="bottom"/>
            <w:gridSpan w:val="2"/>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7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7400" w:type="dxa"/>
            <w:vAlign w:val="bottom"/>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0.14</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140"/>
              <w:spacing w:after="0"/>
              <w:rPr>
                <w:sz w:val="20"/>
                <w:szCs w:val="20"/>
                <w:color w:val="auto"/>
              </w:rPr>
            </w:pPr>
            <w:r>
              <w:rPr>
                <w:rFonts w:ascii="Arial" w:cs="Arial" w:eastAsia="Arial" w:hAnsi="Arial"/>
                <w:sz w:val="18"/>
                <w:szCs w:val="18"/>
                <w:color w:val="auto"/>
              </w:rPr>
              <w:t>(0.11)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0.20</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Arial" w:cs="Arial" w:eastAsia="Arial" w:hAnsi="Arial"/>
                <w:sz w:val="18"/>
                <w:szCs w:val="18"/>
                <w:color w:val="auto"/>
              </w:rPr>
              <w:t>Basic</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511,090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w w:val="86"/>
              </w:rPr>
              <w:t>504,831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510,373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512,476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522,091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6"/>
              </w:rPr>
              <w:t>504,831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516,476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512,476</w:t>
            </w:r>
          </w:p>
        </w:tc>
        <w:tc>
          <w:tcPr>
            <w:tcW w:w="0" w:type="dxa"/>
            <w:vAlign w:val="bottom"/>
          </w:tcPr>
          <w:p>
            <w:pPr>
              <w:spacing w:after="0"/>
              <w:rPr>
                <w:sz w:val="1"/>
                <w:szCs w:val="1"/>
                <w:color w:val="auto"/>
              </w:rPr>
            </w:pPr>
          </w:p>
        </w:tc>
      </w:tr>
      <w:tr>
        <w:trPr>
          <w:trHeight w:val="20"/>
        </w:trPr>
        <w:tc>
          <w:tcPr>
            <w:tcW w:w="7420" w:type="dxa"/>
            <w:vAlign w:val="bottom"/>
            <w:gridSpan w:val="2"/>
            <w:vMerge w:val="restart"/>
          </w:tcPr>
          <w:p>
            <w:pPr>
              <w:spacing w:after="0"/>
              <w:rPr>
                <w:sz w:val="20"/>
                <w:szCs w:val="20"/>
                <w:color w:val="auto"/>
              </w:rPr>
            </w:pPr>
            <w:r>
              <w:rPr>
                <w:rFonts w:ascii="Arial" w:cs="Arial" w:eastAsia="Arial" w:hAnsi="Arial"/>
                <w:sz w:val="18"/>
                <w:szCs w:val="18"/>
                <w:color w:val="auto"/>
              </w:rPr>
              <w:t>Cash dividends declared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20" w:type="dxa"/>
            <w:vAlign w:val="bottom"/>
            <w:gridSpan w:val="2"/>
            <w:vMerge w:val="continue"/>
          </w:tcPr>
          <w:p>
            <w:pPr>
              <w:spacing w:after="0"/>
              <w:rPr>
                <w:sz w:val="18"/>
                <w:szCs w:val="18"/>
                <w:color w:val="auto"/>
              </w:rPr>
            </w:pPr>
          </w:p>
        </w:tc>
        <w:tc>
          <w:tcPr>
            <w:tcW w:w="100" w:type="dxa"/>
            <w:vAlign w:val="bottom"/>
            <w:gridSpan w:val="2"/>
          </w:tcPr>
          <w:p>
            <w:pPr>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780" w:type="dxa"/>
            <w:vAlign w:val="bottom"/>
            <w:gridSpan w:val="2"/>
          </w:tcPr>
          <w:p>
            <w:pPr>
              <w:jc w:val="right"/>
              <w:ind w:right="200"/>
              <w:spacing w:after="0"/>
              <w:rPr>
                <w:sz w:val="20"/>
                <w:szCs w:val="20"/>
                <w:color w:val="auto"/>
              </w:rPr>
            </w:pPr>
            <w:r>
              <w:rPr>
                <w:rFonts w:ascii="Arial" w:cs="Arial" w:eastAsia="Arial" w:hAnsi="Arial"/>
                <w:sz w:val="18"/>
                <w:szCs w:val="18"/>
                <w:color w:val="auto"/>
              </w:rPr>
              <w:t>0.06</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0.18</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40" w:type="dxa"/>
            <w:vAlign w:val="bottom"/>
            <w:gridSpan w:val="5"/>
          </w:tcPr>
          <w:p>
            <w:pPr>
              <w:jc w:val="right"/>
              <w:ind w:right="420"/>
              <w:spacing w:after="0"/>
              <w:rPr>
                <w:sz w:val="20"/>
                <w:szCs w:val="20"/>
                <w:color w:val="auto"/>
              </w:rPr>
            </w:pPr>
            <w:r>
              <w:rPr>
                <w:rFonts w:ascii="Arial" w:cs="Arial" w:eastAsia="Arial" w:hAnsi="Arial"/>
                <w:sz w:val="14"/>
                <w:szCs w:val="14"/>
                <w:b w:val="1"/>
                <w:bCs w:val="1"/>
                <w:color w:val="auto"/>
                <w:w w:val="93"/>
              </w:rPr>
              <w:t>Three Months Ended</w:t>
            </w:r>
          </w:p>
        </w:tc>
        <w:tc>
          <w:tcPr>
            <w:tcW w:w="120" w:type="dxa"/>
            <w:vAlign w:val="bottom"/>
          </w:tcPr>
          <w:p>
            <w:pPr>
              <w:spacing w:after="0"/>
              <w:rPr>
                <w:sz w:val="14"/>
                <w:szCs w:val="14"/>
                <w:color w:val="auto"/>
              </w:rPr>
            </w:pPr>
          </w:p>
        </w:tc>
        <w:tc>
          <w:tcPr>
            <w:tcW w:w="1840" w:type="dxa"/>
            <w:vAlign w:val="bottom"/>
            <w:gridSpan w:val="5"/>
          </w:tcPr>
          <w:p>
            <w:pPr>
              <w:jc w:val="right"/>
              <w:ind w:right="40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1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1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tcBorders>
              <w:top w:val="single" w:sz="8" w:color="auto"/>
            </w:tcBorders>
            <w:gridSpan w:val="2"/>
          </w:tcPr>
          <w:p>
            <w:pPr>
              <w:jc w:val="right"/>
              <w:ind w:right="180"/>
              <w:spacing w:after="0" w:line="129" w:lineRule="exact"/>
              <w:rPr>
                <w:sz w:val="20"/>
                <w:szCs w:val="20"/>
                <w:color w:val="auto"/>
              </w:rPr>
            </w:pPr>
            <w:r>
              <w:rPr>
                <w:rFonts w:ascii="Arial" w:cs="Arial" w:eastAsia="Arial" w:hAnsi="Arial"/>
                <w:sz w:val="14"/>
                <w:szCs w:val="14"/>
                <w:b w:val="1"/>
                <w:bCs w:val="1"/>
                <w:color w:val="auto"/>
                <w:w w:val="85"/>
              </w:rPr>
              <w:t>October 29,</w:t>
            </w:r>
          </w:p>
        </w:tc>
        <w:tc>
          <w:tcPr>
            <w:tcW w:w="14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6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200" w:type="dxa"/>
            <w:vAlign w:val="bottom"/>
          </w:tcPr>
          <w:p>
            <w:pPr>
              <w:spacing w:after="0"/>
              <w:rPr>
                <w:sz w:val="14"/>
                <w:szCs w:val="14"/>
                <w:color w:val="auto"/>
              </w:rPr>
            </w:pPr>
          </w:p>
        </w:tc>
        <w:tc>
          <w:tcPr>
            <w:tcW w:w="800" w:type="dxa"/>
            <w:vAlign w:val="bottom"/>
            <w:gridSpan w:val="2"/>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c>
          <w:tcPr>
            <w:tcW w:w="800" w:type="dxa"/>
            <w:vAlign w:val="bottom"/>
            <w:gridSpan w:val="2"/>
          </w:tcPr>
          <w:p>
            <w:pPr>
              <w:jc w:val="right"/>
              <w:ind w:right="122"/>
              <w:spacing w:after="0"/>
              <w:rPr>
                <w:sz w:val="20"/>
                <w:szCs w:val="20"/>
                <w:color w:val="auto"/>
              </w:rPr>
            </w:pPr>
            <w:r>
              <w:rPr>
                <w:rFonts w:ascii="Arial" w:cs="Arial" w:eastAsia="Arial" w:hAnsi="Arial"/>
                <w:sz w:val="14"/>
                <w:szCs w:val="14"/>
                <w:b w:val="1"/>
                <w:bCs w:val="1"/>
                <w:color w:val="auto"/>
              </w:rPr>
              <w:t>2016</w:t>
            </w:r>
          </w:p>
        </w:tc>
        <w:tc>
          <w:tcPr>
            <w:tcW w:w="180" w:type="dxa"/>
            <w:vAlign w:val="bottom"/>
          </w:tcPr>
          <w:p>
            <w:pPr>
              <w:spacing w:after="0"/>
              <w:rPr>
                <w:sz w:val="14"/>
                <w:szCs w:val="14"/>
                <w:color w:val="auto"/>
              </w:rPr>
            </w:pPr>
          </w:p>
        </w:tc>
        <w:tc>
          <w:tcPr>
            <w:tcW w:w="880" w:type="dxa"/>
            <w:vAlign w:val="bottom"/>
            <w:gridSpan w:val="2"/>
          </w:tcPr>
          <w:p>
            <w:pPr>
              <w:jc w:val="right"/>
              <w:ind w:right="16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1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Net income (loss)</w:t>
            </w:r>
          </w:p>
        </w:tc>
        <w:tc>
          <w:tcPr>
            <w:tcW w:w="1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72,616</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 (57,750)</w:t>
            </w: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$101,242</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2"/>
              </w:rPr>
              <w:t>$(815,600)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spacing w:after="0"/>
              <w:rPr>
                <w:sz w:val="20"/>
                <w:szCs w:val="20"/>
                <w:color w:val="auto"/>
              </w:rPr>
            </w:pPr>
            <w:r>
              <w:rPr>
                <w:rFonts w:ascii="Arial" w:cs="Arial" w:eastAsia="Arial" w:hAnsi="Arial"/>
                <w:sz w:val="18"/>
                <w:szCs w:val="18"/>
                <w:color w:val="auto"/>
              </w:rPr>
              <w:t>Other comprehensive income (loss), net of tax:</w:t>
            </w:r>
          </w:p>
        </w:tc>
        <w:tc>
          <w:tcPr>
            <w:tcW w:w="1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marketable securities</w:t>
            </w:r>
          </w:p>
        </w:tc>
        <w:tc>
          <w:tcPr>
            <w:tcW w:w="1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(2,018)</w:t>
            </w:r>
          </w:p>
        </w:tc>
        <w:tc>
          <w:tcPr>
            <w:tcW w:w="10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(491)</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2,391</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(3,809)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tcPr>
          <w:p>
            <w:pPr>
              <w:ind w:left="420"/>
              <w:spacing w:after="0"/>
              <w:rPr>
                <w:sz w:val="20"/>
                <w:szCs w:val="20"/>
                <w:color w:val="auto"/>
              </w:rPr>
            </w:pPr>
            <w:r>
              <w:rPr>
                <w:rFonts w:ascii="Arial" w:cs="Arial" w:eastAsia="Arial" w:hAnsi="Arial"/>
                <w:sz w:val="18"/>
                <w:szCs w:val="18"/>
                <w:color w:val="auto"/>
              </w:rPr>
              <w:t>Net change in unrealized gain (loss) on auction rate securities</w:t>
            </w:r>
          </w:p>
        </w:tc>
        <w:tc>
          <w:tcPr>
            <w:tcW w:w="14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4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000" w:type="dxa"/>
            <w:vAlign w:val="bottom"/>
            <w:gridSpan w:val="3"/>
          </w:tcPr>
          <w:p>
            <w:pPr>
              <w:jc w:val="right"/>
              <w:ind w:right="200"/>
              <w:spacing w:after="0"/>
              <w:rPr>
                <w:sz w:val="20"/>
                <w:szCs w:val="20"/>
                <w:color w:val="auto"/>
              </w:rPr>
            </w:pPr>
            <w:r>
              <w:rPr>
                <w:rFonts w:ascii="Arial" w:cs="Arial" w:eastAsia="Arial" w:hAnsi="Arial"/>
                <w:sz w:val="18"/>
                <w:szCs w:val="18"/>
                <w:color w:val="auto"/>
              </w:rPr>
              <w:t>59</w:t>
            </w:r>
          </w:p>
        </w:tc>
        <w:tc>
          <w:tcPr>
            <w:tcW w:w="12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 (loss) on cash flow hedges</w:t>
            </w:r>
          </w:p>
        </w:tc>
        <w:tc>
          <w:tcPr>
            <w:tcW w:w="1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(444)</w:t>
            </w:r>
          </w:p>
        </w:tc>
        <w:tc>
          <w:tcPr>
            <w:tcW w:w="100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(472)</w:t>
            </w:r>
          </w:p>
        </w:tc>
        <w:tc>
          <w:tcPr>
            <w:tcW w:w="9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(43)</w:t>
            </w: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1,363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 of tax</w:t>
            </w:r>
          </w:p>
        </w:tc>
        <w:tc>
          <w:tcPr>
            <w:tcW w:w="14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160" w:type="dxa"/>
            <w:vAlign w:val="bottom"/>
            <w:vMerge w:val="continue"/>
          </w:tcPr>
          <w:p>
            <w:pPr>
              <w:spacing w:after="0"/>
              <w:rPr>
                <w:sz w:val="19"/>
                <w:szCs w:val="19"/>
                <w:color w:val="auto"/>
              </w:rPr>
            </w:pPr>
          </w:p>
        </w:tc>
        <w:tc>
          <w:tcPr>
            <w:tcW w:w="14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gridSpan w:val="2"/>
          </w:tcPr>
          <w:p>
            <w:pPr>
              <w:jc w:val="right"/>
              <w:ind w:right="140"/>
              <w:spacing w:after="0"/>
              <w:rPr>
                <w:sz w:val="20"/>
                <w:szCs w:val="20"/>
                <w:color w:val="auto"/>
              </w:rPr>
            </w:pPr>
            <w:r>
              <w:rPr>
                <w:rFonts w:ascii="Arial" w:cs="Arial" w:eastAsia="Arial" w:hAnsi="Arial"/>
                <w:sz w:val="18"/>
                <w:szCs w:val="18"/>
                <w:color w:val="auto"/>
              </w:rPr>
              <w:t>(2,462)</w:t>
            </w:r>
          </w:p>
        </w:tc>
        <w:tc>
          <w:tcPr>
            <w:tcW w:w="1000" w:type="dxa"/>
            <w:vAlign w:val="bottom"/>
            <w:gridSpan w:val="3"/>
          </w:tcPr>
          <w:p>
            <w:pPr>
              <w:jc w:val="right"/>
              <w:ind w:right="140"/>
              <w:spacing w:after="0"/>
              <w:rPr>
                <w:sz w:val="20"/>
                <w:szCs w:val="20"/>
                <w:color w:val="auto"/>
              </w:rPr>
            </w:pPr>
            <w:r>
              <w:rPr>
                <w:rFonts w:ascii="Arial" w:cs="Arial" w:eastAsia="Arial" w:hAnsi="Arial"/>
                <w:sz w:val="18"/>
                <w:szCs w:val="18"/>
                <w:color w:val="auto"/>
              </w:rPr>
              <w:t>(904)</w:t>
            </w:r>
          </w:p>
        </w:tc>
        <w:tc>
          <w:tcPr>
            <w:tcW w:w="980" w:type="dxa"/>
            <w:vAlign w:val="bottom"/>
            <w:gridSpan w:val="3"/>
          </w:tcPr>
          <w:p>
            <w:pPr>
              <w:jc w:val="right"/>
              <w:ind w:right="180"/>
              <w:spacing w:after="0"/>
              <w:rPr>
                <w:sz w:val="20"/>
                <w:szCs w:val="20"/>
                <w:color w:val="auto"/>
              </w:rPr>
            </w:pPr>
            <w:r>
              <w:rPr>
                <w:rFonts w:ascii="Arial" w:cs="Arial" w:eastAsia="Arial" w:hAnsi="Arial"/>
                <w:sz w:val="18"/>
                <w:szCs w:val="18"/>
                <w:color w:val="auto"/>
              </w:rPr>
              <w:t>2,348</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(2,490)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1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6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 (loss), net of tax</w:t>
            </w:r>
          </w:p>
        </w:tc>
        <w:tc>
          <w:tcPr>
            <w:tcW w:w="14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70,154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7"/>
              </w:rPr>
              <w:t>$ (58,654)</w:t>
            </w:r>
          </w:p>
        </w:tc>
        <w:tc>
          <w:tcPr>
            <w:tcW w:w="98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103,590</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(818,090)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60" w:type="dxa"/>
            <w:vAlign w:val="bottom"/>
            <w:gridSpan w:val="5"/>
          </w:tcPr>
          <w:p>
            <w:pPr>
              <w:jc w:val="right"/>
              <w:ind w:right="5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9280" w:type="dxa"/>
            <w:vAlign w:val="bottom"/>
          </w:tcPr>
          <w:p>
            <w:pPr>
              <w:spacing w:after="0"/>
              <w:rPr>
                <w:sz w:val="11"/>
                <w:szCs w:val="11"/>
                <w:color w:val="auto"/>
              </w:rPr>
            </w:pPr>
          </w:p>
        </w:tc>
        <w:tc>
          <w:tcPr>
            <w:tcW w:w="1240" w:type="dxa"/>
            <w:vAlign w:val="bottom"/>
            <w:tcBorders>
              <w:top w:val="single" w:sz="8" w:color="auto"/>
            </w:tcBorders>
            <w:gridSpan w:val="3"/>
          </w:tcPr>
          <w:p>
            <w:pPr>
              <w:jc w:val="right"/>
              <w:ind w:right="520"/>
              <w:spacing w:after="0" w:line="129" w:lineRule="exact"/>
              <w:rPr>
                <w:sz w:val="20"/>
                <w:szCs w:val="20"/>
                <w:color w:val="auto"/>
              </w:rPr>
            </w:pPr>
            <w:r>
              <w:rPr>
                <w:rFonts w:ascii="Arial" w:cs="Arial" w:eastAsia="Arial" w:hAnsi="Arial"/>
                <w:sz w:val="14"/>
                <w:szCs w:val="14"/>
                <w:b w:val="1"/>
                <w:bCs w:val="1"/>
                <w:color w:val="auto"/>
                <w:w w:val="90"/>
              </w:rPr>
              <w:t>October 29,</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2016</w:t>
            </w: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8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101,242</w:t>
            </w:r>
          </w:p>
        </w:tc>
        <w:tc>
          <w:tcPr>
            <w:tcW w:w="46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(815,600)</w:t>
            </w:r>
          </w:p>
        </w:tc>
        <w:tc>
          <w:tcPr>
            <w:tcW w:w="0" w:type="dxa"/>
            <w:vAlign w:val="bottom"/>
          </w:tcPr>
          <w:p>
            <w:pPr>
              <w:spacing w:after="0"/>
              <w:rPr>
                <w:sz w:val="1"/>
                <w:szCs w:val="1"/>
                <w:color w:val="auto"/>
              </w:rPr>
            </w:pPr>
          </w:p>
        </w:tc>
      </w:tr>
      <w:tr>
        <w:trPr>
          <w:trHeight w:val="208"/>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(loss) to net cash provided by (used in)</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92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operating activities:</w:t>
            </w:r>
          </w:p>
        </w:tc>
        <w:tc>
          <w:tcPr>
            <w:tcW w:w="80" w:type="dxa"/>
            <w:vAlign w:val="bottom"/>
            <w:shd w:val="clear" w:color="auto" w:fill="CCEEFF"/>
          </w:tcPr>
          <w:p>
            <w:pPr>
              <w:spacing w:after="0"/>
              <w:rPr>
                <w:sz w:val="19"/>
                <w:szCs w:val="19"/>
                <w:color w:val="auto"/>
              </w:rPr>
            </w:pPr>
          </w:p>
        </w:tc>
        <w:tc>
          <w:tcPr>
            <w:tcW w:w="7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81,168</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77,376</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89,912</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101,360</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8,676</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9,741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Non-cash restructuring and other related charges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2,081</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15,743</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Other non-cash expense, net</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1,020</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5,926</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9280" w:type="dxa"/>
            <w:vAlign w:val="bottom"/>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(38,895)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40,027</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10,944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21,042</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(2,578)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18,132</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10,541</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(43,735)</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(23,735)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12,016</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Carnegie Mellon University accrued litigation settlement</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(736,000)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734,715</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10,419</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(14,636)</w:t>
            </w:r>
          </w:p>
        </w:tc>
        <w:tc>
          <w:tcPr>
            <w:tcW w:w="0" w:type="dxa"/>
            <w:vAlign w:val="bottom"/>
          </w:tcPr>
          <w:p>
            <w:pPr>
              <w:spacing w:after="0"/>
              <w:rPr>
                <w:sz w:val="1"/>
                <w:szCs w:val="1"/>
                <w:color w:val="auto"/>
              </w:rPr>
            </w:pPr>
          </w:p>
        </w:tc>
      </w:tr>
      <w:tr>
        <w:trPr>
          <w:trHeight w:val="216"/>
        </w:trPr>
        <w:tc>
          <w:tcPr>
            <w:tcW w:w="928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7,934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(10,034)</w:t>
            </w:r>
          </w:p>
        </w:tc>
        <w:tc>
          <w:tcPr>
            <w:tcW w:w="0" w:type="dxa"/>
            <w:vAlign w:val="bottom"/>
          </w:tcPr>
          <w:p>
            <w:pPr>
              <w:spacing w:after="0"/>
              <w:rPr>
                <w:sz w:val="1"/>
                <w:szCs w:val="1"/>
                <w:color w:val="auto"/>
              </w:rPr>
            </w:pPr>
          </w:p>
        </w:tc>
      </w:tr>
      <w:tr>
        <w:trPr>
          <w:trHeight w:val="27"/>
        </w:trPr>
        <w:tc>
          <w:tcPr>
            <w:tcW w:w="92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operating activities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(477,281)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152,046</w:t>
            </w: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(343,810)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(922,830)</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Sales of available-for-sale securities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458,744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544,515</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Maturities of available-for-sale securities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198,293</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281,684</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Distribution from privately-held companies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 of time deposits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(200,000)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Maturities of time deposits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50,000</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(8,439)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(6,657)</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(37,724)</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(33,361)</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(10,240)</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Proceeds from sale of equipment held for sale</w:t>
            </w: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(used in) investing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117,338</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(136,804)</w:t>
            </w: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(56,531)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(260,875)</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11,836</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59,348</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(16,281)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(23,876)</w:t>
            </w:r>
          </w:p>
        </w:tc>
        <w:tc>
          <w:tcPr>
            <w:tcW w:w="0" w:type="dxa"/>
            <w:vAlign w:val="bottom"/>
          </w:tcPr>
          <w:p>
            <w:pPr>
              <w:spacing w:after="0"/>
              <w:rPr>
                <w:sz w:val="1"/>
                <w:szCs w:val="1"/>
                <w:color w:val="auto"/>
              </w:rPr>
            </w:pPr>
          </w:p>
        </w:tc>
      </w:tr>
      <w:tr>
        <w:trPr>
          <w:trHeight w:val="216"/>
        </w:trPr>
        <w:tc>
          <w:tcPr>
            <w:tcW w:w="928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rPr>
              <w:t>(91,835)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(92,374)</w:t>
            </w: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(13,848)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(11,416)</w:t>
            </w:r>
          </w:p>
        </w:tc>
        <w:tc>
          <w:tcPr>
            <w:tcW w:w="0" w:type="dxa"/>
            <w:vAlign w:val="bottom"/>
          </w:tcPr>
          <w:p>
            <w:pPr>
              <w:spacing w:after="0"/>
              <w:rPr>
                <w:sz w:val="1"/>
                <w:szCs w:val="1"/>
                <w:color w:val="auto"/>
              </w:rPr>
            </w:pPr>
          </w:p>
        </w:tc>
      </w:tr>
      <w:tr>
        <w:trPr>
          <w:trHeight w:val="223"/>
        </w:trPr>
        <w:tc>
          <w:tcPr>
            <w:tcW w:w="928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4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8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w w:val="95"/>
              </w:rPr>
              <w:t>(166,649)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(329,166)</w:t>
            </w:r>
          </w:p>
        </w:tc>
        <w:tc>
          <w:tcPr>
            <w:tcW w:w="0" w:type="dxa"/>
            <w:vAlign w:val="bottom"/>
          </w:tcPr>
          <w:p>
            <w:pPr>
              <w:spacing w:after="0"/>
              <w:rPr>
                <w:sz w:val="1"/>
                <w:szCs w:val="1"/>
                <w:color w:val="auto"/>
              </w:rPr>
            </w:pPr>
          </w:p>
        </w:tc>
      </w:tr>
      <w:tr>
        <w:trPr>
          <w:trHeight w:val="20"/>
        </w:trPr>
        <w:tc>
          <w:tcPr>
            <w:tcW w:w="9280" w:type="dxa"/>
            <w:vAlign w:val="bottom"/>
            <w:vMerge w:val="restart"/>
          </w:tcPr>
          <w:p>
            <w:pPr>
              <w:spacing w:after="0"/>
              <w:rPr>
                <w:sz w:val="20"/>
                <w:szCs w:val="20"/>
                <w:color w:val="auto"/>
              </w:rPr>
            </w:pPr>
            <w:r>
              <w:rPr>
                <w:rFonts w:ascii="Arial" w:cs="Arial" w:eastAsia="Arial" w:hAnsi="Arial"/>
                <w:sz w:val="18"/>
                <w:szCs w:val="18"/>
                <w:color w:val="auto"/>
              </w:rPr>
              <w:t>Net decrease in cash and cash equivalents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28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160" w:type="dxa"/>
            <w:vAlign w:val="bottom"/>
            <w:gridSpan w:val="2"/>
          </w:tcPr>
          <w:p>
            <w:pPr>
              <w:jc w:val="right"/>
              <w:ind w:right="400"/>
              <w:spacing w:after="0"/>
              <w:rPr>
                <w:sz w:val="20"/>
                <w:szCs w:val="20"/>
                <w:color w:val="auto"/>
              </w:rPr>
            </w:pPr>
            <w:r>
              <w:rPr>
                <w:rFonts w:ascii="Arial" w:cs="Arial" w:eastAsia="Arial" w:hAnsi="Arial"/>
                <w:sz w:val="18"/>
                <w:szCs w:val="18"/>
                <w:color w:val="auto"/>
                <w:w w:val="95"/>
              </w:rPr>
              <w:t>(526,592)</w:t>
            </w: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(313,924)</w:t>
            </w:r>
          </w:p>
        </w:tc>
        <w:tc>
          <w:tcPr>
            <w:tcW w:w="0" w:type="dxa"/>
            <w:vAlign w:val="bottom"/>
          </w:tcPr>
          <w:p>
            <w:pPr>
              <w:spacing w:after="0"/>
              <w:rPr>
                <w:sz w:val="1"/>
                <w:szCs w:val="1"/>
                <w:color w:val="auto"/>
              </w:rPr>
            </w:pPr>
          </w:p>
        </w:tc>
      </w:tr>
      <w:tr>
        <w:trPr>
          <w:trHeight w:val="218"/>
        </w:trPr>
        <w:tc>
          <w:tcPr>
            <w:tcW w:w="92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1,278,180</w:t>
            </w:r>
          </w:p>
        </w:tc>
        <w:tc>
          <w:tcPr>
            <w:tcW w:w="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8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751,588</w:t>
            </w:r>
          </w:p>
        </w:tc>
        <w:tc>
          <w:tcPr>
            <w:tcW w:w="46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897,053</w:t>
            </w:r>
          </w:p>
        </w:tc>
        <w:tc>
          <w:tcPr>
            <w:tcW w:w="0" w:type="dxa"/>
            <w:vAlign w:val="bottom"/>
          </w:tcPr>
          <w:p>
            <w:pPr>
              <w:spacing w:after="0"/>
              <w:rPr>
                <w:sz w:val="1"/>
                <w:szCs w:val="1"/>
                <w:color w:val="auto"/>
              </w:rPr>
            </w:pPr>
          </w:p>
        </w:tc>
      </w:tr>
      <w:tr>
        <w:trPr>
          <w:trHeight w:val="20"/>
        </w:trPr>
        <w:tc>
          <w:tcPr>
            <w:tcW w:w="9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171"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Marvell Technology Group Ltd., a Bermuda exempted company, and its subsidiaries (the “Company”), is a fabless semiconductor provider of high-performance application-specific standard products. The Company’s core strength is the development of complex System-on-a-Chip and System-in-a-Package devices, leveraging its extensive technology portfolio of intellectual property in the areas of analog, mixed-signal, digital signal processing, and embedded and standalone integrated circuits. The majority of the Company’s product portfolio leverages embedded central processing unit technology. The Company also develops platforms that it defines as integrated hardware along with software that incorporates digital computing technologies designed and configured to provide an optimized computing solution. The Company’s broad product portfolio includes devices for data storage, enterprise-class Ethernet data switching, Ethernet physical-layer transceivers, wireless connectivity, Internet-of-Things devices and multimedia solutions.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jc w:val="both"/>
        <w:ind w:right="2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2017 and 2016 each have a 52-week period. The next 53-week year will be fiscal 2018.</w:t>
      </w:r>
    </w:p>
    <w:p>
      <w:pPr>
        <w:spacing w:after="0" w:line="140" w:lineRule="exact"/>
        <w:rPr>
          <w:sz w:val="20"/>
          <w:szCs w:val="20"/>
          <w:color w:val="auto"/>
        </w:rPr>
      </w:pPr>
    </w:p>
    <w:p>
      <w:pPr>
        <w:ind w:right="20" w:firstLine="456"/>
        <w:spacing w:after="0" w:line="310" w:lineRule="auto"/>
        <w:rPr>
          <w:sz w:val="20"/>
          <w:szCs w:val="20"/>
          <w:color w:val="auto"/>
        </w:rPr>
      </w:pPr>
      <w:r>
        <w:rPr>
          <w:rFonts w:ascii="Arial" w:cs="Arial" w:eastAsia="Arial" w:hAnsi="Arial"/>
          <w:sz w:val="15"/>
          <w:szCs w:val="15"/>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unaudited condensed consolidated balance sheet as of October 29, 2016, the results of its operations for the three and nine months ended October 29, 2016 and October 31, 2015, its comprehensive income (loss) for the three and nine months ended October 29, 2016 and October 31, 2015, and its cash flows for the nine months ended October 29, 2016 and October 31, 2015. The January 30, 2016 condensed consolidated balance sheet data was derived from the audited consolidated financial statements included in the Company’s Annual Report on Form 10-K for the fiscal year ended January 30, 2016, but does not include all disclosures required for annual periods.</w:t>
      </w:r>
    </w:p>
    <w:p>
      <w:pPr>
        <w:spacing w:after="0" w:line="10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30, 2016 as filed on July 21, 2016 with the Securities and Exchange Commission (“SEC”). The results of operations for the three and nine months ended October 29, 2016 are not necessarily indicative of the results that may be expected for any other interim period or for the full fiscal year.</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100" w:firstLine="456"/>
        <w:spacing w:after="0" w:line="314" w:lineRule="auto"/>
        <w:rPr>
          <w:sz w:val="20"/>
          <w:szCs w:val="20"/>
          <w:color w:val="auto"/>
        </w:rPr>
      </w:pPr>
      <w:r>
        <w:rPr>
          <w:rFonts w:ascii="Arial" w:cs="Arial" w:eastAsia="Arial" w:hAnsi="Arial"/>
          <w:sz w:val="15"/>
          <w:szCs w:val="15"/>
          <w:color w:val="auto"/>
        </w:rPr>
        <w:t>The preparation of consolidated financial statements in conformity with GAAP requires management to make estimates, judgments and assumptions that affect the reported amounts of assets, liabilities, revenues and expenses, and related disclosure of contingent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8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right="80" w:firstLine="456"/>
        <w:spacing w:after="0" w:line="312" w:lineRule="auto"/>
        <w:rPr>
          <w:sz w:val="20"/>
          <w:szCs w:val="20"/>
          <w:color w:val="auto"/>
        </w:rPr>
      </w:pPr>
      <w:r>
        <w:rPr>
          <w:rFonts w:ascii="Arial" w:cs="Arial" w:eastAsia="Arial" w:hAnsi="Arial"/>
          <w:sz w:val="15"/>
          <w:szCs w:val="15"/>
          <w:color w:val="auto"/>
        </w:rPr>
        <w:t>In April 2015, the Financial Accounting Standards Board issued new guidance to help entities evaluate the accounting for fees paid by a customer in a cloud computing arrangement, which the Company adopted beginning in the first quarter of fiscal 2017. The guidance provides a basis for evaluating whether a cloud computing arrangement includes a software license and whether the license arrangement should be accounted for as an intangible asset. This guidance also strikes from previous authoritative guidance, the use by analogy to the accounting for capital leases, which the Company previously applied in the accounting for certain of its technology license agreements. As such, the Company accounts for new agreements under the new guidance by determining if capitalization as an asset is appropriate or if the arrangement should be treated as a subscription with expense recognized in the period when service is received. Similarly, the Company will re-evaluate the accounting for any renewals to existing license agreements in accordance with the new guidance as they occur.</w:t>
      </w:r>
    </w:p>
    <w:p>
      <w:pPr>
        <w:spacing w:after="0" w:line="18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annual and interim periods beginning after December 15, 2017.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is evaluating the effect this new guidance will have on its consolidated statement of cash flows.</w:t>
      </w:r>
    </w:p>
    <w:p>
      <w:pPr>
        <w:spacing w:after="0" w:line="12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October 2016, the FASB issued new guidance which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guidance is effective for annual and interim periods beginning after December 15, 2017. Early adoption is permitted, including adoption in an interim period. The Company is evaluating the effect this new guidance will have on its consolidated financial statements.</w:t>
      </w:r>
    </w:p>
    <w:p>
      <w:pPr>
        <w:spacing w:after="0" w:line="116"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In November 2016, the FASB issued new guidance which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guidance is effective for annual and interim periods beginning after December 15, 2017. Early adoption is permitted, including adoption in an interim period. The Company is evaluating the effect this new guidance will have on its consolidated financial statements.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2120" w:type="dxa"/>
            <w:vAlign w:val="bottom"/>
            <w:tcBorders>
              <w:bottom w:val="single" w:sz="8" w:color="auto"/>
            </w:tcBorders>
            <w:gridSpan w:val="6"/>
          </w:tcPr>
          <w:p>
            <w:pPr>
              <w:ind w:left="280"/>
              <w:spacing w:after="0"/>
              <w:rPr>
                <w:sz w:val="20"/>
                <w:szCs w:val="20"/>
                <w:color w:val="auto"/>
              </w:rPr>
            </w:pPr>
            <w:r>
              <w:rPr>
                <w:rFonts w:ascii="Arial" w:cs="Arial" w:eastAsia="Arial" w:hAnsi="Arial"/>
                <w:sz w:val="14"/>
                <w:szCs w:val="14"/>
                <w:b w:val="1"/>
                <w:bCs w:val="1"/>
                <w:color w:val="auto"/>
              </w:rPr>
              <w:t>October 29, 2016</w:t>
            </w:r>
          </w:p>
        </w:tc>
        <w:tc>
          <w:tcPr>
            <w:tcW w:w="6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2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60" w:type="dxa"/>
            <w:vAlign w:val="bottom"/>
            <w:gridSpan w:val="2"/>
          </w:tcPr>
          <w:p>
            <w:pPr>
              <w:ind w:left="40"/>
              <w:spacing w:after="0" w:line="129" w:lineRule="exact"/>
              <w:rPr>
                <w:sz w:val="20"/>
                <w:szCs w:val="20"/>
                <w:color w:val="auto"/>
              </w:rPr>
            </w:pPr>
            <w:r>
              <w:rPr>
                <w:rFonts w:ascii="Arial" w:cs="Arial" w:eastAsia="Arial" w:hAnsi="Arial"/>
                <w:sz w:val="14"/>
                <w:szCs w:val="14"/>
                <w:b w:val="1"/>
                <w:bCs w:val="1"/>
                <w:color w:val="auto"/>
              </w:rPr>
              <w:t>Gross</w:t>
            </w:r>
          </w:p>
        </w:tc>
        <w:tc>
          <w:tcPr>
            <w:tcW w:w="2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20" w:type="dxa"/>
            <w:vAlign w:val="bottom"/>
            <w:gridSpan w:val="2"/>
          </w:tcPr>
          <w:p>
            <w:pPr>
              <w:jc w:val="right"/>
              <w:ind w:right="640"/>
              <w:spacing w:after="0" w:line="129" w:lineRule="exact"/>
              <w:rPr>
                <w:sz w:val="20"/>
                <w:szCs w:val="20"/>
                <w:color w:val="auto"/>
              </w:rPr>
            </w:pPr>
            <w:r>
              <w:rPr>
                <w:rFonts w:ascii="Arial" w:cs="Arial" w:eastAsia="Arial" w:hAnsi="Arial"/>
                <w:sz w:val="14"/>
                <w:szCs w:val="14"/>
                <w:b w:val="1"/>
                <w:bCs w:val="1"/>
                <w:color w:val="auto"/>
                <w:w w:val="88"/>
              </w:rPr>
              <w:t>Gross</w:t>
            </w: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2220" w:type="dxa"/>
            <w:vAlign w:val="bottom"/>
          </w:tcPr>
          <w:p>
            <w:pPr>
              <w:spacing w:after="0"/>
              <w:rPr>
                <w:sz w:val="12"/>
                <w:szCs w:val="12"/>
                <w:color w:val="auto"/>
              </w:rPr>
            </w:pPr>
          </w:p>
        </w:tc>
        <w:tc>
          <w:tcPr>
            <w:tcW w:w="90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8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40" w:type="dxa"/>
            <w:vAlign w:val="bottom"/>
          </w:tcPr>
          <w:p>
            <w:pPr>
              <w:spacing w:after="0"/>
              <w:rPr>
                <w:sz w:val="12"/>
                <w:szCs w:val="12"/>
                <w:color w:val="auto"/>
              </w:rPr>
            </w:pPr>
          </w:p>
        </w:tc>
        <w:tc>
          <w:tcPr>
            <w:tcW w:w="11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90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60" w:type="dxa"/>
            <w:vAlign w:val="bottom"/>
            <w:gridSpan w:val="2"/>
          </w:tcPr>
          <w:p>
            <w:pPr>
              <w:ind w:left="40"/>
              <w:spacing w:after="0"/>
              <w:rPr>
                <w:sz w:val="20"/>
                <w:szCs w:val="20"/>
                <w:color w:val="auto"/>
              </w:rPr>
            </w:pPr>
            <w:r>
              <w:rPr>
                <w:rFonts w:ascii="Arial" w:cs="Arial" w:eastAsia="Arial" w:hAnsi="Arial"/>
                <w:sz w:val="14"/>
                <w:szCs w:val="14"/>
                <w:b w:val="1"/>
                <w:bCs w:val="1"/>
                <w:color w:val="auto"/>
              </w:rPr>
              <w:t>Gains</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20" w:type="dxa"/>
            <w:vAlign w:val="bottom"/>
            <w:gridSpan w:val="2"/>
          </w:tcPr>
          <w:p>
            <w:pPr>
              <w:jc w:val="right"/>
              <w:ind w:right="620"/>
              <w:spacing w:after="0"/>
              <w:rPr>
                <w:sz w:val="20"/>
                <w:szCs w:val="20"/>
                <w:color w:val="auto"/>
              </w:rPr>
            </w:pPr>
            <w:r>
              <w:rPr>
                <w:rFonts w:ascii="Arial" w:cs="Arial" w:eastAsia="Arial" w:hAnsi="Arial"/>
                <w:sz w:val="14"/>
                <w:szCs w:val="14"/>
                <w:b w:val="1"/>
                <w:bCs w:val="1"/>
                <w:color w:val="auto"/>
                <w:w w:val="78"/>
              </w:rPr>
              <w:t>Losses</w:t>
            </w:r>
          </w:p>
        </w:tc>
        <w:tc>
          <w:tcPr>
            <w:tcW w:w="760" w:type="dxa"/>
            <w:vAlign w:val="bottom"/>
            <w:gridSpan w:val="2"/>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222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$487,067</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1,968</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(289)</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5"/>
              </w:rPr>
              <w:t>$488,746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165,538</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86</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(64)</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165,560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50,909</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(16)</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50,975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3120" w:type="dxa"/>
            <w:vAlign w:val="bottom"/>
            <w:gridSpan w:val="3"/>
          </w:tcPr>
          <w:p>
            <w:pPr>
              <w:jc w:val="right"/>
              <w:ind w:right="220"/>
              <w:spacing w:after="0"/>
              <w:rPr>
                <w:sz w:val="20"/>
                <w:szCs w:val="20"/>
                <w:color w:val="auto"/>
              </w:rPr>
            </w:pPr>
            <w:r>
              <w:rPr>
                <w:rFonts w:ascii="Arial" w:cs="Arial" w:eastAsia="Arial" w:hAnsi="Arial"/>
                <w:sz w:val="18"/>
                <w:szCs w:val="18"/>
                <w:color w:val="auto"/>
              </w:rPr>
              <w:t>11,925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(17)</w:t>
            </w:r>
          </w:p>
        </w:tc>
        <w:tc>
          <w:tcPr>
            <w:tcW w:w="660" w:type="dxa"/>
            <w:vAlign w:val="bottom"/>
          </w:tcPr>
          <w:p>
            <w:pPr>
              <w:jc w:val="right"/>
              <w:spacing w:after="0"/>
              <w:rPr>
                <w:sz w:val="20"/>
                <w:szCs w:val="20"/>
                <w:color w:val="auto"/>
              </w:rPr>
            </w:pPr>
            <w:r>
              <w:rPr>
                <w:rFonts w:ascii="Arial" w:cs="Arial" w:eastAsia="Arial" w:hAnsi="Arial"/>
                <w:sz w:val="18"/>
                <w:szCs w:val="18"/>
                <w:color w:val="auto"/>
              </w:rPr>
              <w:t>11,908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31,610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(20)</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Held-to-maturity:</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150,000</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150,000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897,049</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jc w:val="right"/>
              <w:ind w:right="240"/>
              <w:spacing w:after="0"/>
              <w:rPr>
                <w:sz w:val="20"/>
                <w:szCs w:val="20"/>
                <w:color w:val="auto"/>
              </w:rPr>
            </w:pPr>
            <w:r>
              <w:rPr>
                <w:rFonts w:ascii="Arial" w:cs="Arial" w:eastAsia="Arial" w:hAnsi="Arial"/>
                <w:sz w:val="18"/>
                <w:szCs w:val="18"/>
                <w:color w:val="auto"/>
              </w:rPr>
              <w:t>2,141</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440"/>
              <w:spacing w:after="0"/>
              <w:rPr>
                <w:sz w:val="20"/>
                <w:szCs w:val="20"/>
                <w:color w:val="auto"/>
              </w:rPr>
            </w:pPr>
            <w:r>
              <w:rPr>
                <w:rFonts w:ascii="Arial" w:cs="Arial" w:eastAsia="Arial" w:hAnsi="Arial"/>
                <w:sz w:val="18"/>
                <w:szCs w:val="18"/>
                <w:color w:val="auto"/>
              </w:rPr>
              <w:t>(406)</w:t>
            </w:r>
          </w:p>
        </w:tc>
        <w:tc>
          <w:tcPr>
            <w:tcW w:w="660" w:type="dxa"/>
            <w:vAlign w:val="bottom"/>
          </w:tcPr>
          <w:p>
            <w:pPr>
              <w:jc w:val="right"/>
              <w:spacing w:after="0"/>
              <w:rPr>
                <w:sz w:val="20"/>
                <w:szCs w:val="20"/>
                <w:color w:val="auto"/>
              </w:rPr>
            </w:pPr>
            <w:r>
              <w:rPr>
                <w:rFonts w:ascii="Arial" w:cs="Arial" w:eastAsia="Arial" w:hAnsi="Arial"/>
                <w:sz w:val="18"/>
                <w:szCs w:val="18"/>
                <w:color w:val="auto"/>
                <w:w w:val="98"/>
              </w:rPr>
              <w:t>898,784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22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22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222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8,974</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8,974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22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2220" w:type="dxa"/>
            <w:vAlign w:val="bottom"/>
          </w:tcPr>
          <w:p>
            <w:pPr>
              <w:spacing w:after="0"/>
              <w:rPr>
                <w:sz w:val="19"/>
                <w:szCs w:val="19"/>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8,974</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2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660" w:type="dxa"/>
            <w:vAlign w:val="bottom"/>
          </w:tcPr>
          <w:p>
            <w:pPr>
              <w:jc w:val="right"/>
              <w:spacing w:after="0"/>
              <w:rPr>
                <w:sz w:val="20"/>
                <w:szCs w:val="20"/>
                <w:color w:val="auto"/>
              </w:rPr>
            </w:pPr>
            <w:r>
              <w:rPr>
                <w:rFonts w:ascii="Arial" w:cs="Arial" w:eastAsia="Arial" w:hAnsi="Arial"/>
                <w:sz w:val="18"/>
                <w:szCs w:val="18"/>
                <w:color w:val="auto"/>
              </w:rPr>
              <w:t>8,974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22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31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906,023</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7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2,141</w:t>
            </w:r>
          </w:p>
        </w:tc>
        <w:tc>
          <w:tcPr>
            <w:tcW w:w="34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(406)</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907,758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2220" w:type="dxa"/>
            <w:vAlign w:val="bottom"/>
            <w:vMerge w:val="restart"/>
          </w:tcPr>
          <w:p>
            <w:pPr>
              <w:jc w:val="right"/>
              <w:ind w:right="972"/>
              <w:spacing w:after="0"/>
              <w:rPr>
                <w:sz w:val="20"/>
                <w:szCs w:val="20"/>
                <w:color w:val="auto"/>
              </w:rPr>
            </w:pPr>
            <w:r>
              <w:rPr>
                <w:rFonts w:ascii="Arial" w:cs="Arial" w:eastAsia="Arial" w:hAnsi="Arial"/>
                <w:sz w:val="18"/>
                <w:szCs w:val="18"/>
                <w:color w:val="auto"/>
              </w:rPr>
              <w:t>7</w:t>
            </w:r>
          </w:p>
        </w:tc>
        <w:tc>
          <w:tcPr>
            <w:tcW w:w="6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2220" w:type="dxa"/>
            <w:vAlign w:val="bottom"/>
            <w:vMerge w:val="continue"/>
          </w:tcPr>
          <w:p>
            <w:pPr>
              <w:spacing w:after="0"/>
              <w:rPr>
                <w:sz w:val="24"/>
                <w:szCs w:val="24"/>
                <w:color w:val="auto"/>
              </w:rPr>
            </w:pPr>
          </w:p>
        </w:tc>
        <w:tc>
          <w:tcPr>
            <w:tcW w:w="6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30, 2016</w:t>
            </w:r>
          </w:p>
        </w:tc>
        <w:tc>
          <w:tcPr>
            <w:tcW w:w="2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20" w:type="dxa"/>
            <w:vAlign w:val="bottom"/>
          </w:tcPr>
          <w:p>
            <w:pPr>
              <w:jc w:val="right"/>
              <w:ind w:right="77"/>
              <w:spacing w:after="0" w:line="129" w:lineRule="exact"/>
              <w:rPr>
                <w:sz w:val="20"/>
                <w:szCs w:val="20"/>
                <w:color w:val="auto"/>
              </w:rPr>
            </w:pPr>
            <w:r>
              <w:rPr>
                <w:rFonts w:ascii="Arial" w:cs="Arial" w:eastAsia="Arial" w:hAnsi="Arial"/>
                <w:sz w:val="14"/>
                <w:szCs w:val="14"/>
                <w:b w:val="1"/>
                <w:bCs w:val="1"/>
                <w:color w:val="auto"/>
                <w:w w:val="83"/>
              </w:rPr>
              <w:t>Gross</w:t>
            </w:r>
          </w:p>
        </w:tc>
        <w:tc>
          <w:tcPr>
            <w:tcW w:w="4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1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right"/>
              <w:ind w:right="320"/>
              <w:spacing w:after="0" w:line="149" w:lineRule="exact"/>
              <w:rPr>
                <w:sz w:val="20"/>
                <w:szCs w:val="20"/>
                <w:color w:val="auto"/>
              </w:rPr>
            </w:pPr>
            <w:r>
              <w:rPr>
                <w:rFonts w:ascii="Arial" w:cs="Arial" w:eastAsia="Arial" w:hAnsi="Arial"/>
                <w:sz w:val="14"/>
                <w:szCs w:val="14"/>
                <w:b w:val="1"/>
                <w:bCs w:val="1"/>
                <w:color w:val="auto"/>
                <w:w w:val="87"/>
              </w:rPr>
              <w:t>Amortized</w:t>
            </w:r>
          </w:p>
        </w:tc>
        <w:tc>
          <w:tcPr>
            <w:tcW w:w="240" w:type="dxa"/>
            <w:vAlign w:val="bottom"/>
          </w:tcPr>
          <w:p>
            <w:pPr>
              <w:spacing w:after="0"/>
              <w:rPr>
                <w:sz w:val="12"/>
                <w:szCs w:val="12"/>
                <w:color w:val="auto"/>
              </w:rPr>
            </w:pPr>
          </w:p>
        </w:tc>
        <w:tc>
          <w:tcPr>
            <w:tcW w:w="64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7"/>
              </w:rPr>
              <w:t>Unrealized</w:t>
            </w:r>
          </w:p>
        </w:tc>
        <w:tc>
          <w:tcPr>
            <w:tcW w:w="460" w:type="dxa"/>
            <w:vAlign w:val="bottom"/>
          </w:tcPr>
          <w:p>
            <w:pPr>
              <w:spacing w:after="0"/>
              <w:rPr>
                <w:sz w:val="12"/>
                <w:szCs w:val="12"/>
                <w:color w:val="auto"/>
              </w:rPr>
            </w:pPr>
          </w:p>
        </w:tc>
        <w:tc>
          <w:tcPr>
            <w:tcW w:w="92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2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4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20" w:type="dxa"/>
            <w:vAlign w:val="bottom"/>
          </w:tcPr>
          <w:p>
            <w:pPr>
              <w:jc w:val="right"/>
              <w:ind w:right="77"/>
              <w:spacing w:after="0"/>
              <w:rPr>
                <w:sz w:val="20"/>
                <w:szCs w:val="20"/>
                <w:color w:val="auto"/>
              </w:rPr>
            </w:pPr>
            <w:r>
              <w:rPr>
                <w:rFonts w:ascii="Arial" w:cs="Arial" w:eastAsia="Arial" w:hAnsi="Arial"/>
                <w:sz w:val="14"/>
                <w:szCs w:val="14"/>
                <w:b w:val="1"/>
                <w:bCs w:val="1"/>
                <w:color w:val="auto"/>
                <w:w w:val="87"/>
              </w:rPr>
              <w:t>Gains</w:t>
            </w: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1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558,337</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766</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(1,282)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8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317,595</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64</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(254)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76,711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80" w:type="dxa"/>
            <w:vAlign w:val="bottom"/>
          </w:tcPr>
          <w:p>
            <w:pPr>
              <w:spacing w:after="0"/>
              <w:rPr>
                <w:sz w:val="18"/>
                <w:szCs w:val="18"/>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21,370</w:t>
            </w: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(14)</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31,211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12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1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w w:val="84"/>
              </w:rPr>
              <w:t>1,005,224</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958</w:t>
            </w: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(1,613)</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1,004,569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tcPr>
          <w:p>
            <w:pPr>
              <w:spacing w:after="0"/>
              <w:rPr>
                <w:sz w:val="20"/>
                <w:szCs w:val="20"/>
                <w:color w:val="auto"/>
              </w:rPr>
            </w:pPr>
            <w:r>
              <w:rPr>
                <w:rFonts w:ascii="Arial" w:cs="Arial" w:eastAsia="Arial" w:hAnsi="Arial"/>
                <w:sz w:val="18"/>
                <w:szCs w:val="18"/>
                <w:color w:val="auto"/>
              </w:rPr>
              <w:t>Available-for-sale:</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8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11,296</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jc w:val="right"/>
              <w:ind w:right="17"/>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0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40" w:type="dxa"/>
            <w:vAlign w:val="bottom"/>
            <w:gridSpan w:val="2"/>
          </w:tcPr>
          <w:p>
            <w:pPr>
              <w:jc w:val="right"/>
              <w:ind w:right="240"/>
              <w:spacing w:after="0"/>
              <w:rPr>
                <w:sz w:val="20"/>
                <w:szCs w:val="20"/>
                <w:color w:val="auto"/>
              </w:rPr>
            </w:pPr>
            <w:r>
              <w:rPr>
                <w:rFonts w:ascii="Arial" w:cs="Arial" w:eastAsia="Arial" w:hAnsi="Arial"/>
                <w:sz w:val="18"/>
                <w:szCs w:val="18"/>
                <w:color w:val="auto"/>
              </w:rPr>
              <w:t>11,296</w:t>
            </w: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jc w:val="right"/>
              <w:ind w:right="17"/>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6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84"/>
              </w:rPr>
              <w:t>1,016,520</w:t>
            </w: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958</w:t>
            </w:r>
          </w:p>
        </w:tc>
        <w:tc>
          <w:tcPr>
            <w:tcW w:w="580" w:type="dxa"/>
            <w:vAlign w:val="bottom"/>
            <w:gridSpan w:val="2"/>
            <w:shd w:val="clear" w:color="auto" w:fill="CCEEFF"/>
          </w:tcPr>
          <w:p>
            <w:pPr>
              <w:ind w:left="460"/>
              <w:spacing w:after="0"/>
              <w:rPr>
                <w:sz w:val="20"/>
                <w:szCs w:val="20"/>
                <w:color w:val="auto"/>
              </w:rPr>
            </w:pPr>
            <w:r>
              <w:rPr>
                <w:rFonts w:ascii="Arial" w:cs="Arial" w:eastAsia="Arial" w:hAnsi="Arial"/>
                <w:sz w:val="18"/>
                <w:szCs w:val="18"/>
                <w:color w:val="auto"/>
                <w:w w:val="9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(1,613)</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As of October 29, 2016, the Company’s investment portfolio included auction rate securities with an aggregate par value of $10.0 million. Although these auction rate securities have continued to pay interest and the underlying collateral has not deteriorated, there is currently limited trading volume. The Company uses a discounted cash flow model to estimate the fair value of the auction rate securities based on its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w:t>
      </w:r>
    </w:p>
    <w:p>
      <w:pPr>
        <w:spacing w:after="0" w:line="11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made a determination in January 2016 that it did not expect to recover the par value of these auction rate securities and considers any impairment of these securities to be other-than-temporary. There has been no change in circumstances since January 2016 based upon the current time horizon for holding these securities and the continuation of an illiquid market. Based on the Company’s assessment of fair value as of October 29, 2016, the Company determined there was no further impairment of these auction rate securities.</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380"/>
          </w:cols>
          <w:pgMar w:left="240" w:top="45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color w:val="auto"/>
        </w:rPr>
        <w:t>In the nine months ended October 29, 2016, the Company sold auction rate securities with an aggregate par value of $2.5 million for total net proceeds of $2.4 million. The carrying value of these auction rate securities was $2.3 million and resulted in a net gain of $0.1 million recorded in interest and other income, net, in the nine months ended October 29, 2016.</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 securities are presented in the following tables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440" w:type="dxa"/>
            <w:vAlign w:val="bottom"/>
            <w:gridSpan w:val="6"/>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94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800" w:type="dxa"/>
            <w:vAlign w:val="bottom"/>
          </w:tcPr>
          <w:p>
            <w:pPr>
              <w:spacing w:after="0"/>
              <w:rPr>
                <w:sz w:val="11"/>
                <w:szCs w:val="11"/>
                <w:color w:val="auto"/>
              </w:rPr>
            </w:pPr>
          </w:p>
        </w:tc>
        <w:tc>
          <w:tcPr>
            <w:tcW w:w="10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2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620" w:type="dxa"/>
            <w:vAlign w:val="bottom"/>
          </w:tcPr>
          <w:p>
            <w:pPr>
              <w:spacing w:after="0"/>
              <w:rPr>
                <w:sz w:val="11"/>
                <w:szCs w:val="11"/>
                <w:color w:val="auto"/>
              </w:rPr>
            </w:pPr>
          </w:p>
        </w:tc>
        <w:tc>
          <w:tcPr>
            <w:tcW w:w="10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2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80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w w:val="96"/>
              </w:rPr>
              <w:t>2016</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6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3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w:t>
            </w:r>
          </w:p>
        </w:tc>
        <w:tc>
          <w:tcPr>
            <w:tcW w:w="6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966</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800" w:type="dxa"/>
            <w:vAlign w:val="bottom"/>
          </w:tcPr>
          <w:p>
            <w:pPr>
              <w:spacing w:after="0"/>
              <w:rPr>
                <w:sz w:val="20"/>
                <w:szCs w:val="20"/>
                <w:color w:val="auto"/>
              </w:rPr>
            </w:pPr>
            <w:r>
              <w:rPr>
                <w:rFonts w:ascii="Arial" w:cs="Arial" w:eastAsia="Arial" w:hAnsi="Arial"/>
                <w:sz w:val="18"/>
                <w:szCs w:val="18"/>
                <w:color w:val="auto"/>
              </w:rPr>
              <w:t>Gross realized losses</w:t>
            </w:r>
          </w:p>
        </w:tc>
        <w:tc>
          <w:tcPr>
            <w:tcW w:w="16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rPr>
              <w:t>(46)</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60" w:type="dxa"/>
            <w:vAlign w:val="bottom"/>
            <w:gridSpan w:val="2"/>
          </w:tcPr>
          <w:p>
            <w:pPr>
              <w:jc w:val="right"/>
              <w:ind w:right="560"/>
              <w:spacing w:after="0"/>
              <w:rPr>
                <w:sz w:val="20"/>
                <w:szCs w:val="20"/>
                <w:color w:val="auto"/>
              </w:rPr>
            </w:pPr>
            <w:r>
              <w:rPr>
                <w:rFonts w:ascii="Arial" w:cs="Arial" w:eastAsia="Arial" w:hAnsi="Arial"/>
                <w:sz w:val="18"/>
                <w:szCs w:val="18"/>
                <w:color w:val="auto"/>
              </w:rPr>
              <w:t>(877)</w:t>
            </w:r>
          </w:p>
        </w:tc>
        <w:tc>
          <w:tcPr>
            <w:tcW w:w="14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(289)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(1,214)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8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80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 (losses)</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(353)</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677</w:t>
            </w:r>
          </w:p>
        </w:tc>
        <w:tc>
          <w:tcPr>
            <w:tcW w:w="34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8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contractual maturities of available-for-sale securities are presented in the following tables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2140" w:type="dxa"/>
            <w:vAlign w:val="bottom"/>
            <w:gridSpan w:val="4"/>
          </w:tcPr>
          <w:p>
            <w:pPr>
              <w:jc w:val="right"/>
              <w:ind w:right="780"/>
              <w:spacing w:after="0"/>
              <w:rPr>
                <w:sz w:val="20"/>
                <w:szCs w:val="20"/>
                <w:color w:val="auto"/>
              </w:rPr>
            </w:pPr>
            <w:r>
              <w:rPr>
                <w:rFonts w:ascii="Arial" w:cs="Arial" w:eastAsia="Arial" w:hAnsi="Arial"/>
                <w:sz w:val="14"/>
                <w:szCs w:val="14"/>
                <w:b w:val="1"/>
                <w:bCs w:val="1"/>
                <w:color w:val="auto"/>
              </w:rPr>
              <w:t>October 29, 2016</w:t>
            </w:r>
          </w:p>
        </w:tc>
        <w:tc>
          <w:tcPr>
            <w:tcW w:w="100" w:type="dxa"/>
            <w:vAlign w:val="bottom"/>
          </w:tcPr>
          <w:p>
            <w:pPr>
              <w:spacing w:after="0"/>
              <w:rPr>
                <w:sz w:val="14"/>
                <w:szCs w:val="14"/>
                <w:color w:val="auto"/>
              </w:rPr>
            </w:pPr>
          </w:p>
        </w:tc>
        <w:tc>
          <w:tcPr>
            <w:tcW w:w="1980" w:type="dxa"/>
            <w:vAlign w:val="bottom"/>
            <w:gridSpan w:val="6"/>
          </w:tcPr>
          <w:p>
            <w:pPr>
              <w:ind w:left="400"/>
              <w:spacing w:after="0"/>
              <w:rPr>
                <w:sz w:val="20"/>
                <w:szCs w:val="20"/>
                <w:color w:val="auto"/>
              </w:rPr>
            </w:pPr>
            <w:r>
              <w:rPr>
                <w:rFonts w:ascii="Arial" w:cs="Arial" w:eastAsia="Arial" w:hAnsi="Arial"/>
                <w:sz w:val="14"/>
                <w:szCs w:val="14"/>
                <w:b w:val="1"/>
                <w:bCs w:val="1"/>
                <w:color w:val="auto"/>
              </w:rPr>
              <w:t>January 30, 2016</w:t>
            </w:r>
          </w:p>
        </w:tc>
      </w:tr>
      <w:tr>
        <w:trPr>
          <w:trHeight w:val="129"/>
        </w:trPr>
        <w:tc>
          <w:tcPr>
            <w:tcW w:w="628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3"/>
              </w:rPr>
              <w:t>Amortized</w:t>
            </w:r>
          </w:p>
        </w:tc>
        <w:tc>
          <w:tcPr>
            <w:tcW w:w="40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6"/>
              </w:rPr>
              <w:t>Estimated</w:t>
            </w:r>
          </w:p>
        </w:tc>
        <w:tc>
          <w:tcPr>
            <w:tcW w:w="4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90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87"/>
              </w:rPr>
              <w:t>Amortized</w:t>
            </w: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ind w:left="20"/>
              <w:spacing w:after="0" w:line="129" w:lineRule="exact"/>
              <w:rPr>
                <w:sz w:val="20"/>
                <w:szCs w:val="20"/>
                <w:color w:val="auto"/>
              </w:rPr>
            </w:pPr>
            <w:r>
              <w:rPr>
                <w:rFonts w:ascii="Arial" w:cs="Arial" w:eastAsia="Arial" w:hAnsi="Arial"/>
                <w:sz w:val="14"/>
                <w:szCs w:val="14"/>
                <w:b w:val="1"/>
                <w:bCs w:val="1"/>
                <w:color w:val="auto"/>
                <w:w w:val="98"/>
              </w:rPr>
              <w:t>Estimated</w:t>
            </w:r>
          </w:p>
        </w:tc>
        <w:tc>
          <w:tcPr>
            <w:tcW w:w="1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680" w:type="dxa"/>
            <w:vAlign w:val="bottom"/>
          </w:tcPr>
          <w:p>
            <w:pPr>
              <w:jc w:val="right"/>
              <w:ind w:right="121"/>
              <w:spacing w:after="0"/>
              <w:rPr>
                <w:sz w:val="20"/>
                <w:szCs w:val="20"/>
                <w:color w:val="auto"/>
              </w:rPr>
            </w:pPr>
            <w:r>
              <w:rPr>
                <w:rFonts w:ascii="Arial" w:cs="Arial" w:eastAsia="Arial" w:hAnsi="Arial"/>
                <w:sz w:val="14"/>
                <w:szCs w:val="14"/>
                <w:b w:val="1"/>
                <w:bCs w:val="1"/>
                <w:color w:val="auto"/>
              </w:rPr>
              <w:t>Cost</w:t>
            </w:r>
          </w:p>
        </w:tc>
        <w:tc>
          <w:tcPr>
            <w:tcW w:w="400" w:type="dxa"/>
            <w:vAlign w:val="bottom"/>
          </w:tcPr>
          <w:p>
            <w:pPr>
              <w:spacing w:after="0"/>
              <w:rPr>
                <w:sz w:val="14"/>
                <w:szCs w:val="14"/>
                <w:color w:val="auto"/>
              </w:rPr>
            </w:pPr>
          </w:p>
        </w:tc>
        <w:tc>
          <w:tcPr>
            <w:tcW w:w="10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Fair Value</w:t>
            </w:r>
          </w:p>
        </w:tc>
        <w:tc>
          <w:tcPr>
            <w:tcW w:w="100" w:type="dxa"/>
            <w:vAlign w:val="bottom"/>
          </w:tcPr>
          <w:p>
            <w:pPr>
              <w:spacing w:after="0"/>
              <w:rPr>
                <w:sz w:val="14"/>
                <w:szCs w:val="14"/>
                <w:color w:val="auto"/>
              </w:rPr>
            </w:pPr>
          </w:p>
        </w:tc>
        <w:tc>
          <w:tcPr>
            <w:tcW w:w="90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9"/>
              </w:rPr>
              <w:t>Cost</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r>
      <w:tr>
        <w:trPr>
          <w:trHeight w:val="210"/>
        </w:trPr>
        <w:tc>
          <w:tcPr>
            <w:tcW w:w="62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$390,731</w:t>
            </w:r>
          </w:p>
        </w:tc>
        <w:tc>
          <w:tcPr>
            <w:tcW w:w="4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7"/>
              </w:rPr>
              <w:t>$390,776</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304,117</w:t>
            </w: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304,035</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680" w:type="dxa"/>
            <w:vAlign w:val="bottom"/>
          </w:tcPr>
          <w:p>
            <w:pPr>
              <w:jc w:val="right"/>
              <w:spacing w:after="0"/>
              <w:rPr>
                <w:sz w:val="20"/>
                <w:szCs w:val="20"/>
                <w:color w:val="auto"/>
              </w:rPr>
            </w:pPr>
            <w:r>
              <w:rPr>
                <w:rFonts w:ascii="Arial" w:cs="Arial" w:eastAsia="Arial" w:hAnsi="Arial"/>
                <w:sz w:val="18"/>
                <w:szCs w:val="18"/>
                <w:color w:val="auto"/>
              </w:rPr>
              <w:t>498,071</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color w:val="auto"/>
              </w:rPr>
              <w:t>499,767</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689,847</w:t>
            </w:r>
          </w:p>
        </w:tc>
        <w:tc>
          <w:tcPr>
            <w:tcW w:w="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689,279</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17,221</w:t>
            </w:r>
          </w:p>
        </w:tc>
        <w:tc>
          <w:tcPr>
            <w:tcW w:w="4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17,215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22,556</w:t>
            </w:r>
          </w:p>
        </w:tc>
        <w:tc>
          <w:tcPr>
            <w:tcW w:w="1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22,551</w:t>
            </w:r>
          </w:p>
        </w:tc>
        <w:tc>
          <w:tcPr>
            <w:tcW w:w="1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22"/>
        </w:trPr>
        <w:tc>
          <w:tcPr>
            <w:tcW w:w="628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906,023</w:t>
            </w:r>
          </w:p>
        </w:tc>
        <w:tc>
          <w:tcPr>
            <w:tcW w:w="1460" w:type="dxa"/>
            <w:vAlign w:val="bottom"/>
            <w:gridSpan w:val="3"/>
          </w:tcPr>
          <w:p>
            <w:pPr>
              <w:jc w:val="right"/>
              <w:ind w:right="4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907,758</w:t>
            </w: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1,016,520</w:t>
            </w:r>
          </w:p>
        </w:tc>
        <w:tc>
          <w:tcPr>
            <w:tcW w:w="2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1,015,865</w:t>
            </w:r>
          </w:p>
        </w:tc>
        <w:tc>
          <w:tcPr>
            <w:tcW w:w="100" w:type="dxa"/>
            <w:vAlign w:val="bottom"/>
          </w:tcPr>
          <w:p>
            <w:pPr>
              <w:spacing w:after="0"/>
              <w:rPr>
                <w:sz w:val="19"/>
                <w:szCs w:val="19"/>
                <w:color w:val="auto"/>
              </w:rPr>
            </w:pPr>
          </w:p>
        </w:tc>
      </w:tr>
      <w:tr>
        <w:trPr>
          <w:trHeight w:val="20"/>
        </w:trPr>
        <w:tc>
          <w:tcPr>
            <w:tcW w:w="62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1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800" w:type="dxa"/>
            <w:vAlign w:val="bottom"/>
            <w:tcBorders>
              <w:bottom w:val="single" w:sz="8" w:color="auto"/>
            </w:tcBorders>
            <w:gridSpan w:val="5"/>
          </w:tcPr>
          <w:p>
            <w:pPr>
              <w:jc w:val="center"/>
              <w:ind w:right="300"/>
              <w:spacing w:after="0"/>
              <w:rPr>
                <w:sz w:val="20"/>
                <w:szCs w:val="20"/>
                <w:color w:val="auto"/>
              </w:rPr>
            </w:pPr>
            <w:r>
              <w:rPr>
                <w:rFonts w:ascii="Arial" w:cs="Arial" w:eastAsia="Arial" w:hAnsi="Arial"/>
                <w:sz w:val="14"/>
                <w:szCs w:val="14"/>
                <w:b w:val="1"/>
                <w:bCs w:val="1"/>
                <w:color w:val="auto"/>
                <w:w w:val="87"/>
              </w:rPr>
              <w:t>October 29, 2016</w:t>
            </w: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14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780" w:type="dxa"/>
            <w:vAlign w:val="bottom"/>
            <w:gridSpan w:val="6"/>
          </w:tcPr>
          <w:p>
            <w:pPr>
              <w:ind w:left="200"/>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12"/>
                <w:szCs w:val="12"/>
                <w:color w:val="auto"/>
              </w:rPr>
            </w:pPr>
          </w:p>
        </w:tc>
        <w:tc>
          <w:tcPr>
            <w:tcW w:w="1800" w:type="dxa"/>
            <w:vAlign w:val="bottom"/>
            <w:gridSpan w:val="5"/>
          </w:tcPr>
          <w:p>
            <w:pPr>
              <w:jc w:val="center"/>
              <w:ind w:right="30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980" w:type="dxa"/>
            <w:vAlign w:val="bottom"/>
            <w:gridSpan w:val="2"/>
          </w:tcPr>
          <w:p>
            <w:pPr>
              <w:ind w:left="66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4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82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3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79"/>
              </w:rPr>
              <w:t>Loss</w:t>
            </w: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8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$ 116,138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(234)</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$21,515</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$137,653</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2680" w:type="dxa"/>
            <w:vAlign w:val="bottom"/>
            <w:gridSpan w:val="3"/>
          </w:tcPr>
          <w:p>
            <w:pPr>
              <w:jc w:val="right"/>
              <w:ind w:right="160"/>
              <w:spacing w:after="0"/>
              <w:rPr>
                <w:sz w:val="20"/>
                <w:szCs w:val="20"/>
                <w:color w:val="auto"/>
              </w:rPr>
            </w:pPr>
            <w:r>
              <w:rPr>
                <w:rFonts w:ascii="Arial" w:cs="Arial" w:eastAsia="Arial" w:hAnsi="Arial"/>
                <w:sz w:val="18"/>
                <w:szCs w:val="18"/>
                <w:color w:val="auto"/>
              </w:rPr>
              <w:t>58,482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(60)</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6,995</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(4)</w:t>
            </w:r>
          </w:p>
        </w:tc>
        <w:tc>
          <w:tcPr>
            <w:tcW w:w="680" w:type="dxa"/>
            <w:vAlign w:val="bottom"/>
          </w:tcPr>
          <w:p>
            <w:pPr>
              <w:jc w:val="right"/>
              <w:spacing w:after="0"/>
              <w:rPr>
                <w:sz w:val="20"/>
                <w:szCs w:val="20"/>
                <w:color w:val="auto"/>
              </w:rPr>
            </w:pPr>
            <w:r>
              <w:rPr>
                <w:rFonts w:ascii="Arial" w:cs="Arial" w:eastAsia="Arial" w:hAnsi="Arial"/>
                <w:sz w:val="18"/>
                <w:szCs w:val="18"/>
                <w:color w:val="auto"/>
              </w:rPr>
              <w:t>65,477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(64)</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26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5,698</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5,994</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(8)</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11,692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w:t>
            </w: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2680" w:type="dxa"/>
            <w:vAlign w:val="bottom"/>
            <w:gridSpan w:val="3"/>
          </w:tcPr>
          <w:p>
            <w:pPr>
              <w:jc w:val="right"/>
              <w:ind w:right="160"/>
              <w:spacing w:after="0"/>
              <w:rPr>
                <w:sz w:val="20"/>
                <w:szCs w:val="20"/>
                <w:color w:val="auto"/>
              </w:rPr>
            </w:pPr>
            <w:r>
              <w:rPr>
                <w:rFonts w:ascii="Arial" w:cs="Arial" w:eastAsia="Arial" w:hAnsi="Arial"/>
                <w:sz w:val="18"/>
                <w:szCs w:val="18"/>
                <w:color w:val="auto"/>
              </w:rPr>
              <w:t>8,509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(15)</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1,501</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(2)</w:t>
            </w:r>
          </w:p>
        </w:tc>
        <w:tc>
          <w:tcPr>
            <w:tcW w:w="680" w:type="dxa"/>
            <w:vAlign w:val="bottom"/>
          </w:tcPr>
          <w:p>
            <w:pPr>
              <w:jc w:val="right"/>
              <w:spacing w:after="0"/>
              <w:rPr>
                <w:sz w:val="20"/>
                <w:szCs w:val="20"/>
                <w:color w:val="auto"/>
              </w:rPr>
            </w:pPr>
            <w:r>
              <w:rPr>
                <w:rFonts w:ascii="Arial" w:cs="Arial" w:eastAsia="Arial" w:hAnsi="Arial"/>
                <w:sz w:val="18"/>
                <w:szCs w:val="18"/>
                <w:color w:val="auto"/>
              </w:rPr>
              <w:t>10,010</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(17)</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8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18,340</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998</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19,338</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0"/>
        </w:trPr>
        <w:tc>
          <w:tcPr>
            <w:tcW w:w="414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8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40" w:type="dxa"/>
            <w:vAlign w:val="bottom"/>
            <w:vMerge w:val="continue"/>
          </w:tcPr>
          <w:p>
            <w:pPr>
              <w:spacing w:after="0"/>
              <w:rPr>
                <w:sz w:val="19"/>
                <w:szCs w:val="19"/>
                <w:color w:val="auto"/>
              </w:rPr>
            </w:pPr>
          </w:p>
        </w:tc>
        <w:tc>
          <w:tcPr>
            <w:tcW w:w="2680" w:type="dxa"/>
            <w:vAlign w:val="bottom"/>
            <w:gridSpan w:val="3"/>
          </w:tcPr>
          <w:p>
            <w:pPr>
              <w:jc w:val="right"/>
              <w:ind w:right="1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207,167</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(335)</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37,003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(71)</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244,170</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(406)</w:t>
            </w:r>
          </w:p>
        </w:tc>
        <w:tc>
          <w:tcPr>
            <w:tcW w:w="0" w:type="dxa"/>
            <w:vAlign w:val="bottom"/>
          </w:tcPr>
          <w:p>
            <w:pPr>
              <w:spacing w:after="0"/>
              <w:rPr>
                <w:sz w:val="1"/>
                <w:szCs w:val="1"/>
                <w:color w:val="auto"/>
              </w:rPr>
            </w:pPr>
          </w:p>
        </w:tc>
      </w:tr>
      <w:tr>
        <w:trPr>
          <w:trHeight w:val="20"/>
        </w:trPr>
        <w:tc>
          <w:tcPr>
            <w:tcW w:w="4140" w:type="dxa"/>
            <w:vAlign w:val="bottom"/>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0"/>
        </w:trPr>
        <w:tc>
          <w:tcPr>
            <w:tcW w:w="41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0" w:type="dxa"/>
            <w:vAlign w:val="bottom"/>
            <w:tcBorders>
              <w:bottom w:val="single" w:sz="8" w:color="auto"/>
            </w:tcBorders>
            <w:gridSpan w:val="5"/>
          </w:tcPr>
          <w:p>
            <w:pPr>
              <w:jc w:val="center"/>
              <w:ind w:right="300"/>
              <w:spacing w:after="0"/>
              <w:rPr>
                <w:sz w:val="20"/>
                <w:szCs w:val="20"/>
                <w:color w:val="auto"/>
              </w:rPr>
            </w:pPr>
            <w:r>
              <w:rPr>
                <w:rFonts w:ascii="Arial" w:cs="Arial" w:eastAsia="Arial" w:hAnsi="Arial"/>
                <w:sz w:val="14"/>
                <w:szCs w:val="14"/>
                <w:b w:val="1"/>
                <w:bCs w:val="1"/>
                <w:color w:val="auto"/>
                <w:w w:val="87"/>
              </w:rPr>
              <w:t>January 30, 2016</w:t>
            </w:r>
          </w:p>
        </w:tc>
        <w:tc>
          <w:tcPr>
            <w:tcW w:w="6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414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780" w:type="dxa"/>
            <w:vAlign w:val="bottom"/>
            <w:gridSpan w:val="6"/>
          </w:tcPr>
          <w:p>
            <w:pPr>
              <w:ind w:left="200"/>
              <w:spacing w:after="0" w:line="142" w:lineRule="exact"/>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12"/>
                <w:szCs w:val="12"/>
                <w:color w:val="auto"/>
              </w:rPr>
            </w:pPr>
          </w:p>
        </w:tc>
        <w:tc>
          <w:tcPr>
            <w:tcW w:w="1800" w:type="dxa"/>
            <w:vAlign w:val="bottom"/>
            <w:gridSpan w:val="5"/>
          </w:tcPr>
          <w:p>
            <w:pPr>
              <w:jc w:val="center"/>
              <w:ind w:right="300"/>
              <w:spacing w:after="0" w:line="142" w:lineRule="exact"/>
              <w:rPr>
                <w:sz w:val="20"/>
                <w:szCs w:val="20"/>
                <w:color w:val="auto"/>
              </w:rPr>
            </w:pPr>
            <w:r>
              <w:rPr>
                <w:rFonts w:ascii="Arial" w:cs="Arial" w:eastAsia="Arial" w:hAnsi="Arial"/>
                <w:sz w:val="14"/>
                <w:szCs w:val="14"/>
                <w:b w:val="1"/>
                <w:bCs w:val="1"/>
                <w:color w:val="auto"/>
                <w:w w:val="87"/>
              </w:rPr>
              <w:t>12 months or more</w:t>
            </w:r>
          </w:p>
        </w:tc>
        <w:tc>
          <w:tcPr>
            <w:tcW w:w="980" w:type="dxa"/>
            <w:vAlign w:val="bottom"/>
            <w:gridSpan w:val="2"/>
          </w:tcPr>
          <w:p>
            <w:pPr>
              <w:ind w:left="660"/>
              <w:spacing w:after="0" w:line="142" w:lineRule="exact"/>
              <w:rPr>
                <w:sz w:val="20"/>
                <w:szCs w:val="20"/>
                <w:color w:val="auto"/>
              </w:rPr>
            </w:pPr>
            <w:r>
              <w:rPr>
                <w:rFonts w:ascii="Arial" w:cs="Arial" w:eastAsia="Arial" w:hAnsi="Arial"/>
                <w:sz w:val="14"/>
                <w:szCs w:val="14"/>
                <w:b w:val="1"/>
                <w:bCs w:val="1"/>
                <w:color w:val="auto"/>
                <w:w w:val="89"/>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4140" w:type="dxa"/>
            <w:vAlign w:val="bottom"/>
          </w:tcPr>
          <w:p>
            <w:pPr>
              <w:spacing w:after="0"/>
              <w:rPr>
                <w:sz w:val="11"/>
                <w:szCs w:val="11"/>
                <w:color w:val="auto"/>
              </w:rPr>
            </w:pPr>
          </w:p>
        </w:tc>
        <w:tc>
          <w:tcPr>
            <w:tcW w:w="1860" w:type="dxa"/>
            <w:vAlign w:val="bottom"/>
          </w:tcPr>
          <w:p>
            <w:pPr>
              <w:spacing w:after="0"/>
              <w:rPr>
                <w:sz w:val="11"/>
                <w:szCs w:val="11"/>
                <w:color w:val="auto"/>
              </w:rPr>
            </w:pPr>
          </w:p>
        </w:tc>
        <w:tc>
          <w:tcPr>
            <w:tcW w:w="82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rPr>
              <w:t>Fair</w:t>
            </w:r>
          </w:p>
        </w:tc>
        <w:tc>
          <w:tcPr>
            <w:tcW w:w="14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Fair</w:t>
            </w:r>
          </w:p>
        </w:tc>
        <w:tc>
          <w:tcPr>
            <w:tcW w:w="300" w:type="dxa"/>
            <w:vAlign w:val="bottom"/>
            <w:tcBorders>
              <w:top w:val="single" w:sz="8" w:color="auto"/>
            </w:tcBorders>
          </w:tcPr>
          <w:p>
            <w:pPr>
              <w:spacing w:after="0"/>
              <w:rPr>
                <w:sz w:val="11"/>
                <w:szCs w:val="11"/>
                <w:color w:val="auto"/>
              </w:rPr>
            </w:pPr>
          </w:p>
        </w:tc>
        <w:tc>
          <w:tcPr>
            <w:tcW w:w="620" w:type="dxa"/>
            <w:vAlign w:val="bottom"/>
            <w:tcBorders>
              <w:top w:val="single" w:sz="8" w:color="auto"/>
            </w:tcBorders>
            <w:gridSpan w:val="2"/>
          </w:tcPr>
          <w:p>
            <w:pPr>
              <w:jc w:val="cente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980" w:type="dxa"/>
            <w:vAlign w:val="bottom"/>
            <w:tcBorders>
              <w:top w:val="single" w:sz="8" w:color="auto"/>
            </w:tcBorders>
            <w:gridSpan w:val="2"/>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820" w:type="dxa"/>
            <w:vAlign w:val="bottom"/>
            <w:gridSpan w:val="2"/>
          </w:tcPr>
          <w:p>
            <w:pPr>
              <w:jc w:val="right"/>
              <w:ind w:right="320"/>
              <w:spacing w:after="0"/>
              <w:rPr>
                <w:sz w:val="20"/>
                <w:szCs w:val="20"/>
                <w:color w:val="auto"/>
              </w:rPr>
            </w:pPr>
            <w:r>
              <w:rPr>
                <w:rFonts w:ascii="Arial" w:cs="Arial" w:eastAsia="Arial" w:hAnsi="Arial"/>
                <w:sz w:val="14"/>
                <w:szCs w:val="14"/>
                <w:b w:val="1"/>
                <w:bCs w:val="1"/>
                <w:color w:val="auto"/>
              </w:rPr>
              <w:t>Value</w:t>
            </w: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w w:val="91"/>
              </w:rPr>
              <w:t>Loss</w:t>
            </w:r>
          </w:p>
        </w:tc>
        <w:tc>
          <w:tcPr>
            <w:tcW w:w="12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79"/>
              </w:rPr>
              <w:t>Loss</w:t>
            </w:r>
          </w:p>
        </w:tc>
        <w:tc>
          <w:tcPr>
            <w:tcW w:w="9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41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18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5"/>
              </w:rPr>
              <w:t>$283,138</w:t>
            </w: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(1,237)</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$14,383</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$297,521</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(1,282)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U.S. government and agency debt</w:t>
            </w:r>
          </w:p>
        </w:tc>
        <w:tc>
          <w:tcPr>
            <w:tcW w:w="2680" w:type="dxa"/>
            <w:vAlign w:val="bottom"/>
            <w:gridSpan w:val="3"/>
          </w:tcPr>
          <w:p>
            <w:pPr>
              <w:jc w:val="right"/>
              <w:ind w:right="160"/>
              <w:spacing w:after="0"/>
              <w:rPr>
                <w:sz w:val="20"/>
                <w:szCs w:val="20"/>
                <w:color w:val="auto"/>
              </w:rPr>
            </w:pPr>
            <w:r>
              <w:rPr>
                <w:rFonts w:ascii="Arial" w:cs="Arial" w:eastAsia="Arial" w:hAnsi="Arial"/>
                <w:sz w:val="18"/>
                <w:szCs w:val="18"/>
                <w:color w:val="auto"/>
              </w:rPr>
              <w:t>263,325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(254)</w:t>
            </w:r>
          </w:p>
        </w:tc>
        <w:tc>
          <w:tcPr>
            <w:tcW w:w="120" w:type="dxa"/>
            <w:vAlign w:val="bottom"/>
          </w:tcPr>
          <w:p>
            <w:pPr>
              <w:spacing w:after="0"/>
              <w:rPr>
                <w:sz w:val="18"/>
                <w:szCs w:val="18"/>
                <w:color w:val="auto"/>
              </w:rPr>
            </w:pPr>
          </w:p>
        </w:tc>
        <w:tc>
          <w:tcPr>
            <w:tcW w:w="580" w:type="dxa"/>
            <w:vAlign w:val="bottom"/>
          </w:tcPr>
          <w:p>
            <w:pPr>
              <w:jc w:val="right"/>
              <w:ind w:right="2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263,325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(254)</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26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46,646</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(56)</w:t>
            </w: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25"/>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46,646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16"/>
        </w:trPr>
        <w:tc>
          <w:tcPr>
            <w:tcW w:w="4140" w:type="dxa"/>
            <w:vAlign w:val="bottom"/>
          </w:tcPr>
          <w:p>
            <w:pPr>
              <w:spacing w:after="0"/>
              <w:rPr>
                <w:sz w:val="20"/>
                <w:szCs w:val="20"/>
                <w:color w:val="auto"/>
              </w:rPr>
            </w:pPr>
            <w:r>
              <w:rPr>
                <w:rFonts w:ascii="Arial" w:cs="Arial" w:eastAsia="Arial" w:hAnsi="Arial"/>
                <w:sz w:val="18"/>
                <w:szCs w:val="18"/>
                <w:color w:val="auto"/>
              </w:rPr>
              <w:t>Foreign government and agency debt</w:t>
            </w:r>
          </w:p>
        </w:tc>
        <w:tc>
          <w:tcPr>
            <w:tcW w:w="2680" w:type="dxa"/>
            <w:vAlign w:val="bottom"/>
            <w:gridSpan w:val="3"/>
          </w:tcPr>
          <w:p>
            <w:pPr>
              <w:jc w:val="right"/>
              <w:ind w:right="160"/>
              <w:spacing w:after="0"/>
              <w:rPr>
                <w:sz w:val="20"/>
                <w:szCs w:val="20"/>
                <w:color w:val="auto"/>
              </w:rPr>
            </w:pPr>
            <w:r>
              <w:rPr>
                <w:rFonts w:ascii="Arial" w:cs="Arial" w:eastAsia="Arial" w:hAnsi="Arial"/>
                <w:sz w:val="18"/>
                <w:szCs w:val="18"/>
                <w:color w:val="auto"/>
              </w:rPr>
              <w:t>16,458</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rPr>
              <w:t>(14)</w:t>
            </w:r>
          </w:p>
        </w:tc>
        <w:tc>
          <w:tcPr>
            <w:tcW w:w="120" w:type="dxa"/>
            <w:vAlign w:val="bottom"/>
          </w:tcPr>
          <w:p>
            <w:pPr>
              <w:spacing w:after="0"/>
              <w:rPr>
                <w:sz w:val="18"/>
                <w:szCs w:val="18"/>
                <w:color w:val="auto"/>
              </w:rPr>
            </w:pPr>
          </w:p>
        </w:tc>
        <w:tc>
          <w:tcPr>
            <w:tcW w:w="580" w:type="dxa"/>
            <w:vAlign w:val="bottom"/>
          </w:tcPr>
          <w:p>
            <w:pPr>
              <w:jc w:val="right"/>
              <w:ind w:right="2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680" w:type="dxa"/>
            <w:vAlign w:val="bottom"/>
          </w:tcPr>
          <w:p>
            <w:pPr>
              <w:jc w:val="right"/>
              <w:spacing w:after="0"/>
              <w:rPr>
                <w:sz w:val="20"/>
                <w:szCs w:val="20"/>
                <w:color w:val="auto"/>
              </w:rPr>
            </w:pPr>
            <w:r>
              <w:rPr>
                <w:rFonts w:ascii="Arial" w:cs="Arial" w:eastAsia="Arial" w:hAnsi="Arial"/>
                <w:sz w:val="18"/>
                <w:szCs w:val="18"/>
                <w:color w:val="auto"/>
              </w:rPr>
              <w:t>16,458</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(14)</w:t>
            </w:r>
          </w:p>
        </w:tc>
        <w:tc>
          <w:tcPr>
            <w:tcW w:w="0" w:type="dxa"/>
            <w:vAlign w:val="bottom"/>
          </w:tcPr>
          <w:p>
            <w:pPr>
              <w:spacing w:after="0"/>
              <w:rPr>
                <w:sz w:val="1"/>
                <w:szCs w:val="1"/>
                <w:color w:val="auto"/>
              </w:rPr>
            </w:pPr>
          </w:p>
        </w:tc>
      </w:tr>
      <w:tr>
        <w:trPr>
          <w:trHeight w:val="216"/>
        </w:trPr>
        <w:tc>
          <w:tcPr>
            <w:tcW w:w="4140" w:type="dxa"/>
            <w:vAlign w:val="bottom"/>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8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2,943</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1,571</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4,514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0"/>
        </w:trPr>
        <w:tc>
          <w:tcPr>
            <w:tcW w:w="4140" w:type="dxa"/>
            <w:vAlign w:val="bottom"/>
            <w:vMerge w:val="restart"/>
          </w:tcPr>
          <w:p>
            <w:pPr>
              <w:spacing w:after="0"/>
              <w:rPr>
                <w:sz w:val="20"/>
                <w:szCs w:val="20"/>
                <w:color w:val="auto"/>
              </w:rPr>
            </w:pPr>
            <w:r>
              <w:rPr>
                <w:rFonts w:ascii="Arial" w:cs="Arial" w:eastAsia="Arial" w:hAnsi="Arial"/>
                <w:sz w:val="18"/>
                <w:szCs w:val="18"/>
                <w:color w:val="auto"/>
              </w:rPr>
              <w:t>Total securities</w:t>
            </w:r>
          </w:p>
        </w:tc>
        <w:tc>
          <w:tcPr>
            <w:tcW w:w="18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vMerge w:val="continue"/>
          </w:tcPr>
          <w:p>
            <w:pPr>
              <w:spacing w:after="0"/>
              <w:rPr>
                <w:sz w:val="19"/>
                <w:szCs w:val="19"/>
                <w:color w:val="auto"/>
              </w:rPr>
            </w:pPr>
          </w:p>
        </w:tc>
        <w:tc>
          <w:tcPr>
            <w:tcW w:w="2680" w:type="dxa"/>
            <w:vAlign w:val="bottom"/>
            <w:gridSpan w:val="3"/>
          </w:tcPr>
          <w:p>
            <w:pPr>
              <w:jc w:val="right"/>
              <w:ind w:right="1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612,510</w:t>
            </w:r>
          </w:p>
        </w:tc>
        <w:tc>
          <w:tcPr>
            <w:tcW w:w="280" w:type="dxa"/>
            <w:vAlign w:val="bottom"/>
            <w:gridSpan w:val="2"/>
          </w:tcPr>
          <w:p>
            <w:pPr>
              <w:ind w:left="140"/>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20"/>
              <w:spacing w:after="0"/>
              <w:rPr>
                <w:sz w:val="20"/>
                <w:szCs w:val="20"/>
                <w:color w:val="auto"/>
              </w:rPr>
            </w:pPr>
            <w:r>
              <w:rPr>
                <w:rFonts w:ascii="Arial" w:cs="Arial" w:eastAsia="Arial" w:hAnsi="Arial"/>
                <w:sz w:val="18"/>
                <w:szCs w:val="18"/>
                <w:color w:val="auto"/>
                <w:w w:val="94"/>
              </w:rPr>
              <w:t>(1,566)</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15,954</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(47)</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628,464</w:t>
            </w:r>
          </w:p>
        </w:tc>
        <w:tc>
          <w:tcPr>
            <w:tcW w:w="30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(1,613)</w:t>
            </w:r>
          </w:p>
        </w:tc>
        <w:tc>
          <w:tcPr>
            <w:tcW w:w="0" w:type="dxa"/>
            <w:vAlign w:val="bottom"/>
          </w:tcPr>
          <w:p>
            <w:pPr>
              <w:spacing w:after="0"/>
              <w:rPr>
                <w:sz w:val="1"/>
                <w:szCs w:val="1"/>
                <w:color w:val="auto"/>
              </w:rPr>
            </w:pPr>
          </w:p>
        </w:tc>
      </w:tr>
      <w:tr>
        <w:trPr>
          <w:trHeight w:val="20"/>
        </w:trPr>
        <w:tc>
          <w:tcPr>
            <w:tcW w:w="4140" w:type="dxa"/>
            <w:vAlign w:val="bottom"/>
          </w:tcPr>
          <w:p>
            <w:pPr>
              <w:spacing w:after="0" w:line="20" w:lineRule="exact"/>
              <w:rPr>
                <w:sz w:val="1"/>
                <w:szCs w:val="1"/>
                <w:color w:val="auto"/>
              </w:rPr>
            </w:pPr>
          </w:p>
        </w:tc>
        <w:tc>
          <w:tcPr>
            <w:tcW w:w="1860" w:type="dxa"/>
            <w:vAlign w:val="bottom"/>
            <w:vMerge w:val="restart"/>
          </w:tcPr>
          <w:p>
            <w:pPr>
              <w:jc w:val="right"/>
              <w:ind w:right="152"/>
              <w:spacing w:after="0"/>
              <w:rPr>
                <w:sz w:val="20"/>
                <w:szCs w:val="20"/>
                <w:color w:val="auto"/>
              </w:rPr>
            </w:pPr>
            <w:r>
              <w:rPr>
                <w:rFonts w:ascii="Arial" w:cs="Arial" w:eastAsia="Arial" w:hAnsi="Arial"/>
                <w:sz w:val="18"/>
                <w:szCs w:val="18"/>
                <w:color w:val="auto"/>
              </w:rPr>
              <w:t>9</w:t>
            </w:r>
          </w:p>
        </w:tc>
        <w:tc>
          <w:tcPr>
            <w:tcW w:w="6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140" w:type="dxa"/>
            <w:vAlign w:val="bottom"/>
          </w:tcPr>
          <w:p>
            <w:pPr>
              <w:spacing w:after="0"/>
              <w:rPr>
                <w:sz w:val="24"/>
                <w:szCs w:val="24"/>
                <w:color w:val="auto"/>
              </w:rPr>
            </w:pPr>
          </w:p>
        </w:tc>
        <w:tc>
          <w:tcPr>
            <w:tcW w:w="1860" w:type="dxa"/>
            <w:vAlign w:val="bottom"/>
            <w:vMerge w:val="continue"/>
          </w:tcPr>
          <w:p>
            <w:pPr>
              <w:spacing w:after="0"/>
              <w:rPr>
                <w:sz w:val="24"/>
                <w:szCs w:val="24"/>
                <w:color w:val="auto"/>
              </w:rPr>
            </w:pPr>
          </w:p>
        </w:tc>
        <w:tc>
          <w:tcPr>
            <w:tcW w:w="6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Supplemental Financial Information (in thousands)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Balance Sheets</w:t>
      </w:r>
    </w:p>
    <w:p>
      <w:pPr>
        <w:spacing w:after="0" w:line="195"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70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Arial" w:cs="Arial" w:eastAsia="Arial" w:hAnsi="Arial"/>
                <w:sz w:val="14"/>
                <w:szCs w:val="14"/>
                <w:b w:val="1"/>
                <w:bCs w:val="1"/>
                <w:color w:val="auto"/>
                <w:w w:val="85"/>
              </w:rPr>
              <w:t>October 29,</w:t>
            </w:r>
          </w:p>
        </w:tc>
        <w:tc>
          <w:tcPr>
            <w:tcW w:w="1300" w:type="dxa"/>
            <w:vAlign w:val="bottom"/>
            <w:gridSpan w:val="3"/>
          </w:tcPr>
          <w:p>
            <w:pPr>
              <w:ind w:left="500"/>
              <w:spacing w:after="0"/>
              <w:rPr>
                <w:sz w:val="20"/>
                <w:szCs w:val="20"/>
                <w:color w:val="auto"/>
              </w:rPr>
            </w:pPr>
            <w:r>
              <w:rPr>
                <w:rFonts w:ascii="Arial" w:cs="Arial" w:eastAsia="Arial" w:hAnsi="Arial"/>
                <w:sz w:val="14"/>
                <w:szCs w:val="14"/>
                <w:b w:val="1"/>
                <w:bCs w:val="1"/>
                <w:color w:val="auto"/>
              </w:rPr>
              <w:t>January 30,</w:t>
            </w:r>
          </w:p>
        </w:tc>
      </w:tr>
      <w:tr>
        <w:trPr>
          <w:trHeight w:val="161"/>
        </w:trPr>
        <w:tc>
          <w:tcPr>
            <w:tcW w:w="6700" w:type="dxa"/>
            <w:vAlign w:val="bottom"/>
          </w:tcPr>
          <w:p>
            <w:pPr>
              <w:spacing w:after="0"/>
              <w:rPr>
                <w:sz w:val="14"/>
                <w:szCs w:val="14"/>
                <w:color w:val="auto"/>
              </w:rPr>
            </w:pPr>
          </w:p>
        </w:tc>
        <w:tc>
          <w:tcPr>
            <w:tcW w:w="680" w:type="dxa"/>
            <w:vAlign w:val="bottom"/>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12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4"/>
                <w:szCs w:val="14"/>
                <w:color w:val="auto"/>
              </w:rPr>
            </w:pPr>
          </w:p>
        </w:tc>
      </w:tr>
      <w:tr>
        <w:trPr>
          <w:trHeight w:val="196"/>
        </w:trPr>
        <w:tc>
          <w:tcPr>
            <w:tcW w:w="6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68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6700" w:type="dxa"/>
            <w:vAlign w:val="bottom"/>
          </w:tcPr>
          <w:p>
            <w:pPr>
              <w:spacing w:after="0"/>
              <w:rPr>
                <w:sz w:val="20"/>
                <w:szCs w:val="20"/>
                <w:color w:val="auto"/>
              </w:rPr>
            </w:pPr>
            <w:r>
              <w:rPr>
                <w:rFonts w:ascii="Arial" w:cs="Arial" w:eastAsia="Arial" w:hAnsi="Arial"/>
                <w:sz w:val="18"/>
                <w:szCs w:val="18"/>
                <w:color w:val="auto"/>
              </w:rPr>
              <w:t>Work-in-process</w:t>
            </w:r>
          </w:p>
        </w:tc>
        <w:tc>
          <w:tcPr>
            <w:tcW w:w="680" w:type="dxa"/>
            <w:vAlign w:val="bottom"/>
          </w:tcPr>
          <w:p>
            <w:pPr>
              <w:jc w:val="right"/>
              <w:spacing w:after="0"/>
              <w:rPr>
                <w:sz w:val="20"/>
                <w:szCs w:val="20"/>
                <w:color w:val="auto"/>
              </w:rPr>
            </w:pPr>
            <w:r>
              <w:rPr>
                <w:rFonts w:ascii="Arial" w:cs="Arial" w:eastAsia="Arial" w:hAnsi="Arial"/>
                <w:sz w:val="18"/>
                <w:szCs w:val="18"/>
                <w:color w:val="auto"/>
                <w:w w:val="82"/>
              </w:rPr>
              <w:t>$ 117,624</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$ 131,471</w:t>
            </w:r>
          </w:p>
        </w:tc>
        <w:tc>
          <w:tcPr>
            <w:tcW w:w="100" w:type="dxa"/>
            <w:vAlign w:val="bottom"/>
          </w:tcPr>
          <w:p>
            <w:pPr>
              <w:spacing w:after="0"/>
              <w:rPr>
                <w:sz w:val="18"/>
                <w:szCs w:val="18"/>
                <w:color w:val="auto"/>
              </w:rPr>
            </w:pPr>
          </w:p>
        </w:tc>
      </w:tr>
      <w:tr>
        <w:trPr>
          <w:trHeight w:val="216"/>
        </w:trPr>
        <w:tc>
          <w:tcPr>
            <w:tcW w:w="670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81,219</w:t>
            </w:r>
          </w:p>
        </w:tc>
        <w:tc>
          <w:tcPr>
            <w:tcW w:w="520" w:type="dxa"/>
            <w:vAlign w:val="bottom"/>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78,546</w:t>
            </w:r>
          </w:p>
        </w:tc>
        <w:tc>
          <w:tcPr>
            <w:tcW w:w="100" w:type="dxa"/>
            <w:vAlign w:val="bottom"/>
            <w:shd w:val="clear" w:color="auto" w:fill="CCEEFF"/>
          </w:tcPr>
          <w:p>
            <w:pPr>
              <w:spacing w:after="0"/>
              <w:rPr>
                <w:sz w:val="18"/>
                <w:szCs w:val="18"/>
                <w:color w:val="auto"/>
              </w:rPr>
            </w:pPr>
          </w:p>
        </w:tc>
      </w:tr>
      <w:tr>
        <w:trPr>
          <w:trHeight w:val="222"/>
        </w:trPr>
        <w:tc>
          <w:tcPr>
            <w:tcW w:w="6700" w:type="dxa"/>
            <w:vAlign w:val="bottom"/>
          </w:tcPr>
          <w:p>
            <w:pPr>
              <w:spacing w:after="0"/>
              <w:rPr>
                <w:sz w:val="20"/>
                <w:szCs w:val="20"/>
                <w:color w:val="auto"/>
              </w:rPr>
            </w:pPr>
            <w:r>
              <w:rPr>
                <w:rFonts w:ascii="Arial" w:cs="Arial" w:eastAsia="Arial" w:hAnsi="Arial"/>
                <w:sz w:val="18"/>
                <w:szCs w:val="18"/>
                <w:color w:val="auto"/>
              </w:rPr>
              <w:t>Total inventories</w:t>
            </w:r>
          </w:p>
        </w:tc>
        <w:tc>
          <w:tcPr>
            <w:tcW w:w="680" w:type="dxa"/>
            <w:vAlign w:val="bottom"/>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198,843</w:t>
            </w:r>
          </w:p>
        </w:tc>
        <w:tc>
          <w:tcPr>
            <w:tcW w:w="1200" w:type="dxa"/>
            <w:vAlign w:val="bottom"/>
            <w:gridSpan w:val="2"/>
          </w:tcPr>
          <w:p>
            <w:pPr>
              <w:jc w:val="right"/>
              <w:spacing w:after="0"/>
              <w:rPr>
                <w:sz w:val="20"/>
                <w:szCs w:val="20"/>
                <w:color w:val="auto"/>
              </w:rPr>
            </w:pPr>
            <w:r>
              <w:rPr>
                <w:rFonts w:ascii="Arial" w:cs="Arial" w:eastAsia="Arial" w:hAnsi="Arial"/>
                <w:sz w:val="18"/>
                <w:szCs w:val="18"/>
                <w:color w:val="auto"/>
              </w:rPr>
              <w:t>$ 210,017</w:t>
            </w:r>
          </w:p>
        </w:tc>
        <w:tc>
          <w:tcPr>
            <w:tcW w:w="100" w:type="dxa"/>
            <w:vAlign w:val="bottom"/>
          </w:tcPr>
          <w:p>
            <w:pPr>
              <w:spacing w:after="0"/>
              <w:rPr>
                <w:sz w:val="19"/>
                <w:szCs w:val="19"/>
                <w:color w:val="auto"/>
              </w:rPr>
            </w:pPr>
          </w:p>
        </w:tc>
      </w:tr>
      <w:tr>
        <w:trPr>
          <w:trHeight w:val="20"/>
        </w:trPr>
        <w:tc>
          <w:tcPr>
            <w:tcW w:w="6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Inventory held by third-party logistics providers is recorded as consigned inventory on the Company’s consolidated balance sheet. The amount of inventory held at third-party logistics providers was $23.5 million and $21.0 million at October 29, 2016 and January 30, 2016, respectively.</w:t>
      </w:r>
    </w:p>
    <w:p>
      <w:pPr>
        <w:spacing w:after="0" w:line="109"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20" w:type="dxa"/>
            <w:vAlign w:val="bottom"/>
          </w:tcPr>
          <w:p>
            <w:pPr>
              <w:spacing w:after="0"/>
              <w:rPr>
                <w:sz w:val="14"/>
                <w:szCs w:val="14"/>
                <w:color w:val="auto"/>
              </w:rPr>
            </w:pPr>
          </w:p>
        </w:tc>
        <w:tc>
          <w:tcPr>
            <w:tcW w:w="92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October 29,</w:t>
            </w:r>
          </w:p>
        </w:tc>
        <w:tc>
          <w:tcPr>
            <w:tcW w:w="80" w:type="dxa"/>
            <w:vAlign w:val="bottom"/>
          </w:tcPr>
          <w:p>
            <w:pPr>
              <w:spacing w:after="0"/>
              <w:rPr>
                <w:sz w:val="14"/>
                <w:szCs w:val="1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9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598,781</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578,627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Computer software</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99,668</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102,928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Building improvements</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49,970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49,927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50,194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50,192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24,261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27,119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9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4,580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860" w:type="dxa"/>
            <w:vAlign w:val="bottom"/>
          </w:tcPr>
          <w:p>
            <w:pPr>
              <w:spacing w:after="0"/>
              <w:rPr>
                <w:sz w:val="19"/>
                <w:szCs w:val="19"/>
                <w:color w:val="auto"/>
              </w:rPr>
            </w:pPr>
          </w:p>
        </w:tc>
        <w:tc>
          <w:tcPr>
            <w:tcW w:w="29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1,025,147</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1,007,839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(759,163)</w:t>
            </w: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(708,299)</w:t>
            </w:r>
          </w:p>
        </w:tc>
        <w:tc>
          <w:tcPr>
            <w:tcW w:w="0" w:type="dxa"/>
            <w:vAlign w:val="bottom"/>
          </w:tcPr>
          <w:p>
            <w:pPr>
              <w:spacing w:after="0"/>
              <w:rPr>
                <w:sz w:val="1"/>
                <w:szCs w:val="1"/>
                <w:color w:val="auto"/>
              </w:rPr>
            </w:pPr>
          </w:p>
        </w:tc>
      </w:tr>
      <w:tr>
        <w:trPr>
          <w:trHeight w:val="20"/>
        </w:trPr>
        <w:tc>
          <w:tcPr>
            <w:tcW w:w="3860" w:type="dxa"/>
            <w:vAlign w:val="bottom"/>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29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860" w:type="dxa"/>
            <w:vAlign w:val="bottom"/>
            <w:vMerge w:val="continue"/>
          </w:tcPr>
          <w:p>
            <w:pPr>
              <w:spacing w:after="0"/>
              <w:rPr>
                <w:sz w:val="19"/>
                <w:szCs w:val="19"/>
                <w:color w:val="auto"/>
              </w:rPr>
            </w:pP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265,984</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299,540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29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86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92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October 29,</w:t>
            </w:r>
          </w:p>
        </w:tc>
        <w:tc>
          <w:tcPr>
            <w:tcW w:w="8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9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61,479</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48,770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36,727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34,505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5,530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5,804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12,888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Deposits</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48,771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51,512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9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13,673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10,996</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60" w:type="dxa"/>
            <w:vAlign w:val="bottom"/>
          </w:tcPr>
          <w:p>
            <w:pPr>
              <w:spacing w:after="0"/>
              <w:rPr>
                <w:sz w:val="20"/>
                <w:szCs w:val="20"/>
                <w:color w:val="auto"/>
              </w:rPr>
            </w:pPr>
            <w:r>
              <w:rPr>
                <w:rFonts w:ascii="Arial" w:cs="Arial" w:eastAsia="Arial" w:hAnsi="Arial"/>
                <w:sz w:val="18"/>
                <w:szCs w:val="18"/>
                <w:color w:val="auto"/>
              </w:rPr>
              <w:t>Total other non-current assets</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179,068</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164,710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29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3860" w:type="dxa"/>
            <w:vAlign w:val="bottom"/>
          </w:tcPr>
          <w:p>
            <w:pPr>
              <w:spacing w:after="0"/>
              <w:rPr>
                <w:sz w:val="24"/>
                <w:szCs w:val="24"/>
                <w:color w:val="auto"/>
              </w:rPr>
            </w:pPr>
          </w:p>
        </w:tc>
        <w:tc>
          <w:tcPr>
            <w:tcW w:w="2920" w:type="dxa"/>
            <w:vAlign w:val="bottom"/>
          </w:tcPr>
          <w:p>
            <w:pPr>
              <w:spacing w:after="0"/>
              <w:rPr>
                <w:sz w:val="24"/>
                <w:szCs w:val="24"/>
                <w:color w:val="auto"/>
              </w:rPr>
            </w:pPr>
          </w:p>
        </w:tc>
        <w:tc>
          <w:tcPr>
            <w:tcW w:w="92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October 29,</w:t>
            </w:r>
          </w:p>
        </w:tc>
        <w:tc>
          <w:tcPr>
            <w:tcW w:w="80" w:type="dxa"/>
            <w:vAlign w:val="bottom"/>
          </w:tcPr>
          <w:p>
            <w:pPr>
              <w:spacing w:after="0"/>
              <w:rPr>
                <w:sz w:val="24"/>
                <w:szCs w:val="24"/>
                <w:color w:val="auto"/>
              </w:rPr>
            </w:pPr>
          </w:p>
        </w:tc>
        <w:tc>
          <w:tcPr>
            <w:tcW w:w="9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88"/>
              </w:rPr>
              <w:t>January 30,</w:t>
            </w:r>
          </w:p>
        </w:tc>
        <w:tc>
          <w:tcPr>
            <w:tcW w:w="0" w:type="dxa"/>
            <w:vAlign w:val="bottom"/>
          </w:tcPr>
          <w:p>
            <w:pPr>
              <w:spacing w:after="0"/>
              <w:rPr>
                <w:sz w:val="1"/>
                <w:szCs w:val="1"/>
                <w:color w:val="auto"/>
              </w:rPr>
            </w:pPr>
          </w:p>
        </w:tc>
      </w:tr>
      <w:tr>
        <w:trPr>
          <w:trHeight w:val="161"/>
        </w:trPr>
        <w:tc>
          <w:tcPr>
            <w:tcW w:w="3860" w:type="dxa"/>
            <w:vAlign w:val="bottom"/>
            <w:tcBorders>
              <w:bottom w:val="single" w:sz="8" w:color="CCEEFF"/>
            </w:tcBorders>
          </w:tcPr>
          <w:p>
            <w:pPr>
              <w:spacing w:after="0"/>
              <w:rPr>
                <w:sz w:val="14"/>
                <w:szCs w:val="14"/>
                <w:color w:val="auto"/>
              </w:rPr>
            </w:pPr>
          </w:p>
        </w:tc>
        <w:tc>
          <w:tcPr>
            <w:tcW w:w="29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2016</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86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29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Accrued rebates</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30,091</w:t>
            </w:r>
          </w:p>
        </w:tc>
        <w:tc>
          <w:tcPr>
            <w:tcW w:w="120" w:type="dxa"/>
            <w:vAlign w:val="bottom"/>
          </w:tcPr>
          <w:p>
            <w:pPr>
              <w:spacing w:after="0"/>
              <w:rPr>
                <w:sz w:val="18"/>
                <w:szCs w:val="18"/>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41,320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16,181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16,217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25,842</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17,985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29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7,401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tcPr>
          <w:p>
            <w:pPr>
              <w:spacing w:after="0"/>
              <w:rPr>
                <w:sz w:val="20"/>
                <w:szCs w:val="20"/>
                <w:color w:val="auto"/>
              </w:rPr>
            </w:pPr>
            <w:r>
              <w:rPr>
                <w:rFonts w:ascii="Arial" w:cs="Arial" w:eastAsia="Arial" w:hAnsi="Arial"/>
                <w:sz w:val="18"/>
                <w:szCs w:val="18"/>
                <w:color w:val="auto"/>
              </w:rPr>
              <w:t>Accrued litigation</w:t>
            </w:r>
          </w:p>
        </w:tc>
        <w:tc>
          <w:tcPr>
            <w:tcW w:w="29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2,750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3,830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86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9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42,024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42,947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860" w:type="dxa"/>
            <w:vAlign w:val="bottom"/>
          </w:tcPr>
          <w:p>
            <w:pPr>
              <w:spacing w:after="0"/>
              <w:rPr>
                <w:sz w:val="20"/>
                <w:szCs w:val="20"/>
                <w:color w:val="auto"/>
              </w:rPr>
            </w:pPr>
            <w:r>
              <w:rPr>
                <w:rFonts w:ascii="Arial" w:cs="Arial" w:eastAsia="Arial" w:hAnsi="Arial"/>
                <w:sz w:val="18"/>
                <w:szCs w:val="18"/>
                <w:color w:val="auto"/>
              </w:rPr>
              <w:t>Total accrued liabilities</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124,289</w:t>
            </w:r>
          </w:p>
        </w:tc>
        <w:tc>
          <w:tcPr>
            <w:tcW w:w="120" w:type="dxa"/>
            <w:vAlign w:val="bottom"/>
          </w:tcPr>
          <w:p>
            <w:pPr>
              <w:spacing w:after="0"/>
              <w:rPr>
                <w:sz w:val="19"/>
                <w:szCs w:val="19"/>
                <w:color w:val="auto"/>
              </w:rPr>
            </w:pPr>
          </w:p>
        </w:tc>
        <w:tc>
          <w:tcPr>
            <w:tcW w:w="1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132,060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860" w:type="dxa"/>
            <w:vAlign w:val="bottom"/>
          </w:tcPr>
          <w:p>
            <w:pPr>
              <w:spacing w:after="0" w:line="20" w:lineRule="exact"/>
              <w:rPr>
                <w:sz w:val="1"/>
                <w:szCs w:val="1"/>
                <w:color w:val="auto"/>
              </w:rPr>
            </w:pPr>
          </w:p>
        </w:tc>
        <w:tc>
          <w:tcPr>
            <w:tcW w:w="2920" w:type="dxa"/>
            <w:vAlign w:val="bottom"/>
            <w:vMerge w:val="restart"/>
          </w:tcPr>
          <w:p>
            <w:pPr>
              <w:jc w:val="right"/>
              <w:ind w:right="2272"/>
              <w:spacing w:after="0"/>
              <w:rPr>
                <w:sz w:val="20"/>
                <w:szCs w:val="20"/>
                <w:color w:val="auto"/>
              </w:rPr>
            </w:pPr>
            <w:r>
              <w:rPr>
                <w:rFonts w:ascii="Arial" w:cs="Arial" w:eastAsia="Arial" w:hAnsi="Arial"/>
                <w:sz w:val="18"/>
                <w:szCs w:val="18"/>
                <w:color w:val="auto"/>
              </w:rPr>
              <w:t>10</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860" w:type="dxa"/>
            <w:vAlign w:val="bottom"/>
          </w:tcPr>
          <w:p>
            <w:pPr>
              <w:spacing w:after="0"/>
              <w:rPr>
                <w:sz w:val="24"/>
                <w:szCs w:val="24"/>
                <w:color w:val="auto"/>
              </w:rPr>
            </w:pPr>
          </w:p>
        </w:tc>
        <w:tc>
          <w:tcPr>
            <w:tcW w:w="292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9" w:right="25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5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gridSpan w:val="4"/>
          </w:tcPr>
          <w:p>
            <w:pPr>
              <w:spacing w:after="0"/>
              <w:rPr>
                <w:sz w:val="20"/>
                <w:szCs w:val="20"/>
                <w:color w:val="auto"/>
              </w:rPr>
            </w:pPr>
            <w:r>
              <w:rPr>
                <w:rFonts w:ascii="Arial" w:cs="Arial" w:eastAsia="Arial" w:hAnsi="Arial"/>
                <w:sz w:val="14"/>
                <w:szCs w:val="14"/>
                <w:b w:val="1"/>
                <w:bCs w:val="1"/>
                <w:color w:val="auto"/>
              </w:rPr>
              <w:t>October 29,</w:t>
            </w:r>
          </w:p>
        </w:tc>
        <w:tc>
          <w:tcPr>
            <w:tcW w:w="880" w:type="dxa"/>
            <w:vAlign w:val="bottom"/>
            <w:gridSpan w:val="5"/>
          </w:tcPr>
          <w:p>
            <w:pPr>
              <w:ind w:left="80"/>
              <w:spacing w:after="0"/>
              <w:rPr>
                <w:sz w:val="20"/>
                <w:szCs w:val="20"/>
                <w:color w:val="auto"/>
              </w:rPr>
            </w:pPr>
            <w:r>
              <w:rPr>
                <w:rFonts w:ascii="Arial" w:cs="Arial" w:eastAsia="Arial" w:hAnsi="Arial"/>
                <w:sz w:val="14"/>
                <w:szCs w:val="14"/>
                <w:b w:val="1"/>
                <w:bCs w:val="1"/>
                <w:color w:val="auto"/>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9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Deferred income:</w:t>
            </w:r>
          </w:p>
        </w:tc>
        <w:tc>
          <w:tcPr>
            <w:tcW w:w="19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Deferred revenue</w:t>
            </w:r>
          </w:p>
        </w:tc>
        <w:tc>
          <w:tcPr>
            <w:tcW w:w="2100" w:type="dxa"/>
            <w:vAlign w:val="bottom"/>
            <w:gridSpan w:val="4"/>
          </w:tcPr>
          <w:p>
            <w:pPr>
              <w:ind w:left="1980"/>
              <w:spacing w:after="0"/>
              <w:rPr>
                <w:sz w:val="20"/>
                <w:szCs w:val="20"/>
                <w:color w:val="auto"/>
              </w:rPr>
            </w:pPr>
            <w:r>
              <w:rPr>
                <w:rFonts w:ascii="Arial" w:cs="Arial" w:eastAsia="Arial" w:hAnsi="Arial"/>
                <w:sz w:val="18"/>
                <w:szCs w:val="18"/>
                <w:color w:val="auto"/>
                <w:w w:val="99"/>
              </w:rPr>
              <w:t>$</w:t>
            </w:r>
          </w:p>
        </w:tc>
        <w:tc>
          <w:tcPr>
            <w:tcW w:w="580" w:type="dxa"/>
            <w:vAlign w:val="bottom"/>
          </w:tcPr>
          <w:p>
            <w:pPr>
              <w:jc w:val="center"/>
              <w:spacing w:after="0"/>
              <w:rPr>
                <w:sz w:val="20"/>
                <w:szCs w:val="20"/>
                <w:color w:val="auto"/>
              </w:rPr>
            </w:pPr>
            <w:r>
              <w:rPr>
                <w:rFonts w:ascii="Arial" w:cs="Arial" w:eastAsia="Arial" w:hAnsi="Arial"/>
                <w:sz w:val="18"/>
                <w:szCs w:val="18"/>
                <w:color w:val="auto"/>
                <w:w w:val="87"/>
              </w:rPr>
              <w:t>89,095</w:t>
            </w:r>
          </w:p>
        </w:tc>
        <w:tc>
          <w:tcPr>
            <w:tcW w:w="1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77,935</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Deferred cost of goods sold</w:t>
            </w:r>
          </w:p>
        </w:tc>
        <w:tc>
          <w:tcPr>
            <w:tcW w:w="19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9"/>
              </w:rPr>
              <w:t>(25,439)</w:t>
            </w: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89"/>
              </w:rPr>
              <w:t>(22,213)</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Deferred income</w:t>
            </w:r>
          </w:p>
        </w:tc>
        <w:tc>
          <w:tcPr>
            <w:tcW w:w="1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tcBorders>
              <w:right w:val="single" w:sz="8" w:color="auto"/>
            </w:tcBorders>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1980" w:type="dxa"/>
            <w:vAlign w:val="bottom"/>
            <w:gridSpan w:val="2"/>
          </w:tcPr>
          <w:p>
            <w:pPr>
              <w:spacing w:after="0"/>
              <w:rPr>
                <w:sz w:val="19"/>
                <w:szCs w:val="19"/>
                <w:color w:val="auto"/>
              </w:rPr>
            </w:pPr>
          </w:p>
        </w:tc>
        <w:tc>
          <w:tcPr>
            <w:tcW w:w="120" w:type="dxa"/>
            <w:vAlign w:val="bottom"/>
            <w:gridSpan w:val="2"/>
          </w:tcPr>
          <w:p>
            <w:pPr>
              <w:spacing w:after="0"/>
              <w:rPr>
                <w:sz w:val="20"/>
                <w:szCs w:val="20"/>
                <w:color w:val="auto"/>
              </w:rPr>
            </w:pPr>
            <w:r>
              <w:rPr>
                <w:rFonts w:ascii="Arial" w:cs="Arial" w:eastAsia="Arial" w:hAnsi="Arial"/>
                <w:sz w:val="18"/>
                <w:szCs w:val="18"/>
                <w:color w:val="auto"/>
                <w:w w:val="99"/>
              </w:rPr>
              <w:t>$</w:t>
            </w:r>
          </w:p>
        </w:tc>
        <w:tc>
          <w:tcPr>
            <w:tcW w:w="580" w:type="dxa"/>
            <w:vAlign w:val="bottom"/>
          </w:tcPr>
          <w:p>
            <w:pPr>
              <w:jc w:val="center"/>
              <w:spacing w:after="0"/>
              <w:rPr>
                <w:sz w:val="20"/>
                <w:szCs w:val="20"/>
                <w:color w:val="auto"/>
              </w:rPr>
            </w:pPr>
            <w:r>
              <w:rPr>
                <w:rFonts w:ascii="Arial" w:cs="Arial" w:eastAsia="Arial" w:hAnsi="Arial"/>
                <w:sz w:val="18"/>
                <w:szCs w:val="18"/>
                <w:color w:val="auto"/>
                <w:w w:val="87"/>
              </w:rPr>
              <w:t>63,656</w:t>
            </w:r>
          </w:p>
        </w:tc>
        <w:tc>
          <w:tcPr>
            <w:tcW w:w="100" w:type="dxa"/>
            <w:vAlign w:val="bottom"/>
          </w:tcPr>
          <w:p>
            <w:pPr>
              <w:spacing w:after="0"/>
              <w:rPr>
                <w:sz w:val="19"/>
                <w:szCs w:val="19"/>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98"/>
              </w:rPr>
              <w:t>55,722</w:t>
            </w: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3"/>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2780" w:type="dxa"/>
            <w:vAlign w:val="bottom"/>
            <w:gridSpan w:val="6"/>
          </w:tcPr>
          <w:p>
            <w:pPr>
              <w:ind w:left="1940"/>
              <w:spacing w:after="0"/>
              <w:rPr>
                <w:sz w:val="20"/>
                <w:szCs w:val="20"/>
                <w:color w:val="auto"/>
              </w:rPr>
            </w:pPr>
            <w:r>
              <w:rPr>
                <w:rFonts w:ascii="Arial" w:cs="Arial" w:eastAsia="Arial" w:hAnsi="Arial"/>
                <w:sz w:val="14"/>
                <w:szCs w:val="14"/>
                <w:b w:val="1"/>
                <w:bCs w:val="1"/>
                <w:color w:val="auto"/>
              </w:rPr>
              <w:t>October 29,</w:t>
            </w:r>
          </w:p>
        </w:tc>
        <w:tc>
          <w:tcPr>
            <w:tcW w:w="100" w:type="dxa"/>
            <w:vAlign w:val="bottom"/>
          </w:tcPr>
          <w:p>
            <w:pPr>
              <w:spacing w:after="0"/>
              <w:rPr>
                <w:sz w:val="24"/>
                <w:szCs w:val="24"/>
                <w:color w:val="auto"/>
              </w:rPr>
            </w:pPr>
          </w:p>
        </w:tc>
        <w:tc>
          <w:tcPr>
            <w:tcW w:w="780" w:type="dxa"/>
            <w:vAlign w:val="bottom"/>
            <w:gridSpan w:val="4"/>
          </w:tcPr>
          <w:p>
            <w:pPr>
              <w:spacing w:after="0"/>
              <w:rPr>
                <w:sz w:val="20"/>
                <w:szCs w:val="20"/>
                <w:color w:val="auto"/>
              </w:rPr>
            </w:pPr>
            <w:r>
              <w:rPr>
                <w:rFonts w:ascii="Arial" w:cs="Arial" w:eastAsia="Arial" w:hAnsi="Arial"/>
                <w:sz w:val="14"/>
                <w:szCs w:val="14"/>
                <w:b w:val="1"/>
                <w:bCs w:val="1"/>
                <w:color w:val="auto"/>
                <w:w w:val="98"/>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1960" w:type="dxa"/>
            <w:vAlign w:val="bottom"/>
            <w:tcBorders>
              <w:bottom w:val="single" w:sz="8" w:color="CCEEFF"/>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0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19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100" w:type="dxa"/>
            <w:vAlign w:val="bottom"/>
            <w:gridSpan w:val="4"/>
          </w:tcPr>
          <w:p>
            <w:pPr>
              <w:ind w:left="1940"/>
              <w:spacing w:after="0"/>
              <w:rPr>
                <w:sz w:val="20"/>
                <w:szCs w:val="20"/>
                <w:color w:val="auto"/>
              </w:rPr>
            </w:pPr>
            <w:r>
              <w:rPr>
                <w:rFonts w:ascii="Arial" w:cs="Arial" w:eastAsia="Arial" w:hAnsi="Arial"/>
                <w:sz w:val="18"/>
                <w:szCs w:val="18"/>
                <w:color w:val="auto"/>
              </w:rPr>
              <w:t>$</w:t>
            </w:r>
          </w:p>
        </w:tc>
        <w:tc>
          <w:tcPr>
            <w:tcW w:w="580" w:type="dxa"/>
            <w:vAlign w:val="bottom"/>
          </w:tcPr>
          <w:p>
            <w:pPr>
              <w:ind w:left="40"/>
              <w:spacing w:after="0"/>
              <w:rPr>
                <w:sz w:val="20"/>
                <w:szCs w:val="20"/>
                <w:color w:val="auto"/>
              </w:rPr>
            </w:pPr>
            <w:r>
              <w:rPr>
                <w:rFonts w:ascii="Arial" w:cs="Arial" w:eastAsia="Arial" w:hAnsi="Arial"/>
                <w:sz w:val="18"/>
                <w:szCs w:val="18"/>
                <w:color w:val="auto"/>
                <w:w w:val="90"/>
              </w:rPr>
              <w:t>17,420</w:t>
            </w:r>
          </w:p>
        </w:tc>
        <w:tc>
          <w:tcPr>
            <w:tcW w:w="100" w:type="dxa"/>
            <w:vAlign w:val="bottom"/>
          </w:tcPr>
          <w:p>
            <w:pPr>
              <w:spacing w:after="0"/>
              <w:rPr>
                <w:sz w:val="18"/>
                <w:szCs w:val="18"/>
                <w:color w:val="auto"/>
              </w:rPr>
            </w:pPr>
          </w:p>
        </w:tc>
        <w:tc>
          <w:tcPr>
            <w:tcW w:w="200" w:type="dxa"/>
            <w:vAlign w:val="bottom"/>
            <w:gridSpan w:val="2"/>
          </w:tcPr>
          <w:p>
            <w:pPr>
              <w:ind w:left="80"/>
              <w:spacing w:after="0"/>
              <w:rPr>
                <w:sz w:val="20"/>
                <w:szCs w:val="20"/>
                <w:color w:val="auto"/>
              </w:rPr>
            </w:pPr>
            <w:r>
              <w:rPr>
                <w:rFonts w:ascii="Arial" w:cs="Arial" w:eastAsia="Arial" w:hAnsi="Arial"/>
                <w:sz w:val="18"/>
                <w:szCs w:val="18"/>
                <w:color w:val="auto"/>
                <w:w w:val="9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12,461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19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tcBorders>
              <w:right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8"/>
              </w:rPr>
              <w:t>6,504</w:t>
            </w:r>
          </w:p>
        </w:tc>
        <w:tc>
          <w:tcPr>
            <w:tcW w:w="10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6,078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Other</w:t>
            </w:r>
          </w:p>
        </w:tc>
        <w:tc>
          <w:tcPr>
            <w:tcW w:w="19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6,257</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8,424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100" w:type="dxa"/>
            <w:vAlign w:val="bottom"/>
            <w:gridSpan w:val="4"/>
            <w:shd w:val="clear" w:color="auto" w:fill="CCEEFF"/>
          </w:tcPr>
          <w:p>
            <w:pPr>
              <w:ind w:left="1940"/>
              <w:spacing w:after="0"/>
              <w:rPr>
                <w:sz w:val="20"/>
                <w:szCs w:val="20"/>
                <w:color w:val="auto"/>
              </w:rPr>
            </w:pPr>
            <w:r>
              <w:rPr>
                <w:rFonts w:ascii="Arial" w:cs="Arial" w:eastAsia="Arial" w:hAnsi="Arial"/>
                <w:sz w:val="18"/>
                <w:szCs w:val="18"/>
                <w:color w:val="auto"/>
              </w:rPr>
              <w:t>$</w:t>
            </w:r>
          </w:p>
        </w:tc>
        <w:tc>
          <w:tcPr>
            <w:tcW w:w="580" w:type="dxa"/>
            <w:vAlign w:val="bottom"/>
            <w:tcBorders>
              <w:right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0"/>
              </w:rPr>
              <w:t>30,181</w:t>
            </w:r>
          </w:p>
        </w:tc>
        <w:tc>
          <w:tcPr>
            <w:tcW w:w="100" w:type="dxa"/>
            <w:vAlign w:val="bottom"/>
            <w:shd w:val="clear" w:color="auto" w:fill="CCEEFF"/>
          </w:tcPr>
          <w:p>
            <w:pPr>
              <w:spacing w:after="0"/>
              <w:rPr>
                <w:sz w:val="18"/>
                <w:szCs w:val="18"/>
                <w:color w:val="auto"/>
              </w:rPr>
            </w:pPr>
          </w:p>
        </w:tc>
        <w:tc>
          <w:tcPr>
            <w:tcW w:w="200" w:type="dxa"/>
            <w:vAlign w:val="bottom"/>
            <w:gridSpan w:val="2"/>
            <w:shd w:val="clear" w:color="auto" w:fill="CCEEFF"/>
          </w:tcPr>
          <w:p>
            <w:pPr>
              <w:ind w:left="80"/>
              <w:spacing w:after="0"/>
              <w:rPr>
                <w:sz w:val="20"/>
                <w:szCs w:val="20"/>
                <w:color w:val="auto"/>
              </w:rPr>
            </w:pPr>
            <w:r>
              <w:rPr>
                <w:rFonts w:ascii="Arial" w:cs="Arial" w:eastAsia="Arial" w:hAnsi="Arial"/>
                <w:sz w:val="18"/>
                <w:szCs w:val="18"/>
                <w:color w:val="auto"/>
                <w:w w:val="9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26,963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(loss) by components are presented in the following tables (in thousands):</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16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8"/>
              </w:rPr>
              <w:t>Unrealized Gain</w:t>
            </w:r>
          </w:p>
        </w:tc>
        <w:tc>
          <w:tcPr>
            <w:tcW w:w="960" w:type="dxa"/>
            <w:vAlign w:val="bottom"/>
            <w:gridSpan w:val="2"/>
          </w:tcPr>
          <w:p>
            <w:pPr>
              <w:jc w:val="center"/>
              <w:spacing w:after="0"/>
              <w:rPr>
                <w:sz w:val="20"/>
                <w:szCs w:val="20"/>
                <w:color w:val="auto"/>
              </w:rPr>
            </w:pPr>
            <w:r>
              <w:rPr>
                <w:rFonts w:ascii="Arial" w:cs="Arial" w:eastAsia="Arial" w:hAnsi="Arial"/>
                <w:sz w:val="14"/>
                <w:szCs w:val="14"/>
                <w:b w:val="1"/>
                <w:bCs w:val="1"/>
                <w:color w:val="auto"/>
                <w:w w:val="88"/>
              </w:rPr>
              <w:t>Unrealized Gain</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(Loss) on</w:t>
            </w:r>
          </w:p>
        </w:tc>
        <w:tc>
          <w:tcPr>
            <w:tcW w:w="8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2"/>
              </w:rPr>
              <w:t>(Loss) on</w:t>
            </w:r>
          </w:p>
        </w:tc>
        <w:tc>
          <w:tcPr>
            <w:tcW w:w="200" w:type="dxa"/>
            <w:vAlign w:val="bottom"/>
          </w:tcPr>
          <w:p>
            <w:pPr>
              <w:spacing w:after="0"/>
              <w:rPr>
                <w:sz w:val="12"/>
                <w:szCs w:val="12"/>
                <w:color w:val="auto"/>
              </w:rPr>
            </w:pP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 Gain</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8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200" w:type="dxa"/>
            <w:vAlign w:val="bottom"/>
          </w:tcPr>
          <w:p>
            <w:pPr>
              <w:spacing w:after="0"/>
              <w:rPr>
                <w:sz w:val="12"/>
                <w:szCs w:val="12"/>
                <w:color w:val="auto"/>
              </w:rPr>
            </w:pPr>
          </w:p>
        </w:tc>
        <w:tc>
          <w:tcPr>
            <w:tcW w:w="1080" w:type="dxa"/>
            <w:vAlign w:val="bottom"/>
            <w:gridSpan w:val="3"/>
          </w:tcPr>
          <w:p>
            <w:pPr>
              <w:jc w:val="right"/>
              <w:ind w:right="180"/>
              <w:spacing w:after="0" w:line="149" w:lineRule="exact"/>
              <w:rPr>
                <w:sz w:val="20"/>
                <w:szCs w:val="20"/>
                <w:color w:val="auto"/>
              </w:rPr>
            </w:pPr>
            <w:r>
              <w:rPr>
                <w:rFonts w:ascii="Arial" w:cs="Arial" w:eastAsia="Arial" w:hAnsi="Arial"/>
                <w:sz w:val="14"/>
                <w:szCs w:val="14"/>
                <w:b w:val="1"/>
                <w:bCs w:val="1"/>
                <w:color w:val="auto"/>
                <w:w w:val="86"/>
              </w:rPr>
              <w:t>(Loss) on Cash</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880" w:type="dxa"/>
            <w:vAlign w:val="bottom"/>
          </w:tcPr>
          <w:p>
            <w:pPr>
              <w:jc w:val="center"/>
              <w:spacing w:after="0"/>
              <w:rPr>
                <w:sz w:val="20"/>
                <w:szCs w:val="20"/>
                <w:color w:val="auto"/>
              </w:rPr>
            </w:pPr>
            <w:r>
              <w:rPr>
                <w:rFonts w:ascii="Arial" w:cs="Arial" w:eastAsia="Arial" w:hAnsi="Arial"/>
                <w:sz w:val="14"/>
                <w:szCs w:val="14"/>
                <w:b w:val="1"/>
                <w:bCs w:val="1"/>
                <w:color w:val="auto"/>
                <w:w w:val="83"/>
              </w:rPr>
              <w:t>Securities</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3"/>
              </w:rPr>
              <w:t>Flow Hedges</w:t>
            </w: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w w:val="89"/>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7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tcPr>
          <w:p>
            <w:pPr>
              <w:ind w:left="420"/>
              <w:spacing w:after="0"/>
              <w:rPr>
                <w:sz w:val="20"/>
                <w:szCs w:val="20"/>
                <w:color w:val="auto"/>
              </w:rPr>
            </w:pPr>
            <w:r>
              <w:rPr>
                <w:rFonts w:ascii="Arial" w:cs="Arial" w:eastAsia="Arial" w:hAnsi="Arial"/>
                <w:sz w:val="18"/>
                <w:szCs w:val="18"/>
                <w:color w:val="auto"/>
              </w:rPr>
              <w:t>Other comprehensive income before reclassifications</w:t>
            </w: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2,868</w:t>
            </w:r>
          </w:p>
        </w:tc>
        <w:tc>
          <w:tcPr>
            <w:tcW w:w="80" w:type="dxa"/>
            <w:vAlign w:val="bottom"/>
          </w:tcPr>
          <w:p>
            <w:pPr>
              <w:spacing w:after="0"/>
              <w:rPr>
                <w:sz w:val="18"/>
                <w:szCs w:val="18"/>
                <w:color w:val="auto"/>
              </w:rPr>
            </w:pP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479</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3,347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7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Amounts reclassified from accumulated other comprehensive loss</w:t>
            </w: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(477)</w:t>
            </w:r>
          </w:p>
        </w:tc>
        <w:tc>
          <w:tcPr>
            <w:tcW w:w="80" w:type="dxa"/>
            <w:vAlign w:val="bottom"/>
            <w:shd w:val="clear" w:color="auto" w:fill="CCEEFF"/>
          </w:tcPr>
          <w:p>
            <w:pPr>
              <w:spacing w:after="0"/>
              <w:rPr>
                <w:sz w:val="18"/>
                <w:szCs w:val="18"/>
                <w:color w:val="auto"/>
              </w:rPr>
            </w:pP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(522)</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(999)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0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income (loss), net of tax</w:t>
            </w:r>
          </w:p>
        </w:tc>
        <w:tc>
          <w:tcPr>
            <w:tcW w:w="6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700" w:type="dxa"/>
            <w:vAlign w:val="bottom"/>
            <w:vMerge w:val="continue"/>
          </w:tcPr>
          <w:p>
            <w:pPr>
              <w:spacing w:after="0"/>
              <w:rPr>
                <w:sz w:val="19"/>
                <w:szCs w:val="19"/>
                <w:color w:val="auto"/>
              </w:rPr>
            </w:pPr>
          </w:p>
        </w:tc>
        <w:tc>
          <w:tcPr>
            <w:tcW w:w="6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2,391</w:t>
            </w: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80" w:type="dxa"/>
            <w:vAlign w:val="bottom"/>
          </w:tcPr>
          <w:p>
            <w:pPr>
              <w:ind w:left="6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80" w:type="dxa"/>
            <w:vAlign w:val="bottom"/>
            <w:gridSpan w:val="2"/>
          </w:tcPr>
          <w:p>
            <w:pPr>
              <w:jc w:val="right"/>
              <w:ind w:right="60"/>
              <w:spacing w:after="0"/>
              <w:rPr>
                <w:sz w:val="20"/>
                <w:szCs w:val="20"/>
                <w:color w:val="auto"/>
              </w:rPr>
            </w:pPr>
            <w:r>
              <w:rPr>
                <w:rFonts w:ascii="Arial" w:cs="Arial" w:eastAsia="Arial" w:hAnsi="Arial"/>
                <w:sz w:val="18"/>
                <w:szCs w:val="18"/>
                <w:color w:val="auto"/>
              </w:rPr>
              <w:t>(43)</w:t>
            </w: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8"/>
                <w:szCs w:val="18"/>
                <w:color w:val="auto"/>
                <w:w w:val="97"/>
              </w:rPr>
              <w:t>2,348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2016</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1,735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shd w:val="clear" w:color="auto" w:fill="CCEEFF"/>
          </w:tcPr>
          <w:p>
            <w:pPr>
              <w:ind w:left="620"/>
              <w:spacing w:after="0"/>
              <w:rPr>
                <w:sz w:val="20"/>
                <w:szCs w:val="20"/>
                <w:color w:val="auto"/>
              </w:rPr>
            </w:pPr>
            <w:r>
              <w:rPr>
                <w:rFonts w:ascii="Arial" w:cs="Arial" w:eastAsia="Arial" w:hAnsi="Arial"/>
                <w:sz w:val="18"/>
                <w:szCs w:val="18"/>
                <w:color w:val="auto"/>
              </w:rPr>
              <w:t>—</w:t>
            </w:r>
          </w:p>
        </w:tc>
        <w:tc>
          <w:tcPr>
            <w:tcW w:w="30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79"/>
              </w:rPr>
              <w:t>$</w:t>
            </w:r>
          </w:p>
        </w:tc>
        <w:tc>
          <w:tcPr>
            <w:tcW w:w="9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(182)</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7"/>
              </w:rPr>
              <w:t>1,553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7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-125730</wp:posOffset>
            </wp:positionV>
            <wp:extent cx="66636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146050"/>
                    </a:xfrm>
                    <a:prstGeom prst="rect">
                      <a:avLst/>
                    </a:prstGeom>
                    <a:noFill/>
                  </pic:spPr>
                </pic:pic>
              </a:graphicData>
            </a:graphic>
          </wp:anchor>
        </w:drawing>
      </w:r>
    </w:p>
    <w:p>
      <w:pPr>
        <w:spacing w:after="0" w:line="3" w:lineRule="exact"/>
        <w:rPr>
          <w:sz w:val="20"/>
          <w:szCs w:val="20"/>
          <w:color w:val="auto"/>
        </w:rPr>
      </w:pPr>
    </w:p>
    <w:p>
      <w:pPr>
        <w:ind w:left="900"/>
        <w:spacing w:after="0"/>
        <w:rPr>
          <w:sz w:val="20"/>
          <w:szCs w:val="20"/>
          <w:color w:val="auto"/>
        </w:rPr>
      </w:pPr>
      <w:r>
        <w:rPr>
          <w:rFonts w:ascii="Arial" w:cs="Arial" w:eastAsia="Arial" w:hAnsi="Arial"/>
          <w:sz w:val="18"/>
          <w:szCs w:val="18"/>
          <w:color w:val="auto"/>
        </w:rPr>
        <w:t>Other comprehensive income (loss) before reclassifications</w:t>
      </w:r>
    </w:p>
    <w:p>
      <w:pPr>
        <w:spacing w:after="0" w:line="15" w:lineRule="exact"/>
        <w:rPr>
          <w:sz w:val="20"/>
          <w:szCs w:val="20"/>
          <w:color w:val="auto"/>
        </w:rPr>
      </w:pPr>
    </w:p>
    <w:p>
      <w:pPr>
        <w:ind w:left="900"/>
        <w:spacing w:after="0"/>
        <w:rPr>
          <w:sz w:val="20"/>
          <w:szCs w:val="20"/>
          <w:color w:val="auto"/>
        </w:rPr>
      </w:pPr>
      <w:r>
        <w:rPr>
          <w:rFonts w:ascii="Arial" w:cs="Arial" w:eastAsia="Arial" w:hAnsi="Arial"/>
          <w:sz w:val="15"/>
          <w:szCs w:val="15"/>
          <w:color w:val="auto"/>
        </w:rPr>
        <w:t>Amounts reclassified from accumulated other comprehensive income (loss)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-107315</wp:posOffset>
            </wp:positionV>
            <wp:extent cx="6663690" cy="13716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6"/>
              </w:rPr>
              <w:t>Unrealized Gain</w:t>
            </w:r>
          </w:p>
        </w:tc>
        <w:tc>
          <w:tcPr>
            <w:tcW w:w="116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88"/>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85"/>
              </w:rPr>
              <w:t>(Loss) on</w:t>
            </w:r>
          </w:p>
        </w:tc>
        <w:tc>
          <w:tcPr>
            <w:tcW w:w="8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2"/>
              </w:rPr>
              <w:t>(Loss) on</w:t>
            </w:r>
          </w:p>
        </w:tc>
        <w:tc>
          <w:tcPr>
            <w:tcW w:w="1080" w:type="dxa"/>
            <w:vAlign w:val="bottom"/>
            <w:gridSpan w:val="3"/>
          </w:tcPr>
          <w:p>
            <w:pPr>
              <w:jc w:val="center"/>
              <w:ind w:right="12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80" w:type="dxa"/>
            <w:vAlign w:val="bottom"/>
          </w:tcPr>
          <w:p>
            <w:pPr>
              <w:spacing w:after="0"/>
              <w:rPr>
                <w:sz w:val="12"/>
                <w:szCs w:val="12"/>
                <w:color w:val="auto"/>
              </w:rPr>
            </w:pPr>
          </w:p>
        </w:tc>
        <w:tc>
          <w:tcPr>
            <w:tcW w:w="108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08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3"/>
              </w:rPr>
              <w:t>Securities</w:t>
            </w:r>
          </w:p>
        </w:tc>
        <w:tc>
          <w:tcPr>
            <w:tcW w:w="80" w:type="dxa"/>
            <w:vAlign w:val="bottom"/>
          </w:tcPr>
          <w:p>
            <w:pPr>
              <w:spacing w:after="0"/>
              <w:rPr>
                <w:sz w:val="14"/>
                <w:szCs w:val="14"/>
                <w:color w:val="auto"/>
              </w:rPr>
            </w:pPr>
          </w:p>
        </w:tc>
        <w:tc>
          <w:tcPr>
            <w:tcW w:w="10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9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5"/>
              </w:rPr>
              <w:t>Flow Hedges</w:t>
            </w:r>
          </w:p>
        </w:tc>
        <w:tc>
          <w:tcPr>
            <w:tcW w:w="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3,768</w:t>
            </w:r>
          </w:p>
        </w:tc>
        <w:tc>
          <w:tcPr>
            <w:tcW w:w="200" w:type="dxa"/>
            <w:vAlign w:val="bottom"/>
          </w:tcPr>
          <w:p>
            <w:pPr>
              <w:spacing w:after="0"/>
              <w:rPr>
                <w:sz w:val="17"/>
                <w:szCs w:val="17"/>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8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(2,274)</w:t>
            </w:r>
          </w:p>
        </w:tc>
        <w:tc>
          <w:tcPr>
            <w:tcW w:w="20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(1,186)</w:t>
            </w: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308</w:t>
            </w:r>
          </w:p>
        </w:tc>
        <w:tc>
          <w:tcPr>
            <w:tcW w:w="60" w:type="dxa"/>
            <w:vAlign w:val="bottom"/>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(3,360)</w:t>
            </w:r>
          </w:p>
        </w:tc>
        <w:tc>
          <w:tcPr>
            <w:tcW w:w="80" w:type="dxa"/>
            <w:vAlign w:val="bottom"/>
          </w:tcPr>
          <w:p>
            <w:pPr>
              <w:spacing w:after="0"/>
              <w:rPr>
                <w:sz w:val="18"/>
                <w:szCs w:val="18"/>
                <w:color w:val="auto"/>
              </w:rPr>
            </w:pPr>
          </w:p>
        </w:tc>
        <w:tc>
          <w:tcPr>
            <w:tcW w:w="1080" w:type="dxa"/>
            <w:vAlign w:val="bottom"/>
            <w:gridSpan w:val="2"/>
          </w:tcPr>
          <w:p>
            <w:pPr>
              <w:jc w:val="right"/>
              <w:ind w:right="140"/>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1,296</w:t>
            </w:r>
          </w:p>
        </w:tc>
        <w:tc>
          <w:tcPr>
            <w:tcW w:w="120" w:type="dxa"/>
            <w:vAlign w:val="bottom"/>
          </w:tcPr>
          <w:p>
            <w:pPr>
              <w:spacing w:after="0"/>
              <w:rPr>
                <w:sz w:val="18"/>
                <w:szCs w:val="18"/>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(2,108)</w:t>
            </w: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60" w:type="dxa"/>
            <w:vAlign w:val="bottom"/>
            <w:gridSpan w:val="2"/>
          </w:tcPr>
          <w:p>
            <w:pPr>
              <w:jc w:val="right"/>
              <w:ind w:right="140"/>
              <w:spacing w:after="0"/>
              <w:rPr>
                <w:sz w:val="20"/>
                <w:szCs w:val="20"/>
                <w:color w:val="auto"/>
              </w:rPr>
            </w:pPr>
            <w:r>
              <w:rPr>
                <w:rFonts w:ascii="Arial" w:cs="Arial" w:eastAsia="Arial" w:hAnsi="Arial"/>
                <w:sz w:val="18"/>
                <w:szCs w:val="18"/>
                <w:color w:val="auto"/>
              </w:rPr>
              <w:t>(449)</w:t>
            </w:r>
          </w:p>
        </w:tc>
        <w:tc>
          <w:tcPr>
            <w:tcW w:w="80" w:type="dxa"/>
            <w:vAlign w:val="bottom"/>
          </w:tcPr>
          <w:p>
            <w:pPr>
              <w:spacing w:after="0"/>
              <w:rPr>
                <w:sz w:val="19"/>
                <w:szCs w:val="19"/>
                <w:color w:val="auto"/>
              </w:rPr>
            </w:pP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67</w:t>
            </w:r>
          </w:p>
        </w:tc>
        <w:tc>
          <w:tcPr>
            <w:tcW w:w="120" w:type="dxa"/>
            <w:vAlign w:val="bottom"/>
          </w:tcPr>
          <w:p>
            <w:pPr>
              <w:spacing w:after="0"/>
              <w:rPr>
                <w:sz w:val="19"/>
                <w:szCs w:val="19"/>
                <w:color w:val="auto"/>
              </w:rPr>
            </w:pPr>
          </w:p>
        </w:tc>
        <w:tc>
          <w:tcPr>
            <w:tcW w:w="700" w:type="dxa"/>
            <w:vAlign w:val="bottom"/>
            <w:gridSpan w:val="3"/>
          </w:tcPr>
          <w:p>
            <w:pPr>
              <w:jc w:val="right"/>
              <w:spacing w:after="0"/>
              <w:rPr>
                <w:sz w:val="20"/>
                <w:szCs w:val="20"/>
                <w:color w:val="auto"/>
              </w:rPr>
            </w:pPr>
            <w:r>
              <w:rPr>
                <w:rFonts w:ascii="Arial" w:cs="Arial" w:eastAsia="Arial" w:hAnsi="Arial"/>
                <w:sz w:val="18"/>
                <w:szCs w:val="18"/>
                <w:color w:val="auto"/>
              </w:rPr>
              <w:t>(382)</w:t>
            </w:r>
          </w:p>
        </w:tc>
      </w:tr>
    </w:tbl>
    <w:p>
      <w:pPr>
        <w:spacing w:after="0" w:line="20" w:lineRule="exact"/>
        <w:rPr>
          <w:sz w:val="20"/>
          <w:szCs w:val="20"/>
          <w:color w:val="auto"/>
        </w:rPr>
      </w:pPr>
    </w:p>
    <w:p>
      <w:pPr>
        <w:sectPr>
          <w:pgSz w:w="11900" w:h="16838" w:orient="portrait"/>
          <w:cols w:equalWidth="0" w:num="2">
            <w:col w:w="6200" w:space="620"/>
            <w:col w:w="414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62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 net of tax</w:t>
            </w:r>
          </w:p>
        </w:tc>
        <w:tc>
          <w:tcPr>
            <w:tcW w:w="17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60" w:type="dxa"/>
            <w:vAlign w:val="bottom"/>
            <w:gridSpan w:val="2"/>
          </w:tcPr>
          <w:p>
            <w:pPr>
              <w:jc w:val="right"/>
              <w:ind w:right="140"/>
              <w:spacing w:after="0" w:line="204" w:lineRule="exact"/>
              <w:rPr>
                <w:sz w:val="20"/>
                <w:szCs w:val="20"/>
                <w:color w:val="auto"/>
              </w:rPr>
            </w:pPr>
            <w:r>
              <w:rPr>
                <w:rFonts w:ascii="Arial" w:cs="Arial" w:eastAsia="Arial" w:hAnsi="Arial"/>
                <w:sz w:val="18"/>
                <w:szCs w:val="18"/>
                <w:color w:val="auto"/>
              </w:rPr>
              <w:t>(3,809)</w:t>
            </w:r>
          </w:p>
        </w:tc>
        <w:tc>
          <w:tcPr>
            <w:tcW w:w="300" w:type="dxa"/>
            <w:vAlign w:val="bottom"/>
          </w:tcPr>
          <w:p>
            <w:pPr>
              <w:spacing w:after="0"/>
              <w:rPr>
                <w:sz w:val="17"/>
                <w:szCs w:val="17"/>
                <w:color w:val="auto"/>
              </w:rPr>
            </w:pPr>
          </w:p>
        </w:tc>
        <w:tc>
          <w:tcPr>
            <w:tcW w:w="860" w:type="dxa"/>
            <w:vAlign w:val="bottom"/>
            <w:gridSpan w:val="2"/>
          </w:tcPr>
          <w:p>
            <w:pPr>
              <w:jc w:val="right"/>
              <w:ind w:right="140"/>
              <w:spacing w:after="0" w:line="204" w:lineRule="exact"/>
              <w:rPr>
                <w:sz w:val="20"/>
                <w:szCs w:val="20"/>
                <w:color w:val="auto"/>
              </w:rPr>
            </w:pPr>
            <w:r>
              <w:rPr>
                <w:rFonts w:ascii="Arial" w:cs="Arial" w:eastAsia="Arial" w:hAnsi="Arial"/>
                <w:sz w:val="18"/>
                <w:szCs w:val="18"/>
                <w:color w:val="auto"/>
              </w:rPr>
              <w:t>(44)</w:t>
            </w: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1,363</w:t>
            </w:r>
          </w:p>
        </w:tc>
        <w:tc>
          <w:tcPr>
            <w:tcW w:w="86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(2,490)</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620" w:type="dxa"/>
            <w:vAlign w:val="bottom"/>
          </w:tcPr>
          <w:p>
            <w:pPr>
              <w:spacing w:after="0"/>
              <w:rPr>
                <w:sz w:val="2"/>
                <w:szCs w:val="2"/>
                <w:color w:val="auto"/>
              </w:rPr>
            </w:pPr>
          </w:p>
        </w:tc>
        <w:tc>
          <w:tcPr>
            <w:tcW w:w="17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2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31, 2015</w:t>
            </w:r>
          </w:p>
        </w:tc>
        <w:tc>
          <w:tcPr>
            <w:tcW w:w="20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(41)</w:t>
            </w:r>
          </w:p>
        </w:tc>
        <w:tc>
          <w:tcPr>
            <w:tcW w:w="300" w:type="dxa"/>
            <w:vAlign w:val="bottom"/>
            <w:shd w:val="clear" w:color="auto" w:fill="CCEEFF"/>
          </w:tcPr>
          <w:p>
            <w:pPr>
              <w:jc w:val="right"/>
              <w:ind w:right="143"/>
              <w:spacing w:after="0"/>
              <w:rPr>
                <w:sz w:val="20"/>
                <w:szCs w:val="20"/>
                <w:color w:val="auto"/>
              </w:rPr>
            </w:pPr>
            <w:r>
              <w:rPr>
                <w:rFonts w:ascii="Arial" w:cs="Arial" w:eastAsia="Arial" w:hAnsi="Arial"/>
                <w:sz w:val="15"/>
                <w:szCs w:val="15"/>
                <w:color w:val="auto"/>
                <w:w w:val="71"/>
              </w:rPr>
              <w:t>$</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(2,318)</w:t>
            </w: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(2,182)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20" w:type="dxa"/>
            <w:vAlign w:val="bottom"/>
          </w:tcPr>
          <w:p>
            <w:pPr>
              <w:spacing w:after="0" w:line="20" w:lineRule="exact"/>
              <w:rPr>
                <w:sz w:val="1"/>
                <w:szCs w:val="1"/>
                <w:color w:val="auto"/>
              </w:rPr>
            </w:pPr>
          </w:p>
        </w:tc>
        <w:tc>
          <w:tcPr>
            <w:tcW w:w="1720" w:type="dxa"/>
            <w:vAlign w:val="bottom"/>
            <w:vMerge w:val="restart"/>
          </w:tcPr>
          <w:p>
            <w:pPr>
              <w:jc w:val="right"/>
              <w:ind w:right="932"/>
              <w:spacing w:after="0"/>
              <w:rPr>
                <w:sz w:val="20"/>
                <w:szCs w:val="20"/>
                <w:color w:val="auto"/>
              </w:rPr>
            </w:pPr>
            <w:r>
              <w:rPr>
                <w:rFonts w:ascii="Arial" w:cs="Arial" w:eastAsia="Arial" w:hAnsi="Arial"/>
                <w:sz w:val="18"/>
                <w:szCs w:val="18"/>
                <w:color w:val="auto"/>
              </w:rPr>
              <w:t>11</w:t>
            </w: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620" w:type="dxa"/>
            <w:vAlign w:val="bottom"/>
          </w:tcPr>
          <w:p>
            <w:pPr>
              <w:spacing w:after="0"/>
              <w:rPr>
                <w:sz w:val="24"/>
                <w:szCs w:val="24"/>
                <w:color w:val="auto"/>
              </w:rPr>
            </w:pPr>
          </w:p>
        </w:tc>
        <w:tc>
          <w:tcPr>
            <w:tcW w:w="172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(loss) by components are presented in the following table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4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1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88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16"/>
        </w:trPr>
        <w:tc>
          <w:tcPr>
            <w:tcW w:w="4440" w:type="dxa"/>
            <w:vAlign w:val="bottom"/>
            <w:gridSpan w:val="3"/>
            <w:vMerge w:val="continue"/>
          </w:tcPr>
          <w:p>
            <w:pPr>
              <w:spacing w:after="0"/>
              <w:rPr>
                <w:sz w:val="10"/>
                <w:szCs w:val="10"/>
                <w:color w:val="auto"/>
              </w:rPr>
            </w:pPr>
          </w:p>
        </w:tc>
        <w:tc>
          <w:tcPr>
            <w:tcW w:w="1600" w:type="dxa"/>
            <w:vAlign w:val="bottom"/>
          </w:tcPr>
          <w:p>
            <w:pPr>
              <w:spacing w:after="0"/>
              <w:rPr>
                <w:sz w:val="10"/>
                <w:szCs w:val="10"/>
                <w:color w:val="auto"/>
              </w:rPr>
            </w:pPr>
          </w:p>
        </w:tc>
        <w:tc>
          <w:tcPr>
            <w:tcW w:w="122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rPr>
              <w:t>October 29,</w:t>
            </w:r>
          </w:p>
        </w:tc>
        <w:tc>
          <w:tcPr>
            <w:tcW w:w="68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9"/>
              </w:rPr>
              <w:t>October 31,</w:t>
            </w:r>
          </w:p>
        </w:tc>
        <w:tc>
          <w:tcPr>
            <w:tcW w:w="540" w:type="dxa"/>
            <w:vAlign w:val="bottom"/>
          </w:tcPr>
          <w:p>
            <w:pPr>
              <w:spacing w:after="0"/>
              <w:rPr>
                <w:sz w:val="10"/>
                <w:szCs w:val="10"/>
                <w:color w:val="auto"/>
              </w:rPr>
            </w:pPr>
          </w:p>
        </w:tc>
        <w:tc>
          <w:tcPr>
            <w:tcW w:w="980" w:type="dxa"/>
            <w:vAlign w:val="bottom"/>
            <w:tcBorders>
              <w:top w:val="single" w:sz="8" w:color="auto"/>
            </w:tcBorders>
            <w:gridSpan w:val="3"/>
          </w:tcPr>
          <w:p>
            <w:pPr>
              <w:spacing w:after="0" w:line="116" w:lineRule="exact"/>
              <w:rPr>
                <w:sz w:val="20"/>
                <w:szCs w:val="20"/>
                <w:color w:val="auto"/>
              </w:rPr>
            </w:pPr>
            <w:r>
              <w:rPr>
                <w:rFonts w:ascii="Arial" w:cs="Arial" w:eastAsia="Arial" w:hAnsi="Arial"/>
                <w:sz w:val="12"/>
                <w:szCs w:val="12"/>
                <w:b w:val="1"/>
                <w:bCs w:val="1"/>
                <w:color w:val="auto"/>
              </w:rPr>
              <w:t>October 29,</w:t>
            </w:r>
          </w:p>
        </w:tc>
        <w:tc>
          <w:tcPr>
            <w:tcW w:w="26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gridSpan w:val="2"/>
          </w:tcPr>
          <w:p>
            <w:pPr>
              <w:spacing w:after="0" w:line="116" w:lineRule="exact"/>
              <w:rPr>
                <w:sz w:val="20"/>
                <w:szCs w:val="20"/>
                <w:color w:val="auto"/>
              </w:rPr>
            </w:pPr>
            <w:r>
              <w:rPr>
                <w:rFonts w:ascii="Arial" w:cs="Arial" w:eastAsia="Arial" w:hAnsi="Arial"/>
                <w:sz w:val="12"/>
                <w:szCs w:val="12"/>
                <w:b w:val="1"/>
                <w:bCs w:val="1"/>
                <w:color w:val="auto"/>
                <w:w w:val="99"/>
              </w:rPr>
              <w:t>October 31,</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1"/>
        </w:trPr>
        <w:tc>
          <w:tcPr>
            <w:tcW w:w="4440" w:type="dxa"/>
            <w:vAlign w:val="bottom"/>
            <w:gridSpan w:val="3"/>
          </w:tcPr>
          <w:p>
            <w:pPr>
              <w:spacing w:after="0"/>
              <w:rPr>
                <w:sz w:val="20"/>
                <w:szCs w:val="20"/>
                <w:color w:val="auto"/>
              </w:rPr>
            </w:pPr>
            <w:r>
              <w:rPr>
                <w:rFonts w:ascii="Arial" w:cs="Arial" w:eastAsia="Arial" w:hAnsi="Arial"/>
                <w:sz w:val="14"/>
                <w:szCs w:val="14"/>
                <w:b w:val="1"/>
                <w:bCs w:val="1"/>
                <w:color w:val="auto"/>
              </w:rPr>
              <w:t>Statement of Operations</w:t>
            </w:r>
          </w:p>
        </w:tc>
        <w:tc>
          <w:tcPr>
            <w:tcW w:w="16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5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Borders>
              <w:bottom w:val="single" w:sz="8" w:color="CCEEFF"/>
            </w:tcBorders>
            <w:shd w:val="clear" w:color="auto" w:fill="000000"/>
          </w:tcPr>
          <w:p>
            <w:pPr>
              <w:spacing w:after="0" w:line="20" w:lineRule="exact"/>
              <w:rPr>
                <w:sz w:val="1"/>
                <w:szCs w:val="1"/>
                <w:color w:val="auto"/>
              </w:rPr>
            </w:pPr>
          </w:p>
        </w:tc>
        <w:tc>
          <w:tcPr>
            <w:tcW w:w="2900" w:type="dxa"/>
            <w:vAlign w:val="bottom"/>
            <w:tcBorders>
              <w:bottom w:val="single" w:sz="8" w:color="CCEEFF"/>
            </w:tcBorders>
          </w:tcPr>
          <w:p>
            <w:pPr>
              <w:spacing w:after="0" w:line="20" w:lineRule="exact"/>
              <w:rPr>
                <w:sz w:val="1"/>
                <w:szCs w:val="1"/>
                <w:color w:val="auto"/>
              </w:rPr>
            </w:pPr>
          </w:p>
        </w:tc>
        <w:tc>
          <w:tcPr>
            <w:tcW w:w="160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442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160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26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54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spacing w:after="0"/>
              <w:rPr>
                <w:sz w:val="20"/>
                <w:szCs w:val="20"/>
                <w:color w:val="auto"/>
              </w:rPr>
            </w:pPr>
            <w:r>
              <w:rPr>
                <w:rFonts w:ascii="Arial" w:cs="Arial" w:eastAsia="Arial" w:hAnsi="Arial"/>
                <w:sz w:val="18"/>
                <w:szCs w:val="18"/>
                <w:color w:val="auto"/>
              </w:rPr>
              <w:t>Available-for-sale securities:</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Marketable securities</w:t>
            </w:r>
          </w:p>
        </w:tc>
        <w:tc>
          <w:tcPr>
            <w:tcW w:w="1740" w:type="dxa"/>
            <w:vAlign w:val="bottom"/>
            <w:gridSpan w:val="2"/>
            <w:shd w:val="clear" w:color="auto" w:fill="CCEEFF"/>
          </w:tcPr>
          <w:p>
            <w:pPr>
              <w:ind w:left="1600"/>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415</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477</w:t>
            </w:r>
          </w:p>
        </w:tc>
        <w:tc>
          <w:tcPr>
            <w:tcW w:w="4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flow hedges:</w:t>
            </w: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ind w:left="420"/>
              <w:spacing w:after="0"/>
              <w:rPr>
                <w:sz w:val="20"/>
                <w:szCs w:val="20"/>
                <w:color w:val="auto"/>
              </w:rPr>
            </w:pPr>
            <w:r>
              <w:rPr>
                <w:rFonts w:ascii="Arial" w:cs="Arial" w:eastAsia="Arial" w:hAnsi="Arial"/>
                <w:sz w:val="18"/>
                <w:szCs w:val="18"/>
                <w:color w:val="auto"/>
              </w:rPr>
              <w:t>Research and development</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118</w:t>
            </w: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545</w:t>
            </w:r>
          </w:p>
        </w:tc>
        <w:tc>
          <w:tcPr>
            <w:tcW w:w="140" w:type="dxa"/>
            <w:vAlign w:val="bottom"/>
          </w:tcPr>
          <w:p>
            <w:pPr>
              <w:spacing w:after="0"/>
              <w:rPr>
                <w:sz w:val="18"/>
                <w:szCs w:val="18"/>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8"/>
                <w:szCs w:val="18"/>
                <w:color w:val="auto"/>
              </w:rPr>
              <w:t>457</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3</w:t>
            </w: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6</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10</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ind w:left="420"/>
              <w:spacing w:after="0"/>
              <w:rPr>
                <w:sz w:val="20"/>
                <w:szCs w:val="20"/>
                <w:color w:val="auto"/>
              </w:rPr>
            </w:pPr>
            <w:r>
              <w:rPr>
                <w:rFonts w:ascii="Arial" w:cs="Arial" w:eastAsia="Arial" w:hAnsi="Arial"/>
                <w:sz w:val="18"/>
                <w:szCs w:val="18"/>
                <w:color w:val="auto"/>
              </w:rPr>
              <w:t>General and administrative</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14</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51</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8"/>
                <w:szCs w:val="18"/>
                <w:color w:val="auto"/>
              </w:rPr>
              <w:t>55</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520" w:type="dxa"/>
            <w:vAlign w:val="bottom"/>
          </w:tcPr>
          <w:p>
            <w:pPr>
              <w:spacing w:after="0"/>
              <w:rPr>
                <w:sz w:val="2"/>
                <w:szCs w:val="2"/>
                <w:color w:val="auto"/>
              </w:rPr>
            </w:pPr>
          </w:p>
        </w:tc>
        <w:tc>
          <w:tcPr>
            <w:tcW w:w="29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550</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598</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999</w:t>
            </w:r>
          </w:p>
        </w:tc>
        <w:tc>
          <w:tcPr>
            <w:tcW w:w="4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382</w:t>
            </w:r>
          </w:p>
        </w:tc>
        <w:tc>
          <w:tcPr>
            <w:tcW w:w="0" w:type="dxa"/>
            <w:vAlign w:val="bottom"/>
          </w:tcPr>
          <w:p>
            <w:pPr>
              <w:spacing w:after="0"/>
              <w:rPr>
                <w:sz w:val="1"/>
                <w:szCs w:val="1"/>
                <w:color w:val="auto"/>
              </w:rPr>
            </w:pPr>
          </w:p>
        </w:tc>
      </w:tr>
      <w:tr>
        <w:trPr>
          <w:trHeight w:val="20"/>
        </w:trPr>
        <w:tc>
          <w:tcPr>
            <w:tcW w:w="4440" w:type="dxa"/>
            <w:vAlign w:val="bottom"/>
            <w:gridSpan w:val="3"/>
            <w:vMerge w:val="restart"/>
          </w:tcPr>
          <w:p>
            <w:pPr>
              <w:spacing w:after="0"/>
              <w:rPr>
                <w:sz w:val="20"/>
                <w:szCs w:val="20"/>
                <w:color w:val="auto"/>
              </w:rPr>
            </w:pPr>
            <w:r>
              <w:rPr>
                <w:rFonts w:ascii="Arial" w:cs="Arial" w:eastAsia="Arial" w:hAnsi="Arial"/>
                <w:sz w:val="18"/>
                <w:szCs w:val="18"/>
                <w:b w:val="1"/>
                <w:bCs w:val="1"/>
                <w:i w:val="1"/>
                <w:iCs w:val="1"/>
                <w:color w:val="auto"/>
              </w:rPr>
              <w:t>Consolidated Statements of Operations</w:t>
            </w:r>
          </w:p>
        </w:tc>
        <w:tc>
          <w:tcPr>
            <w:tcW w:w="16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92"/>
        </w:trPr>
        <w:tc>
          <w:tcPr>
            <w:tcW w:w="4440" w:type="dxa"/>
            <w:vAlign w:val="bottom"/>
            <w:gridSpan w:val="3"/>
            <w:vMerge w:val="continue"/>
          </w:tcPr>
          <w:p>
            <w:pPr>
              <w:spacing w:after="0"/>
              <w:rPr>
                <w:sz w:val="24"/>
                <w:szCs w:val="24"/>
                <w:color w:val="auto"/>
              </w:rPr>
            </w:pPr>
          </w:p>
        </w:tc>
        <w:tc>
          <w:tcPr>
            <w:tcW w:w="1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80"/>
        </w:trPr>
        <w:tc>
          <w:tcPr>
            <w:tcW w:w="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300" w:type="dxa"/>
            <w:vAlign w:val="bottom"/>
            <w:gridSpan w:val="5"/>
          </w:tcPr>
          <w:p>
            <w:pPr>
              <w:jc w:val="right"/>
              <w:ind w:right="88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24"/>
                <w:szCs w:val="24"/>
                <w:color w:val="auto"/>
              </w:rPr>
            </w:pPr>
          </w:p>
        </w:tc>
        <w:tc>
          <w:tcPr>
            <w:tcW w:w="1880" w:type="dxa"/>
            <w:vAlign w:val="bottom"/>
            <w:gridSpan w:val="6"/>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290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12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Pr>
          <w:p>
            <w:pPr>
              <w:spacing w:after="0"/>
              <w:rPr>
                <w:sz w:val="11"/>
                <w:szCs w:val="11"/>
                <w:color w:val="auto"/>
              </w:rPr>
            </w:pPr>
          </w:p>
        </w:tc>
        <w:tc>
          <w:tcPr>
            <w:tcW w:w="9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2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520" w:type="dxa"/>
            <w:vAlign w:val="bottom"/>
            <w:tcBorders>
              <w:bottom w:val="single" w:sz="8" w:color="CCEEFF"/>
            </w:tcBorders>
          </w:tcPr>
          <w:p>
            <w:pPr>
              <w:spacing w:after="0"/>
              <w:rPr>
                <w:sz w:val="14"/>
                <w:szCs w:val="14"/>
                <w:color w:val="auto"/>
              </w:rPr>
            </w:pPr>
          </w:p>
        </w:tc>
        <w:tc>
          <w:tcPr>
            <w:tcW w:w="2900" w:type="dxa"/>
            <w:vAlign w:val="bottom"/>
            <w:tcBorders>
              <w:bottom w:val="single" w:sz="8" w:color="CCEEFF"/>
            </w:tcBorders>
          </w:tcPr>
          <w:p>
            <w:pPr>
              <w:spacing w:after="0"/>
              <w:rPr>
                <w:sz w:val="14"/>
                <w:szCs w:val="14"/>
                <w:color w:val="auto"/>
              </w:rPr>
            </w:pPr>
          </w:p>
        </w:tc>
        <w:tc>
          <w:tcPr>
            <w:tcW w:w="16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30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420" w:type="dxa"/>
            <w:vAlign w:val="bottom"/>
            <w:gridSpan w:val="2"/>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16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5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spacing w:after="0"/>
              <w:rPr>
                <w:sz w:val="20"/>
                <w:szCs w:val="20"/>
                <w:color w:val="auto"/>
              </w:rPr>
            </w:pPr>
            <w:r>
              <w:rPr>
                <w:rFonts w:ascii="Arial" w:cs="Arial" w:eastAsia="Arial" w:hAnsi="Arial"/>
                <w:sz w:val="18"/>
                <w:szCs w:val="18"/>
                <w:color w:val="auto"/>
              </w:rPr>
              <w:t>Interest income</w:t>
            </w:r>
          </w:p>
        </w:tc>
        <w:tc>
          <w:tcPr>
            <w:tcW w:w="1740" w:type="dxa"/>
            <w:vAlign w:val="bottom"/>
            <w:gridSpan w:val="2"/>
          </w:tcPr>
          <w:p>
            <w:pPr>
              <w:ind w:left="1600"/>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3,370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3,932</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300"/>
              <w:spacing w:after="0"/>
              <w:rPr>
                <w:sz w:val="20"/>
                <w:szCs w:val="20"/>
                <w:color w:val="auto"/>
              </w:rPr>
            </w:pPr>
            <w:r>
              <w:rPr>
                <w:rFonts w:ascii="Arial" w:cs="Arial" w:eastAsia="Arial" w:hAnsi="Arial"/>
                <w:sz w:val="18"/>
                <w:szCs w:val="18"/>
                <w:color w:val="auto"/>
                <w:w w:val="94"/>
              </w:rPr>
              <w:t>10,005</w:t>
            </w:r>
          </w:p>
        </w:tc>
        <w:tc>
          <w:tcPr>
            <w:tcW w:w="4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w w:val="94"/>
              </w:rPr>
              <w:t>11,980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realized gain (loss) on investments</w:t>
            </w: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252</w:t>
            </w: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(353)</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677</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spacing w:after="0"/>
              <w:rPr>
                <w:sz w:val="20"/>
                <w:szCs w:val="20"/>
                <w:color w:val="auto"/>
              </w:rPr>
            </w:pPr>
            <w:r>
              <w:rPr>
                <w:rFonts w:ascii="Arial" w:cs="Arial" w:eastAsia="Arial" w:hAnsi="Arial"/>
                <w:sz w:val="18"/>
                <w:szCs w:val="18"/>
                <w:color w:val="auto"/>
              </w:rPr>
              <w:t>Currency translation gain</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944</w:t>
            </w:r>
          </w:p>
        </w:tc>
        <w:tc>
          <w:tcPr>
            <w:tcW w:w="140" w:type="dxa"/>
            <w:vAlign w:val="bottom"/>
          </w:tcPr>
          <w:p>
            <w:pPr>
              <w:spacing w:after="0"/>
              <w:rPr>
                <w:sz w:val="18"/>
                <w:szCs w:val="18"/>
                <w:color w:val="auto"/>
              </w:rPr>
            </w:pPr>
          </w:p>
        </w:tc>
        <w:tc>
          <w:tcPr>
            <w:tcW w:w="1080" w:type="dxa"/>
            <w:vAlign w:val="bottom"/>
            <w:gridSpan w:val="2"/>
          </w:tcPr>
          <w:p>
            <w:pPr>
              <w:jc w:val="right"/>
              <w:ind w:right="540"/>
              <w:spacing w:after="0"/>
              <w:rPr>
                <w:sz w:val="20"/>
                <w:szCs w:val="20"/>
                <w:color w:val="auto"/>
              </w:rPr>
            </w:pPr>
            <w:r>
              <w:rPr>
                <w:rFonts w:ascii="Arial" w:cs="Arial" w:eastAsia="Arial" w:hAnsi="Arial"/>
                <w:sz w:val="18"/>
                <w:szCs w:val="18"/>
                <w:color w:val="auto"/>
              </w:rPr>
              <w:t>1,134</w:t>
            </w:r>
          </w:p>
        </w:tc>
        <w:tc>
          <w:tcPr>
            <w:tcW w:w="140" w:type="dxa"/>
            <w:vAlign w:val="bottom"/>
          </w:tcPr>
          <w:p>
            <w:pPr>
              <w:spacing w:after="0"/>
              <w:rPr>
                <w:sz w:val="18"/>
                <w:szCs w:val="18"/>
                <w:color w:val="auto"/>
              </w:rPr>
            </w:pPr>
          </w:p>
        </w:tc>
        <w:tc>
          <w:tcPr>
            <w:tcW w:w="840" w:type="dxa"/>
            <w:vAlign w:val="bottom"/>
            <w:gridSpan w:val="2"/>
          </w:tcPr>
          <w:p>
            <w:pPr>
              <w:jc w:val="right"/>
              <w:ind w:right="300"/>
              <w:spacing w:after="0"/>
              <w:rPr>
                <w:sz w:val="20"/>
                <w:szCs w:val="20"/>
                <w:color w:val="auto"/>
              </w:rPr>
            </w:pPr>
            <w:r>
              <w:rPr>
                <w:rFonts w:ascii="Arial" w:cs="Arial" w:eastAsia="Arial" w:hAnsi="Arial"/>
                <w:sz w:val="18"/>
                <w:szCs w:val="18"/>
                <w:color w:val="auto"/>
              </w:rPr>
              <w:t>1,961</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100"/>
              <w:spacing w:after="0"/>
              <w:rPr>
                <w:sz w:val="20"/>
                <w:szCs w:val="20"/>
                <w:color w:val="auto"/>
              </w:rPr>
            </w:pPr>
            <w:r>
              <w:rPr>
                <w:rFonts w:ascii="Arial" w:cs="Arial" w:eastAsia="Arial" w:hAnsi="Arial"/>
                <w:sz w:val="18"/>
                <w:szCs w:val="18"/>
                <w:color w:val="auto"/>
              </w:rPr>
              <w:t>5,035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income</w:t>
            </w: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986</w:t>
            </w:r>
          </w:p>
        </w:tc>
        <w:tc>
          <w:tcPr>
            <w:tcW w:w="14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86</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896</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20" w:type="dxa"/>
            <w:vAlign w:val="bottom"/>
            <w:gridSpan w:val="2"/>
          </w:tcPr>
          <w:p>
            <w:pPr>
              <w:spacing w:after="0"/>
              <w:rPr>
                <w:sz w:val="20"/>
                <w:szCs w:val="20"/>
                <w:color w:val="auto"/>
              </w:rPr>
            </w:pPr>
            <w:r>
              <w:rPr>
                <w:rFonts w:ascii="Arial" w:cs="Arial" w:eastAsia="Arial" w:hAnsi="Arial"/>
                <w:sz w:val="18"/>
                <w:szCs w:val="18"/>
                <w:color w:val="auto"/>
              </w:rPr>
              <w:t>Interest expense</w:t>
            </w:r>
          </w:p>
        </w:tc>
        <w:tc>
          <w:tcPr>
            <w:tcW w:w="1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8"/>
                <w:szCs w:val="18"/>
                <w:color w:val="auto"/>
              </w:rPr>
              <w:t>(82)</w:t>
            </w:r>
          </w:p>
        </w:tc>
        <w:tc>
          <w:tcPr>
            <w:tcW w:w="140" w:type="dxa"/>
            <w:vAlign w:val="bottom"/>
          </w:tcPr>
          <w:p>
            <w:pPr>
              <w:spacing w:after="0"/>
              <w:rPr>
                <w:sz w:val="18"/>
                <w:szCs w:val="18"/>
                <w:color w:val="auto"/>
              </w:rPr>
            </w:pPr>
          </w:p>
        </w:tc>
        <w:tc>
          <w:tcPr>
            <w:tcW w:w="1080" w:type="dxa"/>
            <w:vAlign w:val="bottom"/>
            <w:gridSpan w:val="2"/>
          </w:tcPr>
          <w:p>
            <w:pPr>
              <w:jc w:val="right"/>
              <w:ind w:right="480"/>
              <w:spacing w:after="0"/>
              <w:rPr>
                <w:sz w:val="20"/>
                <w:szCs w:val="20"/>
                <w:color w:val="auto"/>
              </w:rPr>
            </w:pPr>
            <w:r>
              <w:rPr>
                <w:rFonts w:ascii="Arial" w:cs="Arial" w:eastAsia="Arial" w:hAnsi="Arial"/>
                <w:sz w:val="18"/>
                <w:szCs w:val="18"/>
                <w:color w:val="auto"/>
              </w:rPr>
              <w:t>(155)</w:t>
            </w:r>
          </w:p>
        </w:tc>
        <w:tc>
          <w:tcPr>
            <w:tcW w:w="140" w:type="dxa"/>
            <w:vAlign w:val="bottom"/>
          </w:tcPr>
          <w:p>
            <w:pPr>
              <w:spacing w:after="0"/>
              <w:rPr>
                <w:sz w:val="18"/>
                <w:szCs w:val="18"/>
                <w:color w:val="auto"/>
              </w:rPr>
            </w:pPr>
          </w:p>
        </w:tc>
        <w:tc>
          <w:tcPr>
            <w:tcW w:w="840" w:type="dxa"/>
            <w:vAlign w:val="bottom"/>
            <w:gridSpan w:val="2"/>
          </w:tcPr>
          <w:p>
            <w:pPr>
              <w:jc w:val="right"/>
              <w:ind w:right="240"/>
              <w:spacing w:after="0"/>
              <w:rPr>
                <w:sz w:val="20"/>
                <w:szCs w:val="20"/>
                <w:color w:val="auto"/>
              </w:rPr>
            </w:pPr>
            <w:r>
              <w:rPr>
                <w:rFonts w:ascii="Arial" w:cs="Arial" w:eastAsia="Arial" w:hAnsi="Arial"/>
                <w:sz w:val="18"/>
                <w:szCs w:val="18"/>
                <w:color w:val="auto"/>
              </w:rPr>
              <w:t>(297)</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(567)</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29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2900" w:type="dxa"/>
            <w:vAlign w:val="bottom"/>
            <w:shd w:val="clear" w:color="auto" w:fill="CCEEFF"/>
          </w:tcPr>
          <w:p>
            <w:pPr>
              <w:spacing w:after="0"/>
              <w:rPr>
                <w:sz w:val="18"/>
                <w:szCs w:val="18"/>
                <w:color w:val="auto"/>
              </w:rPr>
            </w:pPr>
          </w:p>
        </w:tc>
        <w:tc>
          <w:tcPr>
            <w:tcW w:w="1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5,470</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4,644</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4"/>
              </w:rPr>
              <w:t>13,242</w:t>
            </w:r>
          </w:p>
        </w:tc>
        <w:tc>
          <w:tcPr>
            <w:tcW w:w="4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4"/>
              </w:rPr>
              <w:t>16,601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Net income (loss) per share</w:t>
      </w:r>
    </w:p>
    <w:p>
      <w:pPr>
        <w:spacing w:after="0" w:line="96"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 average number of common shares outstanding during the period, and diluted net income (loss) per share, which is based on the weighted average number of common shares outstanding and potentially dilutive common shares outstanding during the period. The computations of basic and diluted net income (loss) per share are presented in the following table (in thousands, except per share amounts):</w:t>
      </w:r>
    </w:p>
    <w:p>
      <w:pPr>
        <w:spacing w:after="0" w:line="179"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45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20" w:type="dxa"/>
            <w:vAlign w:val="bottom"/>
            <w:gridSpan w:val="5"/>
          </w:tcPr>
          <w:p>
            <w:pPr>
              <w:jc w:val="right"/>
              <w:ind w:right="580"/>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4540" w:type="dxa"/>
            <w:vAlign w:val="bottom"/>
          </w:tcPr>
          <w:p>
            <w:pPr>
              <w:spacing w:after="0"/>
              <w:rPr>
                <w:sz w:val="11"/>
                <w:szCs w:val="11"/>
                <w:color w:val="auto"/>
              </w:rPr>
            </w:pPr>
          </w:p>
        </w:tc>
        <w:tc>
          <w:tcPr>
            <w:tcW w:w="162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74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8"/>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540" w:type="dxa"/>
            <w:vAlign w:val="bottom"/>
            <w:tcBorders>
              <w:bottom w:val="single" w:sz="8" w:color="CCEEFF"/>
            </w:tcBorders>
          </w:tcPr>
          <w:p>
            <w:pPr>
              <w:spacing w:after="0"/>
              <w:rPr>
                <w:sz w:val="14"/>
                <w:szCs w:val="14"/>
                <w:color w:val="auto"/>
              </w:rPr>
            </w:pPr>
          </w:p>
        </w:tc>
        <w:tc>
          <w:tcPr>
            <w:tcW w:w="16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5"/>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54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6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Net income (loss)</w:t>
            </w:r>
          </w:p>
        </w:tc>
        <w:tc>
          <w:tcPr>
            <w:tcW w:w="1720" w:type="dxa"/>
            <w:vAlign w:val="bottom"/>
            <w:gridSpan w:val="2"/>
          </w:tcPr>
          <w:p>
            <w:pPr>
              <w:ind w:left="1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72,616</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w w:val="92"/>
              </w:rPr>
              <w:t>(57,750)</w:t>
            </w:r>
          </w:p>
        </w:tc>
        <w:tc>
          <w:tcPr>
            <w:tcW w:w="320" w:type="dxa"/>
            <w:vAlign w:val="bottom"/>
            <w:gridSpan w:val="2"/>
          </w:tcPr>
          <w:p>
            <w:pPr>
              <w:ind w:left="220"/>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101,242</w:t>
            </w:r>
          </w:p>
        </w:tc>
        <w:tc>
          <w:tcPr>
            <w:tcW w:w="58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(815,600)</w:t>
            </w:r>
          </w:p>
        </w:tc>
        <w:tc>
          <w:tcPr>
            <w:tcW w:w="0" w:type="dxa"/>
            <w:vAlign w:val="bottom"/>
          </w:tcPr>
          <w:p>
            <w:pPr>
              <w:spacing w:after="0"/>
              <w:rPr>
                <w:sz w:val="1"/>
                <w:szCs w:val="1"/>
                <w:color w:val="auto"/>
              </w:rPr>
            </w:pPr>
          </w:p>
        </w:tc>
      </w:tr>
      <w:tr>
        <w:trPr>
          <w:trHeight w:val="20"/>
        </w:trPr>
        <w:tc>
          <w:tcPr>
            <w:tcW w:w="45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1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511,090</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504,831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510,373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512,476</w:t>
            </w: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54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6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11,001</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6,103</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40" w:type="dxa"/>
            <w:vAlign w:val="bottom"/>
            <w:tcBorders>
              <w:bottom w:val="single" w:sz="8" w:color="auto"/>
            </w:tcBorders>
          </w:tcPr>
          <w:p>
            <w:pPr>
              <w:jc w:val="right"/>
              <w:ind w:right="1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16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522,091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6"/>
              </w:rPr>
              <w:t>504,831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516,476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512,476</w:t>
            </w:r>
          </w:p>
        </w:tc>
        <w:tc>
          <w:tcPr>
            <w:tcW w:w="0" w:type="dxa"/>
            <w:vAlign w:val="bottom"/>
          </w:tcPr>
          <w:p>
            <w:pPr>
              <w:spacing w:after="0"/>
              <w:rPr>
                <w:sz w:val="1"/>
                <w:szCs w:val="1"/>
                <w:color w:val="auto"/>
              </w:rPr>
            </w:pPr>
          </w:p>
        </w:tc>
      </w:tr>
      <w:tr>
        <w:trPr>
          <w:trHeight w:val="20"/>
        </w:trPr>
        <w:tc>
          <w:tcPr>
            <w:tcW w:w="4540" w:type="dxa"/>
            <w:vAlign w:val="bottom"/>
            <w:vMerge w:val="restart"/>
          </w:tcPr>
          <w:p>
            <w:pPr>
              <w:spacing w:after="0"/>
              <w:rPr>
                <w:sz w:val="20"/>
                <w:szCs w:val="20"/>
                <w:color w:val="auto"/>
              </w:rPr>
            </w:pPr>
            <w:r>
              <w:rPr>
                <w:rFonts w:ascii="Arial" w:cs="Arial" w:eastAsia="Arial" w:hAnsi="Arial"/>
                <w:sz w:val="18"/>
                <w:szCs w:val="18"/>
                <w:color w:val="auto"/>
              </w:rPr>
              <w:t>Net income (loss) per share:</w:t>
            </w:r>
          </w:p>
        </w:tc>
        <w:tc>
          <w:tcPr>
            <w:tcW w:w="16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40" w:type="dxa"/>
            <w:vAlign w:val="bottom"/>
            <w:vMerge w:val="continue"/>
          </w:tcPr>
          <w:p>
            <w:pPr>
              <w:spacing w:after="0"/>
              <w:rPr>
                <w:sz w:val="18"/>
                <w:szCs w:val="18"/>
                <w:color w:val="auto"/>
              </w:rPr>
            </w:pPr>
          </w:p>
        </w:tc>
        <w:tc>
          <w:tcPr>
            <w:tcW w:w="16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5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Basic</w:t>
            </w:r>
          </w:p>
        </w:tc>
        <w:tc>
          <w:tcPr>
            <w:tcW w:w="1720" w:type="dxa"/>
            <w:vAlign w:val="bottom"/>
            <w:gridSpan w:val="2"/>
            <w:shd w:val="clear" w:color="auto" w:fill="CCEEFF"/>
          </w:tcPr>
          <w:p>
            <w:pPr>
              <w:ind w:left="162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0.14</w:t>
            </w:r>
          </w:p>
        </w:tc>
        <w:tc>
          <w:tcPr>
            <w:tcW w:w="58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(0.11)</w:t>
            </w:r>
          </w:p>
        </w:tc>
        <w:tc>
          <w:tcPr>
            <w:tcW w:w="32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(1.59)</w:t>
            </w:r>
          </w:p>
        </w:tc>
        <w:tc>
          <w:tcPr>
            <w:tcW w:w="0" w:type="dxa"/>
            <w:vAlign w:val="bottom"/>
          </w:tcPr>
          <w:p>
            <w:pPr>
              <w:spacing w:after="0"/>
              <w:rPr>
                <w:sz w:val="1"/>
                <w:szCs w:val="1"/>
                <w:color w:val="auto"/>
              </w:rPr>
            </w:pPr>
          </w:p>
        </w:tc>
      </w:tr>
      <w:tr>
        <w:trPr>
          <w:trHeight w:val="222"/>
        </w:trPr>
        <w:tc>
          <w:tcPr>
            <w:tcW w:w="4540" w:type="dxa"/>
            <w:vAlign w:val="bottom"/>
          </w:tcPr>
          <w:p>
            <w:pPr>
              <w:ind w:left="880"/>
              <w:spacing w:after="0"/>
              <w:rPr>
                <w:sz w:val="20"/>
                <w:szCs w:val="20"/>
                <w:color w:val="auto"/>
              </w:rPr>
            </w:pPr>
            <w:r>
              <w:rPr>
                <w:rFonts w:ascii="Arial" w:cs="Arial" w:eastAsia="Arial" w:hAnsi="Arial"/>
                <w:sz w:val="18"/>
                <w:szCs w:val="18"/>
                <w:color w:val="auto"/>
              </w:rPr>
              <w:t>Diluted</w:t>
            </w:r>
          </w:p>
        </w:tc>
        <w:tc>
          <w:tcPr>
            <w:tcW w:w="1720" w:type="dxa"/>
            <w:vAlign w:val="bottom"/>
            <w:gridSpan w:val="2"/>
          </w:tcPr>
          <w:p>
            <w:pPr>
              <w:ind w:left="16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0.14</w:t>
            </w:r>
          </w:p>
        </w:tc>
        <w:tc>
          <w:tcPr>
            <w:tcW w:w="580" w:type="dxa"/>
            <w:vAlign w:val="bottom"/>
            <w:gridSpan w:val="2"/>
          </w:tcPr>
          <w:p>
            <w:pPr>
              <w:ind w:left="48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(0.11)</w:t>
            </w:r>
          </w:p>
        </w:tc>
        <w:tc>
          <w:tcPr>
            <w:tcW w:w="320" w:type="dxa"/>
            <w:vAlign w:val="bottom"/>
            <w:gridSpan w:val="2"/>
          </w:tcPr>
          <w:p>
            <w:pPr>
              <w:ind w:left="2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0.20</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(1.59)</w:t>
            </w: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340"/>
          </w:cols>
          <w:pgMar w:left="240" w:top="459" w:right="31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1900" w:type="dxa"/>
            <w:vAlign w:val="bottom"/>
            <w:gridSpan w:val="3"/>
          </w:tcPr>
          <w:p>
            <w:pPr>
              <w:jc w:val="right"/>
              <w:ind w:right="252"/>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tcPr>
          <w:p>
            <w:pPr>
              <w:spacing w:after="0"/>
              <w:rPr>
                <w:sz w:val="14"/>
                <w:szCs w:val="14"/>
                <w:color w:val="auto"/>
              </w:rPr>
            </w:pPr>
          </w:p>
        </w:tc>
        <w:tc>
          <w:tcPr>
            <w:tcW w:w="2000" w:type="dxa"/>
            <w:vAlign w:val="bottom"/>
            <w:gridSpan w:val="4"/>
          </w:tcPr>
          <w:p>
            <w:pPr>
              <w:ind w:left="38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040" w:type="dxa"/>
            <w:vAlign w:val="bottom"/>
          </w:tcPr>
          <w:p>
            <w:pPr>
              <w:spacing w:after="0"/>
              <w:rPr>
                <w:sz w:val="11"/>
                <w:szCs w:val="11"/>
                <w:color w:val="auto"/>
              </w:rPr>
            </w:pPr>
          </w:p>
        </w:tc>
        <w:tc>
          <w:tcPr>
            <w:tcW w:w="68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560" w:type="dxa"/>
            <w:vAlign w:val="bottom"/>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29,</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r>
      <w:tr>
        <w:trPr>
          <w:trHeight w:val="161"/>
        </w:trPr>
        <w:tc>
          <w:tcPr>
            <w:tcW w:w="6040" w:type="dxa"/>
            <w:vAlign w:val="bottom"/>
          </w:tcPr>
          <w:p>
            <w:pPr>
              <w:spacing w:after="0"/>
              <w:rPr>
                <w:sz w:val="14"/>
                <w:szCs w:val="14"/>
                <w:color w:val="auto"/>
              </w:rPr>
            </w:pPr>
          </w:p>
        </w:tc>
        <w:tc>
          <w:tcPr>
            <w:tcW w:w="680" w:type="dxa"/>
            <w:vAlign w:val="bottom"/>
          </w:tcPr>
          <w:p>
            <w:pPr>
              <w:ind w:left="200"/>
              <w:spacing w:after="0"/>
              <w:rPr>
                <w:sz w:val="20"/>
                <w:szCs w:val="20"/>
                <w:color w:val="auto"/>
              </w:rPr>
            </w:pPr>
            <w:r>
              <w:rPr>
                <w:rFonts w:ascii="Arial" w:cs="Arial" w:eastAsia="Arial" w:hAnsi="Arial"/>
                <w:sz w:val="14"/>
                <w:szCs w:val="14"/>
                <w:b w:val="1"/>
                <w:bCs w:val="1"/>
                <w:color w:val="auto"/>
              </w:rPr>
              <w:t>2016</w:t>
            </w:r>
          </w:p>
        </w:tc>
        <w:tc>
          <w:tcPr>
            <w:tcW w:w="12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124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122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96"/>
        </w:trPr>
        <w:tc>
          <w:tcPr>
            <w:tcW w:w="60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w:t>
            </w:r>
          </w:p>
        </w:tc>
        <w:tc>
          <w:tcPr>
            <w:tcW w:w="68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Share-based awards</w:t>
            </w:r>
          </w:p>
        </w:tc>
        <w:tc>
          <w:tcPr>
            <w:tcW w:w="680" w:type="dxa"/>
            <w:vAlign w:val="bottom"/>
          </w:tcPr>
          <w:p>
            <w:pPr>
              <w:ind w:left="200"/>
              <w:spacing w:after="0"/>
              <w:rPr>
                <w:sz w:val="20"/>
                <w:szCs w:val="20"/>
                <w:color w:val="auto"/>
              </w:rPr>
            </w:pPr>
            <w:r>
              <w:rPr>
                <w:rFonts w:ascii="Arial" w:cs="Arial" w:eastAsia="Arial" w:hAnsi="Arial"/>
                <w:sz w:val="18"/>
                <w:szCs w:val="18"/>
                <w:color w:val="auto"/>
                <w:w w:val="83"/>
              </w:rPr>
              <w:t>20,211</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68,613</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37,309</w:t>
            </w:r>
          </w:p>
        </w:tc>
        <w:tc>
          <w:tcPr>
            <w:tcW w:w="1220" w:type="dxa"/>
            <w:vAlign w:val="bottom"/>
            <w:gridSpan w:val="2"/>
          </w:tcPr>
          <w:p>
            <w:pPr>
              <w:jc w:val="right"/>
              <w:spacing w:after="0"/>
              <w:rPr>
                <w:sz w:val="20"/>
                <w:szCs w:val="20"/>
                <w:color w:val="auto"/>
              </w:rPr>
            </w:pPr>
            <w:r>
              <w:rPr>
                <w:rFonts w:ascii="Arial" w:cs="Arial" w:eastAsia="Arial" w:hAnsi="Arial"/>
                <w:sz w:val="18"/>
                <w:szCs w:val="18"/>
                <w:color w:val="auto"/>
              </w:rPr>
              <w:t>62,825</w:t>
            </w:r>
          </w:p>
        </w:tc>
        <w:tc>
          <w:tcPr>
            <w:tcW w:w="100" w:type="dxa"/>
            <w:vAlign w:val="bottom"/>
          </w:tcPr>
          <w:p>
            <w:pPr>
              <w:spacing w:after="0"/>
              <w:rPr>
                <w:sz w:val="18"/>
                <w:szCs w:val="18"/>
                <w:color w:val="auto"/>
              </w:rPr>
            </w:pPr>
          </w:p>
        </w:tc>
      </w:tr>
      <w:tr>
        <w:trPr>
          <w:trHeight w:val="20"/>
        </w:trPr>
        <w:tc>
          <w:tcPr>
            <w:tcW w:w="60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from share-based awards are also excluded from the calculation of diluted earnings per share for the three and nine months ended October 31, 2015 due to the net loss reported in those periods.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780" w:type="dxa"/>
            <w:vAlign w:val="bottom"/>
          </w:tcPr>
          <w:p>
            <w:pPr>
              <w:spacing w:after="0"/>
              <w:rPr>
                <w:sz w:val="14"/>
                <w:szCs w:val="14"/>
                <w:color w:val="auto"/>
              </w:rPr>
            </w:pPr>
          </w:p>
        </w:tc>
        <w:tc>
          <w:tcPr>
            <w:tcW w:w="2860" w:type="dxa"/>
            <w:vAlign w:val="bottom"/>
          </w:tcPr>
          <w:p>
            <w:pPr>
              <w:spacing w:after="0"/>
              <w:rPr>
                <w:sz w:val="14"/>
                <w:szCs w:val="14"/>
                <w:color w:val="auto"/>
              </w:rPr>
            </w:pPr>
          </w:p>
        </w:tc>
        <w:tc>
          <w:tcPr>
            <w:tcW w:w="2040" w:type="dxa"/>
            <w:vAlign w:val="bottom"/>
            <w:gridSpan w:val="4"/>
          </w:tcPr>
          <w:p>
            <w:pPr>
              <w:ind w:left="54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78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October 29,</w:t>
            </w:r>
          </w:p>
        </w:tc>
        <w:tc>
          <w:tcPr>
            <w:tcW w:w="1260" w:type="dxa"/>
            <w:vAlign w:val="bottom"/>
            <w:tcBorders>
              <w:top w:val="single" w:sz="8" w:color="auto"/>
            </w:tcBorders>
            <w:gridSpan w:val="2"/>
          </w:tcPr>
          <w:p>
            <w:pPr>
              <w:jc w:val="center"/>
              <w:ind w:left="492"/>
              <w:spacing w:after="0" w:line="129" w:lineRule="exact"/>
              <w:rPr>
                <w:sz w:val="20"/>
                <w:szCs w:val="20"/>
                <w:color w:val="auto"/>
              </w:rPr>
            </w:pPr>
            <w:r>
              <w:rPr>
                <w:rFonts w:ascii="Arial" w:cs="Arial" w:eastAsia="Arial" w:hAnsi="Arial"/>
                <w:sz w:val="14"/>
                <w:szCs w:val="14"/>
                <w:b w:val="1"/>
                <w:bCs w:val="1"/>
                <w:color w:val="auto"/>
                <w:w w:val="90"/>
              </w:rPr>
              <w:t>January 30,</w:t>
            </w:r>
          </w:p>
        </w:tc>
        <w:tc>
          <w:tcPr>
            <w:tcW w:w="100" w:type="dxa"/>
            <w:vAlign w:val="bottom"/>
          </w:tcPr>
          <w:p>
            <w:pPr>
              <w:spacing w:after="0"/>
              <w:rPr>
                <w:sz w:val="11"/>
                <w:szCs w:val="11"/>
                <w:color w:val="auto"/>
              </w:rPr>
            </w:pPr>
          </w:p>
        </w:tc>
      </w:tr>
      <w:tr>
        <w:trPr>
          <w:trHeight w:val="161"/>
        </w:trPr>
        <w:tc>
          <w:tcPr>
            <w:tcW w:w="3780" w:type="dxa"/>
            <w:vAlign w:val="bottom"/>
          </w:tcPr>
          <w:p>
            <w:pPr>
              <w:spacing w:after="0"/>
              <w:rPr>
                <w:sz w:val="14"/>
                <w:szCs w:val="14"/>
                <w:color w:val="auto"/>
              </w:rPr>
            </w:pPr>
          </w:p>
        </w:tc>
        <w:tc>
          <w:tcPr>
            <w:tcW w:w="3540" w:type="dxa"/>
            <w:vAlign w:val="bottom"/>
            <w:gridSpan w:val="2"/>
          </w:tcPr>
          <w:p>
            <w:pPr>
              <w:jc w:val="center"/>
              <w:ind w:left="2772"/>
              <w:spacing w:after="0"/>
              <w:rPr>
                <w:sz w:val="20"/>
                <w:szCs w:val="20"/>
                <w:color w:val="auto"/>
              </w:rPr>
            </w:pPr>
            <w:r>
              <w:rPr>
                <w:rFonts w:ascii="Arial" w:cs="Arial" w:eastAsia="Arial" w:hAnsi="Arial"/>
                <w:sz w:val="14"/>
                <w:szCs w:val="14"/>
                <w:b w:val="1"/>
                <w:bCs w:val="1"/>
                <w:color w:val="auto"/>
                <w:w w:val="83"/>
              </w:rPr>
              <w:t>2016</w:t>
            </w:r>
          </w:p>
        </w:tc>
        <w:tc>
          <w:tcPr>
            <w:tcW w:w="1260" w:type="dxa"/>
            <w:vAlign w:val="bottom"/>
            <w:gridSpan w:val="2"/>
          </w:tcPr>
          <w:p>
            <w:pPr>
              <w:jc w:val="center"/>
              <w:ind w:left="492"/>
              <w:spacing w:after="0"/>
              <w:rPr>
                <w:sz w:val="20"/>
                <w:szCs w:val="20"/>
                <w:color w:val="auto"/>
              </w:rPr>
            </w:pPr>
            <w:r>
              <w:rPr>
                <w:rFonts w:ascii="Arial" w:cs="Arial" w:eastAsia="Arial" w:hAnsi="Arial"/>
                <w:sz w:val="14"/>
                <w:szCs w:val="14"/>
                <w:b w:val="1"/>
                <w:bCs w:val="1"/>
                <w:color w:val="auto"/>
                <w:w w:val="83"/>
              </w:rPr>
              <w:t>2016</w:t>
            </w:r>
          </w:p>
        </w:tc>
        <w:tc>
          <w:tcPr>
            <w:tcW w:w="100" w:type="dxa"/>
            <w:vAlign w:val="bottom"/>
          </w:tcPr>
          <w:p>
            <w:pPr>
              <w:spacing w:after="0"/>
              <w:rPr>
                <w:sz w:val="14"/>
                <w:szCs w:val="14"/>
                <w:color w:val="auto"/>
              </w:rPr>
            </w:pPr>
          </w:p>
        </w:tc>
      </w:tr>
      <w:tr>
        <w:trPr>
          <w:trHeight w:val="210"/>
        </w:trPr>
        <w:tc>
          <w:tcPr>
            <w:tcW w:w="37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8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4"/>
              </w:rPr>
              <w:t>$ 36,641</w:t>
            </w:r>
          </w:p>
        </w:tc>
        <w:tc>
          <w:tcPr>
            <w:tcW w:w="5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19,082</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780" w:type="dxa"/>
            <w:vAlign w:val="bottom"/>
          </w:tcPr>
          <w:p>
            <w:pPr>
              <w:spacing w:after="0" w:line="20" w:lineRule="exact"/>
              <w:rPr>
                <w:sz w:val="1"/>
                <w:szCs w:val="1"/>
                <w:color w:val="auto"/>
              </w:rPr>
            </w:pPr>
          </w:p>
        </w:tc>
        <w:tc>
          <w:tcPr>
            <w:tcW w:w="286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29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3600" w:type="dxa"/>
            <w:vAlign w:val="bottom"/>
            <w:tcBorders>
              <w:bottom w:val="single" w:sz="8" w:color="auto"/>
            </w:tcBorders>
            <w:gridSpan w:val="11"/>
          </w:tcPr>
          <w:p>
            <w:pPr>
              <w:ind w:left="460"/>
              <w:spacing w:after="0"/>
              <w:rPr>
                <w:sz w:val="20"/>
                <w:szCs w:val="20"/>
                <w:color w:val="auto"/>
              </w:rPr>
            </w:pPr>
            <w:r>
              <w:rPr>
                <w:rFonts w:ascii="Arial" w:cs="Arial" w:eastAsia="Arial" w:hAnsi="Arial"/>
                <w:sz w:val="14"/>
                <w:szCs w:val="14"/>
                <w:b w:val="1"/>
                <w:bCs w:val="1"/>
                <w:color w:val="auto"/>
                <w:w w:val="87"/>
              </w:rPr>
              <w:t>Amount of Gains (Losses) in Statement of Operations</w:t>
            </w:r>
          </w:p>
        </w:tc>
        <w:tc>
          <w:tcPr>
            <w:tcW w:w="5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3640" w:type="dxa"/>
            <w:vAlign w:val="bottom"/>
          </w:tcPr>
          <w:p>
            <w:pPr>
              <w:spacing w:after="0"/>
              <w:rPr>
                <w:sz w:val="12"/>
                <w:szCs w:val="12"/>
                <w:color w:val="auto"/>
              </w:rPr>
            </w:pPr>
          </w:p>
        </w:tc>
        <w:tc>
          <w:tcPr>
            <w:tcW w:w="3400" w:type="dxa"/>
            <w:vAlign w:val="bottom"/>
            <w:gridSpan w:val="2"/>
            <w:vMerge w:val="restart"/>
          </w:tcPr>
          <w:p>
            <w:pPr>
              <w:ind w:left="720"/>
              <w:spacing w:after="0"/>
              <w:rPr>
                <w:sz w:val="20"/>
                <w:szCs w:val="20"/>
                <w:color w:val="auto"/>
              </w:rPr>
            </w:pPr>
            <w:r>
              <w:rPr>
                <w:rFonts w:ascii="Arial" w:cs="Arial" w:eastAsia="Arial" w:hAnsi="Arial"/>
                <w:sz w:val="14"/>
                <w:szCs w:val="14"/>
                <w:b w:val="1"/>
                <w:bCs w:val="1"/>
                <w:color w:val="auto"/>
              </w:rPr>
              <w:t>Location of Gains (Losses)</w:t>
            </w:r>
          </w:p>
        </w:tc>
        <w:tc>
          <w:tcPr>
            <w:tcW w:w="140" w:type="dxa"/>
            <w:vAlign w:val="bottom"/>
          </w:tcPr>
          <w:p>
            <w:pPr>
              <w:spacing w:after="0"/>
              <w:rPr>
                <w:sz w:val="12"/>
                <w:szCs w:val="12"/>
                <w:color w:val="auto"/>
              </w:rPr>
            </w:pPr>
          </w:p>
        </w:tc>
        <w:tc>
          <w:tcPr>
            <w:tcW w:w="2000" w:type="dxa"/>
            <w:vAlign w:val="bottom"/>
            <w:gridSpan w:val="5"/>
          </w:tcPr>
          <w:p>
            <w:pPr>
              <w:jc w:val="right"/>
              <w:ind w:right="600"/>
              <w:spacing w:after="0" w:line="142" w:lineRule="exact"/>
              <w:rPr>
                <w:sz w:val="20"/>
                <w:szCs w:val="20"/>
                <w:color w:val="auto"/>
              </w:rPr>
            </w:pPr>
            <w:r>
              <w:rPr>
                <w:rFonts w:ascii="Arial" w:cs="Arial" w:eastAsia="Arial" w:hAnsi="Arial"/>
                <w:sz w:val="14"/>
                <w:szCs w:val="14"/>
                <w:b w:val="1"/>
                <w:bCs w:val="1"/>
                <w:color w:val="auto"/>
                <w:w w:val="99"/>
              </w:rPr>
              <w:t>Three Months Ended</w:t>
            </w:r>
          </w:p>
        </w:tc>
        <w:tc>
          <w:tcPr>
            <w:tcW w:w="2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740" w:type="dxa"/>
            <w:vAlign w:val="bottom"/>
            <w:gridSpan w:val="5"/>
          </w:tcPr>
          <w:p>
            <w:pPr>
              <w:jc w:val="right"/>
              <w:ind w:right="276"/>
              <w:spacing w:after="0" w:line="142" w:lineRule="exact"/>
              <w:rPr>
                <w:sz w:val="20"/>
                <w:szCs w:val="20"/>
                <w:color w:val="auto"/>
              </w:rPr>
            </w:pPr>
            <w:r>
              <w:rPr>
                <w:rFonts w:ascii="Arial" w:cs="Arial" w:eastAsia="Arial" w:hAnsi="Arial"/>
                <w:sz w:val="14"/>
                <w:szCs w:val="14"/>
                <w:b w:val="1"/>
                <w:bCs w:val="1"/>
                <w:color w:val="auto"/>
              </w:rPr>
              <w:t>Nine Months Ended</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3640" w:type="dxa"/>
            <w:vAlign w:val="bottom"/>
          </w:tcPr>
          <w:p>
            <w:pPr>
              <w:spacing w:after="0"/>
              <w:rPr>
                <w:sz w:val="11"/>
                <w:szCs w:val="11"/>
                <w:color w:val="auto"/>
              </w:rPr>
            </w:pPr>
          </w:p>
        </w:tc>
        <w:tc>
          <w:tcPr>
            <w:tcW w:w="3400" w:type="dxa"/>
            <w:vAlign w:val="bottom"/>
            <w:gridSpan w:val="2"/>
            <w:vMerge w:val="continue"/>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29,</w:t>
            </w:r>
          </w:p>
        </w:tc>
        <w:tc>
          <w:tcPr>
            <w:tcW w:w="5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2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26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5"/>
        </w:trPr>
        <w:tc>
          <w:tcPr>
            <w:tcW w:w="3640" w:type="dxa"/>
            <w:vAlign w:val="bottom"/>
          </w:tcPr>
          <w:p>
            <w:pPr>
              <w:spacing w:after="0"/>
              <w:rPr>
                <w:sz w:val="15"/>
                <w:szCs w:val="15"/>
                <w:color w:val="auto"/>
              </w:rPr>
            </w:pPr>
          </w:p>
        </w:tc>
        <w:tc>
          <w:tcPr>
            <w:tcW w:w="3400" w:type="dxa"/>
            <w:vAlign w:val="bottom"/>
            <w:gridSpan w:val="2"/>
          </w:tcPr>
          <w:p>
            <w:pPr>
              <w:ind w:left="700"/>
              <w:spacing w:after="0"/>
              <w:rPr>
                <w:sz w:val="20"/>
                <w:szCs w:val="20"/>
                <w:color w:val="auto"/>
              </w:rPr>
            </w:pPr>
            <w:r>
              <w:rPr>
                <w:rFonts w:ascii="Arial" w:cs="Arial" w:eastAsia="Arial" w:hAnsi="Arial"/>
                <w:sz w:val="14"/>
                <w:szCs w:val="14"/>
                <w:b w:val="1"/>
                <w:bCs w:val="1"/>
                <w:color w:val="auto"/>
              </w:rPr>
              <w:t>in Statement of Operations</w:t>
            </w:r>
          </w:p>
        </w:tc>
        <w:tc>
          <w:tcPr>
            <w:tcW w:w="140" w:type="dxa"/>
            <w:vAlign w:val="bottom"/>
          </w:tcPr>
          <w:p>
            <w:pPr>
              <w:spacing w:after="0"/>
              <w:rPr>
                <w:sz w:val="15"/>
                <w:szCs w:val="15"/>
                <w:color w:val="auto"/>
              </w:rPr>
            </w:pPr>
          </w:p>
        </w:tc>
        <w:tc>
          <w:tcPr>
            <w:tcW w:w="520" w:type="dxa"/>
            <w:vAlign w:val="bottom"/>
          </w:tcPr>
          <w:p>
            <w:pPr>
              <w:jc w:val="right"/>
              <w:ind w:right="121"/>
              <w:spacing w:after="0"/>
              <w:rPr>
                <w:sz w:val="20"/>
                <w:szCs w:val="20"/>
                <w:color w:val="auto"/>
              </w:rPr>
            </w:pPr>
            <w:r>
              <w:rPr>
                <w:rFonts w:ascii="Arial" w:cs="Arial" w:eastAsia="Arial" w:hAnsi="Arial"/>
                <w:sz w:val="14"/>
                <w:szCs w:val="14"/>
                <w:b w:val="1"/>
                <w:bCs w:val="1"/>
                <w:color w:val="auto"/>
                <w:w w:val="96"/>
              </w:rPr>
              <w:t>2016</w:t>
            </w:r>
          </w:p>
        </w:tc>
        <w:tc>
          <w:tcPr>
            <w:tcW w:w="5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jc w:val="right"/>
              <w:ind w:right="116"/>
              <w:spacing w:after="0"/>
              <w:rPr>
                <w:sz w:val="20"/>
                <w:szCs w:val="20"/>
                <w:color w:val="auto"/>
              </w:rPr>
            </w:pPr>
            <w:r>
              <w:rPr>
                <w:rFonts w:ascii="Arial" w:cs="Arial" w:eastAsia="Arial" w:hAnsi="Arial"/>
                <w:sz w:val="14"/>
                <w:szCs w:val="14"/>
                <w:b w:val="1"/>
                <w:bCs w:val="1"/>
                <w:color w:val="auto"/>
                <w:w w:val="96"/>
              </w:rPr>
              <w:t>2015</w:t>
            </w:r>
          </w:p>
        </w:tc>
        <w:tc>
          <w:tcPr>
            <w:tcW w:w="2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20" w:type="dxa"/>
            <w:vAlign w:val="bottom"/>
          </w:tcPr>
          <w:p>
            <w:pPr>
              <w:jc w:val="right"/>
              <w:ind w:right="119"/>
              <w:spacing w:after="0"/>
              <w:rPr>
                <w:sz w:val="20"/>
                <w:szCs w:val="20"/>
                <w:color w:val="auto"/>
              </w:rPr>
            </w:pPr>
            <w:r>
              <w:rPr>
                <w:rFonts w:ascii="Arial" w:cs="Arial" w:eastAsia="Arial" w:hAnsi="Arial"/>
                <w:sz w:val="14"/>
                <w:szCs w:val="14"/>
                <w:b w:val="1"/>
                <w:bCs w:val="1"/>
                <w:color w:val="auto"/>
                <w:w w:val="96"/>
              </w:rPr>
              <w:t>2016</w:t>
            </w:r>
          </w:p>
        </w:tc>
        <w:tc>
          <w:tcPr>
            <w:tcW w:w="2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40" w:type="dxa"/>
            <w:vAlign w:val="bottom"/>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36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296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4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3400" w:type="dxa"/>
            <w:vAlign w:val="bottom"/>
            <w:gridSpan w:val="2"/>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242</w:t>
            </w:r>
          </w:p>
        </w:tc>
        <w:tc>
          <w:tcPr>
            <w:tcW w:w="680" w:type="dxa"/>
            <w:vAlign w:val="bottom"/>
            <w:gridSpan w:val="2"/>
          </w:tcPr>
          <w:p>
            <w:pPr>
              <w:ind w:left="54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116</w:t>
            </w:r>
          </w:p>
        </w:tc>
        <w:tc>
          <w:tcPr>
            <w:tcW w:w="4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693</w:t>
            </w:r>
          </w:p>
        </w:tc>
        <w:tc>
          <w:tcPr>
            <w:tcW w:w="4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(460)</w:t>
            </w:r>
          </w:p>
        </w:tc>
        <w:tc>
          <w:tcPr>
            <w:tcW w:w="0" w:type="dxa"/>
            <w:vAlign w:val="bottom"/>
          </w:tcPr>
          <w:p>
            <w:pPr>
              <w:spacing w:after="0"/>
              <w:rPr>
                <w:sz w:val="1"/>
                <w:szCs w:val="1"/>
                <w:color w:val="auto"/>
              </w:rPr>
            </w:pPr>
          </w:p>
        </w:tc>
      </w:tr>
      <w:tr>
        <w:trPr>
          <w:trHeight w:val="216"/>
        </w:trPr>
        <w:tc>
          <w:tcPr>
            <w:tcW w:w="3640" w:type="dxa"/>
            <w:vAlign w:val="bottom"/>
            <w:shd w:val="clear" w:color="auto" w:fill="CCEEFF"/>
          </w:tcPr>
          <w:p>
            <w:pPr>
              <w:spacing w:after="0"/>
              <w:rPr>
                <w:sz w:val="18"/>
                <w:szCs w:val="18"/>
                <w:color w:val="auto"/>
              </w:rPr>
            </w:pPr>
          </w:p>
        </w:tc>
        <w:tc>
          <w:tcPr>
            <w:tcW w:w="3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14</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16"/>
        </w:trPr>
        <w:tc>
          <w:tcPr>
            <w:tcW w:w="3640" w:type="dxa"/>
            <w:vAlign w:val="bottom"/>
          </w:tcPr>
          <w:p>
            <w:pPr>
              <w:spacing w:after="0"/>
              <w:rPr>
                <w:sz w:val="18"/>
                <w:szCs w:val="18"/>
                <w:color w:val="auto"/>
              </w:rPr>
            </w:pPr>
          </w:p>
        </w:tc>
        <w:tc>
          <w:tcPr>
            <w:tcW w:w="3400" w:type="dxa"/>
            <w:vAlign w:val="bottom"/>
            <w:gridSpan w:val="2"/>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29</w:t>
            </w:r>
          </w:p>
        </w:tc>
        <w:tc>
          <w:tcPr>
            <w:tcW w:w="5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80"/>
              <w:spacing w:after="0"/>
              <w:rPr>
                <w:sz w:val="20"/>
                <w:szCs w:val="20"/>
                <w:color w:val="auto"/>
              </w:rPr>
            </w:pPr>
            <w:r>
              <w:rPr>
                <w:rFonts w:ascii="Arial" w:cs="Arial" w:eastAsia="Arial" w:hAnsi="Arial"/>
                <w:sz w:val="18"/>
                <w:szCs w:val="18"/>
                <w:color w:val="auto"/>
              </w:rPr>
              <w:t>11</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82</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2960" w:type="dxa"/>
            <w:vAlign w:val="bottom"/>
          </w:tcPr>
          <w:p>
            <w:pPr>
              <w:spacing w:after="0"/>
              <w:rPr>
                <w:sz w:val="2"/>
                <w:szCs w:val="2"/>
                <w:color w:val="auto"/>
              </w:rPr>
            </w:pPr>
          </w:p>
        </w:tc>
        <w:tc>
          <w:tcPr>
            <w:tcW w:w="4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54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640" w:type="dxa"/>
            <w:vAlign w:val="bottom"/>
            <w:shd w:val="clear" w:color="auto" w:fill="CCEEFF"/>
          </w:tcPr>
          <w:p>
            <w:pPr>
              <w:spacing w:after="0"/>
              <w:rPr>
                <w:sz w:val="18"/>
                <w:szCs w:val="18"/>
                <w:color w:val="auto"/>
              </w:rPr>
            </w:pPr>
          </w:p>
        </w:tc>
        <w:tc>
          <w:tcPr>
            <w:tcW w:w="29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w:t>
            </w:r>
          </w:p>
        </w:tc>
        <w:tc>
          <w:tcPr>
            <w:tcW w:w="68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129</w:t>
            </w:r>
          </w:p>
        </w:tc>
        <w:tc>
          <w:tcPr>
            <w:tcW w:w="4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789</w:t>
            </w:r>
          </w:p>
        </w:tc>
        <w:tc>
          <w:tcPr>
            <w:tcW w:w="40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0"/>
        </w:trPr>
        <w:tc>
          <w:tcPr>
            <w:tcW w:w="3640" w:type="dxa"/>
            <w:vAlign w:val="bottom"/>
          </w:tcPr>
          <w:p>
            <w:pPr>
              <w:spacing w:after="0" w:line="20" w:lineRule="exact"/>
              <w:rPr>
                <w:sz w:val="1"/>
                <w:szCs w:val="1"/>
                <w:color w:val="auto"/>
              </w:rPr>
            </w:pPr>
          </w:p>
        </w:tc>
        <w:tc>
          <w:tcPr>
            <w:tcW w:w="2960" w:type="dxa"/>
            <w:vAlign w:val="bottom"/>
            <w:vMerge w:val="restart"/>
          </w:tcPr>
          <w:p>
            <w:pPr>
              <w:ind w:left="1980"/>
              <w:spacing w:after="0"/>
              <w:rPr>
                <w:sz w:val="20"/>
                <w:szCs w:val="20"/>
                <w:color w:val="auto"/>
              </w:rPr>
            </w:pPr>
            <w:r>
              <w:rPr>
                <w:rFonts w:ascii="Arial" w:cs="Arial" w:eastAsia="Arial" w:hAnsi="Arial"/>
                <w:sz w:val="18"/>
                <w:szCs w:val="18"/>
                <w:color w:val="auto"/>
              </w:rPr>
              <w:t>13</w:t>
            </w:r>
          </w:p>
        </w:tc>
        <w:tc>
          <w:tcPr>
            <w:tcW w:w="4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640" w:type="dxa"/>
            <w:vAlign w:val="bottom"/>
          </w:tcPr>
          <w:p>
            <w:pPr>
              <w:spacing w:after="0"/>
              <w:rPr>
                <w:sz w:val="24"/>
                <w:szCs w:val="24"/>
                <w:color w:val="auto"/>
              </w:rPr>
            </w:pPr>
          </w:p>
        </w:tc>
        <w:tc>
          <w:tcPr>
            <w:tcW w:w="2960" w:type="dxa"/>
            <w:vAlign w:val="bottom"/>
            <w:vMerge w:val="continue"/>
          </w:tcPr>
          <w:p>
            <w:pPr>
              <w:spacing w:after="0"/>
              <w:rPr>
                <w:sz w:val="24"/>
                <w:szCs w:val="24"/>
                <w:color w:val="auto"/>
              </w:rPr>
            </w:pPr>
          </w:p>
        </w:tc>
        <w:tc>
          <w:tcPr>
            <w:tcW w:w="4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The portion of gains (losses) excluded from the assessment of hedge effectiveness are included in interest and other income, net, and these amounts were not material in the three and nine months ended October 29, 2016 and October 31, 2015. In addition, realized losses from forward contracts that are not designated as hedging instruments that are included in interest and other income, net, were not material in the three and nine months ended October 29, 2016 and October 31, 2015. The Company also reports hedge ineffectiveness from derivative financial instruments in current earnings which is not material in the three and nine months ended October 29, 2016 and October 31, 2015. No cash flow hedges were terminated as a result of forecasted transactions that did not occur.</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fair value hierarchy also requires an entity to maximize the use of observable inputs and minimize the use of unobservable inputs when measuring fair</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are classified as Level 3 assets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discounted cash flow model are unobservable in the market. The total amount of assets measured using Level 3 valuation methodologies represented 0.2% of total assets as of October 29, 2016. There were no transfers of assets between levels in either the nine months ended October 29, 2016 or October 31, 2015.</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00"/>
          </w:cols>
          <w:pgMar w:left="240" w:top="459" w:right="2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6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460" w:type="dxa"/>
            <w:vAlign w:val="bottom"/>
            <w:gridSpan w:val="16"/>
          </w:tcPr>
          <w:p>
            <w:pPr>
              <w:ind w:left="60"/>
              <w:spacing w:after="0"/>
              <w:rPr>
                <w:sz w:val="20"/>
                <w:szCs w:val="20"/>
                <w:color w:val="auto"/>
              </w:rPr>
            </w:pPr>
            <w:r>
              <w:rPr>
                <w:rFonts w:ascii="Arial" w:cs="Arial" w:eastAsia="Arial" w:hAnsi="Arial"/>
                <w:sz w:val="14"/>
                <w:szCs w:val="14"/>
                <w:b w:val="1"/>
                <w:bCs w:val="1"/>
                <w:color w:val="auto"/>
              </w:rPr>
              <w:t>Fair Value Measurements at October 29, 2016</w:t>
            </w:r>
          </w:p>
        </w:tc>
        <w:tc>
          <w:tcPr>
            <w:tcW w:w="0" w:type="dxa"/>
            <w:vAlign w:val="bottom"/>
          </w:tcPr>
          <w:p>
            <w:pPr>
              <w:spacing w:after="0"/>
              <w:rPr>
                <w:sz w:val="1"/>
                <w:szCs w:val="1"/>
                <w:color w:val="auto"/>
              </w:rPr>
            </w:pPr>
          </w:p>
        </w:tc>
      </w:tr>
      <w:tr>
        <w:trPr>
          <w:trHeight w:val="142"/>
        </w:trPr>
        <w:tc>
          <w:tcPr>
            <w:tcW w:w="446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gridSpan w:val="2"/>
          </w:tcPr>
          <w:p>
            <w:pPr>
              <w:jc w:val="right"/>
              <w:ind w:right="52"/>
              <w:spacing w:after="0" w:line="142" w:lineRule="exact"/>
              <w:rPr>
                <w:sz w:val="20"/>
                <w:szCs w:val="20"/>
                <w:color w:val="auto"/>
              </w:rPr>
            </w:pPr>
            <w:r>
              <w:rPr>
                <w:rFonts w:ascii="Arial" w:cs="Arial" w:eastAsia="Arial" w:hAnsi="Arial"/>
                <w:sz w:val="14"/>
                <w:szCs w:val="14"/>
                <w:b w:val="1"/>
                <w:bCs w:val="1"/>
                <w:color w:val="auto"/>
                <w:w w:val="92"/>
              </w:rPr>
              <w:t>Level 1</w:t>
            </w:r>
          </w:p>
        </w:tc>
        <w:tc>
          <w:tcPr>
            <w:tcW w:w="3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gridSpan w:val="3"/>
          </w:tcPr>
          <w:p>
            <w:pPr>
              <w:ind w:left="20"/>
              <w:spacing w:after="0" w:line="142" w:lineRule="exact"/>
              <w:rPr>
                <w:sz w:val="20"/>
                <w:szCs w:val="20"/>
                <w:color w:val="auto"/>
              </w:rPr>
            </w:pPr>
            <w:r>
              <w:rPr>
                <w:rFonts w:ascii="Arial" w:cs="Arial" w:eastAsia="Arial" w:hAnsi="Arial"/>
                <w:sz w:val="14"/>
                <w:szCs w:val="14"/>
                <w:b w:val="1"/>
                <w:bCs w:val="1"/>
                <w:color w:val="auto"/>
              </w:rPr>
              <w:t>Level 2</w:t>
            </w:r>
          </w:p>
        </w:tc>
        <w:tc>
          <w:tcPr>
            <w:tcW w:w="1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gridSpan w:val="3"/>
          </w:tcPr>
          <w:p>
            <w:pPr>
              <w:jc w:val="right"/>
              <w:ind w:right="260"/>
              <w:spacing w:after="0" w:line="142" w:lineRule="exact"/>
              <w:rPr>
                <w:sz w:val="20"/>
                <w:szCs w:val="20"/>
                <w:color w:val="auto"/>
              </w:rPr>
            </w:pPr>
            <w:r>
              <w:rPr>
                <w:rFonts w:ascii="Arial" w:cs="Arial" w:eastAsia="Arial" w:hAnsi="Arial"/>
                <w:sz w:val="14"/>
                <w:szCs w:val="14"/>
                <w:b w:val="1"/>
                <w:bCs w:val="1"/>
                <w:color w:val="auto"/>
                <w:w w:val="92"/>
              </w:rPr>
              <w:t>Level 3</w:t>
            </w:r>
          </w:p>
        </w:tc>
        <w:tc>
          <w:tcPr>
            <w:tcW w:w="2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4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63,191</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3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63,191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34,459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Municipal debt securities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rPr>
              <w:t>8,740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8,740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30,529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Short-term investments: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6"/>
              </w:rPr>
              <w:t>165,560</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165,560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w w:val="86"/>
              </w:rPr>
              <w:t>488,746</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488,746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50,975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50,975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rPr>
              <w:t>11,908</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11,908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31,595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w w:val="86"/>
              </w:rPr>
              <w:t>150,000</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rPr>
              <w:t>11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Auction rate securities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jc w:val="right"/>
              <w:ind w:right="26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220"/>
              <w:spacing w:after="0"/>
              <w:rPr>
                <w:sz w:val="20"/>
                <w:szCs w:val="20"/>
                <w:color w:val="auto"/>
              </w:rPr>
            </w:pPr>
            <w:r>
              <w:rPr>
                <w:rFonts w:ascii="Arial" w:cs="Arial" w:eastAsia="Arial" w:hAnsi="Arial"/>
                <w:sz w:val="18"/>
                <w:szCs w:val="18"/>
                <w:color w:val="auto"/>
                <w:w w:val="84"/>
              </w:rPr>
              <w:t>8,974</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8,974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460" w:type="dxa"/>
            <w:vAlign w:val="bottom"/>
          </w:tcPr>
          <w:p>
            <w:pPr>
              <w:ind w:left="440"/>
              <w:spacing w:after="0"/>
              <w:rPr>
                <w:sz w:val="20"/>
                <w:szCs w:val="20"/>
                <w:color w:val="auto"/>
              </w:rPr>
            </w:pPr>
            <w:r>
              <w:rPr>
                <w:rFonts w:ascii="Arial" w:cs="Arial" w:eastAsia="Arial" w:hAnsi="Arial"/>
                <w:sz w:val="18"/>
                <w:szCs w:val="18"/>
                <w:color w:val="auto"/>
              </w:rPr>
              <w:t>Severance pay fund</w:t>
            </w: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ind w:right="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707</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74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228,751</w:t>
            </w:r>
          </w:p>
        </w:tc>
        <w:tc>
          <w:tcPr>
            <w:tcW w:w="1280" w:type="dxa"/>
            <w:vAlign w:val="bottom"/>
            <w:gridSpan w:val="6"/>
            <w:shd w:val="clear" w:color="auto" w:fill="CCEEFF"/>
          </w:tcPr>
          <w:p>
            <w:pPr>
              <w:jc w:val="right"/>
              <w:ind w:right="1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807,670</w:t>
            </w:r>
          </w:p>
        </w:tc>
        <w:tc>
          <w:tcPr>
            <w:tcW w:w="980" w:type="dxa"/>
            <w:vAlign w:val="bottom"/>
            <w:gridSpan w:val="5"/>
            <w:shd w:val="clear" w:color="auto" w:fill="CCEEFF"/>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8,974</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1,045,395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vMerge w:val="restart"/>
          </w:tcPr>
          <w:p>
            <w:pPr>
              <w:spacing w:after="0"/>
              <w:rPr>
                <w:sz w:val="20"/>
                <w:szCs w:val="20"/>
                <w:color w:val="auto"/>
              </w:rPr>
            </w:pPr>
            <w:r>
              <w:rPr>
                <w:rFonts w:ascii="Arial" w:cs="Arial" w:eastAsia="Arial" w:hAnsi="Arial"/>
                <w:sz w:val="18"/>
                <w:szCs w:val="18"/>
                <w:color w:val="auto"/>
              </w:rPr>
              <w:t>Liabilities</w:t>
            </w: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60" w:type="dxa"/>
            <w:vAlign w:val="bottom"/>
            <w:vMerge w:val="continue"/>
          </w:tcPr>
          <w:p>
            <w:pPr>
              <w:spacing w:after="0"/>
              <w:rPr>
                <w:sz w:val="18"/>
                <w:szCs w:val="18"/>
                <w:color w:val="auto"/>
              </w:rPr>
            </w:pP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Foreign currency forward contracts</w:t>
            </w: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12"/>
              <w:spacing w:after="0"/>
              <w:rPr>
                <w:sz w:val="20"/>
                <w:szCs w:val="20"/>
                <w:color w:val="auto"/>
              </w:rPr>
            </w:pPr>
            <w:r>
              <w:rPr>
                <w:rFonts w:ascii="Arial" w:cs="Arial" w:eastAsia="Arial" w:hAnsi="Arial"/>
                <w:sz w:val="18"/>
                <w:szCs w:val="18"/>
                <w:color w:val="auto"/>
              </w:rPr>
              <w:t>—</w:t>
            </w:r>
          </w:p>
        </w:tc>
        <w:tc>
          <w:tcPr>
            <w:tcW w:w="54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3"/>
          </w:tcPr>
          <w:p>
            <w:pPr>
              <w:jc w:val="right"/>
              <w:ind w:right="160"/>
              <w:spacing w:after="0"/>
              <w:rPr>
                <w:sz w:val="20"/>
                <w:szCs w:val="20"/>
                <w:color w:val="auto"/>
              </w:rPr>
            </w:pPr>
            <w:r>
              <w:rPr>
                <w:rFonts w:ascii="Arial" w:cs="Arial" w:eastAsia="Arial" w:hAnsi="Arial"/>
                <w:sz w:val="18"/>
                <w:szCs w:val="18"/>
                <w:color w:val="auto"/>
              </w:rPr>
              <w:t>257</w:t>
            </w:r>
          </w:p>
        </w:tc>
        <w:tc>
          <w:tcPr>
            <w:tcW w:w="36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257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780" w:type="dxa"/>
            <w:vAlign w:val="bottom"/>
            <w:tcBorders>
              <w:top w:val="single" w:sz="8" w:color="auto"/>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44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460" w:type="dxa"/>
            <w:vAlign w:val="bottom"/>
            <w:gridSpan w:val="16"/>
          </w:tcPr>
          <w:p>
            <w:pPr>
              <w:ind w:left="20"/>
              <w:spacing w:after="0"/>
              <w:rPr>
                <w:sz w:val="20"/>
                <w:szCs w:val="20"/>
                <w:color w:val="auto"/>
              </w:rPr>
            </w:pPr>
            <w:r>
              <w:rPr>
                <w:rFonts w:ascii="Arial" w:cs="Arial" w:eastAsia="Arial" w:hAnsi="Arial"/>
                <w:sz w:val="14"/>
                <w:szCs w:val="14"/>
                <w:b w:val="1"/>
                <w:bCs w:val="1"/>
                <w:color w:val="auto"/>
              </w:rPr>
              <w:t>Fair Value Measurements at January 30, 2016</w:t>
            </w:r>
          </w:p>
        </w:tc>
        <w:tc>
          <w:tcPr>
            <w:tcW w:w="0" w:type="dxa"/>
            <w:vAlign w:val="bottom"/>
          </w:tcPr>
          <w:p>
            <w:pPr>
              <w:spacing w:after="0"/>
              <w:rPr>
                <w:sz w:val="1"/>
                <w:szCs w:val="1"/>
                <w:color w:val="auto"/>
              </w:rPr>
            </w:pPr>
          </w:p>
        </w:tc>
      </w:tr>
      <w:tr>
        <w:trPr>
          <w:trHeight w:val="142"/>
        </w:trPr>
        <w:tc>
          <w:tcPr>
            <w:tcW w:w="446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gridSpan w:val="3"/>
          </w:tcPr>
          <w:p>
            <w:pPr>
              <w:jc w:val="right"/>
              <w:ind w:right="152"/>
              <w:spacing w:after="0" w:line="142" w:lineRule="exact"/>
              <w:rPr>
                <w:sz w:val="20"/>
                <w:szCs w:val="20"/>
                <w:color w:val="auto"/>
              </w:rPr>
            </w:pPr>
            <w:r>
              <w:rPr>
                <w:rFonts w:ascii="Arial" w:cs="Arial" w:eastAsia="Arial" w:hAnsi="Arial"/>
                <w:sz w:val="14"/>
                <w:szCs w:val="14"/>
                <w:b w:val="1"/>
                <w:bCs w:val="1"/>
                <w:color w:val="auto"/>
                <w:w w:val="88"/>
              </w:rPr>
              <w:t>Level 1</w:t>
            </w:r>
          </w:p>
        </w:tc>
        <w:tc>
          <w:tcPr>
            <w:tcW w:w="3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gridSpan w:val="4"/>
          </w:tcPr>
          <w:p>
            <w:pPr>
              <w:ind w:left="40"/>
              <w:spacing w:after="0" w:line="142" w:lineRule="exact"/>
              <w:rPr>
                <w:sz w:val="20"/>
                <w:szCs w:val="20"/>
                <w:color w:val="auto"/>
              </w:rPr>
            </w:pPr>
            <w:r>
              <w:rPr>
                <w:rFonts w:ascii="Arial" w:cs="Arial" w:eastAsia="Arial" w:hAnsi="Arial"/>
                <w:sz w:val="14"/>
                <w:szCs w:val="14"/>
                <w:b w:val="1"/>
                <w:bCs w:val="1"/>
                <w:color w:val="auto"/>
              </w:rPr>
              <w:t>Level 2</w:t>
            </w:r>
          </w:p>
        </w:tc>
        <w:tc>
          <w:tcPr>
            <w:tcW w:w="1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gridSpan w:val="3"/>
          </w:tcPr>
          <w:p>
            <w:pPr>
              <w:jc w:val="right"/>
              <w:ind w:right="300"/>
              <w:spacing w:after="0" w:line="142" w:lineRule="exact"/>
              <w:rPr>
                <w:sz w:val="20"/>
                <w:szCs w:val="20"/>
                <w:color w:val="auto"/>
              </w:rPr>
            </w:pPr>
            <w:r>
              <w:rPr>
                <w:rFonts w:ascii="Arial" w:cs="Arial" w:eastAsia="Arial" w:hAnsi="Arial"/>
                <w:sz w:val="14"/>
                <w:szCs w:val="14"/>
                <w:b w:val="1"/>
                <w:bCs w:val="1"/>
                <w:color w:val="auto"/>
                <w:w w:val="84"/>
              </w:rPr>
              <w:t>Level 3</w:t>
            </w:r>
          </w:p>
        </w:tc>
        <w:tc>
          <w:tcPr>
            <w:tcW w:w="2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46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Money market funds</w:t>
            </w:r>
          </w:p>
        </w:tc>
        <w:tc>
          <w:tcPr>
            <w:tcW w:w="1740" w:type="dxa"/>
            <w:vAlign w:val="bottom"/>
            <w:gridSpan w:val="5"/>
          </w:tcPr>
          <w:p>
            <w:pPr>
              <w:jc w:val="right"/>
              <w:ind w:right="12"/>
              <w:spacing w:after="0"/>
              <w:rPr>
                <w:sz w:val="20"/>
                <w:szCs w:val="20"/>
                <w:color w:val="auto"/>
              </w:rPr>
            </w:pPr>
            <w:r>
              <w:rPr>
                <w:rFonts w:ascii="Arial" w:cs="Arial" w:eastAsia="Arial" w:hAnsi="Arial"/>
                <w:sz w:val="18"/>
                <w:szCs w:val="18"/>
                <w:color w:val="auto"/>
              </w:rPr>
              <w:t>$160,400</w:t>
            </w: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40" w:type="dxa"/>
            <w:vAlign w:val="bottom"/>
            <w:gridSpan w:val="3"/>
          </w:tcPr>
          <w:p>
            <w:pPr>
              <w:ind w:left="220"/>
              <w:spacing w:after="0"/>
              <w:rPr>
                <w:sz w:val="20"/>
                <w:szCs w:val="20"/>
                <w:color w:val="auto"/>
              </w:rPr>
            </w:pPr>
            <w:r>
              <w:rPr>
                <w:rFonts w:ascii="Arial" w:cs="Arial" w:eastAsia="Arial" w:hAnsi="Arial"/>
                <w:sz w:val="18"/>
                <w:szCs w:val="18"/>
                <w:color w:val="auto"/>
              </w:rPr>
              <w:t>—</w:t>
            </w:r>
          </w:p>
        </w:tc>
        <w:tc>
          <w:tcPr>
            <w:tcW w:w="360" w:type="dxa"/>
            <w:vAlign w:val="bottom"/>
            <w:gridSpan w:val="3"/>
          </w:tcPr>
          <w:p>
            <w:pPr>
              <w:jc w:val="right"/>
              <w:ind w:right="12"/>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160,400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Time deposits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112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209,405</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209,405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740" w:type="dxa"/>
            <w:vAlign w:val="bottom"/>
            <w:gridSpan w:val="5"/>
          </w:tcPr>
          <w:p>
            <w:pPr>
              <w:jc w:val="right"/>
              <w:ind w:right="12"/>
              <w:spacing w:after="0"/>
              <w:rPr>
                <w:sz w:val="20"/>
                <w:szCs w:val="20"/>
                <w:color w:val="auto"/>
              </w:rPr>
            </w:pPr>
            <w:r>
              <w:rPr>
                <w:rFonts w:ascii="Arial" w:cs="Arial" w:eastAsia="Arial" w:hAnsi="Arial"/>
                <w:sz w:val="18"/>
                <w:szCs w:val="18"/>
                <w:color w:val="auto"/>
              </w:rPr>
              <w:t>184,374</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3"/>
          </w:tcPr>
          <w:p>
            <w:pPr>
              <w:ind w:lef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184,374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3"/>
              </w:rPr>
              <w:t>54,689</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Short-term investments: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740" w:type="dxa"/>
            <w:vAlign w:val="bottom"/>
            <w:gridSpan w:val="5"/>
            <w:shd w:val="clear" w:color="auto" w:fill="CCEEFF"/>
          </w:tcPr>
          <w:p>
            <w:pPr>
              <w:jc w:val="right"/>
              <w:ind w:right="12"/>
              <w:spacing w:after="0"/>
              <w:rPr>
                <w:sz w:val="20"/>
                <w:szCs w:val="20"/>
                <w:color w:val="auto"/>
              </w:rPr>
            </w:pPr>
            <w:r>
              <w:rPr>
                <w:rFonts w:ascii="Arial" w:cs="Arial" w:eastAsia="Arial" w:hAnsi="Arial"/>
                <w:sz w:val="18"/>
                <w:szCs w:val="18"/>
                <w:color w:val="auto"/>
              </w:rPr>
              <w:t>317,405</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317,405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w:t>
            </w:r>
          </w:p>
        </w:tc>
        <w:tc>
          <w:tcPr>
            <w:tcW w:w="1120" w:type="dxa"/>
            <w:vAlign w:val="bottom"/>
            <w:gridSpan w:val="5"/>
          </w:tcPr>
          <w:p>
            <w:pPr>
              <w:jc w:val="right"/>
              <w:ind w:right="100"/>
              <w:spacing w:after="0"/>
              <w:rPr>
                <w:sz w:val="20"/>
                <w:szCs w:val="20"/>
                <w:color w:val="auto"/>
              </w:rPr>
            </w:pPr>
            <w:r>
              <w:rPr>
                <w:rFonts w:ascii="Arial" w:cs="Arial" w:eastAsia="Arial" w:hAnsi="Arial"/>
                <w:sz w:val="18"/>
                <w:szCs w:val="18"/>
                <w:color w:val="auto"/>
              </w:rPr>
              <w:t>557,821</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557,821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3"/>
              </w:rPr>
              <w:t>76,736</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100"/>
              <w:spacing w:after="0"/>
              <w:rPr>
                <w:sz w:val="20"/>
                <w:szCs w:val="20"/>
                <w:color w:val="auto"/>
              </w:rPr>
            </w:pPr>
            <w:r>
              <w:rPr>
                <w:rFonts w:ascii="Arial" w:cs="Arial" w:eastAsia="Arial" w:hAnsi="Arial"/>
                <w:sz w:val="18"/>
                <w:szCs w:val="18"/>
                <w:color w:val="auto"/>
                <w:w w:val="83"/>
              </w:rPr>
              <w:t>21,358</w:t>
            </w: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21,358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3"/>
              </w:rPr>
              <w:t>31,249</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31,249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Long-term investments: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3"/>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980" w:type="dxa"/>
            <w:vAlign w:val="bottom"/>
            <w:gridSpan w:val="5"/>
            <w:shd w:val="clear" w:color="auto" w:fill="CCEEFF"/>
          </w:tcPr>
          <w:p>
            <w:pPr>
              <w:jc w:val="right"/>
              <w:ind w:right="220"/>
              <w:spacing w:after="0"/>
              <w:rPr>
                <w:sz w:val="20"/>
                <w:szCs w:val="20"/>
                <w:color w:val="auto"/>
              </w:rPr>
            </w:pPr>
            <w:r>
              <w:rPr>
                <w:rFonts w:ascii="Arial" w:cs="Arial" w:eastAsia="Arial" w:hAnsi="Arial"/>
                <w:sz w:val="18"/>
                <w:szCs w:val="18"/>
                <w:color w:val="auto"/>
              </w:rPr>
              <w:t>11,296</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9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460" w:type="dxa"/>
            <w:vAlign w:val="bottom"/>
          </w:tcPr>
          <w:p>
            <w:pPr>
              <w:spacing w:after="0"/>
              <w:rPr>
                <w:sz w:val="20"/>
                <w:szCs w:val="20"/>
                <w:color w:val="auto"/>
              </w:rPr>
            </w:pPr>
            <w:r>
              <w:rPr>
                <w:rFonts w:ascii="Arial" w:cs="Arial" w:eastAsia="Arial" w:hAnsi="Arial"/>
                <w:sz w:val="18"/>
                <w:szCs w:val="18"/>
                <w:color w:val="auto"/>
              </w:rPr>
              <w:t>Total assets</w:t>
            </w:r>
          </w:p>
        </w:tc>
        <w:tc>
          <w:tcPr>
            <w:tcW w:w="1740" w:type="dxa"/>
            <w:vAlign w:val="bottom"/>
            <w:gridSpan w:val="5"/>
          </w:tcPr>
          <w:p>
            <w:pPr>
              <w:jc w:val="right"/>
              <w:ind w:right="12"/>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662,179</w:t>
            </w:r>
          </w:p>
        </w:tc>
        <w:tc>
          <w:tcPr>
            <w:tcW w:w="1120" w:type="dxa"/>
            <w:vAlign w:val="bottom"/>
            <w:gridSpan w:val="5"/>
          </w:tcPr>
          <w:p>
            <w:pPr>
              <w:jc w:val="right"/>
              <w:ind w:right="10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951,966</w:t>
            </w:r>
          </w:p>
        </w:tc>
        <w:tc>
          <w:tcPr>
            <w:tcW w:w="160" w:type="dxa"/>
            <w:vAlign w:val="bottom"/>
          </w:tcPr>
          <w:p>
            <w:pPr>
              <w:spacing w:after="0"/>
              <w:rPr>
                <w:sz w:val="19"/>
                <w:szCs w:val="19"/>
                <w:color w:val="auto"/>
              </w:rPr>
            </w:pPr>
          </w:p>
        </w:tc>
        <w:tc>
          <w:tcPr>
            <w:tcW w:w="980" w:type="dxa"/>
            <w:vAlign w:val="bottom"/>
            <w:gridSpan w:val="5"/>
          </w:tcPr>
          <w:p>
            <w:pPr>
              <w:jc w:val="right"/>
              <w:ind w:right="2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11,296</w:t>
            </w:r>
          </w:p>
        </w:tc>
        <w:tc>
          <w:tcPr>
            <w:tcW w:w="3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1,625,441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Accrued liabilities:</w:t>
            </w:r>
          </w:p>
        </w:tc>
        <w:tc>
          <w:tcPr>
            <w:tcW w:w="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0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195</w:t>
            </w:r>
          </w:p>
        </w:tc>
        <w:tc>
          <w:tcPr>
            <w:tcW w:w="160" w:type="dxa"/>
            <w:vAlign w:val="bottom"/>
            <w:shd w:val="clear" w:color="auto" w:fill="CCEEFF"/>
          </w:tcPr>
          <w:p>
            <w:pPr>
              <w:spacing w:after="0"/>
              <w:rPr>
                <w:sz w:val="18"/>
                <w:szCs w:val="18"/>
                <w:color w:val="auto"/>
              </w:rPr>
            </w:pPr>
          </w:p>
        </w:tc>
        <w:tc>
          <w:tcPr>
            <w:tcW w:w="360" w:type="dxa"/>
            <w:vAlign w:val="bottom"/>
            <w:gridSpan w:val="3"/>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54" w:lineRule="exact"/>
        <w:rPr>
          <w:sz w:val="20"/>
          <w:szCs w:val="20"/>
          <w:color w:val="auto"/>
        </w:rPr>
      </w:pPr>
    </w:p>
    <w:p>
      <w:pPr>
        <w:sectPr>
          <w:pgSz w:w="11900" w:h="16838" w:orient="portrait"/>
          <w:cols w:equalWidth="0" w:num="1">
            <w:col w:w="10980"/>
          </w:cols>
          <w:pgMar w:left="240" w:top="459" w:right="679" w:bottom="1440" w:gutter="0" w:footer="0" w:header="0"/>
        </w:sectPr>
      </w:pPr>
    </w:p>
    <w:p>
      <w:pPr>
        <w:jc w:val="center"/>
        <w:ind w:right="-439"/>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0980"/>
          </w:cols>
          <w:pgMar w:left="240" w:top="459" w:right="679" w:bottom="1440" w:gutter="0" w:footer="0" w:header="0"/>
          <w:type w:val="continuous"/>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summarizes the change in fair value for Level 3 assets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3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780" w:type="dxa"/>
            <w:vAlign w:val="bottom"/>
            <w:tcBorders>
              <w:bottom w:val="single" w:sz="8" w:color="auto"/>
            </w:tcBorders>
            <w:gridSpan w:val="12"/>
          </w:tcPr>
          <w:p>
            <w:pPr>
              <w:ind w:left="300"/>
              <w:spacing w:after="0"/>
              <w:rPr>
                <w:sz w:val="20"/>
                <w:szCs w:val="20"/>
                <w:color w:val="auto"/>
              </w:rPr>
            </w:pPr>
            <w:r>
              <w:rPr>
                <w:rFonts w:ascii="Arial" w:cs="Arial" w:eastAsia="Arial" w:hAnsi="Arial"/>
                <w:sz w:val="14"/>
                <w:szCs w:val="14"/>
                <w:b w:val="1"/>
                <w:bCs w:val="1"/>
                <w:color w:val="auto"/>
              </w:rPr>
              <w:t>Nine Months Ended</w:t>
            </w:r>
          </w:p>
        </w:tc>
        <w:tc>
          <w:tcPr>
            <w:tcW w:w="6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4"/>
          </w:tcPr>
          <w:p>
            <w:pPr>
              <w:spacing w:after="0" w:line="129" w:lineRule="exact"/>
              <w:rPr>
                <w:sz w:val="20"/>
                <w:szCs w:val="20"/>
                <w:color w:val="auto"/>
              </w:rPr>
            </w:pPr>
            <w:r>
              <w:rPr>
                <w:rFonts w:ascii="Arial" w:cs="Arial" w:eastAsia="Arial" w:hAnsi="Arial"/>
                <w:sz w:val="14"/>
                <w:szCs w:val="14"/>
                <w:b w:val="1"/>
                <w:bCs w:val="1"/>
                <w:color w:val="auto"/>
                <w:w w:val="96"/>
              </w:rPr>
              <w:t>October 29,</w:t>
            </w:r>
          </w:p>
        </w:tc>
        <w:tc>
          <w:tcPr>
            <w:tcW w:w="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40" w:type="dxa"/>
            <w:vAlign w:val="bottom"/>
            <w:gridSpan w:val="8"/>
          </w:tcPr>
          <w:p>
            <w:pPr>
              <w:jc w:val="center"/>
              <w:ind w:left="182"/>
              <w:spacing w:after="0" w:line="129" w:lineRule="exact"/>
              <w:rPr>
                <w:sz w:val="20"/>
                <w:szCs w:val="20"/>
                <w:color w:val="auto"/>
              </w:rPr>
            </w:pPr>
            <w:r>
              <w:rPr>
                <w:rFonts w:ascii="Arial" w:cs="Arial" w:eastAsia="Arial" w:hAnsi="Arial"/>
                <w:sz w:val="14"/>
                <w:szCs w:val="14"/>
                <w:b w:val="1"/>
                <w:bCs w:val="1"/>
                <w:color w:val="auto"/>
                <w:w w:val="88"/>
              </w:rPr>
              <w:t>October 31,</w:t>
            </w:r>
          </w:p>
        </w:tc>
        <w:tc>
          <w:tcPr>
            <w:tcW w:w="500" w:type="dxa"/>
            <w:vAlign w:val="bottom"/>
            <w:gridSpan w:val="2"/>
          </w:tcPr>
          <w:p>
            <w:pPr>
              <w:spacing w:after="0"/>
              <w:rPr>
                <w:sz w:val="11"/>
                <w:szCs w:val="11"/>
                <w:color w:val="auto"/>
              </w:rPr>
            </w:pPr>
          </w:p>
        </w:tc>
        <w:tc>
          <w:tcPr>
            <w:tcW w:w="2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46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c>
          <w:tcPr>
            <w:tcW w:w="2400" w:type="dxa"/>
            <w:vAlign w:val="bottom"/>
            <w:tcBorders>
              <w:bottom w:val="single" w:sz="8" w:color="CCEEFF"/>
            </w:tcBorders>
          </w:tcPr>
          <w:p>
            <w:pPr>
              <w:spacing w:after="0"/>
              <w:rPr>
                <w:sz w:val="14"/>
                <w:szCs w:val="14"/>
                <w:color w:val="auto"/>
              </w:rPr>
            </w:pPr>
          </w:p>
        </w:tc>
        <w:tc>
          <w:tcPr>
            <w:tcW w:w="780" w:type="dxa"/>
            <w:vAlign w:val="bottom"/>
            <w:tcBorders>
              <w:bottom w:val="single" w:sz="8" w:color="CCEEFF"/>
            </w:tcBorders>
          </w:tcPr>
          <w:p>
            <w:pPr>
              <w:spacing w:after="0"/>
              <w:rPr>
                <w:sz w:val="14"/>
                <w:szCs w:val="14"/>
                <w:color w:val="auto"/>
              </w:rPr>
            </w:pPr>
          </w:p>
        </w:tc>
        <w:tc>
          <w:tcPr>
            <w:tcW w:w="300" w:type="dxa"/>
            <w:vAlign w:val="bottom"/>
            <w:tcBorders>
              <w:bottom w:val="single" w:sz="8" w:color="CCEEFF"/>
            </w:tcBorders>
          </w:tcPr>
          <w:p>
            <w:pPr>
              <w:spacing w:after="0"/>
              <w:rPr>
                <w:sz w:val="14"/>
                <w:szCs w:val="14"/>
                <w:color w:val="auto"/>
              </w:rPr>
            </w:pPr>
          </w:p>
        </w:tc>
        <w:tc>
          <w:tcPr>
            <w:tcW w:w="58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180" w:type="dxa"/>
            <w:vAlign w:val="bottom"/>
            <w:tcBorders>
              <w:bottom w:val="single" w:sz="8" w:color="CCEEFF"/>
            </w:tcBorders>
          </w:tcPr>
          <w:p>
            <w:pPr>
              <w:spacing w:after="0"/>
              <w:rPr>
                <w:sz w:val="14"/>
                <w:szCs w:val="14"/>
                <w:color w:val="auto"/>
              </w:rPr>
            </w:pPr>
          </w:p>
        </w:tc>
        <w:tc>
          <w:tcPr>
            <w:tcW w:w="620" w:type="dxa"/>
            <w:vAlign w:val="bottom"/>
            <w:tcBorders>
              <w:bottom w:val="single" w:sz="8" w:color="CCEEFF"/>
            </w:tcBorders>
          </w:tcPr>
          <w:p>
            <w:pPr>
              <w:spacing w:after="0"/>
              <w:rPr>
                <w:sz w:val="14"/>
                <w:szCs w:val="14"/>
                <w:color w:val="auto"/>
              </w:rPr>
            </w:pPr>
          </w:p>
        </w:tc>
        <w:tc>
          <w:tcPr>
            <w:tcW w:w="3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2016</w:t>
            </w:r>
          </w:p>
        </w:tc>
        <w:tc>
          <w:tcPr>
            <w:tcW w:w="200" w:type="dxa"/>
            <w:vAlign w:val="bottom"/>
            <w:tcBorders>
              <w:bottom w:val="single" w:sz="8" w:color="auto"/>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22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gridSpan w:val="4"/>
          </w:tcPr>
          <w:p>
            <w:pPr>
              <w:jc w:val="right"/>
              <w:ind w:right="64"/>
              <w:spacing w:after="0"/>
              <w:rPr>
                <w:sz w:val="20"/>
                <w:szCs w:val="20"/>
                <w:color w:val="auto"/>
              </w:rPr>
            </w:pPr>
            <w:r>
              <w:rPr>
                <w:rFonts w:ascii="Arial" w:cs="Arial" w:eastAsia="Arial" w:hAnsi="Arial"/>
                <w:sz w:val="14"/>
                <w:szCs w:val="14"/>
                <w:b w:val="1"/>
                <w:bCs w:val="1"/>
                <w:color w:val="auto"/>
                <w:w w:val="89"/>
              </w:rPr>
              <w:t>2015</w:t>
            </w:r>
          </w:p>
        </w:tc>
        <w:tc>
          <w:tcPr>
            <w:tcW w:w="60" w:type="dxa"/>
            <w:vAlign w:val="bottom"/>
            <w:tcBorders>
              <w:bottom w:val="single" w:sz="8" w:color="auto"/>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3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380" w:type="dxa"/>
            <w:vAlign w:val="bottom"/>
          </w:tcPr>
          <w:p>
            <w:pPr>
              <w:spacing w:after="0"/>
              <w:rPr>
                <w:sz w:val="18"/>
                <w:szCs w:val="18"/>
                <w:color w:val="auto"/>
              </w:rPr>
            </w:pPr>
          </w:p>
        </w:tc>
        <w:tc>
          <w:tcPr>
            <w:tcW w:w="3540" w:type="dxa"/>
            <w:vAlign w:val="bottom"/>
            <w:gridSpan w:val="5"/>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11,296</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 w:type="dxa"/>
            <w:vAlign w:val="bottom"/>
            <w:shd w:val="clear" w:color="auto" w:fill="CCEEFF"/>
          </w:tcPr>
          <w:p>
            <w:pPr>
              <w:spacing w:after="0"/>
              <w:rPr>
                <w:sz w:val="18"/>
                <w:szCs w:val="18"/>
                <w:color w:val="auto"/>
              </w:rPr>
            </w:pPr>
          </w:p>
        </w:tc>
        <w:tc>
          <w:tcPr>
            <w:tcW w:w="50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w w:val="87"/>
              </w:rPr>
              <w:t>10,226</w:t>
            </w:r>
          </w:p>
        </w:tc>
        <w:tc>
          <w:tcPr>
            <w:tcW w:w="120" w:type="dxa"/>
            <w:vAlign w:val="bottom"/>
            <w:shd w:val="clear" w:color="auto" w:fill="CCEEFF"/>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3540" w:type="dxa"/>
            <w:vAlign w:val="bottom"/>
            <w:gridSpan w:val="5"/>
          </w:tcPr>
          <w:p>
            <w:pPr>
              <w:spacing w:after="0"/>
              <w:rPr>
                <w:sz w:val="20"/>
                <w:szCs w:val="20"/>
                <w:color w:val="auto"/>
              </w:rPr>
            </w:pPr>
            <w:r>
              <w:rPr>
                <w:rFonts w:ascii="Arial" w:cs="Arial" w:eastAsia="Arial" w:hAnsi="Arial"/>
                <w:sz w:val="18"/>
                <w:szCs w:val="18"/>
                <w:color w:val="auto"/>
              </w:rPr>
              <w:t>Sales and redemptions</w:t>
            </w:r>
          </w:p>
        </w:tc>
        <w:tc>
          <w:tcPr>
            <w:tcW w:w="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3"/>
          </w:tcPr>
          <w:p>
            <w:pPr>
              <w:jc w:val="right"/>
              <w:ind w:right="20"/>
              <w:spacing w:after="0"/>
              <w:rPr>
                <w:sz w:val="20"/>
                <w:szCs w:val="20"/>
                <w:color w:val="auto"/>
              </w:rPr>
            </w:pPr>
            <w:r>
              <w:rPr>
                <w:rFonts w:ascii="Arial" w:cs="Arial" w:eastAsia="Arial" w:hAnsi="Arial"/>
                <w:sz w:val="18"/>
                <w:szCs w:val="18"/>
                <w:color w:val="auto"/>
              </w:rPr>
              <w:t>(2,322)</w:t>
            </w:r>
          </w:p>
        </w:tc>
        <w:tc>
          <w:tcPr>
            <w:tcW w:w="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5280" w:type="dxa"/>
            <w:vAlign w:val="bottom"/>
            <w:gridSpan w:val="9"/>
            <w:shd w:val="clear" w:color="auto" w:fill="CCEEFF"/>
          </w:tcPr>
          <w:p>
            <w:pPr>
              <w:spacing w:after="0"/>
              <w:rPr>
                <w:sz w:val="20"/>
                <w:szCs w:val="20"/>
                <w:color w:val="auto"/>
              </w:rPr>
            </w:pPr>
            <w:r>
              <w:rPr>
                <w:rFonts w:ascii="Arial" w:cs="Arial" w:eastAsia="Arial" w:hAnsi="Arial"/>
                <w:sz w:val="18"/>
                <w:szCs w:val="18"/>
                <w:color w:val="auto"/>
                <w:w w:val="91"/>
              </w:rPr>
              <w:t>Unrealized losses included in accumulated other comprehensive income</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20" w:type="dxa"/>
            <w:vAlign w:val="bottom"/>
            <w:gridSpan w:val="6"/>
            <w:shd w:val="clear" w:color="auto" w:fill="CCEEFF"/>
          </w:tcPr>
          <w:p>
            <w:pPr>
              <w:jc w:val="right"/>
              <w:ind w:right="60"/>
              <w:spacing w:after="0"/>
              <w:rPr>
                <w:sz w:val="20"/>
                <w:szCs w:val="20"/>
                <w:color w:val="auto"/>
              </w:rPr>
            </w:pPr>
            <w:r>
              <w:rPr>
                <w:rFonts w:ascii="Arial" w:cs="Arial" w:eastAsia="Arial" w:hAnsi="Arial"/>
                <w:sz w:val="18"/>
                <w:szCs w:val="18"/>
                <w:color w:val="auto"/>
              </w:rPr>
              <w:t>(44)</w:t>
            </w: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920" w:type="dxa"/>
            <w:vAlign w:val="bottom"/>
            <w:gridSpan w:val="6"/>
            <w:vMerge w:val="restart"/>
          </w:tcPr>
          <w:p>
            <w:pPr>
              <w:ind w:left="1380"/>
              <w:spacing w:after="0"/>
              <w:rPr>
                <w:sz w:val="20"/>
                <w:szCs w:val="20"/>
                <w:color w:val="auto"/>
              </w:rPr>
            </w:pPr>
            <w:r>
              <w:rPr>
                <w:rFonts w:ascii="Arial" w:cs="Arial" w:eastAsia="Arial" w:hAnsi="Arial"/>
                <w:sz w:val="18"/>
                <w:szCs w:val="18"/>
                <w:color w:val="auto"/>
              </w:rPr>
              <w:t>Ending balance</w:t>
            </w:r>
          </w:p>
        </w:tc>
        <w:tc>
          <w:tcPr>
            <w:tcW w:w="7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920" w:type="dxa"/>
            <w:vAlign w:val="bottom"/>
            <w:gridSpan w:val="6"/>
            <w:vMerge w:val="continue"/>
          </w:tcPr>
          <w:p>
            <w:pPr>
              <w:spacing w:after="0"/>
              <w:rPr>
                <w:sz w:val="19"/>
                <w:szCs w:val="19"/>
                <w:color w:val="auto"/>
              </w:rPr>
            </w:pPr>
          </w:p>
        </w:tc>
        <w:tc>
          <w:tcPr>
            <w:tcW w:w="7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8,974</w:t>
            </w:r>
          </w:p>
        </w:tc>
        <w:tc>
          <w:tcPr>
            <w:tcW w:w="80" w:type="dxa"/>
            <w:vAlign w:val="bottom"/>
          </w:tcPr>
          <w:p>
            <w:pPr>
              <w:spacing w:after="0"/>
              <w:rPr>
                <w:sz w:val="19"/>
                <w:szCs w:val="19"/>
                <w:color w:val="auto"/>
              </w:rPr>
            </w:pPr>
          </w:p>
        </w:tc>
        <w:tc>
          <w:tcPr>
            <w:tcW w:w="600" w:type="dxa"/>
            <w:vAlign w:val="bottom"/>
            <w:gridSpan w:val="4"/>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00" w:type="dxa"/>
            <w:vAlign w:val="bottom"/>
            <w:gridSpan w:val="5"/>
          </w:tcPr>
          <w:p>
            <w:pPr>
              <w:jc w:val="right"/>
              <w:spacing w:after="0"/>
              <w:rPr>
                <w:sz w:val="20"/>
                <w:szCs w:val="20"/>
                <w:color w:val="auto"/>
              </w:rPr>
            </w:pPr>
            <w:r>
              <w:rPr>
                <w:rFonts w:ascii="Arial" w:cs="Arial" w:eastAsia="Arial" w:hAnsi="Arial"/>
                <w:sz w:val="18"/>
                <w:szCs w:val="18"/>
                <w:color w:val="auto"/>
                <w:w w:val="87"/>
              </w:rPr>
              <w:t>10,182</w:t>
            </w: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920" w:type="dxa"/>
            <w:vAlign w:val="bottom"/>
            <w:gridSpan w:val="6"/>
            <w:vMerge w:val="restart"/>
          </w:tcPr>
          <w:p>
            <w:pPr>
              <w:spacing w:after="0"/>
              <w:rPr>
                <w:sz w:val="20"/>
                <w:szCs w:val="20"/>
                <w:color w:val="auto"/>
              </w:rPr>
            </w:pPr>
            <w:r>
              <w:rPr>
                <w:rFonts w:ascii="Arial" w:cs="Arial" w:eastAsia="Arial" w:hAnsi="Arial"/>
                <w:sz w:val="18"/>
                <w:szCs w:val="18"/>
                <w:b w:val="1"/>
                <w:bCs w:val="1"/>
                <w:color w:val="auto"/>
              </w:rPr>
              <w:t>Note 7. Acquired Intangible Assets, Net</w:t>
            </w:r>
          </w:p>
        </w:tc>
        <w:tc>
          <w:tcPr>
            <w:tcW w:w="7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3"/>
        </w:trPr>
        <w:tc>
          <w:tcPr>
            <w:tcW w:w="4920" w:type="dxa"/>
            <w:vAlign w:val="bottom"/>
            <w:gridSpan w:val="6"/>
            <w:vMerge w:val="continue"/>
          </w:tcPr>
          <w:p>
            <w:pPr>
              <w:spacing w:after="0"/>
              <w:rPr>
                <w:sz w:val="24"/>
                <w:szCs w:val="24"/>
                <w:color w:val="auto"/>
              </w:rPr>
            </w:pPr>
          </w:p>
        </w:tc>
        <w:tc>
          <w:tcPr>
            <w:tcW w:w="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660" w:type="dxa"/>
            <w:vAlign w:val="bottom"/>
            <w:gridSpan w:val="10"/>
          </w:tcPr>
          <w:p>
            <w:pPr>
              <w:ind w:left="460"/>
              <w:spacing w:after="0"/>
              <w:rPr>
                <w:sz w:val="20"/>
                <w:szCs w:val="20"/>
                <w:color w:val="auto"/>
              </w:rPr>
            </w:pPr>
            <w:r>
              <w:rPr>
                <w:rFonts w:ascii="Arial" w:cs="Arial" w:eastAsia="Arial" w:hAnsi="Arial"/>
                <w:sz w:val="18"/>
                <w:szCs w:val="18"/>
                <w:color w:val="auto"/>
                <w:w w:val="90"/>
              </w:rPr>
              <w:t>The carrying amounts of acquired intangible assets, net, are as follows (in thousands):</w:t>
            </w: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1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4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4"/>
          </w:tcPr>
          <w:p>
            <w:pPr>
              <w:jc w:val="center"/>
              <w:ind w:right="180"/>
              <w:spacing w:after="0"/>
              <w:rPr>
                <w:sz w:val="20"/>
                <w:szCs w:val="20"/>
                <w:color w:val="auto"/>
              </w:rPr>
            </w:pPr>
            <w:r>
              <w:rPr>
                <w:rFonts w:ascii="Arial" w:cs="Arial" w:eastAsia="Arial" w:hAnsi="Arial"/>
                <w:sz w:val="14"/>
                <w:szCs w:val="14"/>
                <w:b w:val="1"/>
                <w:bCs w:val="1"/>
                <w:color w:val="auto"/>
                <w:w w:val="85"/>
              </w:rPr>
              <w:t>October 29, 2016</w:t>
            </w:r>
          </w:p>
        </w:tc>
        <w:tc>
          <w:tcPr>
            <w:tcW w:w="10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gridSpan w:val="7"/>
          </w:tcPr>
          <w:p>
            <w:pPr>
              <w:jc w:val="center"/>
              <w:ind w:right="40"/>
              <w:spacing w:after="0"/>
              <w:rPr>
                <w:sz w:val="20"/>
                <w:szCs w:val="20"/>
                <w:color w:val="auto"/>
              </w:rPr>
            </w:pPr>
            <w:r>
              <w:rPr>
                <w:rFonts w:ascii="Arial" w:cs="Arial" w:eastAsia="Arial" w:hAnsi="Arial"/>
                <w:sz w:val="14"/>
                <w:szCs w:val="14"/>
                <w:b w:val="1"/>
                <w:bCs w:val="1"/>
                <w:color w:val="auto"/>
                <w:w w:val="87"/>
              </w:rPr>
              <w:t>January 30, 2016</w:t>
            </w:r>
          </w:p>
        </w:tc>
        <w:tc>
          <w:tcPr>
            <w:tcW w:w="100" w:type="dxa"/>
            <w:vAlign w:val="bottom"/>
            <w:tcBorders>
              <w:bottom w:val="single" w:sz="8" w:color="auto"/>
            </w:tcBorders>
          </w:tcPr>
          <w:p>
            <w:pPr>
              <w:spacing w:after="0"/>
              <w:rPr>
                <w:sz w:val="24"/>
                <w:szCs w:val="24"/>
                <w:color w:val="auto"/>
              </w:rPr>
            </w:pPr>
          </w:p>
        </w:tc>
        <w:tc>
          <w:tcPr>
            <w:tcW w:w="5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1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40" w:type="dxa"/>
            <w:vAlign w:val="bottom"/>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980" w:type="dxa"/>
            <w:vAlign w:val="bottom"/>
            <w:gridSpan w:val="5"/>
          </w:tcPr>
          <w:p>
            <w:pPr>
              <w:ind w:left="20"/>
              <w:spacing w:after="0" w:line="129" w:lineRule="exact"/>
              <w:rPr>
                <w:sz w:val="20"/>
                <w:szCs w:val="20"/>
                <w:color w:val="auto"/>
              </w:rPr>
            </w:pPr>
            <w:r>
              <w:rPr>
                <w:rFonts w:ascii="Arial" w:cs="Arial" w:eastAsia="Arial" w:hAnsi="Arial"/>
                <w:sz w:val="14"/>
                <w:szCs w:val="14"/>
                <w:b w:val="1"/>
                <w:bCs w:val="1"/>
                <w:color w:val="auto"/>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78"/>
              </w:rPr>
              <w:t>Gross</w:t>
            </w:r>
          </w:p>
        </w:tc>
        <w:tc>
          <w:tcPr>
            <w:tcW w:w="200" w:type="dxa"/>
            <w:vAlign w:val="bottom"/>
          </w:tcPr>
          <w:p>
            <w:pPr>
              <w:spacing w:after="0"/>
              <w:rPr>
                <w:sz w:val="12"/>
                <w:szCs w:val="12"/>
                <w:color w:val="auto"/>
              </w:rPr>
            </w:pPr>
          </w:p>
        </w:tc>
        <w:tc>
          <w:tcPr>
            <w:tcW w:w="1140" w:type="dxa"/>
            <w:vAlign w:val="bottom"/>
            <w:gridSpan w:val="3"/>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6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Net</w:t>
            </w:r>
          </w:p>
        </w:tc>
        <w:tc>
          <w:tcPr>
            <w:tcW w:w="20" w:type="dxa"/>
            <w:vAlign w:val="bottom"/>
          </w:tcPr>
          <w:p>
            <w:pPr>
              <w:spacing w:after="0"/>
              <w:rPr>
                <w:sz w:val="12"/>
                <w:szCs w:val="12"/>
                <w:color w:val="auto"/>
              </w:rPr>
            </w:pPr>
          </w:p>
        </w:tc>
        <w:tc>
          <w:tcPr>
            <w:tcW w:w="660" w:type="dxa"/>
            <w:vAlign w:val="bottom"/>
            <w:gridSpan w:val="4"/>
          </w:tcPr>
          <w:p>
            <w:pPr>
              <w:jc w:val="right"/>
              <w:ind w:right="200"/>
              <w:spacing w:after="0" w:line="149" w:lineRule="exact"/>
              <w:rPr>
                <w:sz w:val="20"/>
                <w:szCs w:val="20"/>
                <w:color w:val="auto"/>
              </w:rPr>
            </w:pPr>
            <w:r>
              <w:rPr>
                <w:rFonts w:ascii="Arial" w:cs="Arial" w:eastAsia="Arial" w:hAnsi="Arial"/>
                <w:sz w:val="14"/>
                <w:szCs w:val="14"/>
                <w:b w:val="1"/>
                <w:bCs w:val="1"/>
                <w:color w:val="auto"/>
              </w:rPr>
              <w:t>Gross</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980" w:type="dxa"/>
            <w:vAlign w:val="bottom"/>
            <w:gridSpan w:val="5"/>
          </w:tcPr>
          <w:p>
            <w:pPr>
              <w:spacing w:after="0" w:line="149" w:lineRule="exact"/>
              <w:rPr>
                <w:sz w:val="20"/>
                <w:szCs w:val="20"/>
                <w:color w:val="auto"/>
              </w:rPr>
            </w:pPr>
            <w:r>
              <w:rPr>
                <w:rFonts w:ascii="Arial" w:cs="Arial" w:eastAsia="Arial" w:hAnsi="Arial"/>
                <w:sz w:val="14"/>
                <w:szCs w:val="14"/>
                <w:b w:val="1"/>
                <w:bCs w:val="1"/>
                <w:color w:val="auto"/>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c>
          <w:tcPr>
            <w:tcW w:w="0" w:type="dxa"/>
            <w:vAlign w:val="bottom"/>
          </w:tcPr>
          <w:p>
            <w:pPr>
              <w:spacing w:after="0"/>
              <w:rPr>
                <w:sz w:val="1"/>
                <w:szCs w:val="1"/>
                <w:color w:val="auto"/>
              </w:rPr>
            </w:pPr>
          </w:p>
        </w:tc>
      </w:tr>
      <w:tr>
        <w:trPr>
          <w:trHeight w:val="149"/>
        </w:trPr>
        <w:tc>
          <w:tcPr>
            <w:tcW w:w="13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780" w:type="dxa"/>
            <w:vAlign w:val="bottom"/>
          </w:tcPr>
          <w:p>
            <w:pPr>
              <w:ind w:left="140"/>
              <w:spacing w:after="0" w:line="149" w:lineRule="exact"/>
              <w:rPr>
                <w:sz w:val="20"/>
                <w:szCs w:val="20"/>
                <w:color w:val="auto"/>
              </w:rPr>
            </w:pPr>
            <w:r>
              <w:rPr>
                <w:rFonts w:ascii="Arial" w:cs="Arial" w:eastAsia="Arial" w:hAnsi="Arial"/>
                <w:sz w:val="14"/>
                <w:szCs w:val="14"/>
                <w:b w:val="1"/>
                <w:bCs w:val="1"/>
                <w:color w:val="auto"/>
              </w:rPr>
              <w:t>Range of</w:t>
            </w:r>
          </w:p>
        </w:tc>
        <w:tc>
          <w:tcPr>
            <w:tcW w:w="300" w:type="dxa"/>
            <w:vAlign w:val="bottom"/>
          </w:tcPr>
          <w:p>
            <w:pPr>
              <w:spacing w:after="0"/>
              <w:rPr>
                <w:sz w:val="12"/>
                <w:szCs w:val="12"/>
                <w:color w:val="auto"/>
              </w:rPr>
            </w:pPr>
          </w:p>
        </w:tc>
        <w:tc>
          <w:tcPr>
            <w:tcW w:w="6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0"/>
              </w:rPr>
              <w:t>Carrying</w:t>
            </w:r>
          </w:p>
        </w:tc>
        <w:tc>
          <w:tcPr>
            <w:tcW w:w="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0"/>
              </w:rPr>
              <w:t>and</w:t>
            </w:r>
          </w:p>
        </w:tc>
        <w:tc>
          <w:tcPr>
            <w:tcW w:w="760" w:type="dxa"/>
            <w:vAlign w:val="bottom"/>
            <w:gridSpan w:val="4"/>
          </w:tcPr>
          <w:p>
            <w:pPr>
              <w:jc w:val="center"/>
              <w:ind w:right="280"/>
              <w:spacing w:after="0" w:line="149" w:lineRule="exact"/>
              <w:rPr>
                <w:sz w:val="20"/>
                <w:szCs w:val="20"/>
                <w:color w:val="auto"/>
              </w:rPr>
            </w:pPr>
            <w:r>
              <w:rPr>
                <w:rFonts w:ascii="Arial" w:cs="Arial" w:eastAsia="Arial" w:hAnsi="Arial"/>
                <w:sz w:val="14"/>
                <w:szCs w:val="14"/>
                <w:b w:val="1"/>
                <w:bCs w:val="1"/>
                <w:color w:val="auto"/>
                <w:w w:val="83"/>
              </w:rPr>
              <w:t>Carrying</w:t>
            </w:r>
          </w:p>
        </w:tc>
        <w:tc>
          <w:tcPr>
            <w:tcW w:w="20" w:type="dxa"/>
            <w:vAlign w:val="bottom"/>
          </w:tcPr>
          <w:p>
            <w:pPr>
              <w:spacing w:after="0"/>
              <w:rPr>
                <w:sz w:val="12"/>
                <w:szCs w:val="12"/>
                <w:color w:val="auto"/>
              </w:rPr>
            </w:pPr>
          </w:p>
        </w:tc>
        <w:tc>
          <w:tcPr>
            <w:tcW w:w="660" w:type="dxa"/>
            <w:vAlign w:val="bottom"/>
            <w:gridSpan w:val="4"/>
          </w:tcPr>
          <w:p>
            <w:pPr>
              <w:jc w:val="right"/>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gridSpan w:val="4"/>
          </w:tcPr>
          <w:p>
            <w:pPr>
              <w:jc w:val="center"/>
              <w:ind w:right="42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c>
          <w:tcPr>
            <w:tcW w:w="0" w:type="dxa"/>
            <w:vAlign w:val="bottom"/>
          </w:tcPr>
          <w:p>
            <w:pPr>
              <w:spacing w:after="0"/>
              <w:rPr>
                <w:sz w:val="1"/>
                <w:szCs w:val="1"/>
                <w:color w:val="auto"/>
              </w:rPr>
            </w:pPr>
          </w:p>
        </w:tc>
      </w:tr>
      <w:tr>
        <w:trPr>
          <w:trHeight w:val="161"/>
        </w:trPr>
        <w:tc>
          <w:tcPr>
            <w:tcW w:w="13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780" w:type="dxa"/>
            <w:vAlign w:val="bottom"/>
          </w:tcPr>
          <w:p>
            <w:pPr>
              <w:ind w:left="40"/>
              <w:spacing w:after="0"/>
              <w:rPr>
                <w:sz w:val="20"/>
                <w:szCs w:val="20"/>
                <w:color w:val="auto"/>
              </w:rPr>
            </w:pPr>
            <w:r>
              <w:rPr>
                <w:rFonts w:ascii="Arial" w:cs="Arial" w:eastAsia="Arial" w:hAnsi="Arial"/>
                <w:sz w:val="14"/>
                <w:szCs w:val="14"/>
                <w:b w:val="1"/>
                <w:bCs w:val="1"/>
                <w:color w:val="auto"/>
                <w:w w:val="87"/>
              </w:rPr>
              <w:t>Useful Lives</w:t>
            </w:r>
          </w:p>
        </w:tc>
        <w:tc>
          <w:tcPr>
            <w:tcW w:w="300" w:type="dxa"/>
            <w:vAlign w:val="bottom"/>
          </w:tcPr>
          <w:p>
            <w:pPr>
              <w:spacing w:after="0"/>
              <w:rPr>
                <w:sz w:val="14"/>
                <w:szCs w:val="14"/>
                <w:color w:val="auto"/>
              </w:rPr>
            </w:pPr>
          </w:p>
        </w:tc>
        <w:tc>
          <w:tcPr>
            <w:tcW w:w="6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Amounts</w:t>
            </w:r>
          </w:p>
        </w:tc>
        <w:tc>
          <w:tcPr>
            <w:tcW w:w="200" w:type="dxa"/>
            <w:vAlign w:val="bottom"/>
          </w:tcPr>
          <w:p>
            <w:pPr>
              <w:spacing w:after="0"/>
              <w:rPr>
                <w:sz w:val="14"/>
                <w:szCs w:val="14"/>
                <w:color w:val="auto"/>
              </w:rPr>
            </w:pPr>
          </w:p>
        </w:tc>
        <w:tc>
          <w:tcPr>
            <w:tcW w:w="114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94"/>
              </w:rPr>
              <w:t>Write-Offs</w:t>
            </w:r>
          </w:p>
        </w:tc>
        <w:tc>
          <w:tcPr>
            <w:tcW w:w="760" w:type="dxa"/>
            <w:vAlign w:val="bottom"/>
            <w:gridSpan w:val="4"/>
          </w:tcPr>
          <w:p>
            <w:pPr>
              <w:jc w:val="center"/>
              <w:ind w:right="280"/>
              <w:spacing w:after="0"/>
              <w:rPr>
                <w:sz w:val="20"/>
                <w:szCs w:val="20"/>
                <w:color w:val="auto"/>
              </w:rPr>
            </w:pPr>
            <w:r>
              <w:rPr>
                <w:rFonts w:ascii="Arial" w:cs="Arial" w:eastAsia="Arial" w:hAnsi="Arial"/>
                <w:sz w:val="14"/>
                <w:szCs w:val="14"/>
                <w:b w:val="1"/>
                <w:bCs w:val="1"/>
                <w:color w:val="auto"/>
                <w:w w:val="79"/>
              </w:rPr>
              <w:t>Amounts</w:t>
            </w:r>
          </w:p>
        </w:tc>
        <w:tc>
          <w:tcPr>
            <w:tcW w:w="20" w:type="dxa"/>
            <w:vAlign w:val="bottom"/>
          </w:tcPr>
          <w:p>
            <w:pPr>
              <w:spacing w:after="0"/>
              <w:rPr>
                <w:sz w:val="14"/>
                <w:szCs w:val="14"/>
                <w:color w:val="auto"/>
              </w:rPr>
            </w:pPr>
          </w:p>
        </w:tc>
        <w:tc>
          <w:tcPr>
            <w:tcW w:w="66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w w:val="88"/>
              </w:rPr>
              <w:t>Amounts</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80" w:type="dxa"/>
            <w:vAlign w:val="bottom"/>
            <w:gridSpan w:val="5"/>
          </w:tcPr>
          <w:p>
            <w:pPr>
              <w:jc w:val="center"/>
              <w:ind w:right="200"/>
              <w:spacing w:after="0"/>
              <w:rPr>
                <w:sz w:val="20"/>
                <w:szCs w:val="20"/>
                <w:color w:val="auto"/>
              </w:rPr>
            </w:pPr>
            <w:r>
              <w:rPr>
                <w:rFonts w:ascii="Arial" w:cs="Arial" w:eastAsia="Arial" w:hAnsi="Arial"/>
                <w:sz w:val="14"/>
                <w:szCs w:val="14"/>
                <w:b w:val="1"/>
                <w:bCs w:val="1"/>
                <w:color w:val="auto"/>
                <w:w w:val="91"/>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5"/>
              </w:rPr>
              <w:t>Amounts</w:t>
            </w:r>
          </w:p>
        </w:tc>
        <w:tc>
          <w:tcPr>
            <w:tcW w:w="0" w:type="dxa"/>
            <w:vAlign w:val="bottom"/>
          </w:tcPr>
          <w:p>
            <w:pPr>
              <w:spacing w:after="0"/>
              <w:rPr>
                <w:sz w:val="1"/>
                <w:szCs w:val="1"/>
                <w:color w:val="auto"/>
              </w:rPr>
            </w:pPr>
          </w:p>
        </w:tc>
      </w:tr>
      <w:tr>
        <w:trPr>
          <w:trHeight w:val="210"/>
        </w:trPr>
        <w:tc>
          <w:tcPr>
            <w:tcW w:w="4920" w:type="dxa"/>
            <w:vAlign w:val="bottom"/>
            <w:tcBorders>
              <w:top w:val="single" w:sz="8" w:color="CCEEFF"/>
            </w:tcBorders>
            <w:gridSpan w:val="6"/>
            <w:shd w:val="clear" w:color="auto" w:fill="CCEEFF"/>
          </w:tcPr>
          <w:p>
            <w:pPr>
              <w:spacing w:after="0"/>
              <w:rPr>
                <w:sz w:val="20"/>
                <w:szCs w:val="20"/>
                <w:color w:val="auto"/>
              </w:rPr>
            </w:pPr>
            <w:r>
              <w:rPr>
                <w:rFonts w:ascii="Arial" w:cs="Arial" w:eastAsia="Arial" w:hAnsi="Arial"/>
                <w:sz w:val="18"/>
                <w:szCs w:val="18"/>
                <w:color w:val="auto"/>
              </w:rPr>
              <w:t>Purchased and core technology</w:t>
            </w:r>
          </w:p>
        </w:tc>
        <w:tc>
          <w:tcPr>
            <w:tcW w:w="780" w:type="dxa"/>
            <w:vAlign w:val="bottom"/>
            <w:tcBorders>
              <w:top w:val="single" w:sz="8" w:color="auto"/>
            </w:tcBorders>
            <w:shd w:val="clear" w:color="auto" w:fill="CCEEFF"/>
          </w:tcPr>
          <w:p>
            <w:pPr>
              <w:ind w:left="40"/>
              <w:spacing w:after="0"/>
              <w:rPr>
                <w:sz w:val="20"/>
                <w:szCs w:val="20"/>
                <w:color w:val="auto"/>
              </w:rPr>
            </w:pPr>
            <w:r>
              <w:rPr>
                <w:rFonts w:ascii="Arial" w:cs="Arial" w:eastAsia="Arial" w:hAnsi="Arial"/>
                <w:sz w:val="18"/>
                <w:szCs w:val="18"/>
                <w:color w:val="auto"/>
                <w:w w:val="84"/>
              </w:rPr>
              <w:t>4 - 8 years</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jc w:val="right"/>
              <w:ind w:right="7"/>
              <w:spacing w:after="0"/>
              <w:rPr>
                <w:sz w:val="20"/>
                <w:szCs w:val="20"/>
                <w:color w:val="auto"/>
              </w:rPr>
            </w:pPr>
            <w:r>
              <w:rPr>
                <w:rFonts w:ascii="Arial" w:cs="Arial" w:eastAsia="Arial" w:hAnsi="Arial"/>
                <w:sz w:val="18"/>
                <w:szCs w:val="18"/>
                <w:color w:val="auto"/>
                <w:w w:val="79"/>
              </w:rPr>
              <w:t>$</w:t>
            </w:r>
          </w:p>
        </w:tc>
        <w:tc>
          <w:tcPr>
            <w:tcW w:w="620" w:type="dxa"/>
            <w:vAlign w:val="bottom"/>
            <w:tcBorders>
              <w:top w:val="single" w:sz="8" w:color="auto"/>
            </w:tcBorders>
            <w:shd w:val="clear" w:color="auto" w:fill="CCEEFF"/>
          </w:tcPr>
          <w:p>
            <w:pPr>
              <w:ind w:left="80"/>
              <w:spacing w:after="0"/>
              <w:rPr>
                <w:sz w:val="20"/>
                <w:szCs w:val="20"/>
                <w:color w:val="auto"/>
              </w:rPr>
            </w:pPr>
            <w:r>
              <w:rPr>
                <w:rFonts w:ascii="Arial" w:cs="Arial" w:eastAsia="Arial" w:hAnsi="Arial"/>
                <w:sz w:val="18"/>
                <w:szCs w:val="18"/>
                <w:color w:val="auto"/>
                <w:w w:val="77"/>
              </w:rPr>
              <w:t>(26,574)</w:t>
            </w:r>
          </w:p>
        </w:tc>
        <w:tc>
          <w:tcPr>
            <w:tcW w:w="340" w:type="dxa"/>
            <w:vAlign w:val="bottom"/>
            <w:tcBorders>
              <w:top w:val="single" w:sz="8" w:color="CCEEFF"/>
              <w:right w:val="single" w:sz="8" w:color="CCEEFF"/>
            </w:tcBorders>
            <w:shd w:val="clear" w:color="auto" w:fill="CCEEFF"/>
          </w:tcPr>
          <w:p>
            <w:pPr>
              <w:spacing w:after="0"/>
              <w:rPr>
                <w:sz w:val="18"/>
                <w:szCs w:val="18"/>
                <w:color w:val="auto"/>
              </w:rPr>
            </w:pPr>
          </w:p>
        </w:tc>
        <w:tc>
          <w:tcPr>
            <w:tcW w:w="480" w:type="dxa"/>
            <w:vAlign w:val="bottom"/>
            <w:tcBorders>
              <w:top w:val="single" w:sz="8" w:color="auto"/>
            </w:tcBorders>
            <w:gridSpan w:val="2"/>
            <w:shd w:val="clear" w:color="auto" w:fill="CCEEFF"/>
          </w:tcPr>
          <w:p>
            <w:pPr>
              <w:jc w:val="center"/>
              <w:spacing w:after="0"/>
              <w:rPr>
                <w:sz w:val="20"/>
                <w:szCs w:val="20"/>
                <w:color w:val="auto"/>
              </w:rPr>
            </w:pPr>
            <w:r>
              <w:rPr>
                <w:rFonts w:ascii="Arial" w:cs="Arial" w:eastAsia="Arial" w:hAnsi="Arial"/>
                <w:sz w:val="18"/>
                <w:szCs w:val="18"/>
                <w:color w:val="auto"/>
                <w:w w:val="79"/>
              </w:rPr>
              <w:t>$ 8,924</w:t>
            </w:r>
          </w:p>
        </w:tc>
        <w:tc>
          <w:tcPr>
            <w:tcW w:w="2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8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60" w:type="dxa"/>
            <w:vAlign w:val="bottom"/>
            <w:tcBorders>
              <w:top w:val="single" w:sz="8" w:color="auto"/>
            </w:tcBorders>
            <w:gridSpan w:val="3"/>
            <w:shd w:val="clear" w:color="auto" w:fill="CCEEFF"/>
          </w:tcPr>
          <w:p>
            <w:pPr>
              <w:ind w:left="20"/>
              <w:spacing w:after="0"/>
              <w:rPr>
                <w:sz w:val="20"/>
                <w:szCs w:val="20"/>
                <w:color w:val="auto"/>
              </w:rPr>
            </w:pPr>
            <w:r>
              <w:rPr>
                <w:rFonts w:ascii="Arial" w:cs="Arial" w:eastAsia="Arial" w:hAnsi="Arial"/>
                <w:sz w:val="18"/>
                <w:szCs w:val="18"/>
                <w:color w:val="auto"/>
                <w:w w:val="77"/>
              </w:rPr>
              <w:t>(21,910)</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$13,588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920" w:type="dxa"/>
            <w:vAlign w:val="bottom"/>
            <w:gridSpan w:val="6"/>
          </w:tcPr>
          <w:p>
            <w:pPr>
              <w:spacing w:after="0"/>
              <w:rPr>
                <w:sz w:val="20"/>
                <w:szCs w:val="20"/>
                <w:color w:val="auto"/>
              </w:rPr>
            </w:pPr>
            <w:r>
              <w:rPr>
                <w:rFonts w:ascii="Arial" w:cs="Arial" w:eastAsia="Arial" w:hAnsi="Arial"/>
                <w:sz w:val="18"/>
                <w:szCs w:val="18"/>
                <w:color w:val="auto"/>
              </w:rPr>
              <w:t>Customer intangibles</w:t>
            </w:r>
          </w:p>
        </w:tc>
        <w:tc>
          <w:tcPr>
            <w:tcW w:w="780" w:type="dxa"/>
            <w:vAlign w:val="bottom"/>
          </w:tcPr>
          <w:p>
            <w:pPr>
              <w:ind w:left="40"/>
              <w:spacing w:after="0"/>
              <w:rPr>
                <w:sz w:val="20"/>
                <w:szCs w:val="20"/>
                <w:color w:val="auto"/>
              </w:rPr>
            </w:pPr>
            <w:r>
              <w:rPr>
                <w:rFonts w:ascii="Arial" w:cs="Arial" w:eastAsia="Arial" w:hAnsi="Arial"/>
                <w:sz w:val="18"/>
                <w:szCs w:val="18"/>
                <w:color w:val="auto"/>
                <w:w w:val="84"/>
              </w:rPr>
              <w:t>5 - 7 years</w:t>
            </w: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gridSpan w:val="2"/>
          </w:tcPr>
          <w:p>
            <w:pPr>
              <w:ind w:left="80"/>
              <w:spacing w:after="0"/>
              <w:rPr>
                <w:sz w:val="20"/>
                <w:szCs w:val="20"/>
                <w:color w:val="auto"/>
              </w:rPr>
            </w:pPr>
            <w:r>
              <w:rPr>
                <w:rFonts w:ascii="Arial" w:cs="Arial" w:eastAsia="Arial" w:hAnsi="Arial"/>
                <w:sz w:val="18"/>
                <w:szCs w:val="18"/>
                <w:color w:val="auto"/>
              </w:rPr>
              <w:t>(28,190)</w:t>
            </w:r>
          </w:p>
        </w:tc>
        <w:tc>
          <w:tcPr>
            <w:tcW w:w="100" w:type="dxa"/>
            <w:vAlign w:val="bottom"/>
          </w:tcPr>
          <w:p>
            <w:pPr>
              <w:spacing w:after="0"/>
              <w:rPr>
                <w:sz w:val="18"/>
                <w:szCs w:val="18"/>
                <w:color w:val="auto"/>
              </w:rPr>
            </w:pPr>
          </w:p>
        </w:tc>
        <w:tc>
          <w:tcPr>
            <w:tcW w:w="580" w:type="dxa"/>
            <w:vAlign w:val="bottom"/>
            <w:gridSpan w:val="2"/>
          </w:tcPr>
          <w:p>
            <w:pPr>
              <w:jc w:val="right"/>
              <w:ind w:right="200"/>
              <w:spacing w:after="0"/>
              <w:rPr>
                <w:sz w:val="20"/>
                <w:szCs w:val="20"/>
                <w:color w:val="auto"/>
              </w:rPr>
            </w:pPr>
            <w:r>
              <w:rPr>
                <w:rFonts w:ascii="Arial" w:cs="Arial" w:eastAsia="Arial" w:hAnsi="Arial"/>
                <w:sz w:val="18"/>
                <w:szCs w:val="18"/>
                <w:color w:val="auto"/>
              </w:rPr>
              <w:t>410</w:t>
            </w:r>
          </w:p>
        </w:tc>
        <w:tc>
          <w:tcPr>
            <w:tcW w:w="80" w:type="dxa"/>
            <w:vAlign w:val="bottom"/>
          </w:tcPr>
          <w:p>
            <w:pPr>
              <w:spacing w:after="0"/>
              <w:rPr>
                <w:sz w:val="18"/>
                <w:szCs w:val="18"/>
                <w:color w:val="auto"/>
              </w:rPr>
            </w:pPr>
          </w:p>
        </w:tc>
        <w:tc>
          <w:tcPr>
            <w:tcW w:w="680" w:type="dxa"/>
            <w:vAlign w:val="bottom"/>
            <w:gridSpan w:val="5"/>
          </w:tcPr>
          <w:p>
            <w:pPr>
              <w:jc w:val="right"/>
              <w:ind w:right="80"/>
              <w:spacing w:after="0"/>
              <w:rPr>
                <w:sz w:val="20"/>
                <w:szCs w:val="20"/>
                <w:color w:val="auto"/>
              </w:rPr>
            </w:pPr>
            <w:r>
              <w:rPr>
                <w:rFonts w:ascii="Arial" w:cs="Arial" w:eastAsia="Arial" w:hAnsi="Arial"/>
                <w:sz w:val="18"/>
                <w:szCs w:val="18"/>
                <w:color w:val="auto"/>
              </w:rPr>
              <w:t>28,600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60" w:type="dxa"/>
            <w:vAlign w:val="bottom"/>
            <w:gridSpan w:val="4"/>
          </w:tcPr>
          <w:p>
            <w:pPr>
              <w:ind w:left="20"/>
              <w:spacing w:after="0"/>
              <w:rPr>
                <w:sz w:val="20"/>
                <w:szCs w:val="20"/>
                <w:color w:val="auto"/>
              </w:rPr>
            </w:pPr>
            <w:r>
              <w:rPr>
                <w:rFonts w:ascii="Arial" w:cs="Arial" w:eastAsia="Arial" w:hAnsi="Arial"/>
                <w:sz w:val="18"/>
                <w:szCs w:val="18"/>
                <w:color w:val="auto"/>
              </w:rPr>
              <w:t>(24,178)</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4,422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380" w:type="dxa"/>
            <w:vAlign w:val="bottom"/>
          </w:tcPr>
          <w:p>
            <w:pPr>
              <w:spacing w:after="0"/>
              <w:rPr>
                <w:sz w:val="2"/>
                <w:szCs w:val="2"/>
                <w:color w:val="auto"/>
              </w:rPr>
            </w:pPr>
          </w:p>
        </w:tc>
        <w:tc>
          <w:tcPr>
            <w:tcW w:w="460" w:type="dxa"/>
            <w:vAlign w:val="bottom"/>
          </w:tcPr>
          <w:p>
            <w:pPr>
              <w:spacing w:after="0"/>
              <w:rPr>
                <w:sz w:val="2"/>
                <w:szCs w:val="2"/>
                <w:color w:val="auto"/>
              </w:rPr>
            </w:pPr>
          </w:p>
        </w:tc>
        <w:tc>
          <w:tcPr>
            <w:tcW w:w="20" w:type="dxa"/>
            <w:vAlign w:val="bottom"/>
          </w:tcPr>
          <w:p>
            <w:pPr>
              <w:spacing w:after="0"/>
              <w:rPr>
                <w:sz w:val="2"/>
                <w:szCs w:val="2"/>
                <w:color w:val="auto"/>
              </w:rPr>
            </w:pPr>
          </w:p>
        </w:tc>
        <w:tc>
          <w:tcPr>
            <w:tcW w:w="620" w:type="dxa"/>
            <w:vAlign w:val="bottom"/>
          </w:tcPr>
          <w:p>
            <w:pPr>
              <w:spacing w:after="0"/>
              <w:rPr>
                <w:sz w:val="2"/>
                <w:szCs w:val="2"/>
                <w:color w:val="auto"/>
              </w:rPr>
            </w:pPr>
          </w:p>
        </w:tc>
        <w:tc>
          <w:tcPr>
            <w:tcW w:w="40" w:type="dxa"/>
            <w:vAlign w:val="bottom"/>
          </w:tcPr>
          <w:p>
            <w:pPr>
              <w:spacing w:after="0"/>
              <w:rPr>
                <w:sz w:val="2"/>
                <w:szCs w:val="2"/>
                <w:color w:val="auto"/>
              </w:rPr>
            </w:pPr>
          </w:p>
        </w:tc>
        <w:tc>
          <w:tcPr>
            <w:tcW w:w="2400" w:type="dxa"/>
            <w:vAlign w:val="bottom"/>
          </w:tcPr>
          <w:p>
            <w:pPr>
              <w:spacing w:after="0"/>
              <w:rPr>
                <w:sz w:val="2"/>
                <w:szCs w:val="2"/>
                <w:color w:val="auto"/>
              </w:rPr>
            </w:pPr>
          </w:p>
        </w:tc>
        <w:tc>
          <w:tcPr>
            <w:tcW w:w="780" w:type="dxa"/>
            <w:vAlign w:val="bottom"/>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4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8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920" w:type="dxa"/>
            <w:vAlign w:val="bottom"/>
            <w:gridSpan w:val="6"/>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780" w:type="dxa"/>
            <w:vAlign w:val="bottom"/>
            <w:shd w:val="clear" w:color="auto" w:fill="CCEEFF"/>
          </w:tcPr>
          <w:p>
            <w:pPr>
              <w:spacing w:after="0"/>
              <w:rPr>
                <w:sz w:val="18"/>
                <w:szCs w:val="18"/>
                <w:color w:val="auto"/>
              </w:rPr>
            </w:pPr>
          </w:p>
        </w:tc>
        <w:tc>
          <w:tcPr>
            <w:tcW w:w="9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64,098</w:t>
            </w:r>
          </w:p>
        </w:tc>
        <w:tc>
          <w:tcPr>
            <w:tcW w:w="380" w:type="dxa"/>
            <w:vAlign w:val="bottom"/>
            <w:gridSpan w:val="2"/>
            <w:shd w:val="clear" w:color="auto" w:fill="CCEEFF"/>
          </w:tcPr>
          <w:p>
            <w:pPr>
              <w:jc w:val="right"/>
              <w:ind w:right="7"/>
              <w:spacing w:after="0"/>
              <w:rPr>
                <w:sz w:val="20"/>
                <w:szCs w:val="20"/>
                <w:color w:val="auto"/>
              </w:rPr>
            </w:pPr>
            <w:r>
              <w:rPr>
                <w:rFonts w:ascii="Arial" w:cs="Arial" w:eastAsia="Arial" w:hAnsi="Arial"/>
                <w:sz w:val="18"/>
                <w:szCs w:val="18"/>
                <w:color w:val="auto"/>
              </w:rPr>
              <w:t>$</w:t>
            </w:r>
          </w:p>
        </w:tc>
        <w:tc>
          <w:tcPr>
            <w:tcW w:w="960" w:type="dxa"/>
            <w:vAlign w:val="bottom"/>
            <w:tcBorders>
              <w:right w:val="single" w:sz="8" w:color="CCEEFF"/>
            </w:tcBorders>
            <w:gridSpan w:val="2"/>
            <w:shd w:val="clear" w:color="auto" w:fill="CCEEFF"/>
          </w:tcPr>
          <w:p>
            <w:pPr>
              <w:ind w:left="80"/>
              <w:spacing w:after="0"/>
              <w:rPr>
                <w:sz w:val="20"/>
                <w:szCs w:val="20"/>
                <w:color w:val="auto"/>
              </w:rPr>
            </w:pPr>
            <w:r>
              <w:rPr>
                <w:rFonts w:ascii="Arial" w:cs="Arial" w:eastAsia="Arial" w:hAnsi="Arial"/>
                <w:sz w:val="18"/>
                <w:szCs w:val="18"/>
                <w:color w:val="auto"/>
              </w:rPr>
              <w:t>(54,764)</w:t>
            </w:r>
          </w:p>
        </w:tc>
        <w:tc>
          <w:tcPr>
            <w:tcW w:w="68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w w:val="76"/>
              </w:rPr>
              <w:t>$ 9,334</w:t>
            </w:r>
          </w:p>
        </w:tc>
        <w:tc>
          <w:tcPr>
            <w:tcW w:w="80" w:type="dxa"/>
            <w:vAlign w:val="bottom"/>
            <w:shd w:val="clear" w:color="auto" w:fill="CCEEFF"/>
          </w:tcPr>
          <w:p>
            <w:pPr>
              <w:spacing w:after="0"/>
              <w:rPr>
                <w:sz w:val="18"/>
                <w:szCs w:val="18"/>
                <w:color w:val="auto"/>
              </w:rPr>
            </w:pPr>
          </w:p>
        </w:tc>
        <w:tc>
          <w:tcPr>
            <w:tcW w:w="68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64,098</w:t>
            </w:r>
          </w:p>
        </w:tc>
        <w:tc>
          <w:tcPr>
            <w:tcW w:w="440" w:type="dxa"/>
            <w:vAlign w:val="bottom"/>
            <w:gridSpan w:val="4"/>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760" w:type="dxa"/>
            <w:vAlign w:val="bottom"/>
            <w:gridSpan w:val="4"/>
            <w:shd w:val="clear" w:color="auto" w:fill="CCEEFF"/>
          </w:tcPr>
          <w:p>
            <w:pPr>
              <w:ind w:left="20"/>
              <w:spacing w:after="0"/>
              <w:rPr>
                <w:sz w:val="20"/>
                <w:szCs w:val="20"/>
                <w:color w:val="auto"/>
              </w:rPr>
            </w:pPr>
            <w:r>
              <w:rPr>
                <w:rFonts w:ascii="Arial" w:cs="Arial" w:eastAsia="Arial" w:hAnsi="Arial"/>
                <w:sz w:val="18"/>
                <w:szCs w:val="18"/>
                <w:color w:val="auto"/>
              </w:rPr>
              <w:t>(46,088)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18,010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8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480" w:type="dxa"/>
            <w:vAlign w:val="bottom"/>
            <w:gridSpan w:val="3"/>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800" w:type="dxa"/>
            <w:vAlign w:val="bottom"/>
            <w:tcBorders>
              <w:top w:val="single" w:sz="8" w:color="auto"/>
              <w:bottom w:val="single" w:sz="8" w:color="auto"/>
            </w:tcBorders>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gridSpan w:val="3"/>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780" w:type="dxa"/>
            <w:vAlign w:val="bottom"/>
            <w:tcBorders>
              <w:top w:val="single" w:sz="8" w:color="auto"/>
              <w:bottom w:val="single" w:sz="8" w:color="auto"/>
            </w:tcBorders>
            <w:gridSpan w:val="4"/>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4"/>
        </w:trPr>
        <w:tc>
          <w:tcPr>
            <w:tcW w:w="11420" w:type="dxa"/>
            <w:vAlign w:val="bottom"/>
            <w:gridSpan w:val="34"/>
          </w:tcPr>
          <w:p>
            <w:pPr>
              <w:ind w:left="460"/>
              <w:spacing w:after="0"/>
              <w:rPr>
                <w:sz w:val="20"/>
                <w:szCs w:val="20"/>
                <w:color w:val="auto"/>
              </w:rPr>
            </w:pPr>
            <w:r>
              <w:rPr>
                <w:rFonts w:ascii="Arial" w:cs="Arial" w:eastAsia="Arial" w:hAnsi="Arial"/>
                <w:sz w:val="18"/>
                <w:szCs w:val="18"/>
                <w:color w:val="auto"/>
                <w:w w:val="93"/>
              </w:rPr>
              <w:t>Based on the identified intangible assets recorded at October 29, 2016, the future amortization expense for the next five fiscal years is as follows (in</w:t>
            </w:r>
          </w:p>
        </w:tc>
        <w:tc>
          <w:tcPr>
            <w:tcW w:w="0" w:type="dxa"/>
            <w:vAlign w:val="bottom"/>
          </w:tcPr>
          <w:p>
            <w:pPr>
              <w:spacing w:after="0"/>
              <w:rPr>
                <w:sz w:val="1"/>
                <w:szCs w:val="1"/>
                <w:color w:val="auto"/>
              </w:rPr>
            </w:pPr>
          </w:p>
        </w:tc>
      </w:tr>
      <w:tr>
        <w:trPr>
          <w:trHeight w:val="222"/>
        </w:trPr>
        <w:tc>
          <w:tcPr>
            <w:tcW w:w="4920" w:type="dxa"/>
            <w:vAlign w:val="bottom"/>
            <w:gridSpan w:val="6"/>
          </w:tcPr>
          <w:p>
            <w:pPr>
              <w:spacing w:after="0"/>
              <w:rPr>
                <w:sz w:val="20"/>
                <w:szCs w:val="20"/>
                <w:color w:val="auto"/>
              </w:rPr>
            </w:pPr>
            <w:r>
              <w:rPr>
                <w:rFonts w:ascii="Arial" w:cs="Arial" w:eastAsia="Arial" w:hAnsi="Arial"/>
                <w:sz w:val="18"/>
                <w:szCs w:val="18"/>
                <w:color w:val="auto"/>
              </w:rPr>
              <w:t>thousands):</w:t>
            </w:r>
          </w:p>
        </w:tc>
        <w:tc>
          <w:tcPr>
            <w:tcW w:w="7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60"/>
        </w:trPr>
        <w:tc>
          <w:tcPr>
            <w:tcW w:w="13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8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w w:val="89"/>
              </w:rPr>
              <w:t>Fiscal Year</w:t>
            </w:r>
          </w:p>
        </w:tc>
        <w:tc>
          <w:tcPr>
            <w:tcW w:w="24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138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060" w:type="dxa"/>
            <w:vAlign w:val="bottom"/>
            <w:gridSpan w:val="3"/>
            <w:shd w:val="clear" w:color="auto" w:fill="CCEEFF"/>
          </w:tcPr>
          <w:p>
            <w:pPr>
              <w:spacing w:after="0" w:line="203" w:lineRule="exact"/>
              <w:rPr>
                <w:sz w:val="20"/>
                <w:szCs w:val="20"/>
                <w:color w:val="auto"/>
              </w:rPr>
            </w:pPr>
            <w:r>
              <w:rPr>
                <w:rFonts w:ascii="Arial" w:cs="Arial" w:eastAsia="Arial" w:hAnsi="Arial"/>
                <w:sz w:val="18"/>
                <w:szCs w:val="18"/>
                <w:color w:val="auto"/>
              </w:rPr>
              <w:t>Remainder of fiscal 2017</w:t>
            </w:r>
          </w:p>
        </w:tc>
        <w:tc>
          <w:tcPr>
            <w:tcW w:w="78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620" w:type="dxa"/>
            <w:vAlign w:val="bottom"/>
            <w:shd w:val="clear" w:color="auto" w:fill="CCEEFF"/>
          </w:tcPr>
          <w:p>
            <w:pPr>
              <w:spacing w:after="0"/>
              <w:rPr>
                <w:sz w:val="17"/>
                <w:szCs w:val="17"/>
                <w:color w:val="auto"/>
              </w:rPr>
            </w:pPr>
          </w:p>
        </w:tc>
        <w:tc>
          <w:tcPr>
            <w:tcW w:w="340" w:type="dxa"/>
            <w:vAlign w:val="bottom"/>
            <w:tcBorders>
              <w:right w:val="single" w:sz="8" w:color="CCEEFF"/>
            </w:tcBorders>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40" w:type="dxa"/>
            <w:vAlign w:val="bottom"/>
            <w:gridSpan w:val="6"/>
            <w:shd w:val="clear" w:color="auto" w:fill="CCEEFF"/>
          </w:tcPr>
          <w:p>
            <w:pPr>
              <w:jc w:val="right"/>
              <w:spacing w:after="0" w:line="203" w:lineRule="exact"/>
              <w:rPr>
                <w:sz w:val="20"/>
                <w:szCs w:val="20"/>
                <w:color w:val="auto"/>
              </w:rPr>
            </w:pPr>
            <w:r>
              <w:rPr>
                <w:rFonts w:ascii="Arial" w:cs="Arial" w:eastAsia="Arial" w:hAnsi="Arial"/>
                <w:sz w:val="18"/>
                <w:szCs w:val="18"/>
                <w:color w:val="auto"/>
              </w:rPr>
              <w:t>$1,966</w:t>
            </w:r>
          </w:p>
        </w:tc>
        <w:tc>
          <w:tcPr>
            <w:tcW w:w="100" w:type="dxa"/>
            <w:vAlign w:val="bottom"/>
            <w:shd w:val="clear" w:color="auto" w:fill="CCEEFF"/>
          </w:tcPr>
          <w:p>
            <w:pPr>
              <w:spacing w:after="0"/>
              <w:rPr>
                <w:sz w:val="17"/>
                <w:szCs w:val="17"/>
                <w:color w:val="auto"/>
              </w:rPr>
            </w:pPr>
          </w:p>
        </w:tc>
        <w:tc>
          <w:tcPr>
            <w:tcW w:w="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840" w:type="dxa"/>
            <w:vAlign w:val="bottom"/>
            <w:gridSpan w:val="2"/>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tcPr>
          <w:p>
            <w:pPr>
              <w:spacing w:after="0"/>
              <w:rPr>
                <w:sz w:val="20"/>
                <w:szCs w:val="20"/>
                <w:color w:val="auto"/>
              </w:rPr>
            </w:pPr>
            <w:r>
              <w:rPr>
                <w:rFonts w:ascii="Arial" w:cs="Arial" w:eastAsia="Arial" w:hAnsi="Arial"/>
                <w:sz w:val="18"/>
                <w:szCs w:val="18"/>
                <w:color w:val="auto"/>
              </w:rPr>
              <w:t>2018</w:t>
            </w:r>
          </w:p>
        </w:tc>
        <w:tc>
          <w:tcPr>
            <w:tcW w:w="40" w:type="dxa"/>
            <w:vAlign w:val="bottom"/>
          </w:tcPr>
          <w:p>
            <w:pPr>
              <w:spacing w:after="0"/>
              <w:rPr>
                <w:sz w:val="18"/>
                <w:szCs w:val="18"/>
                <w:color w:val="auto"/>
              </w:rPr>
            </w:pPr>
          </w:p>
        </w:tc>
        <w:tc>
          <w:tcPr>
            <w:tcW w:w="24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6"/>
          </w:tcPr>
          <w:p>
            <w:pPr>
              <w:jc w:val="right"/>
              <w:spacing w:after="0"/>
              <w:rPr>
                <w:sz w:val="20"/>
                <w:szCs w:val="20"/>
                <w:color w:val="auto"/>
              </w:rPr>
            </w:pPr>
            <w:r>
              <w:rPr>
                <w:rFonts w:ascii="Arial" w:cs="Arial" w:eastAsia="Arial" w:hAnsi="Arial"/>
                <w:sz w:val="18"/>
                <w:szCs w:val="18"/>
                <w:color w:val="auto"/>
              </w:rPr>
              <w:t>5,508</w:t>
            </w: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840" w:type="dxa"/>
            <w:vAlign w:val="bottom"/>
            <w:gridSpan w:val="2"/>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shd w:val="clear" w:color="auto" w:fill="CCEEFF"/>
          </w:tcPr>
          <w:p>
            <w:pPr>
              <w:spacing w:after="0"/>
              <w:rPr>
                <w:sz w:val="20"/>
                <w:szCs w:val="20"/>
                <w:color w:val="auto"/>
              </w:rPr>
            </w:pPr>
            <w:r>
              <w:rPr>
                <w:rFonts w:ascii="Arial" w:cs="Arial" w:eastAsia="Arial" w:hAnsi="Arial"/>
                <w:sz w:val="18"/>
                <w:szCs w:val="18"/>
                <w:color w:val="auto"/>
              </w:rPr>
              <w:t>2019</w:t>
            </w:r>
          </w:p>
        </w:tc>
        <w:tc>
          <w:tcPr>
            <w:tcW w:w="4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1,860</w:t>
            </w:r>
          </w:p>
        </w:tc>
        <w:tc>
          <w:tcPr>
            <w:tcW w:w="100" w:type="dxa"/>
            <w:vAlign w:val="bottom"/>
            <w:shd w:val="clear" w:color="auto" w:fill="CCEEFF"/>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060" w:type="dxa"/>
            <w:vAlign w:val="bottom"/>
            <w:gridSpan w:val="3"/>
          </w:tcPr>
          <w:p>
            <w:pPr>
              <w:spacing w:after="0"/>
              <w:rPr>
                <w:sz w:val="20"/>
                <w:szCs w:val="20"/>
                <w:color w:val="auto"/>
              </w:rPr>
            </w:pPr>
            <w:r>
              <w:rPr>
                <w:rFonts w:ascii="Arial" w:cs="Arial" w:eastAsia="Arial" w:hAnsi="Arial"/>
                <w:sz w:val="18"/>
                <w:szCs w:val="18"/>
                <w:color w:val="auto"/>
              </w:rPr>
              <w:t>2020 and thereafter</w:t>
            </w:r>
          </w:p>
        </w:tc>
        <w:tc>
          <w:tcPr>
            <w:tcW w:w="7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40" w:type="dxa"/>
            <w:vAlign w:val="bottom"/>
            <w:tcBorders>
              <w:bottom w:val="single" w:sz="8" w:color="auto"/>
            </w:tcBorders>
            <w:gridSpan w:val="3"/>
          </w:tcPr>
          <w:p>
            <w:pPr>
              <w:jc w:val="right"/>
              <w:ind w:right="40"/>
              <w:spacing w:after="0"/>
              <w:rPr>
                <w:sz w:val="20"/>
                <w:szCs w:val="20"/>
                <w:color w:val="auto"/>
              </w:rPr>
            </w:pPr>
            <w:r>
              <w:rPr>
                <w:rFonts w:ascii="Arial" w:cs="Arial" w:eastAsia="Arial" w:hAnsi="Arial"/>
                <w:sz w:val="18"/>
                <w:szCs w:val="18"/>
                <w:color w:val="auto"/>
              </w:rPr>
              <w:t>—</w:t>
            </w:r>
          </w:p>
        </w:tc>
        <w:tc>
          <w:tcPr>
            <w:tcW w:w="6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1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24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34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9,334</w:t>
            </w:r>
          </w:p>
        </w:tc>
        <w:tc>
          <w:tcPr>
            <w:tcW w:w="100" w:type="dxa"/>
            <w:vAlign w:val="bottom"/>
            <w:shd w:val="clear" w:color="auto" w:fill="CCEEFF"/>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 and Other Related Charges</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 following table provides a summary of restructuring and other related charges as presented in the unaudited condensed consolidated statements of operations (in thousands):</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960" w:type="dxa"/>
            <w:vAlign w:val="bottom"/>
          </w:tcPr>
          <w:p>
            <w:pPr>
              <w:spacing w:after="0"/>
              <w:rPr>
                <w:sz w:val="14"/>
                <w:szCs w:val="14"/>
                <w:color w:val="auto"/>
              </w:rPr>
            </w:pPr>
          </w:p>
        </w:tc>
        <w:tc>
          <w:tcPr>
            <w:tcW w:w="2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Pr>
          <w:p>
            <w:pPr>
              <w:spacing w:after="0"/>
              <w:rPr>
                <w:sz w:val="14"/>
                <w:szCs w:val="14"/>
                <w:color w:val="auto"/>
              </w:rPr>
            </w:pPr>
          </w:p>
        </w:tc>
        <w:tc>
          <w:tcPr>
            <w:tcW w:w="1840" w:type="dxa"/>
            <w:vAlign w:val="bottom"/>
            <w:gridSpan w:val="5"/>
          </w:tcPr>
          <w:p>
            <w:pPr>
              <w:ind w:left="2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3960" w:type="dxa"/>
            <w:vAlign w:val="bottom"/>
          </w:tcPr>
          <w:p>
            <w:pPr>
              <w:spacing w:after="0"/>
              <w:rPr>
                <w:sz w:val="11"/>
                <w:szCs w:val="11"/>
                <w:color w:val="auto"/>
              </w:rPr>
            </w:pPr>
          </w:p>
        </w:tc>
        <w:tc>
          <w:tcPr>
            <w:tcW w:w="212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Pr>
          <w:p>
            <w:pPr>
              <w:spacing w:after="0"/>
              <w:rPr>
                <w:sz w:val="11"/>
                <w:szCs w:val="11"/>
                <w:color w:val="auto"/>
              </w:rPr>
            </w:pPr>
          </w:p>
        </w:tc>
        <w:tc>
          <w:tcPr>
            <w:tcW w:w="12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960" w:type="dxa"/>
            <w:vAlign w:val="bottom"/>
            <w:tcBorders>
              <w:bottom w:val="single" w:sz="8" w:color="CCEEFF"/>
            </w:tcBorders>
          </w:tcPr>
          <w:p>
            <w:pPr>
              <w:spacing w:after="0"/>
              <w:rPr>
                <w:sz w:val="14"/>
                <w:szCs w:val="14"/>
                <w:color w:val="auto"/>
              </w:rPr>
            </w:pPr>
          </w:p>
        </w:tc>
        <w:tc>
          <w:tcPr>
            <w:tcW w:w="21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w w:val="96"/>
              </w:rPr>
              <w:t>2016</w:t>
            </w: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9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10,285</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10,285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96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21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1,164</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35,270</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6,326</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48,862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96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ind w:left="212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1,164</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4"/>
              </w:rPr>
              <w:t>45,555</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6,326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59,147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960" w:type="dxa"/>
            <w:vAlign w:val="bottom"/>
          </w:tcPr>
          <w:p>
            <w:pPr>
              <w:spacing w:after="0" w:line="20" w:lineRule="exact"/>
              <w:rPr>
                <w:sz w:val="1"/>
                <w:szCs w:val="1"/>
                <w:color w:val="auto"/>
              </w:rPr>
            </w:pPr>
          </w:p>
        </w:tc>
        <w:tc>
          <w:tcPr>
            <w:tcW w:w="2120" w:type="dxa"/>
            <w:vAlign w:val="bottom"/>
            <w:vMerge w:val="restart"/>
          </w:tcPr>
          <w:p>
            <w:pPr>
              <w:jc w:val="right"/>
              <w:ind w:right="652"/>
              <w:spacing w:after="0"/>
              <w:rPr>
                <w:sz w:val="20"/>
                <w:szCs w:val="20"/>
                <w:color w:val="auto"/>
              </w:rPr>
            </w:pPr>
            <w:r>
              <w:rPr>
                <w:rFonts w:ascii="Arial" w:cs="Arial" w:eastAsia="Arial" w:hAnsi="Arial"/>
                <w:sz w:val="18"/>
                <w:szCs w:val="18"/>
                <w:color w:val="auto"/>
              </w:rPr>
              <w:t>16</w:t>
            </w: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3960" w:type="dxa"/>
            <w:vAlign w:val="bottom"/>
          </w:tcPr>
          <w:p>
            <w:pPr>
              <w:spacing w:after="0"/>
              <w:rPr>
                <w:sz w:val="24"/>
                <w:szCs w:val="24"/>
                <w:color w:val="auto"/>
              </w:rPr>
            </w:pPr>
          </w:p>
        </w:tc>
        <w:tc>
          <w:tcPr>
            <w:tcW w:w="2120" w:type="dxa"/>
            <w:vAlign w:val="bottom"/>
            <w:vMerge w:val="continue"/>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charges recorded by the Company related to the restructuring actions described below (in thousands):</w:t>
      </w:r>
    </w:p>
    <w:p>
      <w:pPr>
        <w:spacing w:after="0" w:line="2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20" w:type="dxa"/>
            <w:vAlign w:val="bottom"/>
            <w:gridSpan w:val="6"/>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6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6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80" w:type="dxa"/>
            <w:vAlign w:val="bottom"/>
            <w:tcBorders>
              <w:top w:val="single" w:sz="8" w:color="auto"/>
            </w:tcBorders>
            <w:gridSpan w:val="4"/>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4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2015</w:t>
            </w:r>
          </w:p>
        </w:tc>
        <w:tc>
          <w:tcPr>
            <w:tcW w:w="280" w:type="dxa"/>
            <w:vAlign w:val="bottom"/>
            <w:tcBorders>
              <w:bottom w:val="single" w:sz="8" w:color="CCEEFF"/>
            </w:tcBorders>
          </w:tcPr>
          <w:p>
            <w:pPr>
              <w:spacing w:after="0"/>
              <w:rPr>
                <w:sz w:val="14"/>
                <w:szCs w:val="14"/>
                <w:color w:val="auto"/>
              </w:rPr>
            </w:pP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0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28,773</w:t>
            </w: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40,478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40" w:type="dxa"/>
            <w:vAlign w:val="bottom"/>
            <w:gridSpan w:val="2"/>
          </w:tcPr>
          <w:p>
            <w:pPr>
              <w:ind w:left="260"/>
              <w:spacing w:after="0"/>
              <w:rPr>
                <w:sz w:val="20"/>
                <w:szCs w:val="20"/>
                <w:color w:val="auto"/>
              </w:rPr>
            </w:pPr>
            <w:r>
              <w:rPr>
                <w:rFonts w:ascii="Arial" w:cs="Arial" w:eastAsia="Arial" w:hAnsi="Arial"/>
                <w:sz w:val="18"/>
                <w:szCs w:val="18"/>
                <w:color w:val="auto"/>
                <w:w w:val="86"/>
              </w:rPr>
              <w:t>108</w:t>
            </w: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657</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4,585</w:t>
            </w: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882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1,855</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60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tcPr>
          <w:p>
            <w:pPr>
              <w:ind w:left="260"/>
              <w:spacing w:after="0"/>
              <w:rPr>
                <w:sz w:val="20"/>
                <w:szCs w:val="20"/>
                <w:color w:val="auto"/>
              </w:rPr>
            </w:pPr>
            <w:r>
              <w:rPr>
                <w:rFonts w:ascii="Arial" w:cs="Arial" w:eastAsia="Arial" w:hAnsi="Arial"/>
                <w:sz w:val="18"/>
                <w:szCs w:val="18"/>
                <w:color w:val="auto"/>
                <w:w w:val="79"/>
              </w:rPr>
              <w:t>108</w:t>
            </w:r>
          </w:p>
        </w:tc>
        <w:tc>
          <w:tcPr>
            <w:tcW w:w="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31,285</w:t>
            </w: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rPr>
              <w:t>4,600</w:t>
            </w: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w w:val="90"/>
              </w:rPr>
              <w:t>43,404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Release of reserves: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tcPr>
          <w:p>
            <w:pPr>
              <w:ind w:left="440"/>
              <w:spacing w:after="0"/>
              <w:rPr>
                <w:sz w:val="20"/>
                <w:szCs w:val="20"/>
                <w:color w:val="auto"/>
              </w:rPr>
            </w:pPr>
            <w:r>
              <w:rPr>
                <w:rFonts w:ascii="Arial" w:cs="Arial" w:eastAsia="Arial" w:hAnsi="Arial"/>
                <w:sz w:val="18"/>
                <w:szCs w:val="18"/>
                <w:color w:val="auto"/>
              </w:rPr>
              <w:t>Severance</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ind w:lef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500"/>
              <w:spacing w:after="0"/>
              <w:rPr>
                <w:sz w:val="20"/>
                <w:szCs w:val="20"/>
                <w:color w:val="auto"/>
              </w:rPr>
            </w:pPr>
            <w:r>
              <w:rPr>
                <w:rFonts w:ascii="Arial" w:cs="Arial" w:eastAsia="Arial" w:hAnsi="Arial"/>
                <w:sz w:val="18"/>
                <w:szCs w:val="18"/>
                <w:color w:val="auto"/>
              </w:rPr>
              <w:t>(86)</w:t>
            </w:r>
          </w:p>
        </w:tc>
        <w:tc>
          <w:tcPr>
            <w:tcW w:w="140" w:type="dxa"/>
            <w:vAlign w:val="bottom"/>
          </w:tcPr>
          <w:p>
            <w:pPr>
              <w:spacing w:after="0"/>
              <w:rPr>
                <w:sz w:val="18"/>
                <w:szCs w:val="18"/>
                <w:color w:val="auto"/>
              </w:rPr>
            </w:pPr>
          </w:p>
        </w:tc>
        <w:tc>
          <w:tcPr>
            <w:tcW w:w="62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Other exit-related</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(269)</w:t>
            </w:r>
          </w:p>
        </w:tc>
        <w:tc>
          <w:tcPr>
            <w:tcW w:w="140" w:type="dxa"/>
            <w:vAlign w:val="bottom"/>
            <w:shd w:val="clear" w:color="auto" w:fill="CCEEFF"/>
          </w:tcPr>
          <w:p>
            <w:pPr>
              <w:spacing w:after="0"/>
              <w:rPr>
                <w:sz w:val="18"/>
                <w:szCs w:val="18"/>
                <w:color w:val="auto"/>
              </w:rPr>
            </w:pPr>
          </w:p>
        </w:tc>
        <w:tc>
          <w:tcPr>
            <w:tcW w:w="620" w:type="dxa"/>
            <w:vAlign w:val="bottom"/>
            <w:gridSpan w:val="2"/>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080" w:type="dxa"/>
            <w:vAlign w:val="bottom"/>
          </w:tcPr>
          <w:p>
            <w:pPr>
              <w:spacing w:after="0"/>
              <w:rPr>
                <w:sz w:val="20"/>
                <w:szCs w:val="20"/>
                <w:color w:val="auto"/>
              </w:rPr>
            </w:pPr>
            <w:r>
              <w:rPr>
                <w:rFonts w:ascii="Arial" w:cs="Arial" w:eastAsia="Arial" w:hAnsi="Arial"/>
                <w:sz w:val="18"/>
                <w:szCs w:val="18"/>
                <w:color w:val="auto"/>
              </w:rPr>
              <w:t>Impairment and write-off of assets: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Inventory</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8,046</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6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tcPr>
          <w:p>
            <w:pPr>
              <w:ind w:left="440"/>
              <w:spacing w:after="0"/>
              <w:rPr>
                <w:sz w:val="20"/>
                <w:szCs w:val="20"/>
                <w:color w:val="auto"/>
              </w:rPr>
            </w:pPr>
            <w:r>
              <w:rPr>
                <w:rFonts w:ascii="Arial" w:cs="Arial" w:eastAsia="Arial" w:hAnsi="Arial"/>
                <w:sz w:val="18"/>
                <w:szCs w:val="18"/>
                <w:color w:val="auto"/>
              </w:rPr>
              <w:t>Technology license</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60" w:type="dxa"/>
            <w:vAlign w:val="bottom"/>
            <w:gridSpan w:val="3"/>
          </w:tcPr>
          <w:p>
            <w:pPr>
              <w:ind w:left="2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rPr>
              <w:t>1,250</w:t>
            </w:r>
          </w:p>
        </w:tc>
        <w:tc>
          <w:tcPr>
            <w:tcW w:w="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520" w:type="dxa"/>
            <w:vAlign w:val="bottom"/>
          </w:tcPr>
          <w:p>
            <w:pPr>
              <w:jc w:val="right"/>
              <w:spacing w:after="0"/>
              <w:rPr>
                <w:sz w:val="20"/>
                <w:szCs w:val="20"/>
                <w:color w:val="auto"/>
              </w:rPr>
            </w:pPr>
            <w:r>
              <w:rPr>
                <w:rFonts w:ascii="Arial" w:cs="Arial" w:eastAsia="Arial" w:hAnsi="Arial"/>
                <w:sz w:val="18"/>
                <w:szCs w:val="18"/>
                <w:color w:val="auto"/>
              </w:rPr>
              <w:t>1,250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Equipment and other</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ind w:left="140"/>
              <w:spacing w:after="0"/>
              <w:rPr>
                <w:sz w:val="20"/>
                <w:szCs w:val="20"/>
                <w:color w:val="auto"/>
              </w:rPr>
            </w:pPr>
            <w:r>
              <w:rPr>
                <w:rFonts w:ascii="Arial" w:cs="Arial" w:eastAsia="Arial" w:hAnsi="Arial"/>
                <w:sz w:val="18"/>
                <w:szCs w:val="18"/>
                <w:color w:val="auto"/>
                <w:w w:val="79"/>
              </w:rPr>
              <w:t>1,056</w:t>
            </w:r>
          </w:p>
        </w:tc>
        <w:tc>
          <w:tcPr>
            <w:tcW w:w="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4,974</w:t>
            </w:r>
          </w:p>
        </w:tc>
        <w:tc>
          <w:tcPr>
            <w:tcW w:w="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2,081</w:t>
            </w:r>
          </w:p>
        </w:tc>
        <w:tc>
          <w:tcPr>
            <w:tcW w:w="5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80" w:type="dxa"/>
            <w:vAlign w:val="bottom"/>
            <w:vMerge w:val="restart"/>
          </w:tcPr>
          <w:p>
            <w:pPr>
              <w:spacing w:after="0"/>
              <w:rPr>
                <w:sz w:val="20"/>
                <w:szCs w:val="20"/>
                <w:color w:val="auto"/>
              </w:rPr>
            </w:pPr>
            <w:r>
              <w:rPr>
                <w:rFonts w:ascii="Arial" w:cs="Arial" w:eastAsia="Arial" w:hAnsi="Arial"/>
                <w:sz w:val="18"/>
                <w:szCs w:val="18"/>
                <w:color w:val="auto"/>
              </w:rPr>
              <w:t>Restructuring and other related charges</w:t>
            </w: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6080" w:type="dxa"/>
            <w:vAlign w:val="bottom"/>
            <w:vMerge w:val="continue"/>
          </w:tcPr>
          <w:p>
            <w:pPr>
              <w:spacing w:after="0"/>
              <w:rPr>
                <w:sz w:val="19"/>
                <w:szCs w:val="19"/>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40" w:type="dxa"/>
            <w:vAlign w:val="bottom"/>
            <w:gridSpan w:val="2"/>
          </w:tcPr>
          <w:p>
            <w:pPr>
              <w:ind w:left="140"/>
              <w:spacing w:after="0"/>
              <w:rPr>
                <w:sz w:val="20"/>
                <w:szCs w:val="20"/>
                <w:color w:val="auto"/>
              </w:rPr>
            </w:pPr>
            <w:r>
              <w:rPr>
                <w:rFonts w:ascii="Arial" w:cs="Arial" w:eastAsia="Arial" w:hAnsi="Arial"/>
                <w:sz w:val="18"/>
                <w:szCs w:val="18"/>
                <w:color w:val="auto"/>
                <w:w w:val="84"/>
              </w:rPr>
              <w:t>1,164</w:t>
            </w:r>
          </w:p>
        </w:tc>
        <w:tc>
          <w:tcPr>
            <w:tcW w:w="5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80"/>
              <w:spacing w:after="0"/>
              <w:rPr>
                <w:sz w:val="20"/>
                <w:szCs w:val="20"/>
                <w:color w:val="auto"/>
              </w:rPr>
            </w:pPr>
            <w:r>
              <w:rPr>
                <w:rFonts w:ascii="Arial" w:cs="Arial" w:eastAsia="Arial" w:hAnsi="Arial"/>
                <w:sz w:val="18"/>
                <w:szCs w:val="18"/>
                <w:color w:val="auto"/>
                <w:w w:val="94"/>
              </w:rPr>
              <w:t>45,555</w:t>
            </w:r>
          </w:p>
        </w:tc>
        <w:tc>
          <w:tcPr>
            <w:tcW w:w="400" w:type="dxa"/>
            <w:vAlign w:val="bottom"/>
            <w:gridSpan w:val="2"/>
          </w:tcPr>
          <w:p>
            <w:pPr>
              <w:ind w:left="26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rPr>
              <w:t>6,326</w:t>
            </w:r>
          </w:p>
        </w:tc>
        <w:tc>
          <w:tcPr>
            <w:tcW w:w="56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59,147</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0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80" w:firstLine="456"/>
        <w:spacing w:after="0" w:line="268" w:lineRule="auto"/>
        <w:rPr>
          <w:sz w:val="20"/>
          <w:szCs w:val="20"/>
          <w:color w:val="auto"/>
        </w:rPr>
      </w:pPr>
      <w:r>
        <w:rPr>
          <w:rFonts w:ascii="Arial" w:cs="Arial" w:eastAsia="Arial" w:hAnsi="Arial"/>
          <w:sz w:val="18"/>
          <w:szCs w:val="18"/>
          <w:color w:val="auto"/>
        </w:rPr>
        <w:t>The Company recorded $1.2 million and $6.3 million in the three and nine months ended October 29, 2016, respectively, in connection with restructuring and other related charges as described in the following paragraphs.</w:t>
      </w:r>
    </w:p>
    <w:p>
      <w:pPr>
        <w:spacing w:after="0" w:line="132"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In connection with the Company’s decision to further reduce its research and development operations in Israel as announced in May 2015, the Company and the landlord of its facility located in Israel reached agreement for the Company to completely vacate and release certain floors back to the landlord for purposes of future sublease. As a result, the Company recorded charges of $4.3 million in the nine months ended October 29, 2016 primarily for the remaining lease obligation, net of sublease income, associated with the floors it vacated in the first half of fiscal 2017.</w:t>
      </w:r>
    </w:p>
    <w:p>
      <w:pPr>
        <w:spacing w:after="0" w:line="11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In connection with the restructuring of its mobile platform business announced in September 2015, the Company recorded a charge of $1.1 million in the three months ended October 29, 2016 to write off the remaining mobile-related equipment classified as held for sale that it was unable to sell. Total restructuring charges in the nine months ended October 29, 2016 were $1.9 million, primarily for the write off of all remaining mobile-related equipment that was previously classified as held for sale, which was offset by a recovery of $0.3 million from the release of reserve related to the loss on contract termination previously recognized in fiscal 2016. Of the remaining actions that were expected to be completed in the first half of fiscal 2017 related to restructuring of the mobile platform business, substantially all of the activities have been completed. Total cumulative charges recorded in fiscal 2016 through the nine months ended October 29, 2016 related to this restructuring action were $46.4 million, which included $28.1 million of severance benefits, a $1.3 million loss on early contract termination, $8.8 million for impairment of technology licenses and certain equipment, $0.2 million related to facility closures and an $8.0 million write down of inventory.</w:t>
      </w:r>
    </w:p>
    <w:p>
      <w:pPr>
        <w:spacing w:after="0" w:line="120"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300" w:type="dxa"/>
            <w:vAlign w:val="bottom"/>
            <w:gridSpan w:val="4"/>
          </w:tcPr>
          <w:p>
            <w:pPr>
              <w:jc w:val="right"/>
              <w:ind w:right="680"/>
              <w:spacing w:after="0"/>
              <w:rPr>
                <w:sz w:val="20"/>
                <w:szCs w:val="20"/>
                <w:color w:val="auto"/>
              </w:rPr>
            </w:pPr>
            <w:r>
              <w:rPr>
                <w:rFonts w:ascii="Arial" w:cs="Arial" w:eastAsia="Arial" w:hAnsi="Arial"/>
                <w:sz w:val="14"/>
                <w:szCs w:val="14"/>
                <w:b w:val="1"/>
                <w:bCs w:val="1"/>
                <w:color w:val="auto"/>
                <w:w w:val="85"/>
              </w:rPr>
              <w:t>Severance</w:t>
            </w:r>
          </w:p>
        </w:tc>
        <w:tc>
          <w:tcPr>
            <w:tcW w:w="100" w:type="dxa"/>
            <w:vAlign w:val="bottom"/>
          </w:tcPr>
          <w:p>
            <w:pPr>
              <w:spacing w:after="0"/>
              <w:rPr>
                <w:sz w:val="14"/>
                <w:szCs w:val="14"/>
                <w:color w:val="auto"/>
              </w:rPr>
            </w:pPr>
          </w:p>
        </w:tc>
        <w:tc>
          <w:tcPr>
            <w:tcW w:w="122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83"/>
              </w:rPr>
              <w:t>Facilities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Other</w:t>
            </w:r>
          </w:p>
        </w:tc>
        <w:tc>
          <w:tcPr>
            <w:tcW w:w="2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49"/>
        </w:trPr>
        <w:tc>
          <w:tcPr>
            <w:tcW w:w="58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30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Exit-Related</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161"/>
        </w:trPr>
        <w:tc>
          <w:tcPr>
            <w:tcW w:w="5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80" w:type="dxa"/>
            <w:vAlign w:val="bottom"/>
            <w:gridSpan w:val="3"/>
          </w:tcPr>
          <w:p>
            <w:pPr>
              <w:jc w:val="right"/>
              <w:ind w:right="800"/>
              <w:spacing w:after="0"/>
              <w:rPr>
                <w:sz w:val="20"/>
                <w:szCs w:val="20"/>
                <w:color w:val="auto"/>
              </w:rPr>
            </w:pPr>
            <w:r>
              <w:rPr>
                <w:rFonts w:ascii="Arial" w:cs="Arial" w:eastAsia="Arial" w:hAnsi="Arial"/>
                <w:sz w:val="14"/>
                <w:szCs w:val="14"/>
                <w:b w:val="1"/>
                <w:bCs w:val="1"/>
                <w:color w:val="auto"/>
                <w:w w:val="92"/>
              </w:rPr>
              <w:t>Costs</w:t>
            </w:r>
          </w:p>
        </w:tc>
        <w:tc>
          <w:tcPr>
            <w:tcW w:w="100" w:type="dxa"/>
            <w:vAlign w:val="bottom"/>
          </w:tcPr>
          <w:p>
            <w:pPr>
              <w:spacing w:after="0"/>
              <w:rPr>
                <w:sz w:val="14"/>
                <w:szCs w:val="14"/>
                <w:color w:val="auto"/>
              </w:rPr>
            </w:pPr>
          </w:p>
        </w:tc>
        <w:tc>
          <w:tcPr>
            <w:tcW w:w="1220" w:type="dxa"/>
            <w:vAlign w:val="bottom"/>
            <w:gridSpan w:val="2"/>
          </w:tcPr>
          <w:p>
            <w:pPr>
              <w:jc w:val="right"/>
              <w:ind w:right="800"/>
              <w:spacing w:after="0"/>
              <w:rPr>
                <w:sz w:val="20"/>
                <w:szCs w:val="20"/>
                <w:color w:val="auto"/>
              </w:rPr>
            </w:pPr>
            <w:r>
              <w:rPr>
                <w:rFonts w:ascii="Arial" w:cs="Arial" w:eastAsia="Arial" w:hAnsi="Arial"/>
                <w:sz w:val="14"/>
                <w:szCs w:val="14"/>
                <w:b w:val="1"/>
                <w:bCs w:val="1"/>
                <w:color w:val="auto"/>
              </w:rPr>
              <w:t>Costs</w:t>
            </w:r>
          </w:p>
        </w:tc>
        <w:tc>
          <w:tcPr>
            <w:tcW w:w="140" w:type="dxa"/>
            <w:vAlign w:val="bottom"/>
          </w:tcPr>
          <w:p>
            <w:pPr>
              <w:spacing w:after="0"/>
              <w:rPr>
                <w:sz w:val="14"/>
                <w:szCs w:val="14"/>
                <w:color w:val="auto"/>
              </w:rPr>
            </w:pPr>
          </w:p>
        </w:tc>
        <w:tc>
          <w:tcPr>
            <w:tcW w:w="9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7"/>
              </w:rPr>
              <w:t>Costs</w:t>
            </w:r>
          </w:p>
        </w:tc>
        <w:tc>
          <w:tcPr>
            <w:tcW w:w="28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r>
      <w:tr>
        <w:trPr>
          <w:trHeight w:val="210"/>
        </w:trPr>
        <w:tc>
          <w:tcPr>
            <w:tcW w:w="5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1,155</w:t>
            </w:r>
          </w:p>
        </w:tc>
        <w:tc>
          <w:tcPr>
            <w:tcW w:w="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1,043</w:t>
            </w:r>
          </w:p>
        </w:tc>
        <w:tc>
          <w:tcPr>
            <w:tcW w:w="6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$ 3,842</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15</w:t>
            </w:r>
          </w:p>
        </w:tc>
        <w:tc>
          <w:tcPr>
            <w:tcW w:w="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4,585</w:t>
            </w: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4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4,600</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560"/>
              <w:spacing w:after="0"/>
              <w:rPr>
                <w:sz w:val="20"/>
                <w:szCs w:val="20"/>
                <w:color w:val="auto"/>
              </w:rPr>
            </w:pPr>
            <w:r>
              <w:rPr>
                <w:rFonts w:ascii="Arial" w:cs="Arial" w:eastAsia="Arial" w:hAnsi="Arial"/>
                <w:sz w:val="18"/>
                <w:szCs w:val="18"/>
                <w:color w:val="auto"/>
              </w:rPr>
              <w:t>(969)</w:t>
            </w: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(4,606)</w:t>
            </w:r>
          </w:p>
        </w:tc>
        <w:tc>
          <w:tcPr>
            <w:tcW w:w="14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(200)</w:t>
            </w:r>
          </w:p>
        </w:tc>
        <w:tc>
          <w:tcPr>
            <w:tcW w:w="9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(5,775)</w:t>
            </w:r>
          </w:p>
        </w:tc>
      </w:tr>
      <w:tr>
        <w:trPr>
          <w:trHeight w:val="216"/>
        </w:trPr>
        <w:tc>
          <w:tcPr>
            <w:tcW w:w="5840" w:type="dxa"/>
            <w:vAlign w:val="bottom"/>
          </w:tcPr>
          <w:p>
            <w:pPr>
              <w:ind w:left="440"/>
              <w:spacing w:after="0"/>
              <w:rPr>
                <w:sz w:val="20"/>
                <w:szCs w:val="20"/>
                <w:color w:val="auto"/>
              </w:rPr>
            </w:pPr>
            <w:r>
              <w:rPr>
                <w:rFonts w:ascii="Arial" w:cs="Arial" w:eastAsia="Arial" w:hAnsi="Arial"/>
                <w:sz w:val="18"/>
                <w:szCs w:val="18"/>
                <w:color w:val="auto"/>
              </w:rPr>
              <w:t>Release of reserves</w:t>
            </w: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180" w:type="dxa"/>
            <w:vAlign w:val="bottom"/>
            <w:gridSpan w:val="3"/>
          </w:tcPr>
          <w:p>
            <w:pPr>
              <w:jc w:val="right"/>
              <w:ind w:right="560"/>
              <w:spacing w:after="0"/>
              <w:rPr>
                <w:sz w:val="20"/>
                <w:szCs w:val="20"/>
                <w:color w:val="auto"/>
              </w:rPr>
            </w:pPr>
            <w:r>
              <w:rPr>
                <w:rFonts w:ascii="Arial" w:cs="Arial" w:eastAsia="Arial" w:hAnsi="Arial"/>
                <w:sz w:val="18"/>
                <w:szCs w:val="18"/>
                <w:color w:val="auto"/>
              </w:rPr>
              <w:t>(86)</w:t>
            </w:r>
          </w:p>
        </w:tc>
        <w:tc>
          <w:tcPr>
            <w:tcW w:w="100" w:type="dxa"/>
            <w:vAlign w:val="bottom"/>
          </w:tcPr>
          <w:p>
            <w:pPr>
              <w:spacing w:after="0"/>
              <w:rPr>
                <w:sz w:val="18"/>
                <w:szCs w:val="18"/>
                <w:color w:val="auto"/>
              </w:rPr>
            </w:pPr>
          </w:p>
        </w:tc>
        <w:tc>
          <w:tcPr>
            <w:tcW w:w="1220" w:type="dxa"/>
            <w:vAlign w:val="bottom"/>
            <w:gridSpan w:val="2"/>
          </w:tcPr>
          <w:p>
            <w:pPr>
              <w:jc w:val="right"/>
              <w:ind w:right="7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940" w:type="dxa"/>
            <w:vAlign w:val="bottom"/>
            <w:gridSpan w:val="2"/>
          </w:tcPr>
          <w:p>
            <w:pPr>
              <w:jc w:val="right"/>
              <w:ind w:right="280"/>
              <w:spacing w:after="0"/>
              <w:rPr>
                <w:sz w:val="20"/>
                <w:szCs w:val="20"/>
                <w:color w:val="auto"/>
              </w:rPr>
            </w:pPr>
            <w:r>
              <w:rPr>
                <w:rFonts w:ascii="Arial" w:cs="Arial" w:eastAsia="Arial" w:hAnsi="Arial"/>
                <w:sz w:val="18"/>
                <w:szCs w:val="18"/>
                <w:color w:val="auto"/>
              </w:rPr>
              <w:t>(269)</w:t>
            </w:r>
          </w:p>
        </w:tc>
        <w:tc>
          <w:tcPr>
            <w:tcW w:w="940" w:type="dxa"/>
            <w:vAlign w:val="bottom"/>
            <w:gridSpan w:val="3"/>
          </w:tcPr>
          <w:p>
            <w:pPr>
              <w:jc w:val="right"/>
              <w:ind w:right="40"/>
              <w:spacing w:after="0"/>
              <w:rPr>
                <w:sz w:val="20"/>
                <w:szCs w:val="20"/>
                <w:color w:val="auto"/>
              </w:rPr>
            </w:pPr>
            <w:r>
              <w:rPr>
                <w:rFonts w:ascii="Arial" w:cs="Arial" w:eastAsia="Arial" w:hAnsi="Arial"/>
                <w:sz w:val="18"/>
                <w:szCs w:val="18"/>
                <w:color w:val="auto"/>
              </w:rPr>
              <w:t>(355)</w:t>
            </w:r>
          </w:p>
        </w:tc>
      </w:tr>
      <w:tr>
        <w:trPr>
          <w:trHeight w:val="216"/>
        </w:trPr>
        <w:tc>
          <w:tcPr>
            <w:tcW w:w="58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Exchange rate adjustment</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w:t>
            </w:r>
          </w:p>
        </w:tc>
        <w:tc>
          <w:tcPr>
            <w:tcW w:w="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w:t>
            </w:r>
          </w:p>
        </w:tc>
        <w:tc>
          <w:tcPr>
            <w:tcW w:w="6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w:t>
            </w:r>
          </w:p>
        </w:tc>
        <w:tc>
          <w:tcPr>
            <w:tcW w:w="100" w:type="dxa"/>
            <w:vAlign w:val="bottom"/>
            <w:shd w:val="clear" w:color="auto" w:fill="CCEEFF"/>
          </w:tcPr>
          <w:p>
            <w:pPr>
              <w:spacing w:after="0"/>
              <w:rPr>
                <w:sz w:val="18"/>
                <w:szCs w:val="18"/>
                <w:color w:val="auto"/>
              </w:rPr>
            </w:pPr>
          </w:p>
        </w:tc>
      </w:tr>
      <w:tr>
        <w:trPr>
          <w:trHeight w:val="222"/>
        </w:trPr>
        <w:tc>
          <w:tcPr>
            <w:tcW w:w="5840" w:type="dxa"/>
            <w:vAlign w:val="bottom"/>
          </w:tcPr>
          <w:p>
            <w:pPr>
              <w:spacing w:after="0"/>
              <w:rPr>
                <w:sz w:val="20"/>
                <w:szCs w:val="20"/>
                <w:color w:val="auto"/>
              </w:rPr>
            </w:pPr>
            <w:r>
              <w:rPr>
                <w:rFonts w:ascii="Arial" w:cs="Arial" w:eastAsia="Arial" w:hAnsi="Arial"/>
                <w:sz w:val="18"/>
                <w:szCs w:val="18"/>
                <w:color w:val="auto"/>
              </w:rPr>
              <w:t>Balance at October 29, 2016</w:t>
            </w: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118</w:t>
            </w:r>
          </w:p>
        </w:tc>
        <w:tc>
          <w:tcPr>
            <w:tcW w:w="6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600" w:type="dxa"/>
            <w:vAlign w:val="bottom"/>
          </w:tcPr>
          <w:p>
            <w:pPr>
              <w:jc w:val="right"/>
              <w:spacing w:after="0"/>
              <w:rPr>
                <w:sz w:val="20"/>
                <w:szCs w:val="20"/>
                <w:color w:val="auto"/>
              </w:rPr>
            </w:pPr>
            <w:r>
              <w:rPr>
                <w:rFonts w:ascii="Arial" w:cs="Arial" w:eastAsia="Arial" w:hAnsi="Arial"/>
                <w:sz w:val="18"/>
                <w:szCs w:val="18"/>
                <w:color w:val="auto"/>
              </w:rPr>
              <w:t>1,079</w:t>
            </w:r>
          </w:p>
        </w:tc>
        <w:tc>
          <w:tcPr>
            <w:tcW w:w="620" w:type="dxa"/>
            <w:vAlign w:val="bottom"/>
          </w:tcPr>
          <w:p>
            <w:pPr>
              <w:spacing w:after="0"/>
              <w:rPr>
                <w:sz w:val="19"/>
                <w:szCs w:val="19"/>
                <w:color w:val="auto"/>
              </w:rPr>
            </w:pP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940" w:type="dxa"/>
            <w:vAlign w:val="bottom"/>
            <w:gridSpan w:val="2"/>
          </w:tcPr>
          <w:p>
            <w:pPr>
              <w:jc w:val="right"/>
              <w:ind w:right="340"/>
              <w:spacing w:after="0"/>
              <w:rPr>
                <w:sz w:val="20"/>
                <w:szCs w:val="20"/>
                <w:color w:val="auto"/>
              </w:rPr>
            </w:pPr>
            <w:r>
              <w:rPr>
                <w:rFonts w:ascii="Arial" w:cs="Arial" w:eastAsia="Arial" w:hAnsi="Arial"/>
                <w:sz w:val="18"/>
                <w:szCs w:val="18"/>
                <w:color w:val="auto"/>
              </w:rPr>
              <w:t>1,175</w:t>
            </w:r>
          </w:p>
        </w:tc>
        <w:tc>
          <w:tcPr>
            <w:tcW w:w="940" w:type="dxa"/>
            <w:vAlign w:val="bottom"/>
            <w:gridSpan w:val="3"/>
          </w:tcPr>
          <w:p>
            <w:pPr>
              <w:jc w:val="right"/>
              <w:ind w:right="100"/>
              <w:spacing w:after="0"/>
              <w:rPr>
                <w:sz w:val="20"/>
                <w:szCs w:val="20"/>
                <w:color w:val="auto"/>
              </w:rPr>
            </w:pPr>
            <w:r>
              <w:rPr>
                <w:rFonts w:ascii="Arial" w:cs="Arial" w:eastAsia="Arial" w:hAnsi="Arial"/>
                <w:sz w:val="18"/>
                <w:szCs w:val="18"/>
                <w:color w:val="auto"/>
              </w:rPr>
              <w:t>$ 2,372</w:t>
            </w:r>
          </w:p>
        </w:tc>
      </w:tr>
      <w:tr>
        <w:trPr>
          <w:trHeight w:val="20"/>
        </w:trPr>
        <w:tc>
          <w:tcPr>
            <w:tcW w:w="58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20" w:firstLine="456"/>
        <w:spacing w:after="0" w:line="259" w:lineRule="auto"/>
        <w:rPr>
          <w:sz w:val="20"/>
          <w:szCs w:val="20"/>
          <w:color w:val="auto"/>
        </w:rPr>
      </w:pPr>
      <w:r>
        <w:rPr>
          <w:rFonts w:ascii="Arial" w:cs="Arial" w:eastAsia="Arial" w:hAnsi="Arial"/>
          <w:sz w:val="18"/>
          <w:szCs w:val="18"/>
          <w:color w:val="auto"/>
        </w:rPr>
        <w:t>The balance at October 29, 2016 for other exit-related costs includes contract termination costs that are expected to be paid upon execution of the settlement agreements, and for facilities and related costs includes remaining payments under lease obligations related to vacated space that are expected to be paid through fiscal 2018.</w:t>
      </w:r>
    </w:p>
    <w:p>
      <w:pPr>
        <w:spacing w:after="0" w:line="12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40"/>
          </w:cols>
          <w:pgMar w:left="240" w:top="459" w:right="3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The income tax expense for the three months ended October 29, 2016 was primarily due to a current income tax expense of $12.4 million, an expense of $0.6 million related to settlements of prior year tax in foreign jurisdictions, plus a net increase in unrecognized tax benefits of $2.8 million. The net increase in unrecognized tax benefits arose from the accrual of penalties and interest of $0.5 million on the outstanding unrecognized tax benefit balance, plus the accrual of an additional $2.3 million for changes in prior year tax positions. The income tax expense for the nine months ended October 29, 2016 was primarily due to a current income tax expense of $16.9 million, plus an expense of $0.6 million related to settlements of prior year tax in foreign jurisdictions, offset by a tax benefit of $9.7 million from a net reduction in unrecognized tax benefits and a deferred tax benefit of $2.5 million for the portion of a payment to the Company’s former Chief Executive Officer that became deductible after his departure from the Company in April 2016. The net reduction in unrecognized tax benefits arose from the release of $14.3 million due to expiration of the statute of limitations in certain non-U.S. jurisdictions, which was partially offset by penalties and interest of $2.0 million accrued on the outstanding unrecognized tax benefit balance, and the accrual of an additional $2.6 million for changes in prior year tax positions.</w:t>
      </w:r>
    </w:p>
    <w:p>
      <w:pPr>
        <w:spacing w:after="0" w:line="120"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The income tax expense for the three months ended October 31, 2015 was primarily due to current income tax liability of $1.5 million, a $1.1 million provision to record a valuation allowance against certain deferred tax assets in a non-U.S. jurisdiction and $0.7 million of interest on unrecognized tax benefits. The income tax expense for the nine months ended October 31, 2015 was primarily due to current income tax liability of $21.0 million, $7.8 million provision to record a valuation allowance against certain deferred tax assets in a non-U.S. jurisdiction and an additional tax provision of $3.1 million related to a $15.4 million payment to the Company’s former Chief Executive Officer. These tax expenses for the nine months ended October 31, 2015 were partially offset by tax benefits of $14.0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18"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$9.5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ind w:firstLine="456"/>
        <w:spacing w:after="0" w:line="318" w:lineRule="auto"/>
        <w:rPr>
          <w:sz w:val="20"/>
          <w:szCs w:val="20"/>
          <w:color w:val="auto"/>
        </w:rPr>
      </w:pPr>
      <w:r>
        <w:rPr>
          <w:rFonts w:ascii="Arial" w:cs="Arial" w:eastAsia="Arial" w:hAnsi="Arial"/>
          <w:sz w:val="15"/>
          <w:szCs w:val="15"/>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$2.4 million and $4.6 million for the three and nine months ended October 29, 2016, respectively, and $1.8 million and $6.7 million for the three and nine months ended October 31, 2015, respectively. The benefit of the tax incentives on net income per share was $0.01 per share for the three and nine months ended October 29, 2016, compared to a benefit of less than $0.01 per share for the three months ended October 31, 2015 and $0.01 per share for the nine months ended October 31, 2015.</w:t>
      </w:r>
    </w:p>
    <w:p>
      <w:pPr>
        <w:spacing w:after="0" w:line="100"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Company’s principal source of liquidity as of October 29, 2016 consisted of approximately $1.7 billion of cash, cash equivalents and short-term investments, of which approximately $990 million was held by foreign subsidiaries (outside Bermuda). Approximately $680 million of this amount held by foreign subsidiaries is related to undistributed earnings, most of which have been indefinitely reinvested outside of Bermuda. These funds are primarily held in China, Israel,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$210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requires payment of all costs and expenses incurred through the date of cancellation. As of October 29, 2016, these foundries had incurred approximately $154.2 million of manufacturing costs and expenses relating to the Company’s outstanding purchase orders.</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20"/>
          </w:cols>
          <w:pgMar w:left="240" w:top="45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90"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The Company is currently unable to predict the final outcome of these lawsuits and therefore cannot determine the likelihood of loss or estimate a range of possible loss, except with respect to amounts where it has determined a loss is both probable and estimatable and has made an accrual. As of October 29, 2016, the Company has an accrued litigation balance of $2.8 million related to certain legal proceedings.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123"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(“W.D. of Pennsylvania”).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Based on post-trial motions and decisions, the W.D. of Pennsylvania calculated the damages including enhancement to total approximately $1.54 billion, and held that, under its decision, CMU is entitled to post judgment interest and an ongoing royalty. On May 7, 2014, the W.D. of Pennsylvania entered final judgment, from which the Company filed a notice of appeal on May 14, 2014. On August 4, 2015, the W.D. of Pennsylvania in a three-judge panel issued an opinion affirming in part, reversing in part, and vacating and remanding in part. On February 16, 2016, the Company and CMU entered into a Settlement Agreement and Patent License pursuant to which the Company has agreed to pay an aggregate of $750 million, without any ongoing royalty payments, to CMU and the parties have agreed to mutually acceptable release, license and covenant not to sue provisions. Please see “Note 13 – Carnegie Mellon University Settlement” for additional information on the effect of the settlement. In connection with the settlement, the primary supersedeas bond that the Company entered into in connection with this litigation was reduced to $439 million and the secondary bond was adjusted to $311 million. All of the Company’s obligations under both bonds were discharged pursuant to an order releasing supersedeas bonds on April 21, 2016. On October 18, 2016, the case was dismissed with prejudice.</w:t>
      </w:r>
    </w:p>
    <w:p>
      <w:pPr>
        <w:spacing w:after="0" w:line="121"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i w:val="1"/>
          <w:iCs w:val="1"/>
          <w:color w:val="auto"/>
        </w:rPr>
        <w:t xml:space="preserve">Innovatio Litigation. </w:t>
      </w:r>
      <w:r>
        <w:rPr>
          <w:rFonts w:ascii="Arial" w:cs="Arial" w:eastAsia="Arial" w:hAnsi="Arial"/>
          <w:sz w:val="18"/>
          <w:szCs w:val="18"/>
          <w:color w:val="auto"/>
        </w:rPr>
        <w:t>On March 16, 2015, Innovatio IP Ventures, LLC filed suit against MSI in the U.S. District Court for the Northern District of Illinois,</w:t>
      </w:r>
      <w:r>
        <w:rPr>
          <w:rFonts w:ascii="Arial" w:cs="Arial" w:eastAsia="Arial" w:hAnsi="Arial"/>
          <w:sz w:val="18"/>
          <w:szCs w:val="18"/>
          <w:i w:val="1"/>
          <w:iCs w:val="1"/>
          <w:color w:val="auto"/>
        </w:rPr>
        <w:t xml:space="preserve"> </w:t>
      </w:r>
      <w:r>
        <w:rPr>
          <w:rFonts w:ascii="Arial" w:cs="Arial" w:eastAsia="Arial" w:hAnsi="Arial"/>
          <w:sz w:val="18"/>
          <w:szCs w:val="18"/>
          <w:color w:val="auto"/>
        </w:rPr>
        <w:t>alleging infringement of U.S. Patent Nos. 6,697,415; 5,844,893; 5,740,366; 7,916,747; 6,665,536; 7,013,138; 7,107,052; 5,546,397; 7,710,907; 7,710,935; 6,714,559; 7,457,646; and 6,374,311, purportedly related to certain wireless technology. The complaint seeks unspecified damages. On October 11, 2016, the case was dismissed with prejudice.</w:t>
      </w:r>
    </w:p>
    <w:p>
      <w:pPr>
        <w:spacing w:after="0" w:line="143"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i w:val="1"/>
          <w:iCs w:val="1"/>
          <w:color w:val="auto"/>
        </w:rPr>
        <w:t xml:space="preserve">Luna Litigation and Consolidated Cases. </w:t>
      </w:r>
      <w:r>
        <w:rPr>
          <w:rFonts w:ascii="Arial" w:cs="Arial" w:eastAsia="Arial" w:hAnsi="Arial"/>
          <w:sz w:val="16"/>
          <w:szCs w:val="16"/>
          <w:color w:val="auto"/>
        </w:rPr>
        <w:t>On September 11, 2015, Daniel Luna filed an action asserting putative class action claims on behalf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 On October 12, 2016, the Court granted Defendants’ motions to dismiss with leave to amend and granted lead plaintiff 30 days to file an amended complaint. The parties agreed that the plaintiffs shall file and serve an amended complaint by November 28, 2016. Plaintiffs filed and served the amended complaint on November 28, 2016. Defendants have until January 16, 2017 to answer, move to dismiss, or otherwise respond to the complaint.</w:t>
      </w:r>
    </w:p>
    <w:p>
      <w:pPr>
        <w:spacing w:after="0" w:line="118" w:lineRule="exact"/>
        <w:rPr>
          <w:sz w:val="20"/>
          <w:szCs w:val="20"/>
          <w:color w:val="auto"/>
        </w:rPr>
      </w:pPr>
    </w:p>
    <w:p>
      <w:pPr>
        <w:ind w:right="100" w:firstLine="456"/>
        <w:spacing w:after="0" w:line="290" w:lineRule="auto"/>
        <w:rPr>
          <w:sz w:val="20"/>
          <w:szCs w:val="20"/>
          <w:color w:val="auto"/>
        </w:rPr>
      </w:pPr>
      <w:r>
        <w:rPr>
          <w:rFonts w:ascii="Arial" w:cs="Arial" w:eastAsia="Arial" w:hAnsi="Arial"/>
          <w:sz w:val="16"/>
          <w:szCs w:val="16"/>
          <w:i w:val="1"/>
          <w:iCs w:val="1"/>
          <w:color w:val="auto"/>
        </w:rPr>
        <w:t xml:space="preserve">Saratoga Litigation. </w:t>
      </w:r>
      <w:r>
        <w:rPr>
          <w:rFonts w:ascii="Arial" w:cs="Arial" w:eastAsia="Arial" w:hAnsi="Arial"/>
          <w:sz w:val="16"/>
          <w:szCs w:val="16"/>
          <w:color w:val="auto"/>
        </w:rPr>
        <w:t>On October 16, 2015, Saratoga Advantage Trust Technology &amp; Communications Portfolio (“Saratoga”) filed an action asserting</w:t>
      </w:r>
      <w:r>
        <w:rPr>
          <w:rFonts w:ascii="Arial" w:cs="Arial" w:eastAsia="Arial" w:hAnsi="Arial"/>
          <w:sz w:val="16"/>
          <w:szCs w:val="16"/>
          <w:i w:val="1"/>
          <w:iCs w:val="1"/>
          <w:color w:val="auto"/>
        </w:rPr>
        <w:t xml:space="preserve"> </w:t>
      </w:r>
      <w:r>
        <w:rPr>
          <w:rFonts w:ascii="Arial" w:cs="Arial" w:eastAsia="Arial" w:hAnsi="Arial"/>
          <w:sz w:val="16"/>
          <w:szCs w:val="16"/>
          <w:color w:val="auto"/>
        </w:rPr>
        <w:t>shareholder derivative claims ostensibly on behalf of the Company in the Superior Court of the State of California, County of Santa Clara. The complaint names eight current or former officers and/or directors (Sehat Sutardja, Weili Dai, Juergen Gromer, Arturo Krueger, John Kassakian, Randhir Thakur, Michael Rashkin, and Sukhi Nagesh) as defendants and asserts various California state law causes of action based on allegations that the Company and the named officers and directors made, caused to be made, or failed to correct false and/or misleading statements in the Company’s press releases and public filings, leading to the filing of securities class actions that allegedly damaged the Company. The Company was named as a nominal defendant. The complaint requests damages and restitution in unspecified amounts, equitable and/or injunctive relief, costs and fees of bringing the action, and other unspecified relief.</w:t>
      </w:r>
    </w:p>
    <w:p>
      <w:pPr>
        <w:spacing w:after="0" w:line="118" w:lineRule="exact"/>
        <w:rPr>
          <w:sz w:val="20"/>
          <w:szCs w:val="20"/>
          <w:color w:val="auto"/>
        </w:rPr>
      </w:pPr>
    </w:p>
    <w:p>
      <w:pPr>
        <w:ind w:right="100" w:firstLine="456"/>
        <w:spacing w:after="0" w:line="294" w:lineRule="auto"/>
        <w:rPr>
          <w:sz w:val="20"/>
          <w:szCs w:val="20"/>
          <w:color w:val="auto"/>
        </w:rPr>
      </w:pPr>
      <w:r>
        <w:rPr>
          <w:rFonts w:ascii="Arial" w:cs="Arial" w:eastAsia="Arial" w:hAnsi="Arial"/>
          <w:sz w:val="16"/>
          <w:szCs w:val="16"/>
          <w:color w:val="auto"/>
        </w:rPr>
        <w:t>On October 23, 2015, the Company removed the action to the N.D. of California. On December 21, 2015, the N.D. of California denied Saratoga’s motion to remand. On December 21, 2015, the N.D. of California granted the Company’s motion to deem the action related to the consolidated Luna actions, discussed above. On January 22, 2016, the Company filed a motion to dismiss the complaint; on March 25, 2016, the N.D. of California held a hearing on the motion and took the matter under submission. On August 16, 2016, the court granted the Company’s motion and gave plaintiff 30 days leave to amend the complaint, (until September 15, 2016). The parties agreed to a stipulated dismissal, and on September 15, 2016, the case was dismissed with prejudice.</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On May 14, 2014, the Company filed a Notice of Appeal to appeal the final judgment issued by the W.D. of Pennsylvania in the CMU litigation. In order to stay the execution of the final judgment pending its appeal, the Company filed a supersedeas bond for $1.54 billion with the W.D. of Pennsylvania in the event the Company did not fully satisfy a final judgment as affirmed after the completion of all appellate proceedings. The bond was issued by a consortium of sureties authorized by the U.S. Treasury.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However, the indemnity agreements provide that each of the sureties have the right to demand to be placed in funds or call for collateral under pre-defined events.</w:t>
      </w:r>
    </w:p>
    <w:p>
      <w:pPr>
        <w:spacing w:after="0" w:line="147" w:lineRule="exact"/>
        <w:rPr>
          <w:sz w:val="20"/>
          <w:szCs w:val="20"/>
          <w:color w:val="auto"/>
        </w:rPr>
      </w:pPr>
    </w:p>
    <w:p>
      <w:pPr>
        <w:ind w:right="420" w:firstLine="456"/>
        <w:spacing w:after="0" w:line="259" w:lineRule="auto"/>
        <w:rPr>
          <w:sz w:val="20"/>
          <w:szCs w:val="20"/>
          <w:color w:val="auto"/>
        </w:rPr>
      </w:pPr>
      <w:r>
        <w:rPr>
          <w:rFonts w:ascii="Arial" w:cs="Arial" w:eastAsia="Arial" w:hAnsi="Arial"/>
          <w:sz w:val="18"/>
          <w:szCs w:val="18"/>
          <w:color w:val="auto"/>
        </w:rPr>
        <w:t>On November 14, 2014, the Company filed a second surety bond for $216 million and filed a commitment letter from the sureties to issue up to an additional $95 million in bonding under certain conditions. The second bond and commitment are secured by the Company’s campus located in Santa Clara, California, which has a carrying value of $128.3 million at October 29, 2016.</w:t>
      </w:r>
    </w:p>
    <w:p>
      <w:pPr>
        <w:spacing w:after="0" w:line="140"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In connection with the settlement that was reached with CMU for a total $750 million in February 2016, the primary supersedeas bond that the Company entered into was reduced to $439 million and the secondary bond was adjusted to $311 million and both were discharged pursuant to an order releasing supersedeas bonds on April 21, 2016. For additional information, see CMU litigation under “Contingencies” above.</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226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Time-Based Options</w:t>
            </w:r>
          </w:p>
        </w:tc>
        <w:tc>
          <w:tcPr>
            <w:tcW w:w="1980" w:type="dxa"/>
            <w:vAlign w:val="bottom"/>
            <w:gridSpan w:val="5"/>
          </w:tcPr>
          <w:p>
            <w:pPr>
              <w:ind w:left="14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2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2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40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jc w:val="right"/>
              <w:ind w:right="540"/>
              <w:spacing w:after="0" w:line="149" w:lineRule="exact"/>
              <w:rPr>
                <w:sz w:val="20"/>
                <w:szCs w:val="20"/>
                <w:color w:val="auto"/>
              </w:rPr>
            </w:pPr>
            <w:r>
              <w:rPr>
                <w:rFonts w:ascii="Arial" w:cs="Arial" w:eastAsia="Arial" w:hAnsi="Arial"/>
                <w:sz w:val="14"/>
                <w:szCs w:val="14"/>
                <w:b w:val="1"/>
                <w:bCs w:val="1"/>
                <w:color w:val="auto"/>
                <w:w w:val="85"/>
              </w:rPr>
              <w:t>Weighted</w:t>
            </w: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4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5"/>
              </w:rPr>
              <w:t>Weighted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200" w:type="dxa"/>
            <w:vAlign w:val="bottom"/>
          </w:tcPr>
          <w:p>
            <w:pPr>
              <w:spacing w:after="0"/>
              <w:rPr>
                <w:sz w:val="12"/>
                <w:szCs w:val="12"/>
                <w:color w:val="auto"/>
              </w:rPr>
            </w:pPr>
          </w:p>
        </w:tc>
        <w:tc>
          <w:tcPr>
            <w:tcW w:w="1040" w:type="dxa"/>
            <w:vAlign w:val="bottom"/>
            <w:gridSpan w:val="2"/>
          </w:tcPr>
          <w:p>
            <w:pPr>
              <w:jc w:val="right"/>
              <w:ind w:right="400"/>
              <w:spacing w:after="0" w:line="149" w:lineRule="exact"/>
              <w:rPr>
                <w:sz w:val="20"/>
                <w:szCs w:val="20"/>
                <w:color w:val="auto"/>
              </w:rPr>
            </w:pPr>
            <w:r>
              <w:rPr>
                <w:rFonts w:ascii="Arial" w:cs="Arial" w:eastAsia="Arial" w:hAnsi="Arial"/>
                <w:sz w:val="14"/>
                <w:szCs w:val="14"/>
                <w:b w:val="1"/>
                <w:bCs w:val="1"/>
                <w:color w:val="auto"/>
                <w:w w:val="88"/>
              </w:rPr>
              <w:t>Number of</w:t>
            </w:r>
          </w:p>
        </w:tc>
        <w:tc>
          <w:tcPr>
            <w:tcW w:w="120" w:type="dxa"/>
            <w:vAlign w:val="bottom"/>
          </w:tcPr>
          <w:p>
            <w:pPr>
              <w:spacing w:after="0"/>
              <w:rPr>
                <w:sz w:val="12"/>
                <w:szCs w:val="12"/>
                <w:color w:val="auto"/>
              </w:rPr>
            </w:pPr>
          </w:p>
        </w:tc>
        <w:tc>
          <w:tcPr>
            <w:tcW w:w="1100" w:type="dxa"/>
            <w:vAlign w:val="bottom"/>
            <w:gridSpan w:val="2"/>
          </w:tcPr>
          <w:p>
            <w:pPr>
              <w:jc w:val="right"/>
              <w:ind w:right="580"/>
              <w:spacing w:after="0" w:line="149" w:lineRule="exact"/>
              <w:rPr>
                <w:sz w:val="20"/>
                <w:szCs w:val="20"/>
                <w:color w:val="auto"/>
              </w:rPr>
            </w:pPr>
            <w:r>
              <w:rPr>
                <w:rFonts w:ascii="Arial" w:cs="Arial" w:eastAsia="Arial" w:hAnsi="Arial"/>
                <w:sz w:val="14"/>
                <w:szCs w:val="14"/>
                <w:b w:val="1"/>
                <w:bCs w:val="1"/>
                <w:color w:val="auto"/>
                <w:w w:val="90"/>
              </w:rPr>
              <w:t>Average</w:t>
            </w:r>
          </w:p>
        </w:tc>
        <w:tc>
          <w:tcPr>
            <w:tcW w:w="1040" w:type="dxa"/>
            <w:vAlign w:val="bottom"/>
            <w:gridSpan w:val="2"/>
          </w:tcPr>
          <w:p>
            <w:pPr>
              <w:jc w:val="right"/>
              <w:ind w:right="420"/>
              <w:spacing w:after="0" w:line="149" w:lineRule="exact"/>
              <w:rPr>
                <w:sz w:val="20"/>
                <w:szCs w:val="20"/>
                <w:color w:val="auto"/>
              </w:rPr>
            </w:pPr>
            <w:r>
              <w:rPr>
                <w:rFonts w:ascii="Arial" w:cs="Arial" w:eastAsia="Arial" w:hAnsi="Arial"/>
                <w:sz w:val="14"/>
                <w:szCs w:val="14"/>
                <w:b w:val="1"/>
                <w:bCs w:val="1"/>
                <w:color w:val="auto"/>
                <w:w w:val="85"/>
              </w:rPr>
              <w:t>Number of</w:t>
            </w:r>
          </w:p>
        </w:tc>
        <w:tc>
          <w:tcPr>
            <w:tcW w:w="9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Exercise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200" w:type="dxa"/>
            <w:vAlign w:val="bottom"/>
          </w:tcPr>
          <w:p>
            <w:pPr>
              <w:spacing w:after="0"/>
              <w:rPr>
                <w:sz w:val="14"/>
                <w:szCs w:val="14"/>
                <w:color w:val="auto"/>
              </w:rPr>
            </w:pPr>
          </w:p>
        </w:tc>
        <w:tc>
          <w:tcPr>
            <w:tcW w:w="10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Shares</w:t>
            </w:r>
          </w:p>
        </w:tc>
        <w:tc>
          <w:tcPr>
            <w:tcW w:w="122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104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84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7"/>
              </w:rPr>
              <w:t>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30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0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40,874</w:t>
            </w:r>
          </w:p>
        </w:tc>
        <w:tc>
          <w:tcPr>
            <w:tcW w:w="4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13.59</w:t>
            </w:r>
          </w:p>
        </w:tc>
        <w:tc>
          <w:tcPr>
            <w:tcW w:w="40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8"/>
              </w:rPr>
              <w:t>15.43</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43,030</w:t>
            </w:r>
          </w:p>
        </w:tc>
        <w:tc>
          <w:tcPr>
            <w:tcW w:w="10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tcPr>
          <w:p>
            <w:pPr>
              <w:ind w:left="420"/>
              <w:spacing w:after="0"/>
              <w:rPr>
                <w:sz w:val="20"/>
                <w:szCs w:val="20"/>
                <w:color w:val="auto"/>
              </w:rPr>
            </w:pPr>
            <w:r>
              <w:rPr>
                <w:rFonts w:ascii="Arial" w:cs="Arial" w:eastAsia="Arial" w:hAnsi="Arial"/>
                <w:sz w:val="18"/>
                <w:szCs w:val="18"/>
                <w:color w:val="auto"/>
              </w:rPr>
              <w:t>Granted</w:t>
            </w:r>
          </w:p>
        </w:tc>
        <w:tc>
          <w:tcPr>
            <w:tcW w:w="640" w:type="dxa"/>
            <w:vAlign w:val="bottom"/>
          </w:tcPr>
          <w:p>
            <w:pPr>
              <w:jc w:val="right"/>
              <w:spacing w:after="0"/>
              <w:rPr>
                <w:sz w:val="20"/>
                <w:szCs w:val="20"/>
                <w:color w:val="auto"/>
              </w:rPr>
            </w:pPr>
            <w:r>
              <w:rPr>
                <w:rFonts w:ascii="Arial" w:cs="Arial" w:eastAsia="Arial" w:hAnsi="Arial"/>
                <w:sz w:val="18"/>
                <w:szCs w:val="18"/>
                <w:color w:val="auto"/>
              </w:rPr>
              <w:t>2,105</w:t>
            </w:r>
          </w:p>
        </w:tc>
        <w:tc>
          <w:tcPr>
            <w:tcW w:w="400" w:type="dxa"/>
            <w:vAlign w:val="bottom"/>
          </w:tcPr>
          <w:p>
            <w:pPr>
              <w:spacing w:after="0"/>
              <w:rPr>
                <w:sz w:val="18"/>
                <w:szCs w:val="18"/>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9.99</w:t>
            </w:r>
          </w:p>
        </w:tc>
        <w:tc>
          <w:tcPr>
            <w:tcW w:w="1040" w:type="dxa"/>
            <w:vAlign w:val="bottom"/>
            <w:gridSpan w:val="2"/>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jc w:val="center"/>
              <w:ind w:right="30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2,105</w:t>
            </w:r>
          </w:p>
        </w:tc>
        <w:tc>
          <w:tcPr>
            <w:tcW w:w="100" w:type="dxa"/>
            <w:vAlign w:val="bottom"/>
          </w:tcPr>
          <w:p>
            <w:pPr>
              <w:spacing w:after="0"/>
              <w:rPr>
                <w:sz w:val="18"/>
                <w:szCs w:val="18"/>
                <w:color w:val="auto"/>
              </w:rPr>
            </w:pP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10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(1,202)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9.85</w:t>
            </w:r>
          </w:p>
        </w:tc>
        <w:tc>
          <w:tcPr>
            <w:tcW w:w="10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jc w:val="center"/>
              <w:ind w:right="30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(1,202)</w:t>
            </w: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20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40" w:type="dxa"/>
            <w:vAlign w:val="bottom"/>
            <w:gridSpan w:val="2"/>
          </w:tcPr>
          <w:p>
            <w:pPr>
              <w:jc w:val="right"/>
              <w:ind w:right="340"/>
              <w:spacing w:after="0"/>
              <w:rPr>
                <w:sz w:val="20"/>
                <w:szCs w:val="20"/>
                <w:color w:val="auto"/>
              </w:rPr>
            </w:pPr>
            <w:r>
              <w:rPr>
                <w:rFonts w:ascii="Arial" w:cs="Arial" w:eastAsia="Arial" w:hAnsi="Arial"/>
                <w:sz w:val="18"/>
                <w:szCs w:val="18"/>
                <w:color w:val="auto"/>
              </w:rPr>
              <w:t>(4,292)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19.44</w:t>
            </w:r>
          </w:p>
        </w:tc>
        <w:tc>
          <w:tcPr>
            <w:tcW w:w="1040" w:type="dxa"/>
            <w:vAlign w:val="bottom"/>
            <w:gridSpan w:val="2"/>
          </w:tcPr>
          <w:p>
            <w:pPr>
              <w:jc w:val="right"/>
              <w:ind w:right="360"/>
              <w:spacing w:after="0"/>
              <w:rPr>
                <w:sz w:val="20"/>
                <w:szCs w:val="20"/>
                <w:color w:val="auto"/>
              </w:rPr>
            </w:pPr>
            <w:r>
              <w:rPr>
                <w:rFonts w:ascii="Arial" w:cs="Arial" w:eastAsia="Arial" w:hAnsi="Arial"/>
                <w:sz w:val="18"/>
                <w:szCs w:val="18"/>
                <w:color w:val="auto"/>
              </w:rPr>
              <w:t>(2,156)</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jc w:val="center"/>
              <w:spacing w:after="0"/>
              <w:rPr>
                <w:sz w:val="20"/>
                <w:szCs w:val="20"/>
                <w:color w:val="auto"/>
              </w:rPr>
            </w:pPr>
            <w:r>
              <w:rPr>
                <w:rFonts w:ascii="Arial" w:cs="Arial" w:eastAsia="Arial" w:hAnsi="Arial"/>
                <w:sz w:val="18"/>
                <w:szCs w:val="18"/>
                <w:color w:val="auto"/>
                <w:w w:val="88"/>
              </w:rPr>
              <w:t>15.43</w:t>
            </w:r>
          </w:p>
        </w:tc>
        <w:tc>
          <w:tcPr>
            <w:tcW w:w="38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(6,448)</w:t>
            </w:r>
          </w:p>
        </w:tc>
        <w:tc>
          <w:tcPr>
            <w:tcW w:w="420" w:type="dxa"/>
            <w:vAlign w:val="bottom"/>
            <w:gridSpan w:val="2"/>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18.09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2016</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37,485</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12.84</w:t>
            </w:r>
          </w:p>
        </w:tc>
        <w:tc>
          <w:tcPr>
            <w:tcW w:w="640" w:type="dxa"/>
            <w:vAlign w:val="bottom"/>
            <w:tcBorders>
              <w:top w:val="single" w:sz="8" w:color="auto"/>
              <w:bottom w:val="single" w:sz="8" w:color="auto"/>
            </w:tcBorders>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37,485</w:t>
            </w:r>
          </w:p>
        </w:tc>
        <w:tc>
          <w:tcPr>
            <w:tcW w:w="100" w:type="dxa"/>
            <w:vAlign w:val="bottom"/>
            <w:shd w:val="clear" w:color="auto" w:fill="CCEEFF"/>
          </w:tcPr>
          <w:p>
            <w:pPr>
              <w:spacing w:after="0"/>
              <w:rPr>
                <w:sz w:val="18"/>
                <w:szCs w:val="18"/>
                <w:color w:val="auto"/>
              </w:rPr>
            </w:pPr>
          </w:p>
        </w:tc>
        <w:tc>
          <w:tcPr>
            <w:tcW w:w="42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2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October 29, 2016</w:t>
            </w: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vMerge w:val="restart"/>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vMerge w:val="restart"/>
          </w:tcPr>
          <w:p>
            <w:pPr>
              <w:jc w:val="right"/>
              <w:ind w:right="400"/>
              <w:spacing w:after="0"/>
              <w:rPr>
                <w:sz w:val="20"/>
                <w:szCs w:val="20"/>
                <w:color w:val="auto"/>
              </w:rPr>
            </w:pPr>
            <w:r>
              <w:rPr>
                <w:rFonts w:ascii="Arial" w:cs="Arial" w:eastAsia="Arial" w:hAnsi="Arial"/>
                <w:sz w:val="18"/>
                <w:szCs w:val="18"/>
                <w:color w:val="auto"/>
              </w:rPr>
              <w:t>12.82</w:t>
            </w: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220" w:type="dxa"/>
            <w:vAlign w:val="bottom"/>
            <w:gridSpan w:val="2"/>
            <w:vMerge w:val="continue"/>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36,155</w:t>
            </w:r>
          </w:p>
        </w:tc>
        <w:tc>
          <w:tcPr>
            <w:tcW w:w="400" w:type="dxa"/>
            <w:vAlign w:val="bottom"/>
          </w:tcPr>
          <w:p>
            <w:pPr>
              <w:spacing w:after="0"/>
              <w:rPr>
                <w:sz w:val="18"/>
                <w:szCs w:val="18"/>
                <w:color w:val="auto"/>
              </w:rPr>
            </w:pPr>
          </w:p>
        </w:tc>
        <w:tc>
          <w:tcPr>
            <w:tcW w:w="120" w:type="dxa"/>
            <w:vAlign w:val="bottom"/>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October 29, 2016</w:t>
            </w:r>
          </w:p>
        </w:tc>
        <w:tc>
          <w:tcPr>
            <w:tcW w:w="6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22,875</w:t>
            </w:r>
          </w:p>
        </w:tc>
        <w:tc>
          <w:tcPr>
            <w:tcW w:w="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12.71</w:t>
            </w:r>
          </w:p>
        </w:tc>
        <w:tc>
          <w:tcPr>
            <w:tcW w:w="6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For time-based stock options vested and expected to vest at October 29, 2016, the aggregate intrinsic value was $54.0 million and the weighted average remaining contractual term was 5.5 years. For time-based stock options exercisable at October 29, 2016, the aggregate intrinsic value was $39.3 million and the weighted average remaining contractual term was 4.1 years. The aggregate intrinsic value of stock options exercised during the three months ended October 29, 2016 and October 31, 2015 was $2.9 million and $0.7 million, respectively. The aggregate intrinsic value of stock options exercised during the nine months ended October 29, 2016 and October 31, 2015 was $3.0 million and $9.5 million, respectively. The market-based stock options automatically expired in April 2016 since the market price conditions were not met within the required five years from date of grant. The Company’s closing stock price of $13.10 as reported on the NASDAQ Global Select Market for all in-the-money options as of October 28, 2016 (last trading day of the quarter) was used to calculate the aggregate intrinsic value.</w:t>
      </w:r>
    </w:p>
    <w:p>
      <w:pPr>
        <w:spacing w:after="0" w:line="145"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As of October 29, 2016, the unamortized compensation expense was $22.0 million for time-based stock options. The unamortized compensation expense for time-based stock options will be amortized on a straight-line basis and is expected to be recognized over a weighted average period of 1.7 years.</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120" w:type="dxa"/>
            <w:vAlign w:val="bottom"/>
            <w:gridSpan w:val="3"/>
          </w:tcPr>
          <w:p>
            <w:pPr>
              <w:ind w:left="440"/>
              <w:spacing w:after="0"/>
              <w:rPr>
                <w:sz w:val="20"/>
                <w:szCs w:val="20"/>
                <w:color w:val="auto"/>
              </w:rPr>
            </w:pPr>
            <w:r>
              <w:rPr>
                <w:rFonts w:ascii="Arial" w:cs="Arial" w:eastAsia="Arial" w:hAnsi="Arial"/>
                <w:sz w:val="14"/>
                <w:szCs w:val="14"/>
                <w:b w:val="1"/>
                <w:bCs w:val="1"/>
                <w:color w:val="auto"/>
                <w:w w:val="83"/>
              </w:rPr>
              <w:t>Time-Based</w:t>
            </w:r>
          </w:p>
        </w:tc>
        <w:tc>
          <w:tcPr>
            <w:tcW w:w="44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960" w:type="dxa"/>
            <w:vAlign w:val="bottom"/>
            <w:gridSpan w:val="5"/>
          </w:tcPr>
          <w:p>
            <w:pPr>
              <w:ind w:left="220"/>
              <w:spacing w:after="0"/>
              <w:rPr>
                <w:sz w:val="20"/>
                <w:szCs w:val="20"/>
                <w:color w:val="auto"/>
              </w:rPr>
            </w:pPr>
            <w:r>
              <w:rPr>
                <w:rFonts w:ascii="Arial" w:cs="Arial" w:eastAsia="Arial" w:hAnsi="Arial"/>
                <w:sz w:val="14"/>
                <w:szCs w:val="14"/>
                <w:b w:val="1"/>
                <w:bCs w:val="1"/>
                <w:color w:val="auto"/>
              </w:rPr>
              <w:t>Performance-Based</w:t>
            </w:r>
          </w:p>
        </w:tc>
        <w:tc>
          <w:tcPr>
            <w:tcW w:w="1980" w:type="dxa"/>
            <w:vAlign w:val="bottom"/>
            <w:gridSpan w:val="6"/>
          </w:tcPr>
          <w:p>
            <w:pPr>
              <w:ind w:left="400"/>
              <w:spacing w:after="0"/>
              <w:rPr>
                <w:sz w:val="20"/>
                <w:szCs w:val="20"/>
                <w:color w:val="auto"/>
              </w:rPr>
            </w:pPr>
            <w:r>
              <w:rPr>
                <w:rFonts w:ascii="Arial" w:cs="Arial" w:eastAsia="Arial" w:hAnsi="Arial"/>
                <w:sz w:val="14"/>
                <w:szCs w:val="14"/>
                <w:b w:val="1"/>
                <w:bCs w:val="1"/>
                <w:color w:val="auto"/>
              </w:rPr>
              <w:t>Market-Based</w:t>
            </w:r>
          </w:p>
        </w:tc>
        <w:tc>
          <w:tcPr>
            <w:tcW w:w="640" w:type="dxa"/>
            <w:vAlign w:val="bottom"/>
          </w:tcPr>
          <w:p>
            <w:pPr>
              <w:spacing w:after="0"/>
              <w:rPr>
                <w:sz w:val="14"/>
                <w:szCs w:val="14"/>
                <w:color w:val="auto"/>
              </w:rPr>
            </w:pPr>
          </w:p>
        </w:tc>
        <w:tc>
          <w:tcPr>
            <w:tcW w:w="400" w:type="dxa"/>
            <w:vAlign w:val="bottom"/>
          </w:tcPr>
          <w:p>
            <w:pPr>
              <w:jc w:val="right"/>
              <w:ind w:right="32"/>
              <w:spacing w:after="0"/>
              <w:rPr>
                <w:sz w:val="20"/>
                <w:szCs w:val="20"/>
                <w:color w:val="auto"/>
              </w:rPr>
            </w:pPr>
            <w:r>
              <w:rPr>
                <w:rFonts w:ascii="Arial" w:cs="Arial" w:eastAsia="Arial" w:hAnsi="Arial"/>
                <w:sz w:val="14"/>
                <w:szCs w:val="14"/>
                <w:b w:val="1"/>
                <w:bCs w:val="1"/>
                <w:color w:val="auto"/>
                <w:w w:val="83"/>
              </w:rPr>
              <w:t>Total</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20" w:type="dxa"/>
            <w:vAlign w:val="bottom"/>
          </w:tcPr>
          <w:p>
            <w:pPr>
              <w:spacing w:after="0"/>
              <w:rPr>
                <w:sz w:val="11"/>
                <w:szCs w:val="11"/>
                <w:color w:val="auto"/>
              </w:rPr>
            </w:pPr>
          </w:p>
        </w:tc>
        <w:tc>
          <w:tcPr>
            <w:tcW w:w="38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2"/>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82"/>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4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38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40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2"/>
              </w:rPr>
              <w:t>Weighted</w:t>
            </w:r>
          </w:p>
        </w:tc>
        <w:tc>
          <w:tcPr>
            <w:tcW w:w="100" w:type="dxa"/>
            <w:vAlign w:val="bottom"/>
          </w:tcPr>
          <w:p>
            <w:pPr>
              <w:spacing w:after="0"/>
              <w:rPr>
                <w:sz w:val="11"/>
                <w:szCs w:val="11"/>
                <w:color w:val="auto"/>
              </w:rPr>
            </w:pP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gridSpan w:val="3"/>
          </w:tcPr>
          <w:p>
            <w:pPr>
              <w:jc w:val="center"/>
              <w:ind w:right="38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4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0"/>
              </w:rPr>
              <w:t>Grant</w:t>
            </w: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940" w:type="dxa"/>
            <w:vAlign w:val="bottom"/>
            <w:gridSpan w:val="3"/>
          </w:tcPr>
          <w:p>
            <w:pPr>
              <w:jc w:val="center"/>
              <w:ind w:right="400"/>
              <w:spacing w:after="0" w:line="149" w:lineRule="exact"/>
              <w:rPr>
                <w:sz w:val="20"/>
                <w:szCs w:val="20"/>
                <w:color w:val="auto"/>
              </w:rPr>
            </w:pPr>
            <w:r>
              <w:rPr>
                <w:rFonts w:ascii="Arial" w:cs="Arial" w:eastAsia="Arial" w:hAnsi="Arial"/>
                <w:sz w:val="14"/>
                <w:szCs w:val="14"/>
                <w:b w:val="1"/>
                <w:bCs w:val="1"/>
                <w:color w:val="auto"/>
                <w:w w:val="90"/>
              </w:rPr>
              <w:t>Grant</w:t>
            </w: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9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Grant</w:t>
            </w: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Grant</w:t>
            </w: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5"/>
              </w:rPr>
              <w:t>Date</w:t>
            </w:r>
          </w:p>
        </w:tc>
        <w:tc>
          <w:tcPr>
            <w:tcW w:w="64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5"/>
              </w:rPr>
              <w:t>Date</w:t>
            </w:r>
          </w:p>
        </w:tc>
        <w:tc>
          <w:tcPr>
            <w:tcW w:w="6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5"/>
              </w:rPr>
              <w:t>Date</w:t>
            </w:r>
          </w:p>
        </w:tc>
      </w:tr>
      <w:tr>
        <w:trPr>
          <w:trHeight w:val="149"/>
        </w:trPr>
        <w:tc>
          <w:tcPr>
            <w:tcW w:w="20" w:type="dxa"/>
            <w:vAlign w:val="bottom"/>
          </w:tcPr>
          <w:p>
            <w:pPr>
              <w:spacing w:after="0"/>
              <w:rPr>
                <w:sz w:val="12"/>
                <w:szCs w:val="12"/>
                <w:color w:val="auto"/>
              </w:rPr>
            </w:pPr>
          </w:p>
        </w:tc>
        <w:tc>
          <w:tcPr>
            <w:tcW w:w="3840" w:type="dxa"/>
            <w:vAlign w:val="bottom"/>
          </w:tcPr>
          <w:p>
            <w:pPr>
              <w:spacing w:after="0"/>
              <w:rPr>
                <w:sz w:val="12"/>
                <w:szCs w:val="12"/>
                <w:color w:val="auto"/>
              </w:rPr>
            </w:pP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8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rPr>
              <w:t>Fair</w:t>
            </w:r>
          </w:p>
        </w:tc>
        <w:tc>
          <w:tcPr>
            <w:tcW w:w="102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8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Fair</w:t>
            </w:r>
          </w:p>
        </w:tc>
        <w:tc>
          <w:tcPr>
            <w:tcW w:w="880" w:type="dxa"/>
            <w:vAlign w:val="bottom"/>
            <w:gridSpan w:val="2"/>
          </w:tcPr>
          <w:p>
            <w:pPr>
              <w:jc w:val="right"/>
              <w:ind w:right="260"/>
              <w:spacing w:after="0" w:line="149" w:lineRule="exact"/>
              <w:rPr>
                <w:sz w:val="20"/>
                <w:szCs w:val="20"/>
                <w:color w:val="auto"/>
              </w:rPr>
            </w:pPr>
            <w:r>
              <w:rPr>
                <w:rFonts w:ascii="Arial" w:cs="Arial" w:eastAsia="Arial" w:hAnsi="Arial"/>
                <w:sz w:val="14"/>
                <w:szCs w:val="14"/>
                <w:b w:val="1"/>
                <w:bCs w:val="1"/>
                <w:color w:val="auto"/>
                <w:w w:val="85"/>
              </w:rPr>
              <w:t>Number of</w:t>
            </w:r>
          </w:p>
        </w:tc>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rPr>
              <w:t>Fair</w:t>
            </w:r>
          </w:p>
        </w:tc>
        <w:tc>
          <w:tcPr>
            <w:tcW w:w="1040" w:type="dxa"/>
            <w:vAlign w:val="bottom"/>
            <w:gridSpan w:val="2"/>
          </w:tcPr>
          <w:p>
            <w:pPr>
              <w:jc w:val="right"/>
              <w:ind w:right="332"/>
              <w:spacing w:after="0" w:line="149" w:lineRule="exact"/>
              <w:rPr>
                <w:sz w:val="20"/>
                <w:szCs w:val="20"/>
                <w:color w:val="auto"/>
              </w:rPr>
            </w:pPr>
            <w:r>
              <w:rPr>
                <w:rFonts w:ascii="Arial" w:cs="Arial" w:eastAsia="Arial" w:hAnsi="Arial"/>
                <w:sz w:val="14"/>
                <w:szCs w:val="14"/>
                <w:b w:val="1"/>
                <w:bCs w:val="1"/>
                <w:color w:val="auto"/>
                <w:w w:val="88"/>
              </w:rPr>
              <w:t>Number of</w:t>
            </w:r>
          </w:p>
        </w:tc>
        <w:tc>
          <w:tcPr>
            <w:tcW w:w="100" w:type="dxa"/>
            <w:vAlign w:val="bottom"/>
          </w:tcPr>
          <w:p>
            <w:pPr>
              <w:spacing w:after="0"/>
              <w:rPr>
                <w:sz w:val="12"/>
                <w:szCs w:val="12"/>
                <w:color w:val="auto"/>
              </w:rPr>
            </w:pPr>
          </w:p>
        </w:tc>
        <w:tc>
          <w:tcPr>
            <w:tcW w:w="5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rPr>
              <w:t>Fair</w:t>
            </w:r>
          </w:p>
        </w:tc>
      </w:t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4"/>
                <w:szCs w:val="14"/>
                <w:color w:val="auto"/>
              </w:rPr>
            </w:pPr>
          </w:p>
        </w:tc>
        <w:tc>
          <w:tcPr>
            <w:tcW w:w="820" w:type="dxa"/>
            <w:vAlign w:val="bottom"/>
            <w:gridSpan w:val="2"/>
          </w:tcPr>
          <w:p>
            <w:pPr>
              <w:jc w:val="center"/>
              <w:ind w:right="500"/>
              <w:spacing w:after="0"/>
              <w:rPr>
                <w:sz w:val="20"/>
                <w:szCs w:val="20"/>
                <w:color w:val="auto"/>
              </w:rPr>
            </w:pPr>
            <w:r>
              <w:rPr>
                <w:rFonts w:ascii="Arial" w:cs="Arial" w:eastAsia="Arial" w:hAnsi="Arial"/>
                <w:sz w:val="14"/>
                <w:szCs w:val="14"/>
                <w:b w:val="1"/>
                <w:bCs w:val="1"/>
                <w:color w:val="auto"/>
                <w:w w:val="85"/>
              </w:rPr>
              <w:t>Value</w:t>
            </w:r>
          </w:p>
        </w:tc>
        <w:tc>
          <w:tcPr>
            <w:tcW w:w="102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84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85"/>
              </w:rPr>
              <w:t>Value</w:t>
            </w:r>
          </w:p>
        </w:tc>
        <w:tc>
          <w:tcPr>
            <w:tcW w:w="880" w:type="dxa"/>
            <w:vAlign w:val="bottom"/>
            <w:gridSpan w:val="2"/>
          </w:tcPr>
          <w:p>
            <w:pPr>
              <w:jc w:val="right"/>
              <w:ind w:right="36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0"/>
              </w:rPr>
              <w:t>Value</w:t>
            </w:r>
          </w:p>
        </w:tc>
        <w:tc>
          <w:tcPr>
            <w:tcW w:w="104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Shares</w:t>
            </w:r>
          </w:p>
        </w:tc>
        <w:tc>
          <w:tcPr>
            <w:tcW w:w="100" w:type="dxa"/>
            <w:vAlign w:val="bottom"/>
          </w:tcPr>
          <w:p>
            <w:pPr>
              <w:spacing w:after="0"/>
              <w:rPr>
                <w:sz w:val="14"/>
                <w:szCs w:val="14"/>
                <w:color w:val="auto"/>
              </w:rPr>
            </w:pPr>
          </w:p>
        </w:tc>
        <w:tc>
          <w:tcPr>
            <w:tcW w:w="5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0"/>
              </w:rPr>
              <w:t>Value</w:t>
            </w:r>
          </w:p>
        </w:tc>
      </w:tr>
      <w:tr>
        <w:trPr>
          <w:trHeight w:val="210"/>
        </w:trPr>
        <w:tc>
          <w:tcPr>
            <w:tcW w:w="20" w:type="dxa"/>
            <w:vAlign w:val="bottom"/>
          </w:tcPr>
          <w:p>
            <w:pPr>
              <w:spacing w:after="0"/>
              <w:rPr>
                <w:sz w:val="18"/>
                <w:szCs w:val="18"/>
                <w:color w:val="auto"/>
              </w:rPr>
            </w:pPr>
          </w:p>
        </w:tc>
        <w:tc>
          <w:tcPr>
            <w:tcW w:w="38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30, 2016</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8,343</w:t>
            </w:r>
          </w:p>
        </w:tc>
        <w:tc>
          <w:tcPr>
            <w:tcW w:w="3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13.57</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977</w:t>
            </w: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4"/>
              </w:rPr>
              <w:t>14.43</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353</w:t>
            </w:r>
          </w:p>
        </w:tc>
        <w:tc>
          <w:tcPr>
            <w:tcW w:w="24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79"/>
              </w:rPr>
              <w:t>12.24</w:t>
            </w:r>
          </w:p>
        </w:tc>
        <w:tc>
          <w:tcPr>
            <w:tcW w:w="38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9,673</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13.61</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8,751</w:t>
            </w: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9.70</w:t>
            </w:r>
          </w:p>
        </w:tc>
        <w:tc>
          <w:tcPr>
            <w:tcW w:w="380" w:type="dxa"/>
            <w:vAlign w:val="bottom"/>
          </w:tcPr>
          <w:p>
            <w:pPr>
              <w:spacing w:after="0"/>
              <w:rPr>
                <w:sz w:val="18"/>
                <w:szCs w:val="18"/>
                <w:color w:val="auto"/>
              </w:rPr>
            </w:pPr>
          </w:p>
        </w:tc>
        <w:tc>
          <w:tcPr>
            <w:tcW w:w="1020" w:type="dxa"/>
            <w:vAlign w:val="bottom"/>
            <w:gridSpan w:val="2"/>
          </w:tcPr>
          <w:p>
            <w:pPr>
              <w:jc w:val="right"/>
              <w:ind w:right="48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554*</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ind w:left="60"/>
              <w:spacing w:after="0"/>
              <w:rPr>
                <w:sz w:val="20"/>
                <w:szCs w:val="20"/>
                <w:color w:val="auto"/>
              </w:rPr>
            </w:pPr>
            <w:r>
              <w:rPr>
                <w:rFonts w:ascii="Arial" w:cs="Arial" w:eastAsia="Arial" w:hAnsi="Arial"/>
                <w:sz w:val="18"/>
                <w:szCs w:val="18"/>
                <w:color w:val="auto"/>
              </w:rPr>
              <w:t>11.71</w:t>
            </w:r>
          </w:p>
        </w:tc>
        <w:tc>
          <w:tcPr>
            <w:tcW w:w="640" w:type="dxa"/>
            <w:vAlign w:val="bottom"/>
          </w:tcPr>
          <w:p>
            <w:pPr>
              <w:jc w:val="right"/>
              <w:spacing w:after="0"/>
              <w:rPr>
                <w:sz w:val="20"/>
                <w:szCs w:val="20"/>
                <w:color w:val="auto"/>
              </w:rPr>
            </w:pPr>
            <w:r>
              <w:rPr>
                <w:rFonts w:ascii="Arial" w:cs="Arial" w:eastAsia="Arial" w:hAnsi="Arial"/>
                <w:sz w:val="18"/>
                <w:szCs w:val="18"/>
                <w:color w:val="auto"/>
              </w:rPr>
              <w:t>9,305</w:t>
            </w:r>
          </w:p>
        </w:tc>
        <w:tc>
          <w:tcPr>
            <w:tcW w:w="40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9.82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(5,367)</w:t>
            </w:r>
          </w:p>
        </w:tc>
        <w:tc>
          <w:tcPr>
            <w:tcW w:w="120" w:type="dxa"/>
            <w:vAlign w:val="bottom"/>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14.00</w:t>
            </w:r>
          </w:p>
        </w:tc>
        <w:tc>
          <w:tcPr>
            <w:tcW w:w="3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(155)</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ind w:left="60"/>
              <w:spacing w:after="0"/>
              <w:rPr>
                <w:sz w:val="20"/>
                <w:szCs w:val="20"/>
                <w:color w:val="auto"/>
              </w:rPr>
            </w:pPr>
            <w:r>
              <w:rPr>
                <w:rFonts w:ascii="Arial" w:cs="Arial" w:eastAsia="Arial" w:hAnsi="Arial"/>
                <w:sz w:val="18"/>
                <w:szCs w:val="18"/>
                <w:color w:val="auto"/>
                <w:w w:val="84"/>
              </w:rPr>
              <w:t>14.15</w:t>
            </w:r>
          </w:p>
        </w:tc>
        <w:tc>
          <w:tcPr>
            <w:tcW w:w="38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272"/>
              <w:spacing w:after="0"/>
              <w:rPr>
                <w:sz w:val="20"/>
                <w:szCs w:val="20"/>
                <w:color w:val="auto"/>
              </w:rPr>
            </w:pPr>
            <w:r>
              <w:rPr>
                <w:rFonts w:ascii="Arial" w:cs="Arial" w:eastAsia="Arial" w:hAnsi="Arial"/>
                <w:sz w:val="18"/>
                <w:szCs w:val="18"/>
                <w:color w:val="auto"/>
              </w:rPr>
              <w:t>(5,522)</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14.00</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8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(961)</w:t>
            </w:r>
          </w:p>
        </w:tc>
        <w:tc>
          <w:tcPr>
            <w:tcW w:w="120" w:type="dxa"/>
            <w:vAlign w:val="bottom"/>
          </w:tcPr>
          <w:p>
            <w:pPr>
              <w:ind w:left="20"/>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11.13</w:t>
            </w:r>
          </w:p>
        </w:tc>
        <w:tc>
          <w:tcPr>
            <w:tcW w:w="380" w:type="dxa"/>
            <w:vAlign w:val="bottom"/>
          </w:tcPr>
          <w:p>
            <w:pPr>
              <w:spacing w:after="0"/>
              <w:rPr>
                <w:sz w:val="19"/>
                <w:szCs w:val="19"/>
                <w:color w:val="auto"/>
              </w:rPr>
            </w:pP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rPr>
              <w:t>(822)</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60" w:type="dxa"/>
            <w:vAlign w:val="bottom"/>
          </w:tcPr>
          <w:p>
            <w:pPr>
              <w:ind w:left="60"/>
              <w:spacing w:after="0"/>
              <w:rPr>
                <w:sz w:val="20"/>
                <w:szCs w:val="20"/>
                <w:color w:val="auto"/>
              </w:rPr>
            </w:pPr>
            <w:r>
              <w:rPr>
                <w:rFonts w:ascii="Arial" w:cs="Arial" w:eastAsia="Arial" w:hAnsi="Arial"/>
                <w:sz w:val="18"/>
                <w:szCs w:val="18"/>
                <w:color w:val="auto"/>
                <w:w w:val="84"/>
              </w:rPr>
              <w:t>14.50</w:t>
            </w:r>
          </w:p>
        </w:tc>
        <w:tc>
          <w:tcPr>
            <w:tcW w:w="380" w:type="dxa"/>
            <w:vAlign w:val="bottom"/>
          </w:tcPr>
          <w:p>
            <w:pPr>
              <w:spacing w:after="0"/>
              <w:rPr>
                <w:sz w:val="19"/>
                <w:szCs w:val="19"/>
                <w:color w:val="auto"/>
              </w:rPr>
            </w:pPr>
          </w:p>
        </w:tc>
        <w:tc>
          <w:tcPr>
            <w:tcW w:w="880" w:type="dxa"/>
            <w:vAlign w:val="bottom"/>
            <w:gridSpan w:val="2"/>
          </w:tcPr>
          <w:p>
            <w:pPr>
              <w:jc w:val="right"/>
              <w:ind w:right="180"/>
              <w:spacing w:after="0"/>
              <w:rPr>
                <w:sz w:val="20"/>
                <w:szCs w:val="20"/>
                <w:color w:val="auto"/>
              </w:rPr>
            </w:pPr>
            <w:r>
              <w:rPr>
                <w:rFonts w:ascii="Arial" w:cs="Arial" w:eastAsia="Arial" w:hAnsi="Arial"/>
                <w:sz w:val="18"/>
                <w:szCs w:val="18"/>
                <w:color w:val="auto"/>
              </w:rPr>
              <w:t>(406)</w:t>
            </w:r>
          </w:p>
        </w:tc>
        <w:tc>
          <w:tcPr>
            <w:tcW w:w="280" w:type="dxa"/>
            <w:vAlign w:val="bottom"/>
            <w:gridSpan w:val="2"/>
          </w:tcPr>
          <w:p>
            <w:pPr>
              <w:ind w:left="180"/>
              <w:spacing w:after="0"/>
              <w:rPr>
                <w:sz w:val="20"/>
                <w:szCs w:val="20"/>
                <w:color w:val="auto"/>
              </w:rPr>
            </w:pPr>
            <w:r>
              <w:rPr>
                <w:rFonts w:ascii="Arial" w:cs="Arial" w:eastAsia="Arial" w:hAnsi="Arial"/>
                <w:sz w:val="18"/>
                <w:szCs w:val="18"/>
                <w:color w:val="auto"/>
                <w:w w:val="79"/>
              </w:rPr>
              <w:t>$</w:t>
            </w:r>
          </w:p>
        </w:tc>
        <w:tc>
          <w:tcPr>
            <w:tcW w:w="820" w:type="dxa"/>
            <w:vAlign w:val="bottom"/>
            <w:gridSpan w:val="2"/>
          </w:tcPr>
          <w:p>
            <w:pPr>
              <w:ind w:left="60"/>
              <w:spacing w:after="0"/>
              <w:rPr>
                <w:sz w:val="20"/>
                <w:szCs w:val="20"/>
                <w:color w:val="auto"/>
              </w:rPr>
            </w:pPr>
            <w:r>
              <w:rPr>
                <w:rFonts w:ascii="Arial" w:cs="Arial" w:eastAsia="Arial" w:hAnsi="Arial"/>
                <w:sz w:val="18"/>
                <w:szCs w:val="18"/>
                <w:color w:val="auto"/>
              </w:rPr>
              <w:t>12.39</w:t>
            </w:r>
          </w:p>
        </w:tc>
        <w:tc>
          <w:tcPr>
            <w:tcW w:w="1040" w:type="dxa"/>
            <w:vAlign w:val="bottom"/>
            <w:gridSpan w:val="2"/>
          </w:tcPr>
          <w:p>
            <w:pPr>
              <w:jc w:val="right"/>
              <w:ind w:right="272"/>
              <w:spacing w:after="0"/>
              <w:rPr>
                <w:sz w:val="20"/>
                <w:szCs w:val="20"/>
                <w:color w:val="auto"/>
              </w:rPr>
            </w:pPr>
            <w:r>
              <w:rPr>
                <w:rFonts w:ascii="Arial" w:cs="Arial" w:eastAsia="Arial" w:hAnsi="Arial"/>
                <w:sz w:val="18"/>
                <w:szCs w:val="18"/>
                <w:color w:val="auto"/>
              </w:rPr>
              <w:t>(2,189)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w w:val="93"/>
              </w:rPr>
              <w:t>12.63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Balance at October 29, 2016</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10,766</w:t>
            </w:r>
          </w:p>
        </w:tc>
        <w:tc>
          <w:tcPr>
            <w:tcW w:w="360" w:type="dxa"/>
            <w:vAlign w:val="bottom"/>
            <w:shd w:val="clear" w:color="auto" w:fill="CCEEFF"/>
          </w:tcPr>
          <w:p>
            <w:pPr>
              <w:spacing w:after="0"/>
              <w:rPr>
                <w:sz w:val="18"/>
                <w:szCs w:val="18"/>
                <w:color w:val="auto"/>
              </w:rPr>
            </w:pPr>
          </w:p>
        </w:tc>
        <w:tc>
          <w:tcPr>
            <w:tcW w:w="120" w:type="dxa"/>
            <w:vAlign w:val="bottom"/>
            <w:shd w:val="clear" w:color="auto" w:fill="CCEEFF"/>
          </w:tcPr>
          <w:p>
            <w:pPr>
              <w:ind w:left="20"/>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10.42</w:t>
            </w:r>
          </w:p>
        </w:tc>
        <w:tc>
          <w:tcPr>
            <w:tcW w:w="380" w:type="dxa"/>
            <w:vAlign w:val="bottom"/>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w:t>
            </w:r>
          </w:p>
        </w:tc>
        <w:tc>
          <w:tcPr>
            <w:tcW w:w="240" w:type="dxa"/>
            <w:vAlign w:val="bottom"/>
            <w:shd w:val="clear" w:color="auto" w:fill="CCEEFF"/>
          </w:tcPr>
          <w:p>
            <w:pPr>
              <w:spacing w:after="0"/>
              <w:rPr>
                <w:sz w:val="18"/>
                <w:szCs w:val="18"/>
                <w:color w:val="auto"/>
              </w:rPr>
            </w:pPr>
          </w:p>
        </w:tc>
        <w:tc>
          <w:tcPr>
            <w:tcW w:w="2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79"/>
              </w:rPr>
              <w:t>$</w:t>
            </w:r>
          </w:p>
        </w:tc>
        <w:tc>
          <w:tcPr>
            <w:tcW w:w="8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11.53</w:t>
            </w:r>
          </w:p>
        </w:tc>
        <w:tc>
          <w:tcPr>
            <w:tcW w:w="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11,267</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10.47</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8" w:lineRule="exact"/>
        <w:rPr>
          <w:sz w:val="20"/>
          <w:szCs w:val="20"/>
          <w:color w:val="auto"/>
        </w:rPr>
      </w:pPr>
    </w:p>
    <w:p>
      <w:pPr>
        <w:ind w:left="220" w:right="1040" w:hanging="212"/>
        <w:spacing w:after="0" w:line="268" w:lineRule="auto"/>
        <w:tabs>
          <w:tab w:leader="none" w:pos="220" w:val="left"/>
        </w:tabs>
        <w:numPr>
          <w:ilvl w:val="0"/>
          <w:numId w:val="3"/>
        </w:numPr>
        <w:rPr>
          <w:rFonts w:ascii="Arial" w:cs="Arial" w:eastAsia="Arial" w:hAnsi="Arial"/>
          <w:sz w:val="18"/>
          <w:szCs w:val="18"/>
          <w:color w:val="auto"/>
        </w:rPr>
      </w:pPr>
      <w:r>
        <w:rPr>
          <w:rFonts w:ascii="Arial" w:cs="Arial" w:eastAsia="Arial" w:hAnsi="Arial"/>
          <w:sz w:val="18"/>
          <w:szCs w:val="18"/>
          <w:color w:val="auto"/>
        </w:rPr>
        <w:t>Amounts represent the target number of restricted stock units at grant date. For these awards granted to our executive officers, up to 150% of the target restricted stock units may vest if the maximum level for performance objectives is achieved.</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August 2016, the Company granted performance-based equity awards to each of its executive officers who recently joined the Company. The Company also granted performance-based equity awards to its Chief Financial Officer in September 2016, when she joined the Company. These equity awards include RSU’s which vest based on the achievement of certain financial goals for which the financial metrics have not yet been approved by the Executive Compensation Committee of the Company’s Board of Directors (“ECC”) and as such, have no grant measurement date for accounting purposes. Therefore, the table presented above excludes the grant of 328,071 shares (based on 100% expected achievement) related to these performance-based RSUs. A portion of the equity awards shall vest based on total shareholder return (each a “Total Shareholder Return Award”). The Total Shareholder Return Awards will vest on the third anniversary of the commencement date based on the achievement of performance objectives relating to relative total shareholder return of the Company’s common shares as compared to that of comparable companies of the Philadelphia Semiconductor Sector Index over performance periods as defined in each award. These Total Shareholder Return Awards are reported in the table presented above as “Market-Based.” Share-based compensation for the Total Shareholder Return Award is measured using the Monte Carlo valuation method since the award is indexed to the price of the Company’s common stock as set forth under the terms of the award.</w:t>
      </w:r>
    </w:p>
    <w:p>
      <w:pPr>
        <w:spacing w:after="0" w:line="127" w:lineRule="exact"/>
        <w:rPr>
          <w:sz w:val="20"/>
          <w:szCs w:val="20"/>
          <w:color w:val="auto"/>
        </w:rPr>
      </w:pPr>
    </w:p>
    <w:p>
      <w:pPr>
        <w:ind w:right="60" w:firstLine="456"/>
        <w:spacing w:after="0" w:line="256" w:lineRule="auto"/>
        <w:rPr>
          <w:sz w:val="20"/>
          <w:szCs w:val="20"/>
          <w:color w:val="auto"/>
        </w:rPr>
      </w:pPr>
      <w:r>
        <w:rPr>
          <w:rFonts w:ascii="Arial" w:cs="Arial" w:eastAsia="Arial" w:hAnsi="Arial"/>
          <w:sz w:val="18"/>
          <w:szCs w:val="18"/>
          <w:color w:val="auto"/>
        </w:rPr>
        <w:t>In connection with the performance-based equity awards granted in fiscal 2016 to each of the Company’s executive officers, a total of 33,616 shares vested on April 1, 2016 based on achieving certain individual strategic goals as evaluated by the ECC. No shares vested for the achievement of financial performance goals since the financial performance criteria were below the threshold level. The amount of canceled shares reported in the table above includes the unvested shares that were not earned.</w:t>
      </w:r>
    </w:p>
    <w:p>
      <w:pPr>
        <w:spacing w:after="0" w:line="143" w:lineRule="exact"/>
        <w:rPr>
          <w:sz w:val="20"/>
          <w:szCs w:val="20"/>
          <w:color w:val="auto"/>
        </w:rPr>
      </w:pPr>
    </w:p>
    <w:p>
      <w:pPr>
        <w:jc w:val="both"/>
        <w:ind w:right="100" w:firstLine="456"/>
        <w:spacing w:after="0" w:line="306" w:lineRule="auto"/>
        <w:rPr>
          <w:sz w:val="20"/>
          <w:szCs w:val="20"/>
          <w:color w:val="auto"/>
        </w:rPr>
      </w:pPr>
      <w:r>
        <w:rPr>
          <w:rFonts w:ascii="Arial" w:cs="Arial" w:eastAsia="Arial" w:hAnsi="Arial"/>
          <w:sz w:val="16"/>
          <w:szCs w:val="16"/>
          <w:color w:val="auto"/>
        </w:rPr>
        <w:t>The Company recognizes expense from performance-based equity awards when it becomes probable that the performance conditions will be met. Once it becomes probable that a performance-based award will vest, the Company recognizes share-based compensation expense equal to the number of shares expected to vest multiplied by the fair value of the award at the grant date, which is amortized using the accelerated method.</w:t>
      </w:r>
    </w:p>
    <w:p>
      <w:pPr>
        <w:spacing w:after="0" w:line="107"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aggregate intrinsic value of restricted stock units expected to vest as of October 29, 2016 was $122.0 million. The number of restricted stock units that are expected to vest is 10.4 million shares. As of October 29, 2016, unamortized compensation expense related to restricted stock units was $75.2 million. The unamortized compensation expense for restricted stock units will be amortized on a straight-line basis and is expected to be recognized over a weighted average period of 1.5 years.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During the three and nine months ended October 29, 2016, the Company issued no shares under the 2000 Employee Stock Purchase Plan, as amended and restated (the “ESPP”) because it was not eligible to issue shares of its common stock due to the delay in the timely filing of its periodic reports with the SEC for the first quarter of fiscal 2017, the year ended January 30, 2016, and the second and third quarters of fiscal 2016. The Company also canceled the June 2016 ESPP purchase and delayed the opening of the new offering period that would have started in June 2016. As a result, the Company refunded $27.2 million of contribution withholdings to its employees and it recorded an additional $6.8 million of share-based compensation expense representing the acceleration of the remaining unamortized compensation expense related to the June 2016 ESPP purchase period. In August 2016, the Company completed the filing of its periodic reports with the SEC and re-opened the ESPP plan. During the three and nine months ended October 31, 2015, a total of 3.2 million shares were issued at a weighted-average price of $11.88 per share under the ESPP. As of October 29, 2016, there was $21.8 million of unrecognized compensation cost related to the ESPP.</w:t>
      </w:r>
    </w:p>
    <w:p>
      <w:pPr>
        <w:spacing w:after="0" w:line="20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160" w:firstLine="456"/>
        <w:spacing w:after="0" w:line="254" w:lineRule="auto"/>
        <w:rPr>
          <w:sz w:val="20"/>
          <w:szCs w:val="20"/>
          <w:color w:val="auto"/>
        </w:rPr>
      </w:pPr>
      <w:r>
        <w:rPr>
          <w:rFonts w:ascii="Arial" w:cs="Arial" w:eastAsia="Arial" w:hAnsi="Arial"/>
          <w:sz w:val="18"/>
          <w:szCs w:val="18"/>
          <w:color w:val="auto"/>
        </w:rPr>
        <w:t>The Company repurchased 4.4 million of its common shares for $56.5 million during the three and nine months ended October 29, 2016. The Company repurchased 3.7 million of its common shares for $45.6 million in cash during the three months ended October 31, 2015 and 19.7 million of its common shares for $260.9 million during the nine months ended October 31, 2015. The repurchased shares were retired immediately after the repurchases were completed. The Company records all repurchases, as well as investment purchases and sales, based on trade date. As of October 29, 2016, a total of 246.0 million shares have been repurchased to date under the Company’s share repurchase program for a total $3.1 billion in cash and there was $126.1 million remaining available for future share repurchases.</w:t>
      </w:r>
    </w:p>
    <w:p>
      <w:pPr>
        <w:spacing w:after="0" w:line="144" w:lineRule="exact"/>
        <w:rPr>
          <w:sz w:val="20"/>
          <w:szCs w:val="20"/>
          <w:color w:val="auto"/>
        </w:rPr>
      </w:pPr>
    </w:p>
    <w:p>
      <w:pPr>
        <w:ind w:right="460" w:firstLine="456"/>
        <w:spacing w:after="0" w:line="268" w:lineRule="auto"/>
        <w:rPr>
          <w:sz w:val="20"/>
          <w:szCs w:val="20"/>
          <w:color w:val="auto"/>
        </w:rPr>
      </w:pPr>
      <w:r>
        <w:rPr>
          <w:rFonts w:ascii="Arial" w:cs="Arial" w:eastAsia="Arial" w:hAnsi="Arial"/>
          <w:sz w:val="18"/>
          <w:szCs w:val="18"/>
          <w:color w:val="auto"/>
        </w:rPr>
        <w:t>Subsequent to the end of the quarter through November 25, 2016, the Company repurchased an additional 0.8 million of its common shares for $10.6 million at an average price per share of $12.86.</w:t>
      </w:r>
    </w:p>
    <w:p>
      <w:pPr>
        <w:spacing w:after="0" w:line="132" w:lineRule="exact"/>
        <w:rPr>
          <w:sz w:val="20"/>
          <w:szCs w:val="20"/>
          <w:color w:val="auto"/>
        </w:rPr>
      </w:pPr>
    </w:p>
    <w:p>
      <w:pPr>
        <w:ind w:right="360" w:firstLine="456"/>
        <w:spacing w:after="0" w:line="259" w:lineRule="auto"/>
        <w:rPr>
          <w:sz w:val="20"/>
          <w:szCs w:val="20"/>
          <w:color w:val="auto"/>
        </w:rPr>
      </w:pPr>
      <w:r>
        <w:rPr>
          <w:rFonts w:ascii="Arial" w:cs="Arial" w:eastAsia="Arial" w:hAnsi="Arial"/>
          <w:sz w:val="18"/>
          <w:szCs w:val="18"/>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27, 2016.</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 (in thousands, except per share amounts):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760" w:type="dxa"/>
            <w:vAlign w:val="bottom"/>
            <w:gridSpan w:val="5"/>
          </w:tcPr>
          <w:p>
            <w:pPr>
              <w:jc w:val="right"/>
              <w:ind w:right="239"/>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860" w:type="dxa"/>
            <w:vAlign w:val="bottom"/>
            <w:gridSpan w:val="5"/>
          </w:tcPr>
          <w:p>
            <w:pPr>
              <w:ind w:left="2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60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4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56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6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0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2016</w:t>
            </w:r>
          </w:p>
        </w:tc>
        <w:tc>
          <w:tcPr>
            <w:tcW w:w="20" w:type="dxa"/>
            <w:vAlign w:val="bottom"/>
            <w:tcBorders>
              <w:bottom w:val="single" w:sz="8" w:color="CCEEFF"/>
            </w:tcBorders>
          </w:tcPr>
          <w:p>
            <w:pPr>
              <w:spacing w:after="0"/>
              <w:rPr>
                <w:sz w:val="14"/>
                <w:szCs w:val="14"/>
                <w:color w:val="auto"/>
              </w:rPr>
            </w:pPr>
          </w:p>
        </w:tc>
        <w:tc>
          <w:tcPr>
            <w:tcW w:w="5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2015</w:t>
            </w: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2"/>
              <w:spacing w:after="0"/>
              <w:rPr>
                <w:sz w:val="20"/>
                <w:szCs w:val="20"/>
                <w:color w:val="auto"/>
              </w:rPr>
            </w:pPr>
            <w:r>
              <w:rPr>
                <w:rFonts w:ascii="Arial" w:cs="Arial" w:eastAsia="Arial" w:hAnsi="Arial"/>
                <w:sz w:val="14"/>
                <w:szCs w:val="14"/>
                <w:b w:val="1"/>
                <w:bCs w:val="1"/>
                <w:color w:val="auto"/>
              </w:rPr>
              <w:t>2016</w:t>
            </w:r>
          </w:p>
        </w:tc>
        <w:tc>
          <w:tcPr>
            <w:tcW w:w="5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0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20" w:type="dxa"/>
            <w:vAlign w:val="bottom"/>
            <w:shd w:val="clear" w:color="auto" w:fill="CCEEFF"/>
          </w:tcPr>
          <w:p>
            <w:pPr>
              <w:spacing w:after="0"/>
              <w:rPr>
                <w:sz w:val="18"/>
                <w:szCs w:val="18"/>
                <w:color w:val="auto"/>
              </w:rPr>
            </w:pPr>
          </w:p>
        </w:tc>
        <w:tc>
          <w:tcPr>
            <w:tcW w:w="5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5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56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vMerge w:val="restart"/>
          </w:tcPr>
          <w:p>
            <w:pPr>
              <w:spacing w:after="0"/>
              <w:rPr>
                <w:sz w:val="20"/>
                <w:szCs w:val="20"/>
                <w:color w:val="auto"/>
              </w:rPr>
            </w:pPr>
            <w:r>
              <w:rPr>
                <w:rFonts w:ascii="Arial" w:cs="Arial" w:eastAsia="Arial" w:hAnsi="Arial"/>
                <w:sz w:val="18"/>
                <w:szCs w:val="18"/>
                <w:color w:val="auto"/>
              </w:rPr>
              <w:t>Total payment to shareholders</w:t>
            </w:r>
          </w:p>
        </w:tc>
        <w:tc>
          <w:tcPr>
            <w:tcW w:w="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040" w:type="dxa"/>
            <w:vAlign w:val="bottom"/>
            <w:vMerge w:val="continue"/>
          </w:tcPr>
          <w:p>
            <w:pPr>
              <w:spacing w:after="0"/>
              <w:rPr>
                <w:sz w:val="18"/>
                <w:szCs w:val="18"/>
                <w:color w:val="auto"/>
              </w:rPr>
            </w:pPr>
          </w:p>
        </w:tc>
        <w:tc>
          <w:tcPr>
            <w:tcW w:w="140" w:type="dxa"/>
            <w:vAlign w:val="bottom"/>
            <w:gridSpan w:val="2"/>
          </w:tcPr>
          <w:p>
            <w:pPr>
              <w:spacing w:after="0"/>
              <w:rPr>
                <w:sz w:val="20"/>
                <w:szCs w:val="20"/>
                <w:color w:val="auto"/>
              </w:rPr>
            </w:pPr>
            <w:r>
              <w:rPr>
                <w:rFonts w:ascii="Arial" w:cs="Arial" w:eastAsia="Arial" w:hAnsi="Arial"/>
                <w:sz w:val="18"/>
                <w:szCs w:val="18"/>
                <w:color w:val="auto"/>
              </w:rPr>
              <w:t>$</w:t>
            </w:r>
          </w:p>
        </w:tc>
        <w:tc>
          <w:tcPr>
            <w:tcW w:w="56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30,699</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30,270</w:t>
            </w:r>
          </w:p>
        </w:tc>
        <w:tc>
          <w:tcPr>
            <w:tcW w:w="700" w:type="dxa"/>
            <w:vAlign w:val="bottom"/>
            <w:gridSpan w:val="2"/>
          </w:tcPr>
          <w:p>
            <w:pPr>
              <w:ind w:left="560"/>
              <w:spacing w:after="0"/>
              <w:rPr>
                <w:sz w:val="20"/>
                <w:szCs w:val="20"/>
                <w:color w:val="auto"/>
              </w:rPr>
            </w:pPr>
            <w:r>
              <w:rPr>
                <w:rFonts w:ascii="Arial" w:cs="Arial" w:eastAsia="Arial" w:hAnsi="Arial"/>
                <w:sz w:val="18"/>
                <w:szCs w:val="18"/>
                <w:color w:val="auto"/>
              </w:rPr>
              <w:t>$</w:t>
            </w:r>
          </w:p>
        </w:tc>
        <w:tc>
          <w:tcPr>
            <w:tcW w:w="540" w:type="dxa"/>
            <w:vAlign w:val="bottom"/>
          </w:tcPr>
          <w:p>
            <w:pPr>
              <w:jc w:val="right"/>
              <w:spacing w:after="0"/>
              <w:rPr>
                <w:sz w:val="20"/>
                <w:szCs w:val="20"/>
                <w:color w:val="auto"/>
              </w:rPr>
            </w:pPr>
            <w:r>
              <w:rPr>
                <w:rFonts w:ascii="Arial" w:cs="Arial" w:eastAsia="Arial" w:hAnsi="Arial"/>
                <w:sz w:val="18"/>
                <w:szCs w:val="18"/>
                <w:color w:val="auto"/>
                <w:w w:val="94"/>
              </w:rPr>
              <w:t>91,835</w:t>
            </w: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w w:val="90"/>
              </w:rPr>
              <w:t>92,374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0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On November 17, 2016, the Company announced that its Board of Directors had declared a cash dividend of $0.06 per share payable on December 28, 2016 to all shareholders of record on December 6, 2016.</w:t>
      </w:r>
    </w:p>
    <w:p>
      <w:pPr>
        <w:spacing w:after="0" w:line="132" w:lineRule="exact"/>
        <w:rPr>
          <w:sz w:val="20"/>
          <w:szCs w:val="20"/>
          <w:color w:val="auto"/>
        </w:rPr>
      </w:pPr>
    </w:p>
    <w:p>
      <w:pPr>
        <w:ind w:firstLine="456"/>
        <w:spacing w:after="0" w:line="323" w:lineRule="auto"/>
        <w:rPr>
          <w:sz w:val="20"/>
          <w:szCs w:val="20"/>
          <w:color w:val="auto"/>
        </w:rPr>
      </w:pPr>
      <w:r>
        <w:rPr>
          <w:rFonts w:ascii="Arial" w:cs="Arial" w:eastAsia="Arial" w:hAnsi="Arial"/>
          <w:sz w:val="15"/>
          <w:szCs w:val="15"/>
          <w:color w:val="auto"/>
        </w:rPr>
        <w:t>Future payment of a regular quarterly cash dividend on the Company’s common shares will be subject to, among other things, the best interests of the Company and its shareholders, the Company’s results of operations, cash balances and future cash requirements, financial condition, developments in ongoing litigation,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20" w:type="dxa"/>
            <w:vAlign w:val="bottom"/>
            <w:gridSpan w:val="5"/>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780" w:type="dxa"/>
            <w:vAlign w:val="bottom"/>
            <w:gridSpan w:val="5"/>
          </w:tcPr>
          <w:p>
            <w:pPr>
              <w:ind w:left="2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2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r>
      <w:tr>
        <w:trPr>
          <w:trHeight w:val="161"/>
        </w:trPr>
        <w:tc>
          <w:tcPr>
            <w:tcW w:w="62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6"/>
              </w:rPr>
              <w:t>2015</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100" w:type="dxa"/>
            <w:vAlign w:val="bottom"/>
            <w:tcBorders>
              <w:bottom w:val="single" w:sz="8" w:color="CCEEFF"/>
            </w:tcBorders>
          </w:tcPr>
          <w:p>
            <w:pPr>
              <w:spacing w:after="0"/>
              <w:rPr>
                <w:sz w:val="14"/>
                <w:szCs w:val="14"/>
                <w:color w:val="auto"/>
              </w:rPr>
            </w:pPr>
          </w:p>
        </w:tc>
      </w:tr>
      <w:tr>
        <w:trPr>
          <w:trHeight w:val="210"/>
        </w:trPr>
        <w:tc>
          <w:tcPr>
            <w:tcW w:w="62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2,225</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2,495</w:t>
            </w: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6,859</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6,054</w:t>
            </w:r>
          </w:p>
        </w:tc>
        <w:tc>
          <w:tcPr>
            <w:tcW w:w="10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19,998</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w w:val="94"/>
              </w:rPr>
              <w:t>22,573</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72,975</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75,162</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2,958</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2,608</w:t>
            </w:r>
          </w:p>
        </w:tc>
        <w:tc>
          <w:tcPr>
            <w:tcW w:w="2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9,215</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7,892</w:t>
            </w:r>
          </w:p>
        </w:tc>
        <w:tc>
          <w:tcPr>
            <w:tcW w:w="100" w:type="dxa"/>
            <w:vAlign w:val="bottom"/>
            <w:shd w:val="clear" w:color="auto" w:fill="CCEEFF"/>
          </w:tcPr>
          <w:p>
            <w:pPr>
              <w:spacing w:after="0"/>
              <w:rPr>
                <w:sz w:val="18"/>
                <w:szCs w:val="18"/>
                <w:color w:val="auto"/>
              </w:rPr>
            </w:pP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3,082</w:t>
            </w:r>
          </w:p>
        </w:tc>
        <w:tc>
          <w:tcPr>
            <w:tcW w:w="4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3,789</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863</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12,252</w:t>
            </w:r>
          </w:p>
        </w:tc>
        <w:tc>
          <w:tcPr>
            <w:tcW w:w="100" w:type="dxa"/>
            <w:vAlign w:val="bottom"/>
          </w:tcPr>
          <w:p>
            <w:pPr>
              <w:spacing w:after="0"/>
              <w:rPr>
                <w:sz w:val="19"/>
                <w:szCs w:val="19"/>
                <w:color w:val="auto"/>
              </w:rPr>
            </w:pPr>
          </w:p>
        </w:tc>
      </w:tr>
      <w:tr>
        <w:trPr>
          <w:trHeight w:val="216"/>
        </w:trPr>
        <w:tc>
          <w:tcPr>
            <w:tcW w:w="6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28,263</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31,465</w:t>
            </w:r>
          </w:p>
        </w:tc>
        <w:tc>
          <w:tcPr>
            <w:tcW w:w="38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89,912</w:t>
            </w: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101,360</w:t>
            </w:r>
          </w:p>
        </w:tc>
        <w:tc>
          <w:tcPr>
            <w:tcW w:w="1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$1.2 million at October 29, 2016 and $1.5 million at January 30, 2016.</w:t>
      </w:r>
    </w:p>
    <w:p>
      <w:pPr>
        <w:spacing w:after="0" w:line="171"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Upon the termination of the employment of certain members of our executive management in April 2016, it was determined that the vesting in certain of their unvested stock awards was not probable. As a result, the Company recorded a $6.9 million reversal of the previously recognized related share-based compensation expense in the nine months ended October 29, 2016.</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360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262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Pr>
          <w:p>
            <w:pPr>
              <w:spacing w:after="0"/>
              <w:rPr>
                <w:sz w:val="14"/>
                <w:szCs w:val="14"/>
                <w:color w:val="auto"/>
              </w:rPr>
            </w:pPr>
          </w:p>
        </w:tc>
        <w:tc>
          <w:tcPr>
            <w:tcW w:w="23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360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88"/>
              </w:rPr>
              <w:t>October 29,</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60" w:type="dxa"/>
            <w:vAlign w:val="bottom"/>
            <w:tcBorders>
              <w:top w:val="single" w:sz="8" w:color="auto"/>
            </w:tcBorders>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r>
      <w:tr>
        <w:trPr>
          <w:trHeight w:val="161"/>
        </w:trPr>
        <w:tc>
          <w:tcPr>
            <w:tcW w:w="3600" w:type="dxa"/>
            <w:vAlign w:val="bottom"/>
          </w:tcPr>
          <w:p>
            <w:pPr>
              <w:spacing w:after="0"/>
              <w:rPr>
                <w:sz w:val="14"/>
                <w:szCs w:val="14"/>
                <w:color w:val="auto"/>
              </w:rPr>
            </w:pPr>
          </w:p>
        </w:tc>
        <w:tc>
          <w:tcPr>
            <w:tcW w:w="228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480" w:type="dxa"/>
            <w:vAlign w:val="bottom"/>
          </w:tcPr>
          <w:p>
            <w:pPr>
              <w:spacing w:after="0"/>
              <w:rPr>
                <w:sz w:val="14"/>
                <w:szCs w:val="14"/>
                <w:color w:val="auto"/>
              </w:rPr>
            </w:pPr>
          </w:p>
        </w:tc>
        <w:tc>
          <w:tcPr>
            <w:tcW w:w="10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460" w:type="dxa"/>
            <w:vAlign w:val="bottom"/>
          </w:tcPr>
          <w:p>
            <w:pPr>
              <w:spacing w:after="0"/>
              <w:rPr>
                <w:sz w:val="14"/>
                <w:szCs w:val="14"/>
                <w:color w:val="auto"/>
              </w:rPr>
            </w:pPr>
          </w:p>
        </w:tc>
        <w:tc>
          <w:tcPr>
            <w:tcW w:w="10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spacing w:after="0"/>
              <w:rPr>
                <w:sz w:val="14"/>
                <w:szCs w:val="14"/>
                <w:color w:val="auto"/>
              </w:rPr>
            </w:pPr>
          </w:p>
        </w:tc>
        <w:tc>
          <w:tcPr>
            <w:tcW w:w="680" w:type="dxa"/>
            <w:vAlign w:val="bottom"/>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r>
      <w:tr>
        <w:trPr>
          <w:trHeight w:val="196"/>
        </w:trPr>
        <w:tc>
          <w:tcPr>
            <w:tcW w:w="3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16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760" w:type="dxa"/>
            <w:vAlign w:val="bottom"/>
            <w:gridSpan w:val="3"/>
          </w:tcPr>
          <w:p>
            <w:pPr>
              <w:jc w:val="right"/>
              <w:ind w:right="480"/>
              <w:spacing w:after="0"/>
              <w:rPr>
                <w:sz w:val="20"/>
                <w:szCs w:val="20"/>
                <w:color w:val="auto"/>
              </w:rPr>
            </w:pPr>
            <w:r>
              <w:rPr>
                <w:rFonts w:ascii="Arial" w:cs="Arial" w:eastAsia="Arial" w:hAnsi="Arial"/>
                <w:sz w:val="18"/>
                <w:szCs w:val="18"/>
                <w:color w:val="auto"/>
              </w:rPr>
              <w:t>$   3.51</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2.82</w:t>
            </w:r>
          </w:p>
        </w:tc>
        <w:tc>
          <w:tcPr>
            <w:tcW w:w="460" w:type="dxa"/>
            <w:vAlign w:val="bottom"/>
          </w:tcPr>
          <w:p>
            <w:pPr>
              <w:spacing w:after="0"/>
              <w:rPr>
                <w:sz w:val="18"/>
                <w:szCs w:val="18"/>
                <w:color w:val="auto"/>
              </w:rPr>
            </w:pPr>
          </w:p>
        </w:tc>
        <w:tc>
          <w:tcPr>
            <w:tcW w:w="1800" w:type="dxa"/>
            <w:vAlign w:val="bottom"/>
            <w:gridSpan w:val="3"/>
          </w:tcPr>
          <w:p>
            <w:pPr>
              <w:jc w:val="right"/>
              <w:ind w:right="800"/>
              <w:spacing w:after="0"/>
              <w:rPr>
                <w:sz w:val="20"/>
                <w:szCs w:val="20"/>
                <w:color w:val="auto"/>
              </w:rPr>
            </w:pPr>
            <w:r>
              <w:rPr>
                <w:rFonts w:ascii="Arial" w:cs="Arial" w:eastAsia="Arial" w:hAnsi="Arial"/>
                <w:sz w:val="18"/>
                <w:szCs w:val="18"/>
                <w:color w:val="auto"/>
              </w:rPr>
              <w:t>$   2.92</w:t>
            </w:r>
          </w:p>
        </w:tc>
        <w:tc>
          <w:tcPr>
            <w:tcW w:w="680" w:type="dxa"/>
            <w:vAlign w:val="bottom"/>
          </w:tcPr>
          <w:p>
            <w:pPr>
              <w:jc w:val="right"/>
              <w:spacing w:after="0"/>
              <w:rPr>
                <w:sz w:val="20"/>
                <w:szCs w:val="20"/>
                <w:color w:val="auto"/>
              </w:rPr>
            </w:pPr>
            <w:r>
              <w:rPr>
                <w:rFonts w:ascii="Arial" w:cs="Arial" w:eastAsia="Arial" w:hAnsi="Arial"/>
                <w:sz w:val="18"/>
                <w:szCs w:val="18"/>
                <w:color w:val="auto"/>
              </w:rPr>
              <w:t>$   3.94</w:t>
            </w:r>
          </w:p>
        </w:tc>
        <w:tc>
          <w:tcPr>
            <w:tcW w:w="200" w:type="dxa"/>
            <w:vAlign w:val="bottom"/>
          </w:tcPr>
          <w:p>
            <w:pPr>
              <w:spacing w:after="0"/>
              <w:rPr>
                <w:sz w:val="18"/>
                <w:szCs w:val="18"/>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7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37%</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43%</w:t>
            </w:r>
          </w:p>
        </w:tc>
        <w:tc>
          <w:tcPr>
            <w:tcW w:w="18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40%</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34%</w:t>
            </w: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760" w:type="dxa"/>
            <w:vAlign w:val="bottom"/>
            <w:gridSpan w:val="3"/>
          </w:tcPr>
          <w:p>
            <w:pPr>
              <w:jc w:val="right"/>
              <w:ind w:right="480"/>
              <w:spacing w:after="0"/>
              <w:rPr>
                <w:sz w:val="20"/>
                <w:szCs w:val="20"/>
                <w:color w:val="auto"/>
              </w:rPr>
            </w:pPr>
            <w:r>
              <w:rPr>
                <w:rFonts w:ascii="Arial" w:cs="Arial" w:eastAsia="Arial" w:hAnsi="Arial"/>
                <w:sz w:val="18"/>
                <w:szCs w:val="18"/>
                <w:color w:val="auto"/>
              </w:rPr>
              <w:t>5.2</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460" w:type="dxa"/>
            <w:vAlign w:val="bottom"/>
          </w:tcPr>
          <w:p>
            <w:pPr>
              <w:spacing w:after="0"/>
              <w:rPr>
                <w:sz w:val="18"/>
                <w:szCs w:val="18"/>
                <w:color w:val="auto"/>
              </w:rPr>
            </w:pPr>
          </w:p>
        </w:tc>
        <w:tc>
          <w:tcPr>
            <w:tcW w:w="1800" w:type="dxa"/>
            <w:vAlign w:val="bottom"/>
            <w:gridSpan w:val="3"/>
          </w:tcPr>
          <w:p>
            <w:pPr>
              <w:jc w:val="right"/>
              <w:ind w:right="800"/>
              <w:spacing w:after="0"/>
              <w:rPr>
                <w:sz w:val="20"/>
                <w:szCs w:val="20"/>
                <w:color w:val="auto"/>
              </w:rPr>
            </w:pPr>
            <w:r>
              <w:rPr>
                <w:rFonts w:ascii="Arial" w:cs="Arial" w:eastAsia="Arial" w:hAnsi="Arial"/>
                <w:sz w:val="18"/>
                <w:szCs w:val="18"/>
                <w:color w:val="auto"/>
              </w:rPr>
              <w:t>5.2</w:t>
            </w:r>
          </w:p>
        </w:tc>
        <w:tc>
          <w:tcPr>
            <w:tcW w:w="680" w:type="dxa"/>
            <w:vAlign w:val="bottom"/>
          </w:tcPr>
          <w:p>
            <w:pPr>
              <w:jc w:val="right"/>
              <w:spacing w:after="0"/>
              <w:rPr>
                <w:sz w:val="20"/>
                <w:szCs w:val="20"/>
                <w:color w:val="auto"/>
              </w:rPr>
            </w:pPr>
            <w:r>
              <w:rPr>
                <w:rFonts w:ascii="Arial" w:cs="Arial" w:eastAsia="Arial" w:hAnsi="Arial"/>
                <w:sz w:val="18"/>
                <w:szCs w:val="18"/>
                <w:color w:val="auto"/>
              </w:rPr>
              <w:t>5.4</w:t>
            </w:r>
          </w:p>
        </w:tc>
        <w:tc>
          <w:tcPr>
            <w:tcW w:w="200" w:type="dxa"/>
            <w:vAlign w:val="bottom"/>
          </w:tcPr>
          <w:p>
            <w:pPr>
              <w:spacing w:after="0"/>
              <w:rPr>
                <w:sz w:val="18"/>
                <w:szCs w:val="18"/>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760" w:type="dxa"/>
            <w:vAlign w:val="bottom"/>
            <w:gridSpan w:val="3"/>
            <w:shd w:val="clear" w:color="auto" w:fill="CCEEFF"/>
          </w:tcPr>
          <w:p>
            <w:pPr>
              <w:jc w:val="right"/>
              <w:ind w:right="340"/>
              <w:spacing w:after="0"/>
              <w:rPr>
                <w:sz w:val="20"/>
                <w:szCs w:val="20"/>
                <w:color w:val="auto"/>
              </w:rPr>
            </w:pPr>
            <w:r>
              <w:rPr>
                <w:rFonts w:ascii="Arial" w:cs="Arial" w:eastAsia="Arial" w:hAnsi="Arial"/>
                <w:sz w:val="18"/>
                <w:szCs w:val="18"/>
                <w:color w:val="auto"/>
              </w:rPr>
              <w:t>1.2%</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1.5%</w:t>
            </w:r>
          </w:p>
        </w:tc>
        <w:tc>
          <w:tcPr>
            <w:tcW w:w="18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1.3%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r>
      <w:tr>
        <w:trPr>
          <w:trHeight w:val="222"/>
        </w:trPr>
        <w:tc>
          <w:tcPr>
            <w:tcW w:w="36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2760" w:type="dxa"/>
            <w:vAlign w:val="bottom"/>
            <w:gridSpan w:val="3"/>
          </w:tcPr>
          <w:p>
            <w:pPr>
              <w:jc w:val="right"/>
              <w:ind w:right="340"/>
              <w:spacing w:after="0"/>
              <w:rPr>
                <w:sz w:val="20"/>
                <w:szCs w:val="20"/>
                <w:color w:val="auto"/>
              </w:rPr>
            </w:pPr>
            <w:r>
              <w:rPr>
                <w:rFonts w:ascii="Arial" w:cs="Arial" w:eastAsia="Arial" w:hAnsi="Arial"/>
                <w:sz w:val="18"/>
                <w:szCs w:val="18"/>
                <w:color w:val="auto"/>
              </w:rPr>
              <w:t>1.9%</w:t>
            </w:r>
          </w:p>
        </w:tc>
        <w:tc>
          <w:tcPr>
            <w:tcW w:w="1460" w:type="dxa"/>
            <w:vAlign w:val="bottom"/>
            <w:gridSpan w:val="3"/>
          </w:tcPr>
          <w:p>
            <w:pPr>
              <w:jc w:val="right"/>
              <w:ind w:right="320"/>
              <w:spacing w:after="0"/>
              <w:rPr>
                <w:sz w:val="20"/>
                <w:szCs w:val="20"/>
                <w:color w:val="auto"/>
              </w:rPr>
            </w:pPr>
            <w:r>
              <w:rPr>
                <w:rFonts w:ascii="Arial" w:cs="Arial" w:eastAsia="Arial" w:hAnsi="Arial"/>
                <w:sz w:val="18"/>
                <w:szCs w:val="18"/>
                <w:color w:val="auto"/>
              </w:rPr>
              <w:t>2.3%</w:t>
            </w:r>
          </w:p>
        </w:tc>
        <w:tc>
          <w:tcPr>
            <w:tcW w:w="1800" w:type="dxa"/>
            <w:vAlign w:val="bottom"/>
            <w:gridSpan w:val="3"/>
          </w:tcPr>
          <w:p>
            <w:pPr>
              <w:jc w:val="right"/>
              <w:ind w:right="640"/>
              <w:spacing w:after="0"/>
              <w:rPr>
                <w:sz w:val="20"/>
                <w:szCs w:val="20"/>
                <w:color w:val="auto"/>
              </w:rPr>
            </w:pPr>
            <w:r>
              <w:rPr>
                <w:rFonts w:ascii="Arial" w:cs="Arial" w:eastAsia="Arial" w:hAnsi="Arial"/>
                <w:sz w:val="18"/>
                <w:szCs w:val="18"/>
                <w:color w:val="auto"/>
              </w:rPr>
              <w:t>2.5%</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1.7%</w:t>
            </w:r>
          </w:p>
        </w:tc>
      </w:tr>
      <w:tr>
        <w:trPr>
          <w:trHeight w:val="356"/>
        </w:trPr>
        <w:tc>
          <w:tcPr>
            <w:tcW w:w="3600" w:type="dxa"/>
            <w:vAlign w:val="bottom"/>
          </w:tcPr>
          <w:p>
            <w:pPr>
              <w:spacing w:after="0"/>
              <w:rPr>
                <w:sz w:val="24"/>
                <w:szCs w:val="24"/>
                <w:color w:val="auto"/>
              </w:rPr>
            </w:pPr>
          </w:p>
        </w:tc>
        <w:tc>
          <w:tcPr>
            <w:tcW w:w="2280" w:type="dxa"/>
            <w:vAlign w:val="bottom"/>
            <w:gridSpan w:val="2"/>
          </w:tcPr>
          <w:p>
            <w:pPr>
              <w:jc w:val="right"/>
              <w:ind w:right="472"/>
              <w:spacing w:after="0"/>
              <w:rPr>
                <w:sz w:val="20"/>
                <w:szCs w:val="20"/>
                <w:color w:val="auto"/>
              </w:rPr>
            </w:pPr>
            <w:r>
              <w:rPr>
                <w:rFonts w:ascii="Arial" w:cs="Arial" w:eastAsia="Arial" w:hAnsi="Arial"/>
                <w:sz w:val="18"/>
                <w:szCs w:val="18"/>
                <w:color w:val="auto"/>
              </w:rPr>
              <w:t>23</w:t>
            </w:r>
          </w:p>
        </w:tc>
        <w:tc>
          <w:tcPr>
            <w:tcW w:w="4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20"/>
          </w:cols>
          <w:pgMar w:left="240" w:top="459" w:right="3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620" w:type="dxa"/>
            <w:vAlign w:val="bottom"/>
            <w:gridSpan w:val="5"/>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Pr>
          <w:p>
            <w:pPr>
              <w:spacing w:after="0"/>
              <w:rPr>
                <w:sz w:val="14"/>
                <w:szCs w:val="14"/>
                <w:color w:val="auto"/>
              </w:rPr>
            </w:pPr>
          </w:p>
        </w:tc>
        <w:tc>
          <w:tcPr>
            <w:tcW w:w="2340" w:type="dxa"/>
            <w:vAlign w:val="bottom"/>
            <w:gridSpan w:val="4"/>
          </w:tcPr>
          <w:p>
            <w:pPr>
              <w:jc w:val="right"/>
              <w:ind w:right="7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200" w:type="dxa"/>
            <w:vAlign w:val="bottom"/>
          </w:tcPr>
          <w:p>
            <w:pPr>
              <w:spacing w:after="0"/>
              <w:rPr>
                <w:sz w:val="11"/>
                <w:szCs w:val="11"/>
                <w:color w:val="auto"/>
              </w:rPr>
            </w:pPr>
          </w:p>
        </w:tc>
        <w:tc>
          <w:tcPr>
            <w:tcW w:w="1160" w:type="dxa"/>
            <w:vAlign w:val="bottom"/>
            <w:tcBorders>
              <w:top w:val="single" w:sz="8" w:color="auto"/>
            </w:tcBorders>
            <w:gridSpan w:val="2"/>
          </w:tcPr>
          <w:p>
            <w:pPr>
              <w:jc w:val="center"/>
              <w:ind w:right="480"/>
              <w:spacing w:after="0" w:line="129" w:lineRule="exact"/>
              <w:rPr>
                <w:sz w:val="20"/>
                <w:szCs w:val="20"/>
                <w:color w:val="auto"/>
              </w:rPr>
            </w:pPr>
            <w:r>
              <w:rPr>
                <w:rFonts w:ascii="Arial" w:cs="Arial" w:eastAsia="Arial" w:hAnsi="Arial"/>
                <w:sz w:val="14"/>
                <w:szCs w:val="14"/>
                <w:b w:val="1"/>
                <w:bCs w:val="1"/>
                <w:color w:val="auto"/>
                <w:w w:val="88"/>
              </w:rPr>
              <w:t>October 29,</w:t>
            </w:r>
          </w:p>
        </w:tc>
        <w:tc>
          <w:tcPr>
            <w:tcW w:w="32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4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60" w:type="dxa"/>
            <w:vAlign w:val="bottom"/>
            <w:tcBorders>
              <w:top w:val="single" w:sz="8" w:color="auto"/>
            </w:tcBorders>
            <w:gridSpan w:val="2"/>
          </w:tcPr>
          <w:p>
            <w:pPr>
              <w:jc w:val="center"/>
              <w:ind w:right="8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00" w:type="dxa"/>
            <w:vAlign w:val="bottom"/>
          </w:tcPr>
          <w:p>
            <w:pPr>
              <w:spacing w:after="0"/>
              <w:rPr>
                <w:sz w:val="11"/>
                <w:szCs w:val="11"/>
                <w:color w:val="auto"/>
              </w:rPr>
            </w:pPr>
          </w:p>
        </w:tc>
      </w:tr>
      <w:tr>
        <w:trPr>
          <w:trHeight w:val="161"/>
        </w:trPr>
        <w:tc>
          <w:tcPr>
            <w:tcW w:w="5200" w:type="dxa"/>
            <w:vAlign w:val="bottom"/>
          </w:tcPr>
          <w:p>
            <w:pPr>
              <w:spacing w:after="0"/>
              <w:rPr>
                <w:sz w:val="14"/>
                <w:szCs w:val="14"/>
                <w:color w:val="auto"/>
              </w:rPr>
            </w:pPr>
          </w:p>
        </w:tc>
        <w:tc>
          <w:tcPr>
            <w:tcW w:w="680" w:type="dxa"/>
            <w:vAlign w:val="bottom"/>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480" w:type="dxa"/>
            <w:vAlign w:val="bottom"/>
          </w:tcPr>
          <w:p>
            <w:pPr>
              <w:spacing w:after="0"/>
              <w:rPr>
                <w:sz w:val="14"/>
                <w:szCs w:val="14"/>
                <w:color w:val="auto"/>
              </w:rPr>
            </w:pPr>
          </w:p>
        </w:tc>
        <w:tc>
          <w:tcPr>
            <w:tcW w:w="10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460" w:type="dxa"/>
            <w:vAlign w:val="bottom"/>
          </w:tcPr>
          <w:p>
            <w:pPr>
              <w:spacing w:after="0"/>
              <w:rPr>
                <w:sz w:val="14"/>
                <w:szCs w:val="14"/>
                <w:color w:val="auto"/>
              </w:rPr>
            </w:pPr>
          </w:p>
        </w:tc>
        <w:tc>
          <w:tcPr>
            <w:tcW w:w="1000" w:type="dxa"/>
            <w:vAlign w:val="bottom"/>
            <w:gridSpan w:val="2"/>
          </w:tcPr>
          <w:p>
            <w:pPr>
              <w:jc w:val="right"/>
              <w:ind w:right="13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spacing w:after="0"/>
              <w:rPr>
                <w:sz w:val="14"/>
                <w:szCs w:val="14"/>
                <w:color w:val="auto"/>
              </w:rPr>
            </w:pPr>
          </w:p>
        </w:tc>
        <w:tc>
          <w:tcPr>
            <w:tcW w:w="680" w:type="dxa"/>
            <w:vAlign w:val="bottom"/>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200" w:type="dxa"/>
            <w:vAlign w:val="bottom"/>
          </w:tcPr>
          <w:p>
            <w:pPr>
              <w:spacing w:after="0"/>
              <w:rPr>
                <w:sz w:val="14"/>
                <w:szCs w:val="14"/>
                <w:color w:val="auto"/>
              </w:rPr>
            </w:pPr>
          </w:p>
        </w:tc>
      </w:tr>
      <w:tr>
        <w:trPr>
          <w:trHeight w:val="196"/>
        </w:trPr>
        <w:tc>
          <w:tcPr>
            <w:tcW w:w="52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Employee Stock Purchase Plan:</w:t>
            </w:r>
          </w:p>
        </w:tc>
        <w:tc>
          <w:tcPr>
            <w:tcW w:w="6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Estimated fair value</w:t>
            </w:r>
          </w:p>
        </w:tc>
        <w:tc>
          <w:tcPr>
            <w:tcW w:w="1160" w:type="dxa"/>
            <w:vAlign w:val="bottom"/>
            <w:gridSpan w:val="2"/>
          </w:tcPr>
          <w:p>
            <w:pPr>
              <w:jc w:val="right"/>
              <w:ind w:right="480"/>
              <w:spacing w:after="0"/>
              <w:rPr>
                <w:sz w:val="20"/>
                <w:szCs w:val="20"/>
                <w:color w:val="auto"/>
              </w:rPr>
            </w:pPr>
            <w:r>
              <w:rPr>
                <w:rFonts w:ascii="Arial" w:cs="Arial" w:eastAsia="Arial" w:hAnsi="Arial"/>
                <w:sz w:val="18"/>
                <w:szCs w:val="18"/>
                <w:color w:val="auto"/>
              </w:rPr>
              <w:t>$   3.89</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   3.78</w:t>
            </w:r>
          </w:p>
        </w:tc>
        <w:tc>
          <w:tcPr>
            <w:tcW w:w="460" w:type="dxa"/>
            <w:vAlign w:val="bottom"/>
          </w:tcPr>
          <w:p>
            <w:pPr>
              <w:spacing w:after="0"/>
              <w:rPr>
                <w:sz w:val="18"/>
                <w:szCs w:val="18"/>
                <w:color w:val="auto"/>
              </w:rPr>
            </w:pPr>
          </w:p>
        </w:tc>
        <w:tc>
          <w:tcPr>
            <w:tcW w:w="1800" w:type="dxa"/>
            <w:vAlign w:val="bottom"/>
            <w:gridSpan w:val="3"/>
          </w:tcPr>
          <w:p>
            <w:pPr>
              <w:jc w:val="right"/>
              <w:ind w:right="800"/>
              <w:spacing w:after="0"/>
              <w:rPr>
                <w:sz w:val="20"/>
                <w:szCs w:val="20"/>
                <w:color w:val="auto"/>
              </w:rPr>
            </w:pPr>
            <w:r>
              <w:rPr>
                <w:rFonts w:ascii="Arial" w:cs="Arial" w:eastAsia="Arial" w:hAnsi="Arial"/>
                <w:sz w:val="18"/>
                <w:szCs w:val="18"/>
                <w:color w:val="auto"/>
              </w:rPr>
              <w:t>$   3.89</w:t>
            </w:r>
          </w:p>
        </w:tc>
        <w:tc>
          <w:tcPr>
            <w:tcW w:w="680" w:type="dxa"/>
            <w:vAlign w:val="bottom"/>
          </w:tcPr>
          <w:p>
            <w:pPr>
              <w:jc w:val="right"/>
              <w:spacing w:after="0"/>
              <w:rPr>
                <w:sz w:val="20"/>
                <w:szCs w:val="20"/>
                <w:color w:val="auto"/>
              </w:rPr>
            </w:pPr>
            <w:r>
              <w:rPr>
                <w:rFonts w:ascii="Arial" w:cs="Arial" w:eastAsia="Arial" w:hAnsi="Arial"/>
                <w:sz w:val="18"/>
                <w:szCs w:val="18"/>
                <w:color w:val="auto"/>
              </w:rPr>
              <w:t>$   3.78</w:t>
            </w:r>
          </w:p>
        </w:tc>
        <w:tc>
          <w:tcPr>
            <w:tcW w:w="200" w:type="dxa"/>
            <w:vAlign w:val="bottom"/>
          </w:tcPr>
          <w:p>
            <w:pPr>
              <w:spacing w:after="0"/>
              <w:rPr>
                <w:sz w:val="18"/>
                <w:szCs w:val="18"/>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Volatility</w:t>
            </w:r>
          </w:p>
        </w:tc>
        <w:tc>
          <w:tcPr>
            <w:tcW w:w="11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40%</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31%</w:t>
            </w:r>
          </w:p>
        </w:tc>
        <w:tc>
          <w:tcPr>
            <w:tcW w:w="18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40%</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w:t>
            </w:r>
          </w:p>
        </w:tc>
      </w:tr>
      <w:tr>
        <w:trPr>
          <w:trHeight w:val="216"/>
        </w:trPr>
        <w:tc>
          <w:tcPr>
            <w:tcW w:w="52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1160" w:type="dxa"/>
            <w:vAlign w:val="bottom"/>
            <w:gridSpan w:val="2"/>
          </w:tcPr>
          <w:p>
            <w:pPr>
              <w:jc w:val="right"/>
              <w:ind w:right="480"/>
              <w:spacing w:after="0"/>
              <w:rPr>
                <w:sz w:val="20"/>
                <w:szCs w:val="20"/>
                <w:color w:val="auto"/>
              </w:rPr>
            </w:pPr>
            <w:r>
              <w:rPr>
                <w:rFonts w:ascii="Arial" w:cs="Arial" w:eastAsia="Arial" w:hAnsi="Arial"/>
                <w:sz w:val="18"/>
                <w:szCs w:val="18"/>
                <w:color w:val="auto"/>
              </w:rPr>
              <w:t>1.1</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460" w:type="dxa"/>
            <w:vAlign w:val="bottom"/>
          </w:tcPr>
          <w:p>
            <w:pPr>
              <w:spacing w:after="0"/>
              <w:rPr>
                <w:sz w:val="18"/>
                <w:szCs w:val="18"/>
                <w:color w:val="auto"/>
              </w:rPr>
            </w:pPr>
          </w:p>
        </w:tc>
        <w:tc>
          <w:tcPr>
            <w:tcW w:w="1800" w:type="dxa"/>
            <w:vAlign w:val="bottom"/>
            <w:gridSpan w:val="3"/>
          </w:tcPr>
          <w:p>
            <w:pPr>
              <w:jc w:val="right"/>
              <w:ind w:right="800"/>
              <w:spacing w:after="0"/>
              <w:rPr>
                <w:sz w:val="20"/>
                <w:szCs w:val="20"/>
                <w:color w:val="auto"/>
              </w:rPr>
            </w:pPr>
            <w:r>
              <w:rPr>
                <w:rFonts w:ascii="Arial" w:cs="Arial" w:eastAsia="Arial" w:hAnsi="Arial"/>
                <w:sz w:val="18"/>
                <w:szCs w:val="18"/>
                <w:color w:val="auto"/>
              </w:rPr>
              <w:t>1.1</w:t>
            </w:r>
          </w:p>
        </w:tc>
        <w:tc>
          <w:tcPr>
            <w:tcW w:w="680" w:type="dxa"/>
            <w:vAlign w:val="bottom"/>
          </w:tcPr>
          <w:p>
            <w:pPr>
              <w:jc w:val="right"/>
              <w:spacing w:after="0"/>
              <w:rPr>
                <w:sz w:val="20"/>
                <w:szCs w:val="20"/>
                <w:color w:val="auto"/>
              </w:rPr>
            </w:pPr>
            <w:r>
              <w:rPr>
                <w:rFonts w:ascii="Arial" w:cs="Arial" w:eastAsia="Arial" w:hAnsi="Arial"/>
                <w:sz w:val="18"/>
                <w:szCs w:val="18"/>
                <w:color w:val="auto"/>
              </w:rPr>
              <w:t>1.3</w:t>
            </w:r>
          </w:p>
        </w:tc>
        <w:tc>
          <w:tcPr>
            <w:tcW w:w="200" w:type="dxa"/>
            <w:vAlign w:val="bottom"/>
          </w:tcPr>
          <w:p>
            <w:pPr>
              <w:spacing w:after="0"/>
              <w:rPr>
                <w:sz w:val="18"/>
                <w:szCs w:val="18"/>
                <w:color w:val="auto"/>
              </w:rPr>
            </w:pPr>
          </w:p>
        </w:tc>
      </w:tr>
      <w:tr>
        <w:trPr>
          <w:trHeight w:val="216"/>
        </w:trPr>
        <w:tc>
          <w:tcPr>
            <w:tcW w:w="52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116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0.6%</w:t>
            </w:r>
          </w:p>
        </w:tc>
        <w:tc>
          <w:tcPr>
            <w:tcW w:w="146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0.4%</w:t>
            </w:r>
          </w:p>
        </w:tc>
        <w:tc>
          <w:tcPr>
            <w:tcW w:w="1800" w:type="dxa"/>
            <w:vAlign w:val="bottom"/>
            <w:gridSpan w:val="3"/>
            <w:shd w:val="clear" w:color="auto" w:fill="CCEEFF"/>
          </w:tcPr>
          <w:p>
            <w:pPr>
              <w:jc w:val="right"/>
              <w:ind w:right="640"/>
              <w:spacing w:after="0"/>
              <w:rPr>
                <w:sz w:val="20"/>
                <w:szCs w:val="20"/>
                <w:color w:val="auto"/>
              </w:rPr>
            </w:pPr>
            <w:r>
              <w:rPr>
                <w:rFonts w:ascii="Arial" w:cs="Arial" w:eastAsia="Arial" w:hAnsi="Arial"/>
                <w:sz w:val="18"/>
                <w:szCs w:val="18"/>
                <w:color w:val="auto"/>
              </w:rPr>
              <w:t>0.6%</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0.4%</w:t>
            </w:r>
          </w:p>
        </w:tc>
      </w:tr>
      <w:tr>
        <w:trPr>
          <w:trHeight w:val="222"/>
        </w:trPr>
        <w:tc>
          <w:tcPr>
            <w:tcW w:w="5200" w:type="dxa"/>
            <w:vAlign w:val="bottom"/>
          </w:tcPr>
          <w:p>
            <w:pPr>
              <w:spacing w:after="0"/>
              <w:rPr>
                <w:sz w:val="20"/>
                <w:szCs w:val="20"/>
                <w:color w:val="auto"/>
              </w:rPr>
            </w:pPr>
            <w:r>
              <w:rPr>
                <w:rFonts w:ascii="Arial" w:cs="Arial" w:eastAsia="Arial" w:hAnsi="Arial"/>
                <w:sz w:val="18"/>
                <w:szCs w:val="18"/>
                <w:color w:val="auto"/>
              </w:rPr>
              <w:t>Dividend yield</w:t>
            </w:r>
          </w:p>
        </w:tc>
        <w:tc>
          <w:tcPr>
            <w:tcW w:w="1160" w:type="dxa"/>
            <w:vAlign w:val="bottom"/>
            <w:gridSpan w:val="2"/>
          </w:tcPr>
          <w:p>
            <w:pPr>
              <w:jc w:val="right"/>
              <w:ind w:right="340"/>
              <w:spacing w:after="0"/>
              <w:rPr>
                <w:sz w:val="20"/>
                <w:szCs w:val="20"/>
                <w:color w:val="auto"/>
              </w:rPr>
            </w:pPr>
            <w:r>
              <w:rPr>
                <w:rFonts w:ascii="Arial" w:cs="Arial" w:eastAsia="Arial" w:hAnsi="Arial"/>
                <w:sz w:val="18"/>
                <w:szCs w:val="18"/>
                <w:color w:val="auto"/>
              </w:rPr>
              <w:t>2.0%</w:t>
            </w:r>
          </w:p>
        </w:tc>
        <w:tc>
          <w:tcPr>
            <w:tcW w:w="1460" w:type="dxa"/>
            <w:vAlign w:val="bottom"/>
            <w:gridSpan w:val="3"/>
          </w:tcPr>
          <w:p>
            <w:pPr>
              <w:jc w:val="right"/>
              <w:ind w:right="320"/>
              <w:spacing w:after="0"/>
              <w:rPr>
                <w:sz w:val="20"/>
                <w:szCs w:val="20"/>
                <w:color w:val="auto"/>
              </w:rPr>
            </w:pPr>
            <w:r>
              <w:rPr>
                <w:rFonts w:ascii="Arial" w:cs="Arial" w:eastAsia="Arial" w:hAnsi="Arial"/>
                <w:sz w:val="18"/>
                <w:szCs w:val="18"/>
                <w:color w:val="auto"/>
              </w:rPr>
              <w:t>1.7%</w:t>
            </w:r>
          </w:p>
        </w:tc>
        <w:tc>
          <w:tcPr>
            <w:tcW w:w="1800" w:type="dxa"/>
            <w:vAlign w:val="bottom"/>
            <w:gridSpan w:val="3"/>
          </w:tcPr>
          <w:p>
            <w:pPr>
              <w:jc w:val="right"/>
              <w:ind w:right="640"/>
              <w:spacing w:after="0"/>
              <w:rPr>
                <w:sz w:val="20"/>
                <w:szCs w:val="20"/>
                <w:color w:val="auto"/>
              </w:rPr>
            </w:pPr>
            <w:r>
              <w:rPr>
                <w:rFonts w:ascii="Arial" w:cs="Arial" w:eastAsia="Arial" w:hAnsi="Arial"/>
                <w:sz w:val="18"/>
                <w:szCs w:val="18"/>
                <w:color w:val="auto"/>
              </w:rPr>
              <w:t>2.0%</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1.7%</w:t>
            </w:r>
          </w:p>
        </w:tc>
      </w:tr>
    </w:tbl>
    <w:p>
      <w:pPr>
        <w:spacing w:after="0" w:line="183"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940" w:type="dxa"/>
            <w:vAlign w:val="bottom"/>
          </w:tcPr>
          <w:p>
            <w:pPr>
              <w:spacing w:after="0"/>
              <w:rPr>
                <w:sz w:val="14"/>
                <w:szCs w:val="14"/>
                <w:color w:val="auto"/>
              </w:rPr>
            </w:pPr>
          </w:p>
        </w:tc>
        <w:tc>
          <w:tcPr>
            <w:tcW w:w="2820" w:type="dxa"/>
            <w:vAlign w:val="bottom"/>
            <w:gridSpan w:val="3"/>
          </w:tcPr>
          <w:p>
            <w:pPr>
              <w:jc w:val="center"/>
              <w:ind w:left="1138"/>
              <w:spacing w:after="0"/>
              <w:rPr>
                <w:sz w:val="20"/>
                <w:szCs w:val="20"/>
                <w:color w:val="auto"/>
              </w:rPr>
            </w:pPr>
            <w:r>
              <w:rPr>
                <w:rFonts w:ascii="Arial" w:cs="Arial" w:eastAsia="Arial" w:hAnsi="Arial"/>
                <w:sz w:val="14"/>
                <w:szCs w:val="14"/>
                <w:b w:val="1"/>
                <w:bCs w:val="1"/>
                <w:color w:val="auto"/>
                <w:w w:val="88"/>
              </w:rPr>
              <w:t>Nine Months Ended</w:t>
            </w:r>
          </w:p>
        </w:tc>
      </w:tr>
      <w:tr>
        <w:trPr>
          <w:trHeight w:val="129"/>
        </w:trPr>
        <w:tc>
          <w:tcPr>
            <w:tcW w:w="4940" w:type="dxa"/>
            <w:vAlign w:val="bottom"/>
          </w:tcPr>
          <w:p>
            <w:pPr>
              <w:spacing w:after="0"/>
              <w:rPr>
                <w:sz w:val="11"/>
                <w:szCs w:val="11"/>
                <w:color w:val="auto"/>
              </w:rPr>
            </w:pPr>
          </w:p>
        </w:tc>
        <w:tc>
          <w:tcPr>
            <w:tcW w:w="1460" w:type="dxa"/>
            <w:vAlign w:val="bottom"/>
          </w:tcPr>
          <w:p>
            <w:pPr>
              <w:spacing w:after="0"/>
              <w:rPr>
                <w:sz w:val="11"/>
                <w:szCs w:val="11"/>
                <w:color w:val="auto"/>
              </w:rPr>
            </w:pPr>
          </w:p>
        </w:tc>
        <w:tc>
          <w:tcPr>
            <w:tcW w:w="116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October 29,</w:t>
            </w:r>
          </w:p>
        </w:tc>
        <w:tc>
          <w:tcPr>
            <w:tcW w:w="200" w:type="dxa"/>
            <w:vAlign w:val="bottom"/>
          </w:tcPr>
          <w:p>
            <w:pPr>
              <w:spacing w:after="0"/>
              <w:rPr>
                <w:sz w:val="11"/>
                <w:szCs w:val="11"/>
                <w:color w:val="auto"/>
              </w:rPr>
            </w:pPr>
          </w:p>
        </w:tc>
      </w:tr>
      <w:tr>
        <w:trPr>
          <w:trHeight w:val="161"/>
        </w:trPr>
        <w:tc>
          <w:tcPr>
            <w:tcW w:w="4940" w:type="dxa"/>
            <w:vAlign w:val="bottom"/>
          </w:tcPr>
          <w:p>
            <w:pPr>
              <w:spacing w:after="0"/>
              <w:rPr>
                <w:sz w:val="14"/>
                <w:szCs w:val="14"/>
                <w:color w:val="auto"/>
              </w:rPr>
            </w:pPr>
          </w:p>
        </w:tc>
        <w:tc>
          <w:tcPr>
            <w:tcW w:w="2620" w:type="dxa"/>
            <w:vAlign w:val="bottom"/>
            <w:gridSpan w:val="2"/>
          </w:tcPr>
          <w:p>
            <w:pPr>
              <w:jc w:val="center"/>
              <w:ind w:left="1358"/>
              <w:spacing w:after="0"/>
              <w:rPr>
                <w:sz w:val="20"/>
                <w:szCs w:val="20"/>
                <w:color w:val="auto"/>
              </w:rPr>
            </w:pPr>
            <w:r>
              <w:rPr>
                <w:rFonts w:ascii="Arial" w:cs="Arial" w:eastAsia="Arial" w:hAnsi="Arial"/>
                <w:sz w:val="14"/>
                <w:szCs w:val="14"/>
                <w:b w:val="1"/>
                <w:bCs w:val="1"/>
                <w:color w:val="auto"/>
                <w:w w:val="83"/>
              </w:rPr>
              <w:t>2016</w:t>
            </w:r>
          </w:p>
        </w:tc>
        <w:tc>
          <w:tcPr>
            <w:tcW w:w="200" w:type="dxa"/>
            <w:vAlign w:val="bottom"/>
          </w:tcPr>
          <w:p>
            <w:pPr>
              <w:spacing w:after="0"/>
              <w:rPr>
                <w:sz w:val="14"/>
                <w:szCs w:val="14"/>
                <w:color w:val="auto"/>
              </w:rPr>
            </w:pPr>
          </w:p>
        </w:tc>
      </w:tr>
      <w:tr>
        <w:trPr>
          <w:trHeight w:val="196"/>
        </w:trPr>
        <w:tc>
          <w:tcPr>
            <w:tcW w:w="49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Total Shareholder Return Awards:</w:t>
            </w:r>
          </w:p>
        </w:tc>
        <w:tc>
          <w:tcPr>
            <w:tcW w:w="1460" w:type="dxa"/>
            <w:vAlign w:val="bottom"/>
            <w:tcBorders>
              <w:top w:val="single" w:sz="8" w:color="CCEEFF"/>
            </w:tcBorders>
            <w:shd w:val="clear" w:color="auto" w:fill="CCEEFF"/>
          </w:tcPr>
          <w:p>
            <w:pPr>
              <w:spacing w:after="0"/>
              <w:rPr>
                <w:sz w:val="17"/>
                <w:szCs w:val="17"/>
                <w:color w:val="auto"/>
              </w:rPr>
            </w:pPr>
          </w:p>
        </w:tc>
        <w:tc>
          <w:tcPr>
            <w:tcW w:w="116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94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62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200" w:type="dxa"/>
            <w:vAlign w:val="bottom"/>
          </w:tcPr>
          <w:p>
            <w:pPr>
              <w:spacing w:after="0"/>
              <w:rPr>
                <w:sz w:val="18"/>
                <w:szCs w:val="18"/>
                <w:color w:val="auto"/>
              </w:rPr>
            </w:pPr>
          </w:p>
        </w:tc>
      </w:tr>
      <w:tr>
        <w:trPr>
          <w:trHeight w:val="216"/>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36%</w:t>
            </w:r>
          </w:p>
        </w:tc>
      </w:tr>
      <w:tr>
        <w:trPr>
          <w:trHeight w:val="216"/>
        </w:trPr>
        <w:tc>
          <w:tcPr>
            <w:tcW w:w="4940" w:type="dxa"/>
            <w:vAlign w:val="bottom"/>
          </w:tcPr>
          <w:p>
            <w:pPr>
              <w:spacing w:after="0"/>
              <w:rPr>
                <w:sz w:val="20"/>
                <w:szCs w:val="20"/>
                <w:color w:val="auto"/>
              </w:rPr>
            </w:pPr>
            <w:r>
              <w:rPr>
                <w:rFonts w:ascii="Arial" w:cs="Arial" w:eastAsia="Arial" w:hAnsi="Arial"/>
                <w:sz w:val="18"/>
                <w:szCs w:val="18"/>
                <w:color w:val="auto"/>
              </w:rPr>
              <w:t>Average correlation coefficient of peer companies</w:t>
            </w:r>
          </w:p>
        </w:tc>
        <w:tc>
          <w:tcPr>
            <w:tcW w:w="2820" w:type="dxa"/>
            <w:vAlign w:val="bottom"/>
            <w:gridSpan w:val="3"/>
          </w:tcPr>
          <w:p>
            <w:pPr>
              <w:jc w:val="right"/>
              <w:ind w:right="60"/>
              <w:spacing w:after="0"/>
              <w:rPr>
                <w:sz w:val="20"/>
                <w:szCs w:val="20"/>
                <w:color w:val="auto"/>
              </w:rPr>
            </w:pPr>
            <w:r>
              <w:rPr>
                <w:rFonts w:ascii="Arial" w:cs="Arial" w:eastAsia="Arial" w:hAnsi="Arial"/>
                <w:sz w:val="18"/>
                <w:szCs w:val="18"/>
                <w:color w:val="auto"/>
              </w:rPr>
              <w:t>0.5%</w:t>
            </w:r>
          </w:p>
        </w:tc>
      </w:tr>
      <w:tr>
        <w:trPr>
          <w:trHeight w:val="216"/>
        </w:trPr>
        <w:tc>
          <w:tcPr>
            <w:tcW w:w="494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0.8%</w:t>
            </w:r>
          </w:p>
        </w:tc>
      </w:tr>
      <w:tr>
        <w:trPr>
          <w:trHeight w:val="222"/>
        </w:trPr>
        <w:tc>
          <w:tcPr>
            <w:tcW w:w="494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2820" w:type="dxa"/>
            <w:vAlign w:val="bottom"/>
            <w:gridSpan w:val="3"/>
          </w:tcPr>
          <w:p>
            <w:pPr>
              <w:jc w:val="right"/>
              <w:ind w:right="60"/>
              <w:spacing w:after="0"/>
              <w:rPr>
                <w:sz w:val="20"/>
                <w:szCs w:val="20"/>
                <w:color w:val="auto"/>
              </w:rPr>
            </w:pPr>
            <w:r>
              <w:rPr>
                <w:rFonts w:ascii="Arial" w:cs="Arial" w:eastAsia="Arial" w:hAnsi="Arial"/>
                <w:sz w:val="18"/>
                <w:szCs w:val="18"/>
                <w:color w:val="auto"/>
              </w:rPr>
              <w:t>2.1%</w:t>
            </w:r>
          </w:p>
        </w:tc>
      </w:tr>
    </w:tbl>
    <w:p>
      <w:pPr>
        <w:spacing w:after="0" w:line="147"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correlation coefficients are calculated based upon the price date used to calculate the historical volatilities and is used to model the way in which each entity tends to move in relation to its peers.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Carnegie Mellon University Settlement</w:t>
      </w:r>
    </w:p>
    <w:p>
      <w:pPr>
        <w:spacing w:after="0" w:line="96" w:lineRule="exact"/>
        <w:rPr>
          <w:sz w:val="20"/>
          <w:szCs w:val="20"/>
          <w:color w:val="auto"/>
        </w:rPr>
      </w:pPr>
    </w:p>
    <w:p>
      <w:pPr>
        <w:ind w:right="320" w:firstLine="456"/>
        <w:spacing w:after="0" w:line="256" w:lineRule="auto"/>
        <w:rPr>
          <w:sz w:val="20"/>
          <w:szCs w:val="20"/>
          <w:color w:val="auto"/>
        </w:rPr>
      </w:pPr>
      <w:r>
        <w:rPr>
          <w:rFonts w:ascii="Arial" w:cs="Arial" w:eastAsia="Arial" w:hAnsi="Arial"/>
          <w:sz w:val="18"/>
          <w:szCs w:val="18"/>
          <w:color w:val="auto"/>
        </w:rPr>
        <w:t>In February 2016, the Company and CMU settled their patent infringement lawsuit pursuant to a court-ordered mediation and entered into a Settlement Agreement and Patent License (the “Agreement”). The parties agreed to mutual release of claims, license and covenant not to sue provisions for which the Company paid an aggregate of $750 million to CMU in the nine months ended October 29, 2016. See CMU litigation under “Note 10 – Commitments and Contingencies” for further information about the lawsuit.</w:t>
      </w:r>
    </w:p>
    <w:p>
      <w:pPr>
        <w:spacing w:after="0" w:line="143" w:lineRule="exact"/>
        <w:rPr>
          <w:sz w:val="20"/>
          <w:szCs w:val="20"/>
          <w:color w:val="auto"/>
        </w:rPr>
      </w:pPr>
    </w:p>
    <w:p>
      <w:pPr>
        <w:jc w:val="both"/>
        <w:ind w:right="120" w:firstLine="456"/>
        <w:spacing w:after="0" w:line="306" w:lineRule="auto"/>
        <w:rPr>
          <w:sz w:val="20"/>
          <w:szCs w:val="20"/>
          <w:color w:val="auto"/>
        </w:rPr>
      </w:pPr>
      <w:r>
        <w:rPr>
          <w:rFonts w:ascii="Arial" w:cs="Arial" w:eastAsia="Arial" w:hAnsi="Arial"/>
          <w:sz w:val="16"/>
          <w:szCs w:val="16"/>
          <w:color w:val="auto"/>
        </w:rPr>
        <w:t>The Agreement was accounted for as a multiple-element arrangement and accordingly, a valuation was completed to determine the estimated fair value of each identifiable element. As a result, the Company allocated $654.7 million to the mutual release of claims and covenant not to sue provisions; $81.3 million to the licensing of intellectual property in fiscal 2016; and the remaining $14.0 million representing the future use of the license through April 2018.</w:t>
      </w:r>
    </w:p>
    <w:p>
      <w:pPr>
        <w:spacing w:after="0" w:line="107" w:lineRule="exact"/>
        <w:rPr>
          <w:sz w:val="20"/>
          <w:szCs w:val="20"/>
          <w:color w:val="auto"/>
        </w:rPr>
      </w:pPr>
    </w:p>
    <w:p>
      <w:pPr>
        <w:jc w:val="both"/>
        <w:ind w:right="20" w:firstLine="456"/>
        <w:spacing w:after="0" w:line="323" w:lineRule="auto"/>
        <w:rPr>
          <w:sz w:val="20"/>
          <w:szCs w:val="20"/>
          <w:color w:val="auto"/>
        </w:rPr>
      </w:pPr>
      <w:r>
        <w:rPr>
          <w:rFonts w:ascii="Arial" w:cs="Arial" w:eastAsia="Arial" w:hAnsi="Arial"/>
          <w:sz w:val="15"/>
          <w:szCs w:val="15"/>
          <w:color w:val="auto"/>
        </w:rPr>
        <w:t>The $654.7 million for the mutual release of claims and covenant not to sue was recorded in fiscal 2016 as a settlement charge in operating expenses since there is no future benefit. The $81.3 million license fee was recorded in fiscal 2016 as a charge in cost of goods sold for past use of the license. The $14.0 million representing the future use of the license, is to be recognized in cost of goods sold over the remaining term of the license from February 2016 through April 2018. Accordingly, the Company recorded $1.6 million and $4.7 million to cost of goods sold in the three and nine months ended October 29, 2016, respectively.</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Changes in the Company’s Organization</w:t>
      </w:r>
    </w:p>
    <w:p>
      <w:pPr>
        <w:spacing w:after="0" w:line="96"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In April 2016, the employment of Dr. Sehat Sutardja as Chief Executive Officer and Ms. Weili Dai as President was terminated by the Company’s Board of Directors. The Board of Directors then formed an Interim Office of the Chief Executive and appointed Maya Strelar-Migotti, Executive Vice President of the Smart Networked Devices and Solutions Business Group, and Dr. Pantelis Alexopoulos, Executive Vice President of the Storage Business Group, as Interim Co-Chief Executive Officers.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Also in April 2016, the Company announced that it entered into an agreement with Starboard Value LP (“Starboard”), regarding the composition of its Board of Directors. Under the terms of the agreement, the Company elected Peter A. Feld, Richard S. Hill, Oleg Khaykin, Michael Strachan and Robert Switz to serve on its board. The agreement specifies that the Board would recommend and the Company would support and solicit proxies only for the election at the 2016 annual general meeting of Messrs. Feld, Hill, Khaykin, Murphy, Strachan and Switz and the four independent directors serving on the Board immediately prior to the execution of the agreement, Dr. Juergen Gromer, Dr. John G. Kassakian, Arturo Krueger and Dr. Randhir Thakur.</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40" w:firstLine="456"/>
        <w:spacing w:after="0" w:line="332" w:lineRule="auto"/>
        <w:rPr>
          <w:sz w:val="20"/>
          <w:szCs w:val="20"/>
          <w:color w:val="auto"/>
        </w:rPr>
      </w:pPr>
      <w:r>
        <w:rPr>
          <w:rFonts w:ascii="Arial" w:cs="Arial" w:eastAsia="Arial" w:hAnsi="Arial"/>
          <w:sz w:val="16"/>
          <w:szCs w:val="16"/>
          <w:color w:val="auto"/>
        </w:rPr>
        <w:t>In May 2016, Mr. Hill replaced Dr. Sutardja as the Chairman of the Board. In June 2016, the Board of Directors appointed Matthew J. Murphy to serve as the Company’s President and Chief Executive Officer, effective July 11, 2016. Mr. Murphy also joined the Board of Directors on July 11, 2016.</w:t>
      </w:r>
    </w:p>
    <w:p>
      <w:pPr>
        <w:spacing w:after="0" w:line="85"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Ms. Strelar-Migotti and Dr. Alexopoulos returned to their roles as Executive Vice Presidents of the Company effective upon Mr. Murphy’s commencement of employment.</w:t>
      </w:r>
    </w:p>
    <w:p>
      <w:pPr>
        <w:spacing w:after="0" w:line="132" w:lineRule="exact"/>
        <w:rPr>
          <w:sz w:val="20"/>
          <w:szCs w:val="20"/>
          <w:color w:val="auto"/>
        </w:rPr>
      </w:pPr>
    </w:p>
    <w:p>
      <w:pPr>
        <w:ind w:right="160" w:firstLine="456"/>
        <w:spacing w:after="0" w:line="335" w:lineRule="auto"/>
        <w:rPr>
          <w:sz w:val="20"/>
          <w:szCs w:val="20"/>
          <w:color w:val="auto"/>
        </w:rPr>
      </w:pPr>
      <w:r>
        <w:rPr>
          <w:rFonts w:ascii="Arial" w:cs="Arial" w:eastAsia="Arial" w:hAnsi="Arial"/>
          <w:sz w:val="15"/>
          <w:szCs w:val="15"/>
          <w:color w:val="auto"/>
        </w:rPr>
        <w:t>Upon the commencement of Mr. Murphy’s employment, the Board subsequently appointed Richard S. Hill, the Chairman of the Board, as the Company’s Interim Principal Executive Officer, to serve in that capacity until the Company files its Quarterly Report on Form 10-Q for the second quarter of fiscal 2017 (“Q217 Form 10-Q”). Mr. Murphy assumed the role of the Company’s principal executive officer immediately following the filing of the Q217 Form 10-Q.</w:t>
      </w:r>
    </w:p>
    <w:p>
      <w:pPr>
        <w:spacing w:after="0" w:line="88"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In August 2016, the Company announced the appointment of Jean Hu as Chief Financial Officer effective August 22, 2016. David P. Eichler, the Company’s Interim Chief Financial Officer and principal financial officer, ceased serving as the Company’s principal financial officer upon Ms. Hu’s appointment as Chief Financial Officer. In September 2016, Dr. Zining Wu, the Company’s Chief Technical Officer, left the Company. On October 3, 2016, the Company announced the appointment of David Caron as Chief Accounting Officer and Controller, effective immediately.</w:t>
      </w:r>
    </w:p>
    <w:p>
      <w:pPr>
        <w:spacing w:after="0" w:line="11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At the Company’s Annual General Meeting of Shareholders held on November 8, 2016 (the “Annual Meeting”), shareholders whose shares were present either in person or by proxy voted upon the election of directors to the Board of Directors. The shareholders elected the following directors to serve until the next annual general meeting of shareholders: Peter Feld; Richard Hill; Oleg Khaykin; Matthew Murphy; Michael Strachan; Robert Switz; and Randhir Thakur. Immediately following the Annual Meeting, the terms of directors Dr. Sehat Sutardja, Weili Dai, Dr. Juergen Groemer, Dr. John Kassakian and Arturo Krueger expired. On November 15, 2016, the Board of Directors appointed Dr. Thakur to serve on the Audit Committee of the Board of Directors, effective immediately.</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15. Subsequent Event</w:t>
      </w:r>
    </w:p>
    <w:p>
      <w:pPr>
        <w:spacing w:after="0" w:line="9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In November 2016, the Company announced a plan to restructure its operations to refocus its research and development, increase operational efficiency and improve profitability. The Company expects that the restructuring actions, which include discontinuing investment in specific research and development programs, streamlining engineering processes, and consolidating research and development sites, will eliminate approximately 900 positions worldwide. In addition, the Company plans to divest certain non-strategic businesses. These actions will begin immediately and are expected to be fully executed by the end of October 2017.</w:t>
      </w:r>
    </w:p>
    <w:p>
      <w:pPr>
        <w:spacing w:after="0" w:line="143" w:lineRule="exact"/>
        <w:rPr>
          <w:sz w:val="20"/>
          <w:szCs w:val="20"/>
          <w:color w:val="auto"/>
        </w:rPr>
      </w:pPr>
    </w:p>
    <w:p>
      <w:pPr>
        <w:jc w:val="both"/>
        <w:ind w:right="40" w:firstLine="456"/>
        <w:spacing w:after="0" w:line="259" w:lineRule="auto"/>
        <w:rPr>
          <w:sz w:val="20"/>
          <w:szCs w:val="20"/>
          <w:color w:val="auto"/>
        </w:rPr>
      </w:pPr>
      <w:r>
        <w:rPr>
          <w:rFonts w:ascii="Arial" w:cs="Arial" w:eastAsia="Arial" w:hAnsi="Arial"/>
          <w:sz w:val="18"/>
          <w:szCs w:val="18"/>
          <w:color w:val="auto"/>
        </w:rPr>
        <w:t>As a result of these actions, the Company expects to incur charges of $90 million to $110 million over the next four fiscal quarters, including cash charges of $35 million to $50 million. Restructuring and restructuring-related charges include an estimate of severance, asset impairment, lease termination fees and other costs.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16"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right="540" w:hanging="325"/>
        <w:spacing w:after="0" w:line="268" w:lineRule="auto"/>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successfully restructure our operations within our anticipated timeframe announced in November 2016 and with our anticipated amounts of costs and savings;</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proceedings;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is the development of complex System-on-a-Chip (“SoC”) and System-in-a-Package devices, leveraging our extensive technology portfolio of intellectual property in the areas of analog, mixed-signal, digital signal processing, and embedded and standalone integrated circuits. The majority of our product portfolio leverages embedded central processing unit technology.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wireless connectivity, and multimedia solutions. Our products serve diverse applications used in carrier, metropolitan, enterprise and PC-client data communications and storage systems. Additionally, we serve the consumer electronics market for the convergence of voice, video and data applications. As a fabless integrated circuit Company,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3"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Net revenue for the third quarter and first nine months of fiscal 2017 declined 3% and 14% compared to the third quarter and first nine months of fiscal 2016, respectively, which was mainly driven by a decline in the HDD market, and the anticipated decline in our mobile and wireless product sales as a result of the restructuring of our mobile handset platform business in fiscal 2016. These declines were partially offset by growth in networking and solid state drive (“SSD”) products.</w:t>
      </w:r>
    </w:p>
    <w:p>
      <w:pPr>
        <w:spacing w:after="0" w:line="14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 Our cash, cash equivalents and short-term investments were $1.7 billion at October 29, 2016. We used cash flow from operations of $477.3 million through the third quarter of fiscal 2017 primarily due to the $750 million settlement with CMU that was fully paid in April 2016. We also paid cash dividends of $0.06 per share for a total of $91.8 million through the third quarter of fiscal 2017. In November 2017, we announced that our board of directors had authorized a $1 billion share repurchase program, and our intention to repurchase approximately $500 million worth of shares over the next 12 months.</w:t>
      </w:r>
    </w:p>
    <w:p>
      <w:pPr>
        <w:spacing w:after="0" w:line="116" w:lineRule="exact"/>
        <w:rPr>
          <w:sz w:val="20"/>
          <w:szCs w:val="20"/>
          <w:color w:val="auto"/>
        </w:rPr>
      </w:pPr>
    </w:p>
    <w:p>
      <w:pPr>
        <w:ind w:right="400" w:firstLine="456"/>
        <w:spacing w:after="0" w:line="332"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net revenue. Net revenue attributable to significant customers whose revenues as a percentage of net revenue was 10% or greater of total net revenues is presented in the following table:</w:t>
      </w:r>
    </w:p>
    <w:p>
      <w:pPr>
        <w:spacing w:after="0" w:line="121"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120" w:type="dxa"/>
            <w:vAlign w:val="bottom"/>
          </w:tcPr>
          <w:p>
            <w:pPr>
              <w:spacing w:after="0"/>
              <w:rPr>
                <w:sz w:val="14"/>
                <w:szCs w:val="14"/>
                <w:color w:val="auto"/>
              </w:rPr>
            </w:pPr>
          </w:p>
        </w:tc>
        <w:tc>
          <w:tcPr>
            <w:tcW w:w="3000" w:type="dxa"/>
            <w:vAlign w:val="bottom"/>
            <w:gridSpan w:val="4"/>
          </w:tcPr>
          <w:p>
            <w:pPr>
              <w:ind w:left="480"/>
              <w:spacing w:after="0"/>
              <w:rPr>
                <w:sz w:val="20"/>
                <w:szCs w:val="20"/>
                <w:color w:val="auto"/>
              </w:rPr>
            </w:pPr>
            <w:r>
              <w:rPr>
                <w:rFonts w:ascii="Arial" w:cs="Arial" w:eastAsia="Arial" w:hAnsi="Arial"/>
                <w:sz w:val="14"/>
                <w:szCs w:val="14"/>
                <w:b w:val="1"/>
                <w:bCs w:val="1"/>
                <w:color w:val="auto"/>
              </w:rPr>
              <w:t>Three Months Ended</w:t>
            </w:r>
          </w:p>
        </w:tc>
        <w:tc>
          <w:tcPr>
            <w:tcW w:w="2380" w:type="dxa"/>
            <w:vAlign w:val="bottom"/>
            <w:gridSpan w:val="4"/>
          </w:tcPr>
          <w:p>
            <w:pPr>
              <w:ind w:left="52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5120" w:type="dxa"/>
            <w:vAlign w:val="bottom"/>
          </w:tcPr>
          <w:p>
            <w:pPr>
              <w:spacing w:after="0"/>
              <w:rPr>
                <w:sz w:val="11"/>
                <w:szCs w:val="11"/>
                <w:color w:val="auto"/>
              </w:rPr>
            </w:pPr>
          </w:p>
        </w:tc>
        <w:tc>
          <w:tcPr>
            <w:tcW w:w="15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October 31,</w:t>
            </w:r>
          </w:p>
        </w:tc>
        <w:tc>
          <w:tcPr>
            <w:tcW w:w="820" w:type="dxa"/>
            <w:vAlign w:val="bottom"/>
          </w:tcPr>
          <w:p>
            <w:pPr>
              <w:spacing w:after="0"/>
              <w:rPr>
                <w:sz w:val="11"/>
                <w:szCs w:val="11"/>
                <w:color w:val="auto"/>
              </w:rPr>
            </w:pPr>
          </w:p>
        </w:tc>
        <w:tc>
          <w:tcPr>
            <w:tcW w:w="150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8"/>
              </w:rPr>
              <w:t>October 31,</w:t>
            </w:r>
          </w:p>
        </w:tc>
        <w:tc>
          <w:tcPr>
            <w:tcW w:w="200" w:type="dxa"/>
            <w:vAlign w:val="bottom"/>
          </w:tcPr>
          <w:p>
            <w:pPr>
              <w:spacing w:after="0"/>
              <w:rPr>
                <w:sz w:val="11"/>
                <w:szCs w:val="11"/>
                <w:color w:val="auto"/>
              </w:rPr>
            </w:pPr>
          </w:p>
        </w:tc>
      </w:tr>
      <w:tr>
        <w:trPr>
          <w:trHeight w:val="161"/>
        </w:trPr>
        <w:tc>
          <w:tcPr>
            <w:tcW w:w="51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2016</w:t>
            </w:r>
          </w:p>
        </w:tc>
        <w:tc>
          <w:tcPr>
            <w:tcW w:w="8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8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200"/>
              <w:spacing w:after="0"/>
              <w:rPr>
                <w:sz w:val="20"/>
                <w:szCs w:val="20"/>
                <w:color w:val="auto"/>
              </w:rPr>
            </w:pPr>
            <w:r>
              <w:rPr>
                <w:rFonts w:ascii="Arial" w:cs="Arial" w:eastAsia="Arial" w:hAnsi="Arial"/>
                <w:sz w:val="14"/>
                <w:szCs w:val="14"/>
                <w:b w:val="1"/>
                <w:bCs w:val="1"/>
                <w:color w:val="auto"/>
              </w:rPr>
              <w:t>2016</w:t>
            </w:r>
          </w:p>
        </w:tc>
        <w:tc>
          <w:tcPr>
            <w:tcW w:w="8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r>
      <w:tr>
        <w:trPr>
          <w:trHeight w:val="196"/>
        </w:trPr>
        <w:tc>
          <w:tcPr>
            <w:tcW w:w="51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End Customer:</w:t>
            </w:r>
          </w:p>
        </w:tc>
        <w:tc>
          <w:tcPr>
            <w:tcW w:w="6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82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r>
      <w:tr>
        <w:trPr>
          <w:trHeight w:val="216"/>
        </w:trPr>
        <w:tc>
          <w:tcPr>
            <w:tcW w:w="5120" w:type="dxa"/>
            <w:vAlign w:val="bottom"/>
          </w:tcPr>
          <w:p>
            <w:pPr>
              <w:ind w:left="440"/>
              <w:spacing w:after="0"/>
              <w:rPr>
                <w:sz w:val="20"/>
                <w:szCs w:val="20"/>
                <w:color w:val="auto"/>
              </w:rPr>
            </w:pPr>
            <w:r>
              <w:rPr>
                <w:rFonts w:ascii="Arial" w:cs="Arial" w:eastAsia="Arial" w:hAnsi="Arial"/>
                <w:sz w:val="18"/>
                <w:szCs w:val="18"/>
                <w:color w:val="auto"/>
              </w:rPr>
              <w:t>Western Digital*</w:t>
            </w:r>
          </w:p>
        </w:tc>
        <w:tc>
          <w:tcPr>
            <w:tcW w:w="1500" w:type="dxa"/>
            <w:vAlign w:val="bottom"/>
            <w:gridSpan w:val="2"/>
          </w:tcPr>
          <w:p>
            <w:pPr>
              <w:ind w:left="500"/>
              <w:spacing w:after="0"/>
              <w:rPr>
                <w:sz w:val="20"/>
                <w:szCs w:val="20"/>
                <w:color w:val="auto"/>
              </w:rPr>
            </w:pPr>
            <w:r>
              <w:rPr>
                <w:rFonts w:ascii="Arial" w:cs="Arial" w:eastAsia="Arial" w:hAnsi="Arial"/>
                <w:sz w:val="18"/>
                <w:szCs w:val="18"/>
                <w:color w:val="auto"/>
              </w:rPr>
              <w:t>21%</w:t>
            </w:r>
          </w:p>
        </w:tc>
        <w:tc>
          <w:tcPr>
            <w:tcW w:w="1500" w:type="dxa"/>
            <w:vAlign w:val="bottom"/>
            <w:gridSpan w:val="2"/>
          </w:tcPr>
          <w:p>
            <w:pPr>
              <w:jc w:val="right"/>
              <w:ind w:right="680"/>
              <w:spacing w:after="0"/>
              <w:rPr>
                <w:sz w:val="20"/>
                <w:szCs w:val="20"/>
                <w:color w:val="auto"/>
              </w:rPr>
            </w:pPr>
            <w:r>
              <w:rPr>
                <w:rFonts w:ascii="Arial" w:cs="Arial" w:eastAsia="Arial" w:hAnsi="Arial"/>
                <w:sz w:val="18"/>
                <w:szCs w:val="18"/>
                <w:color w:val="auto"/>
              </w:rPr>
              <w:t>14%</w:t>
            </w:r>
          </w:p>
        </w:tc>
        <w:tc>
          <w:tcPr>
            <w:tcW w:w="1500" w:type="dxa"/>
            <w:vAlign w:val="bottom"/>
            <w:gridSpan w:val="2"/>
          </w:tcPr>
          <w:p>
            <w:pPr>
              <w:ind w:left="500"/>
              <w:spacing w:after="0"/>
              <w:rPr>
                <w:sz w:val="20"/>
                <w:szCs w:val="20"/>
                <w:color w:val="auto"/>
              </w:rPr>
            </w:pPr>
            <w:r>
              <w:rPr>
                <w:rFonts w:ascii="Arial" w:cs="Arial" w:eastAsia="Arial" w:hAnsi="Arial"/>
                <w:sz w:val="18"/>
                <w:szCs w:val="18"/>
                <w:color w:val="auto"/>
              </w:rPr>
              <w:t>19%</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18%</w:t>
            </w:r>
          </w:p>
        </w:tc>
      </w:tr>
      <w:tr>
        <w:trPr>
          <w:trHeight w:val="216"/>
        </w:trPr>
        <w:tc>
          <w:tcPr>
            <w:tcW w:w="5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Toshiba</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13%</w:t>
            </w:r>
          </w:p>
        </w:tc>
        <w:tc>
          <w:tcPr>
            <w:tcW w:w="150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13%</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5120" w:type="dxa"/>
            <w:vAlign w:val="bottom"/>
          </w:tcPr>
          <w:p>
            <w:pPr>
              <w:ind w:left="440"/>
              <w:spacing w:after="0"/>
              <w:rPr>
                <w:sz w:val="20"/>
                <w:szCs w:val="20"/>
                <w:color w:val="auto"/>
              </w:rPr>
            </w:pPr>
            <w:r>
              <w:rPr>
                <w:rFonts w:ascii="Arial" w:cs="Arial" w:eastAsia="Arial" w:hAnsi="Arial"/>
                <w:sz w:val="18"/>
                <w:szCs w:val="18"/>
                <w:color w:val="auto"/>
              </w:rPr>
              <w:t>Seagate</w:t>
            </w:r>
          </w:p>
        </w:tc>
        <w:tc>
          <w:tcPr>
            <w:tcW w:w="1500" w:type="dxa"/>
            <w:vAlign w:val="bottom"/>
            <w:gridSpan w:val="2"/>
          </w:tcPr>
          <w:p>
            <w:pPr>
              <w:ind w:left="500"/>
              <w:spacing w:after="0"/>
              <w:rPr>
                <w:sz w:val="20"/>
                <w:szCs w:val="20"/>
                <w:color w:val="auto"/>
              </w:rPr>
            </w:pPr>
            <w:r>
              <w:rPr>
                <w:rFonts w:ascii="Arial" w:cs="Arial" w:eastAsia="Arial" w:hAnsi="Arial"/>
                <w:sz w:val="18"/>
                <w:szCs w:val="18"/>
                <w:color w:val="auto"/>
              </w:rPr>
              <w:t>10%</w:t>
            </w:r>
          </w:p>
        </w:tc>
        <w:tc>
          <w:tcPr>
            <w:tcW w:w="1500" w:type="dxa"/>
            <w:vAlign w:val="bottom"/>
            <w:gridSpan w:val="2"/>
          </w:tcPr>
          <w:p>
            <w:pPr>
              <w:jc w:val="right"/>
              <w:ind w:right="680"/>
              <w:spacing w:after="0"/>
              <w:rPr>
                <w:sz w:val="20"/>
                <w:szCs w:val="20"/>
                <w:color w:val="auto"/>
              </w:rPr>
            </w:pPr>
            <w:r>
              <w:rPr>
                <w:rFonts w:ascii="Arial" w:cs="Arial" w:eastAsia="Arial" w:hAnsi="Arial"/>
                <w:sz w:val="18"/>
                <w:szCs w:val="18"/>
                <w:color w:val="auto"/>
              </w:rPr>
              <w:t>11%</w:t>
            </w:r>
          </w:p>
        </w:tc>
        <w:tc>
          <w:tcPr>
            <w:tcW w:w="150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2"/>
          </w:tcPr>
          <w:p>
            <w:pPr>
              <w:jc w:val="right"/>
              <w:ind w:right="60"/>
              <w:spacing w:after="0"/>
              <w:rPr>
                <w:sz w:val="20"/>
                <w:szCs w:val="20"/>
                <w:color w:val="auto"/>
              </w:rPr>
            </w:pPr>
            <w:r>
              <w:rPr>
                <w:rFonts w:ascii="Arial" w:cs="Arial" w:eastAsia="Arial" w:hAnsi="Arial"/>
                <w:sz w:val="18"/>
                <w:szCs w:val="18"/>
                <w:color w:val="auto"/>
              </w:rPr>
              <w:t>13%</w:t>
            </w:r>
          </w:p>
        </w:tc>
      </w:tr>
      <w:tr>
        <w:trPr>
          <w:trHeight w:val="216"/>
        </w:trPr>
        <w:tc>
          <w:tcPr>
            <w:tcW w:w="5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Samsung</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13%</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r>
        <w:trPr>
          <w:trHeight w:val="216"/>
        </w:trPr>
        <w:tc>
          <w:tcPr>
            <w:tcW w:w="5120" w:type="dxa"/>
            <w:vAlign w:val="bottom"/>
          </w:tcPr>
          <w:p>
            <w:pPr>
              <w:spacing w:after="0"/>
              <w:rPr>
                <w:sz w:val="20"/>
                <w:szCs w:val="20"/>
                <w:color w:val="auto"/>
              </w:rPr>
            </w:pPr>
            <w:r>
              <w:rPr>
                <w:rFonts w:ascii="Arial" w:cs="Arial" w:eastAsia="Arial" w:hAnsi="Arial"/>
                <w:sz w:val="18"/>
                <w:szCs w:val="18"/>
                <w:b w:val="1"/>
                <w:bCs w:val="1"/>
                <w:color w:val="auto"/>
              </w:rPr>
              <w:t>Distributor:</w:t>
            </w:r>
          </w:p>
        </w:tc>
        <w:tc>
          <w:tcPr>
            <w:tcW w:w="6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51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Wintech</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w:t>
            </w:r>
          </w:p>
        </w:tc>
        <w:tc>
          <w:tcPr>
            <w:tcW w:w="15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10%</w:t>
            </w: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r>
    </w:tbl>
    <w:p>
      <w:pPr>
        <w:spacing w:after="0" w:line="194" w:lineRule="exact"/>
        <w:rPr>
          <w:sz w:val="20"/>
          <w:szCs w:val="20"/>
          <w:color w:val="auto"/>
        </w:rPr>
      </w:pPr>
    </w:p>
    <w:p>
      <w:pPr>
        <w:ind w:left="460" w:right="500" w:hanging="452"/>
        <w:spacing w:after="0" w:line="254" w:lineRule="auto"/>
        <w:tabs>
          <w:tab w:leader="none" w:pos="4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percentage of net revenues reported for Western Digital in the three and nine months ended October 29, 2016 includes net revenue of HGST and Sandisk, that became subsidiaries of Western Digital in late fiscal 2016.</w:t>
      </w:r>
    </w:p>
    <w:p>
      <w:pPr>
        <w:ind w:left="460" w:hanging="452"/>
        <w:spacing w:after="0"/>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65" w:lineRule="exact"/>
        <w:rPr>
          <w:sz w:val="20"/>
          <w:szCs w:val="20"/>
          <w:color w:val="auto"/>
        </w:rPr>
      </w:pPr>
    </w:p>
    <w:p>
      <w:pPr>
        <w:ind w:right="360" w:firstLine="456"/>
        <w:spacing w:after="0" w:line="268" w:lineRule="auto"/>
        <w:rPr>
          <w:sz w:val="20"/>
          <w:szCs w:val="20"/>
          <w:color w:val="auto"/>
        </w:rPr>
      </w:pPr>
      <w:r>
        <w:rPr>
          <w:rFonts w:ascii="Arial" w:cs="Arial" w:eastAsia="Arial" w:hAnsi="Arial"/>
          <w:sz w:val="18"/>
          <w:szCs w:val="18"/>
          <w:color w:val="auto"/>
        </w:rPr>
        <w:t>We continuously monitor the creditworthiness of our distributors and believe these distributors’ sales to diverse end customers and geographies further serve to mitigate our exposure to credit risk.</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Most of our sales are made to customers located outside of the United States, primarily in Asia. Sales to customers with operations in Asia represented 94% of our net revenue for both the three and nine months ended October 29, 2016, compared to 96% of our net revenue for both the three and nine months ended October 31, 2015. Because many manufacturers and manufacturing subcontractors of our customers are located in Asia, we expect that most of our net revenue will continue to be represented by sales to our customers in that region.</w:t>
      </w:r>
    </w:p>
    <w:p>
      <w:pPr>
        <w:spacing w:after="0" w:line="143"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fiscal year ended January 30, 2016 as filed with the SEC on July 21, 2016.</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right="260" w:firstLine="456"/>
        <w:spacing w:after="0" w:line="268"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6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20" w:type="dxa"/>
            <w:vAlign w:val="bottom"/>
          </w:tcPr>
          <w:p>
            <w:pPr>
              <w:spacing w:after="0"/>
              <w:rPr>
                <w:sz w:val="14"/>
                <w:szCs w:val="14"/>
                <w:color w:val="auto"/>
              </w:rPr>
            </w:pPr>
          </w:p>
        </w:tc>
        <w:tc>
          <w:tcPr>
            <w:tcW w:w="2840" w:type="dxa"/>
            <w:vAlign w:val="bottom"/>
            <w:gridSpan w:val="4"/>
          </w:tcPr>
          <w:p>
            <w:pPr>
              <w:jc w:val="right"/>
              <w:ind w:right="1200"/>
              <w:spacing w:after="0"/>
              <w:rPr>
                <w:sz w:val="20"/>
                <w:szCs w:val="20"/>
                <w:color w:val="auto"/>
              </w:rPr>
            </w:pPr>
            <w:r>
              <w:rPr>
                <w:rFonts w:ascii="Arial" w:cs="Arial" w:eastAsia="Arial" w:hAnsi="Arial"/>
                <w:sz w:val="14"/>
                <w:szCs w:val="14"/>
                <w:b w:val="1"/>
                <w:bCs w:val="1"/>
                <w:color w:val="auto"/>
              </w:rPr>
              <w:t>Three Months Ended</w:t>
            </w:r>
          </w:p>
        </w:tc>
        <w:tc>
          <w:tcPr>
            <w:tcW w:w="2320" w:type="dxa"/>
            <w:vAlign w:val="bottom"/>
            <w:gridSpan w:val="4"/>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320" w:type="dxa"/>
            <w:vAlign w:val="bottom"/>
          </w:tcPr>
          <w:p>
            <w:pPr>
              <w:spacing w:after="0"/>
              <w:rPr>
                <w:sz w:val="11"/>
                <w:szCs w:val="11"/>
                <w:color w:val="auto"/>
              </w:rPr>
            </w:pPr>
          </w:p>
        </w:tc>
        <w:tc>
          <w:tcPr>
            <w:tcW w:w="1400" w:type="dxa"/>
            <w:vAlign w:val="bottom"/>
            <w:tcBorders>
              <w:top w:val="single" w:sz="8" w:color="auto"/>
            </w:tcBorders>
            <w:gridSpan w:val="2"/>
          </w:tcPr>
          <w:p>
            <w:pPr>
              <w:jc w:val="right"/>
              <w:ind w:right="72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780" w:type="dxa"/>
            <w:vAlign w:val="bottom"/>
          </w:tcPr>
          <w:p>
            <w:pPr>
              <w:spacing w:after="0"/>
              <w:rPr>
                <w:sz w:val="11"/>
                <w:szCs w:val="11"/>
                <w:color w:val="auto"/>
              </w:rPr>
            </w:pPr>
          </w:p>
        </w:tc>
        <w:tc>
          <w:tcPr>
            <w:tcW w:w="1380" w:type="dxa"/>
            <w:vAlign w:val="bottom"/>
            <w:tcBorders>
              <w:top w:val="single" w:sz="8" w:color="auto"/>
            </w:tcBorders>
            <w:gridSpan w:val="2"/>
          </w:tcPr>
          <w:p>
            <w:pPr>
              <w:jc w:val="right"/>
              <w:ind w:right="700"/>
              <w:spacing w:after="0" w:line="129" w:lineRule="exact"/>
              <w:rPr>
                <w:sz w:val="20"/>
                <w:szCs w:val="20"/>
                <w:color w:val="auto"/>
              </w:rPr>
            </w:pPr>
            <w:r>
              <w:rPr>
                <w:rFonts w:ascii="Arial" w:cs="Arial" w:eastAsia="Arial" w:hAnsi="Arial"/>
                <w:sz w:val="14"/>
                <w:szCs w:val="14"/>
                <w:b w:val="1"/>
                <w:bCs w:val="1"/>
                <w:color w:val="auto"/>
                <w:w w:val="85"/>
              </w:rPr>
              <w:t>October 29,</w:t>
            </w:r>
          </w:p>
        </w:tc>
        <w:tc>
          <w:tcPr>
            <w:tcW w:w="6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32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720" w:type="dxa"/>
            <w:vAlign w:val="bottom"/>
            <w:tcBorders>
              <w:bottom w:val="single" w:sz="8" w:color="CCEEFF"/>
            </w:tcBorders>
          </w:tcPr>
          <w:p>
            <w:pPr>
              <w:spacing w:after="0"/>
              <w:rPr>
                <w:sz w:val="14"/>
                <w:szCs w:val="14"/>
                <w:color w:val="auto"/>
              </w:rPr>
            </w:pPr>
          </w:p>
        </w:tc>
        <w:tc>
          <w:tcPr>
            <w:tcW w:w="66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78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2016</w:t>
            </w:r>
          </w:p>
        </w:tc>
        <w:tc>
          <w:tcPr>
            <w:tcW w:w="70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26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3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4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100.0%</w:t>
            </w:r>
          </w:p>
        </w:tc>
        <w:tc>
          <w:tcPr>
            <w:tcW w:w="144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100.0%</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100.0%</w:t>
            </w:r>
          </w:p>
        </w:tc>
        <w:tc>
          <w:tcPr>
            <w:tcW w:w="9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6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56.2</w:t>
            </w:r>
          </w:p>
        </w:tc>
        <w:tc>
          <w:tcPr>
            <w:tcW w:w="7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45.7</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56.5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680" w:type="dxa"/>
            <w:vAlign w:val="bottom"/>
          </w:tcPr>
          <w:p>
            <w:pPr>
              <w:jc w:val="right"/>
              <w:spacing w:after="0"/>
              <w:rPr>
                <w:sz w:val="20"/>
                <w:szCs w:val="20"/>
                <w:color w:val="auto"/>
              </w:rPr>
            </w:pPr>
            <w:r>
              <w:rPr>
                <w:rFonts w:ascii="Arial" w:cs="Arial" w:eastAsia="Arial" w:hAnsi="Arial"/>
                <w:sz w:val="18"/>
                <w:szCs w:val="18"/>
                <w:color w:val="auto"/>
              </w:rPr>
              <w:t>34.0</w:t>
            </w:r>
          </w:p>
        </w:tc>
        <w:tc>
          <w:tcPr>
            <w:tcW w:w="7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37.4</w:t>
            </w:r>
          </w:p>
        </w:tc>
        <w:tc>
          <w:tcPr>
            <w:tcW w:w="780" w:type="dxa"/>
            <w:vAlign w:val="bottom"/>
          </w:tcPr>
          <w:p>
            <w:pPr>
              <w:spacing w:after="0"/>
              <w:rPr>
                <w:sz w:val="18"/>
                <w:szCs w:val="18"/>
                <w:color w:val="auto"/>
              </w:rPr>
            </w:pPr>
          </w:p>
        </w:tc>
        <w:tc>
          <w:tcPr>
            <w:tcW w:w="1380" w:type="dxa"/>
            <w:vAlign w:val="bottom"/>
            <w:gridSpan w:val="2"/>
          </w:tcPr>
          <w:p>
            <w:pPr>
              <w:jc w:val="right"/>
              <w:ind w:right="700"/>
              <w:spacing w:after="0"/>
              <w:rPr>
                <w:sz w:val="20"/>
                <w:szCs w:val="20"/>
                <w:color w:val="auto"/>
              </w:rPr>
            </w:pPr>
            <w:r>
              <w:rPr>
                <w:rFonts w:ascii="Arial" w:cs="Arial" w:eastAsia="Arial" w:hAnsi="Arial"/>
                <w:sz w:val="18"/>
                <w:szCs w:val="18"/>
                <w:color w:val="auto"/>
              </w:rPr>
              <w:t>38.0</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78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5.1</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680" w:type="dxa"/>
            <w:vAlign w:val="bottom"/>
          </w:tcPr>
          <w:p>
            <w:pPr>
              <w:jc w:val="right"/>
              <w:spacing w:after="0"/>
              <w:rPr>
                <w:sz w:val="20"/>
                <w:szCs w:val="20"/>
                <w:color w:val="auto"/>
              </w:rPr>
            </w:pPr>
            <w:r>
              <w:rPr>
                <w:rFonts w:ascii="Arial" w:cs="Arial" w:eastAsia="Arial" w:hAnsi="Arial"/>
                <w:sz w:val="18"/>
                <w:szCs w:val="18"/>
                <w:color w:val="auto"/>
              </w:rPr>
              <w:t>4.4</w:t>
            </w:r>
          </w:p>
        </w:tc>
        <w:tc>
          <w:tcPr>
            <w:tcW w:w="7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4.9</w:t>
            </w:r>
          </w:p>
        </w:tc>
        <w:tc>
          <w:tcPr>
            <w:tcW w:w="780" w:type="dxa"/>
            <w:vAlign w:val="bottom"/>
          </w:tcPr>
          <w:p>
            <w:pPr>
              <w:spacing w:after="0"/>
              <w:rPr>
                <w:sz w:val="18"/>
                <w:szCs w:val="18"/>
                <w:color w:val="auto"/>
              </w:rPr>
            </w:pPr>
          </w:p>
        </w:tc>
        <w:tc>
          <w:tcPr>
            <w:tcW w:w="1380" w:type="dxa"/>
            <w:vAlign w:val="bottom"/>
            <w:gridSpan w:val="2"/>
          </w:tcPr>
          <w:p>
            <w:pPr>
              <w:jc w:val="right"/>
              <w:ind w:right="700"/>
              <w:spacing w:after="0"/>
              <w:rPr>
                <w:sz w:val="20"/>
                <w:szCs w:val="20"/>
                <w:color w:val="auto"/>
              </w:rPr>
            </w:pPr>
            <w:r>
              <w:rPr>
                <w:rFonts w:ascii="Arial" w:cs="Arial" w:eastAsia="Arial" w:hAnsi="Arial"/>
                <w:sz w:val="18"/>
                <w:szCs w:val="18"/>
                <w:color w:val="auto"/>
              </w:rPr>
              <w:t>5.4</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Carnegie Mellon University litigation settlement</w:t>
            </w:r>
          </w:p>
        </w:tc>
        <w:tc>
          <w:tcPr>
            <w:tcW w:w="1400" w:type="dxa"/>
            <w:vAlign w:val="bottom"/>
            <w:gridSpan w:val="2"/>
            <w:shd w:val="clear" w:color="auto" w:fill="CCEEFF"/>
          </w:tcPr>
          <w:p>
            <w:pPr>
              <w:jc w:val="right"/>
              <w:ind w:right="820"/>
              <w:spacing w:after="0"/>
              <w:rPr>
                <w:sz w:val="20"/>
                <w:szCs w:val="20"/>
                <w:color w:val="auto"/>
              </w:rPr>
            </w:pPr>
            <w:r>
              <w:rPr>
                <w:rFonts w:ascii="Arial" w:cs="Arial" w:eastAsia="Arial" w:hAnsi="Arial"/>
                <w:sz w:val="18"/>
                <w:szCs w:val="18"/>
                <w:color w:val="auto"/>
              </w:rPr>
              <w:t>—</w:t>
            </w:r>
          </w:p>
        </w:tc>
        <w:tc>
          <w:tcPr>
            <w:tcW w:w="1440" w:type="dxa"/>
            <w:vAlign w:val="bottom"/>
            <w:gridSpan w:val="2"/>
            <w:shd w:val="clear" w:color="auto" w:fill="CCEEFF"/>
          </w:tcPr>
          <w:p>
            <w:pPr>
              <w:jc w:val="right"/>
              <w:ind w:right="860"/>
              <w:spacing w:after="0"/>
              <w:rPr>
                <w:sz w:val="20"/>
                <w:szCs w:val="20"/>
                <w:color w:val="auto"/>
              </w:rPr>
            </w:pPr>
            <w:r>
              <w:rPr>
                <w:rFonts w:ascii="Arial" w:cs="Arial" w:eastAsia="Arial" w:hAnsi="Arial"/>
                <w:sz w:val="18"/>
                <w:szCs w:val="18"/>
                <w:color w:val="auto"/>
              </w:rPr>
              <w:t>—</w:t>
            </w:r>
          </w:p>
        </w:tc>
        <w:tc>
          <w:tcPr>
            <w:tcW w:w="1380" w:type="dxa"/>
            <w:vAlign w:val="bottom"/>
            <w:gridSpan w:val="2"/>
            <w:shd w:val="clear" w:color="auto" w:fill="CCEEFF"/>
          </w:tcPr>
          <w:p>
            <w:pPr>
              <w:jc w:val="right"/>
              <w:ind w:right="800"/>
              <w:spacing w:after="0"/>
              <w:rPr>
                <w:sz w:val="20"/>
                <w:szCs w:val="20"/>
                <w:color w:val="auto"/>
              </w:rPr>
            </w:pPr>
            <w:r>
              <w:rPr>
                <w:rFonts w:ascii="Arial" w:cs="Arial" w:eastAsia="Arial" w:hAnsi="Arial"/>
                <w:sz w:val="18"/>
                <w:szCs w:val="18"/>
                <w:color w:val="auto"/>
              </w:rPr>
              <w:t>—</w:t>
            </w: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ind w:left="420"/>
              <w:spacing w:after="0"/>
              <w:rPr>
                <w:sz w:val="20"/>
                <w:szCs w:val="20"/>
                <w:color w:val="auto"/>
              </w:rPr>
            </w:pPr>
            <w:r>
              <w:rPr>
                <w:rFonts w:ascii="Arial" w:cs="Arial" w:eastAsia="Arial" w:hAnsi="Arial"/>
                <w:sz w:val="18"/>
                <w:szCs w:val="18"/>
                <w:color w:val="auto"/>
              </w:rPr>
              <w:t>Restructuring and other related charges</w:t>
            </w:r>
          </w:p>
        </w:tc>
        <w:tc>
          <w:tcPr>
            <w:tcW w:w="680" w:type="dxa"/>
            <w:vAlign w:val="bottom"/>
          </w:tcPr>
          <w:p>
            <w:pPr>
              <w:jc w:val="right"/>
              <w:spacing w:after="0"/>
              <w:rPr>
                <w:sz w:val="20"/>
                <w:szCs w:val="20"/>
                <w:color w:val="auto"/>
              </w:rPr>
            </w:pPr>
            <w:r>
              <w:rPr>
                <w:rFonts w:ascii="Arial" w:cs="Arial" w:eastAsia="Arial" w:hAnsi="Arial"/>
                <w:sz w:val="18"/>
                <w:szCs w:val="18"/>
                <w:color w:val="auto"/>
              </w:rPr>
              <w:t>0.2</w:t>
            </w:r>
          </w:p>
        </w:tc>
        <w:tc>
          <w:tcPr>
            <w:tcW w:w="7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5.2</w:t>
            </w:r>
          </w:p>
        </w:tc>
        <w:tc>
          <w:tcPr>
            <w:tcW w:w="780" w:type="dxa"/>
            <w:vAlign w:val="bottom"/>
          </w:tcPr>
          <w:p>
            <w:pPr>
              <w:spacing w:after="0"/>
              <w:rPr>
                <w:sz w:val="18"/>
                <w:szCs w:val="18"/>
                <w:color w:val="auto"/>
              </w:rPr>
            </w:pPr>
          </w:p>
        </w:tc>
        <w:tc>
          <w:tcPr>
            <w:tcW w:w="1380" w:type="dxa"/>
            <w:vAlign w:val="bottom"/>
            <w:gridSpan w:val="2"/>
          </w:tcPr>
          <w:p>
            <w:pPr>
              <w:jc w:val="right"/>
              <w:ind w:right="700"/>
              <w:spacing w:after="0"/>
              <w:rPr>
                <w:sz w:val="20"/>
                <w:szCs w:val="20"/>
                <w:color w:val="auto"/>
              </w:rPr>
            </w:pPr>
            <w:r>
              <w:rPr>
                <w:rFonts w:ascii="Arial" w:cs="Arial" w:eastAsia="Arial" w:hAnsi="Arial"/>
                <w:sz w:val="18"/>
                <w:szCs w:val="18"/>
                <w:color w:val="auto"/>
              </w:rPr>
              <w:t>0.3</w:t>
            </w: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7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w:t>
            </w:r>
          </w:p>
        </w:tc>
        <w:tc>
          <w:tcPr>
            <w:tcW w:w="78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w:t>
            </w:r>
          </w:p>
        </w:tc>
        <w:tc>
          <w:tcPr>
            <w:tcW w:w="70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20" w:type="dxa"/>
            <w:vAlign w:val="bottom"/>
            <w:vMerge w:val="restart"/>
          </w:tcPr>
          <w:p>
            <w:pPr>
              <w:ind w:left="860"/>
              <w:spacing w:after="0"/>
              <w:rPr>
                <w:sz w:val="20"/>
                <w:szCs w:val="20"/>
                <w:color w:val="auto"/>
              </w:rPr>
            </w:pPr>
            <w:r>
              <w:rPr>
                <w:rFonts w:ascii="Arial" w:cs="Arial" w:eastAsia="Arial" w:hAnsi="Arial"/>
                <w:sz w:val="18"/>
                <w:szCs w:val="18"/>
                <w:color w:val="auto"/>
              </w:rPr>
              <w:t>Total operating costs and expenses</w:t>
            </w:r>
          </w:p>
        </w:tc>
        <w:tc>
          <w:tcPr>
            <w:tcW w:w="680" w:type="dxa"/>
            <w:vAlign w:val="bottom"/>
            <w:shd w:val="clear" w:color="auto" w:fill="000000"/>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5320" w:type="dxa"/>
            <w:vAlign w:val="bottom"/>
            <w:vMerge w:val="continue"/>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87.3</w:t>
            </w:r>
          </w:p>
        </w:tc>
        <w:tc>
          <w:tcPr>
            <w:tcW w:w="720" w:type="dxa"/>
            <w:vAlign w:val="bottom"/>
          </w:tcPr>
          <w:p>
            <w:pPr>
              <w:spacing w:after="0"/>
              <w:rPr>
                <w:sz w:val="19"/>
                <w:szCs w:val="19"/>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108.8</w:t>
            </w:r>
          </w:p>
        </w:tc>
        <w:tc>
          <w:tcPr>
            <w:tcW w:w="780" w:type="dxa"/>
            <w:vAlign w:val="bottom"/>
          </w:tcPr>
          <w:p>
            <w:pPr>
              <w:spacing w:after="0"/>
              <w:rPr>
                <w:sz w:val="19"/>
                <w:szCs w:val="19"/>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94.9</w:t>
            </w:r>
          </w:p>
        </w:tc>
        <w:tc>
          <w:tcPr>
            <w:tcW w:w="700" w:type="dxa"/>
            <w:vAlign w:val="bottom"/>
          </w:tcPr>
          <w:p>
            <w:pPr>
              <w:spacing w:after="0"/>
              <w:rPr>
                <w:sz w:val="19"/>
                <w:szCs w:val="19"/>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138.8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 (loss)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w:t>
            </w:r>
          </w:p>
        </w:tc>
        <w:tc>
          <w:tcPr>
            <w:tcW w:w="72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(8.8)</w:t>
            </w:r>
          </w:p>
        </w:tc>
        <w:tc>
          <w:tcPr>
            <w:tcW w:w="13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5.1</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80" w:type="dxa"/>
            <w:vAlign w:val="bottom"/>
          </w:tcPr>
          <w:p>
            <w:pPr>
              <w:jc w:val="right"/>
              <w:spacing w:after="0"/>
              <w:rPr>
                <w:sz w:val="20"/>
                <w:szCs w:val="20"/>
                <w:color w:val="auto"/>
              </w:rPr>
            </w:pPr>
            <w:r>
              <w:rPr>
                <w:rFonts w:ascii="Arial" w:cs="Arial" w:eastAsia="Arial" w:hAnsi="Arial"/>
                <w:sz w:val="18"/>
                <w:szCs w:val="18"/>
                <w:color w:val="auto"/>
              </w:rPr>
              <w:t>0.8</w:t>
            </w:r>
          </w:p>
        </w:tc>
        <w:tc>
          <w:tcPr>
            <w:tcW w:w="7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0.7</w:t>
            </w:r>
          </w:p>
        </w:tc>
        <w:tc>
          <w:tcPr>
            <w:tcW w:w="7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0.8</w:t>
            </w:r>
          </w:p>
        </w:tc>
        <w:tc>
          <w:tcPr>
            <w:tcW w:w="70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Income (loss) before income taxes</w:t>
            </w: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w:t>
            </w:r>
          </w:p>
        </w:tc>
        <w:tc>
          <w:tcPr>
            <w:tcW w:w="72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720"/>
              <w:spacing w:after="0"/>
              <w:rPr>
                <w:sz w:val="20"/>
                <w:szCs w:val="20"/>
                <w:color w:val="auto"/>
              </w:rPr>
            </w:pPr>
            <w:r>
              <w:rPr>
                <w:rFonts w:ascii="Arial" w:cs="Arial" w:eastAsia="Arial" w:hAnsi="Arial"/>
                <w:sz w:val="18"/>
                <w:szCs w:val="18"/>
                <w:color w:val="auto"/>
              </w:rPr>
              <w:t>(8.1)</w:t>
            </w:r>
          </w:p>
        </w:tc>
        <w:tc>
          <w:tcPr>
            <w:tcW w:w="13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5.9</w:t>
            </w:r>
          </w:p>
        </w:tc>
        <w:tc>
          <w:tcPr>
            <w:tcW w:w="9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2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680" w:type="dxa"/>
            <w:vAlign w:val="bottom"/>
          </w:tcPr>
          <w:p>
            <w:pPr>
              <w:jc w:val="right"/>
              <w:spacing w:after="0"/>
              <w:rPr>
                <w:sz w:val="20"/>
                <w:szCs w:val="20"/>
                <w:color w:val="auto"/>
              </w:rPr>
            </w:pPr>
            <w:r>
              <w:rPr>
                <w:rFonts w:ascii="Arial" w:cs="Arial" w:eastAsia="Arial" w:hAnsi="Arial"/>
                <w:sz w:val="18"/>
                <w:szCs w:val="18"/>
                <w:color w:val="auto"/>
              </w:rPr>
              <w:t>2.4</w:t>
            </w:r>
          </w:p>
        </w:tc>
        <w:tc>
          <w:tcPr>
            <w:tcW w:w="72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0.5</w:t>
            </w:r>
          </w:p>
        </w:tc>
        <w:tc>
          <w:tcPr>
            <w:tcW w:w="7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0.3</w:t>
            </w:r>
          </w:p>
        </w:tc>
        <w:tc>
          <w:tcPr>
            <w:tcW w:w="700" w:type="dxa"/>
            <w:vAlign w:val="bottom"/>
          </w:tcPr>
          <w:p>
            <w:pPr>
              <w:spacing w:after="0"/>
              <w:rPr>
                <w:sz w:val="18"/>
                <w:szCs w:val="18"/>
                <w:color w:val="auto"/>
              </w:rPr>
            </w:pPr>
          </w:p>
        </w:tc>
        <w:tc>
          <w:tcPr>
            <w:tcW w:w="940" w:type="dxa"/>
            <w:vAlign w:val="bottom"/>
            <w:gridSpan w:val="2"/>
          </w:tcPr>
          <w:p>
            <w:pPr>
              <w:jc w:val="right"/>
              <w:ind w:right="260"/>
              <w:spacing w:after="0"/>
              <w:rPr>
                <w:sz w:val="20"/>
                <w:szCs w:val="20"/>
                <w:color w:val="auto"/>
              </w:rPr>
            </w:pPr>
            <w:r>
              <w:rPr>
                <w:rFonts w:ascii="Arial" w:cs="Arial" w:eastAsia="Arial" w:hAnsi="Arial"/>
                <w:sz w:val="18"/>
                <w:szCs w:val="18"/>
                <w:color w:val="auto"/>
              </w:rPr>
              <w:t>0.7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32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7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20" w:type="dxa"/>
            <w:vAlign w:val="bottom"/>
            <w:shd w:val="clear" w:color="auto" w:fill="CCEEFF"/>
          </w:tcPr>
          <w:p>
            <w:pPr>
              <w:spacing w:after="0"/>
              <w:rPr>
                <w:sz w:val="20"/>
                <w:szCs w:val="20"/>
                <w:color w:val="auto"/>
              </w:rPr>
            </w:pPr>
            <w:r>
              <w:rPr>
                <w:rFonts w:ascii="Arial" w:cs="Arial" w:eastAsia="Arial" w:hAnsi="Arial"/>
                <w:sz w:val="18"/>
                <w:szCs w:val="18"/>
                <w:color w:val="auto"/>
              </w:rPr>
              <w:t>Net income (loss)</w:t>
            </w:r>
          </w:p>
        </w:tc>
        <w:tc>
          <w:tcPr>
            <w:tcW w:w="140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11.1%</w:t>
            </w:r>
          </w:p>
        </w:tc>
        <w:tc>
          <w:tcPr>
            <w:tcW w:w="14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(8.6)%</w:t>
            </w:r>
          </w:p>
        </w:tc>
        <w:tc>
          <w:tcPr>
            <w:tcW w:w="13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5.6%</w:t>
            </w: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29, 2016 and October 31, 2015</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640" w:type="dxa"/>
            <w:vAlign w:val="bottom"/>
            <w:gridSpan w:val="2"/>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40" w:type="dxa"/>
            <w:vAlign w:val="bottom"/>
            <w:gridSpan w:val="3"/>
          </w:tcPr>
          <w:p>
            <w:pPr>
              <w:ind w:left="38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280" w:type="dxa"/>
            <w:vAlign w:val="bottom"/>
          </w:tcPr>
          <w:p>
            <w:pPr>
              <w:spacing w:after="0"/>
              <w:rPr>
                <w:sz w:val="11"/>
                <w:szCs w:val="11"/>
                <w:color w:val="auto"/>
              </w:rPr>
            </w:pPr>
          </w:p>
        </w:tc>
        <w:tc>
          <w:tcPr>
            <w:tcW w:w="2400" w:type="dxa"/>
            <w:vAlign w:val="bottom"/>
          </w:tcPr>
          <w:p>
            <w:pPr>
              <w:spacing w:after="0"/>
              <w:rPr>
                <w:sz w:val="11"/>
                <w:szCs w:val="11"/>
                <w:color w:val="auto"/>
              </w:rPr>
            </w:pPr>
          </w:p>
        </w:tc>
        <w:tc>
          <w:tcPr>
            <w:tcW w:w="82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820" w:type="dxa"/>
            <w:vAlign w:val="bottom"/>
            <w:tcBorders>
              <w:top w:val="single" w:sz="8" w:color="auto"/>
            </w:tcBorders>
          </w:tcPr>
          <w:p>
            <w:pPr>
              <w:jc w:val="center"/>
              <w:ind w:left="86"/>
              <w:spacing w:after="0" w:line="129" w:lineRule="exact"/>
              <w:rPr>
                <w:sz w:val="20"/>
                <w:szCs w:val="20"/>
                <w:color w:val="auto"/>
              </w:rPr>
            </w:pPr>
            <w:r>
              <w:rPr>
                <w:rFonts w:ascii="Arial" w:cs="Arial" w:eastAsia="Arial" w:hAnsi="Arial"/>
                <w:sz w:val="14"/>
                <w:szCs w:val="14"/>
                <w:b w:val="1"/>
                <w:bCs w:val="1"/>
                <w:color w:val="auto"/>
                <w:w w:val="85"/>
              </w:rPr>
              <w:t>October 31,</w:t>
            </w:r>
          </w:p>
        </w:tc>
        <w:tc>
          <w:tcPr>
            <w:tcW w:w="10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tcBorders>
              <w:top w:val="single" w:sz="8" w:color="auto"/>
            </w:tcBorders>
          </w:tcPr>
          <w:p>
            <w:pPr>
              <w:ind w:left="80"/>
              <w:spacing w:after="0" w:line="129" w:lineRule="exact"/>
              <w:rPr>
                <w:sz w:val="20"/>
                <w:szCs w:val="20"/>
                <w:color w:val="auto"/>
              </w:rPr>
            </w:pPr>
            <w:r>
              <w:rPr>
                <w:rFonts w:ascii="Arial" w:cs="Arial" w:eastAsia="Arial" w:hAnsi="Arial"/>
                <w:sz w:val="14"/>
                <w:szCs w:val="14"/>
                <w:b w:val="1"/>
                <w:bCs w:val="1"/>
                <w:color w:val="auto"/>
              </w:rPr>
              <w:t>October 29,</w:t>
            </w:r>
          </w:p>
        </w:tc>
        <w:tc>
          <w:tcPr>
            <w:tcW w:w="920" w:type="dxa"/>
            <w:vAlign w:val="bottom"/>
            <w:tcBorders>
              <w:top w:val="single" w:sz="8" w:color="auto"/>
            </w:tcBorders>
          </w:tcPr>
          <w:p>
            <w:pPr>
              <w:ind w:left="180"/>
              <w:spacing w:after="0" w:line="129" w:lineRule="exact"/>
              <w:rPr>
                <w:sz w:val="20"/>
                <w:szCs w:val="20"/>
                <w:color w:val="auto"/>
              </w:rPr>
            </w:pPr>
            <w:r>
              <w:rPr>
                <w:rFonts w:ascii="Arial" w:cs="Arial" w:eastAsia="Arial" w:hAnsi="Arial"/>
                <w:sz w:val="14"/>
                <w:szCs w:val="14"/>
                <w:b w:val="1"/>
                <w:bCs w:val="1"/>
                <w:color w:val="auto"/>
                <w:w w:val="93"/>
              </w:rPr>
              <w:t>October 31,</w:t>
            </w:r>
          </w:p>
        </w:tc>
        <w:tc>
          <w:tcPr>
            <w:tcW w:w="14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280" w:type="dxa"/>
            <w:vAlign w:val="bottom"/>
          </w:tcPr>
          <w:p>
            <w:pPr>
              <w:spacing w:after="0"/>
              <w:rPr>
                <w:sz w:val="14"/>
                <w:szCs w:val="14"/>
                <w:color w:val="auto"/>
              </w:rPr>
            </w:pPr>
          </w:p>
        </w:tc>
        <w:tc>
          <w:tcPr>
            <w:tcW w:w="3220" w:type="dxa"/>
            <w:vAlign w:val="bottom"/>
            <w:gridSpan w:val="2"/>
          </w:tcPr>
          <w:p>
            <w:pPr>
              <w:jc w:val="right"/>
              <w:ind w:right="272"/>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center"/>
              <w:ind w:left="86"/>
              <w:spacing w:after="0"/>
              <w:rPr>
                <w:sz w:val="20"/>
                <w:szCs w:val="20"/>
                <w:color w:val="auto"/>
              </w:rPr>
            </w:pPr>
            <w:r>
              <w:rPr>
                <w:rFonts w:ascii="Arial" w:cs="Arial" w:eastAsia="Arial" w:hAnsi="Arial"/>
                <w:sz w:val="14"/>
                <w:szCs w:val="14"/>
                <w:b w:val="1"/>
                <w:bCs w:val="1"/>
                <w:color w:val="auto"/>
                <w:w w:val="83"/>
              </w:rPr>
              <w:t>2015</w:t>
            </w:r>
          </w:p>
        </w:tc>
        <w:tc>
          <w:tcPr>
            <w:tcW w:w="108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00" w:type="dxa"/>
            <w:vAlign w:val="bottom"/>
            <w:gridSpan w:val="2"/>
          </w:tcPr>
          <w:p>
            <w:pPr>
              <w:jc w:val="right"/>
              <w:ind w:right="372"/>
              <w:spacing w:after="0"/>
              <w:rPr>
                <w:sz w:val="20"/>
                <w:szCs w:val="20"/>
                <w:color w:val="auto"/>
              </w:rPr>
            </w:pPr>
            <w:r>
              <w:rPr>
                <w:rFonts w:ascii="Arial" w:cs="Arial" w:eastAsia="Arial" w:hAnsi="Arial"/>
                <w:sz w:val="14"/>
                <w:szCs w:val="14"/>
                <w:b w:val="1"/>
                <w:bCs w:val="1"/>
                <w:color w:val="auto"/>
              </w:rPr>
              <w:t>2016</w:t>
            </w:r>
          </w:p>
        </w:tc>
        <w:tc>
          <w:tcPr>
            <w:tcW w:w="920" w:type="dxa"/>
            <w:vAlign w:val="bottom"/>
          </w:tcPr>
          <w:p>
            <w:pPr>
              <w:jc w:val="right"/>
              <w:ind w:right="186"/>
              <w:spacing w:after="0"/>
              <w:rPr>
                <w:sz w:val="20"/>
                <w:szCs w:val="20"/>
                <w:color w:val="auto"/>
              </w:rPr>
            </w:pPr>
            <w:r>
              <w:rPr>
                <w:rFonts w:ascii="Arial" w:cs="Arial" w:eastAsia="Arial" w:hAnsi="Arial"/>
                <w:sz w:val="14"/>
                <w:szCs w:val="14"/>
                <w:b w:val="1"/>
                <w:bCs w:val="1"/>
                <w:color w:val="auto"/>
              </w:rPr>
              <w:t>2015</w:t>
            </w:r>
          </w:p>
        </w:tc>
        <w:tc>
          <w:tcPr>
            <w:tcW w:w="14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28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3"/>
          </w:tcPr>
          <w:p>
            <w:pPr>
              <w:ind w:left="14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9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220" w:type="dxa"/>
            <w:vAlign w:val="bottom"/>
            <w:gridSpan w:val="2"/>
            <w:shd w:val="clear" w:color="auto" w:fill="CCEEFF"/>
          </w:tcPr>
          <w:p>
            <w:pPr>
              <w:jc w:val="right"/>
              <w:ind w:right="72"/>
              <w:spacing w:after="0"/>
              <w:rPr>
                <w:sz w:val="20"/>
                <w:szCs w:val="20"/>
                <w:color w:val="auto"/>
              </w:rPr>
            </w:pPr>
            <w:r>
              <w:rPr>
                <w:rFonts w:ascii="Arial" w:cs="Arial" w:eastAsia="Arial" w:hAnsi="Arial"/>
                <w:sz w:val="18"/>
                <w:szCs w:val="18"/>
                <w:color w:val="auto"/>
              </w:rPr>
              <w:t>$654,422</w:t>
            </w:r>
          </w:p>
        </w:tc>
        <w:tc>
          <w:tcPr>
            <w:tcW w:w="820" w:type="dxa"/>
            <w:vAlign w:val="bottom"/>
            <w:shd w:val="clear" w:color="auto" w:fill="CCEEFF"/>
          </w:tcPr>
          <w:p>
            <w:pPr>
              <w:jc w:val="center"/>
              <w:ind w:left="86"/>
              <w:spacing w:after="0"/>
              <w:rPr>
                <w:sz w:val="20"/>
                <w:szCs w:val="20"/>
                <w:color w:val="auto"/>
              </w:rPr>
            </w:pPr>
            <w:r>
              <w:rPr>
                <w:rFonts w:ascii="Arial" w:cs="Arial" w:eastAsia="Arial" w:hAnsi="Arial"/>
                <w:sz w:val="18"/>
                <w:szCs w:val="18"/>
                <w:color w:val="auto"/>
                <w:w w:val="87"/>
              </w:rPr>
              <w:t>$674,890</w:t>
            </w:r>
          </w:p>
        </w:tc>
        <w:tc>
          <w:tcPr>
            <w:tcW w:w="1080" w:type="dxa"/>
            <w:vAlign w:val="bottom"/>
            <w:shd w:val="clear" w:color="auto" w:fill="CCEEFF"/>
          </w:tcPr>
          <w:p>
            <w:pPr>
              <w:ind w:left="480"/>
              <w:spacing w:after="0"/>
              <w:rPr>
                <w:sz w:val="20"/>
                <w:szCs w:val="20"/>
                <w:color w:val="auto"/>
              </w:rPr>
            </w:pPr>
            <w:r>
              <w:rPr>
                <w:rFonts w:ascii="Arial" w:cs="Arial" w:eastAsia="Arial" w:hAnsi="Arial"/>
                <w:sz w:val="18"/>
                <w:szCs w:val="18"/>
                <w:color w:val="auto"/>
              </w:rPr>
              <w:t>(3.0)%</w:t>
            </w:r>
          </w:p>
        </w:tc>
        <w:tc>
          <w:tcPr>
            <w:tcW w:w="110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99"/>
              </w:rPr>
              <w:t>$1,821,648</w:t>
            </w:r>
          </w:p>
        </w:tc>
        <w:tc>
          <w:tcPr>
            <w:tcW w:w="10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9"/>
              </w:rPr>
              <w:t>$2,109,670</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(13.7)%</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Net revenue for the three and nine months ended October 29, 2016 decreased by $20.5 million and $288.0 million compared to the three and nine months ended October 31, 2015, respectively. For the three months ended October 29, 2016, the decline was mainly driven by a decline in sales of products from our mobile and wireless end market customers as a result of the previously announced restructuring of our mobile handset platform business. These declines were partially offset by sales growth in all of our other end markets. For the nine months ended October 29, 2016 the decline was mainly driven by declines in sales of products from our mobile and wireless, and HDD end market customers, offset by increases in sales of products to our customers in the networking and SSD end markets. Unit shipments were 21% lower and weighted average selling prices increased 21% in the three months ended October 29, 2016, compared to the three months ended October 31, 2015, for an overall decline of 3%. Unit shipments were 23% lower and weighted average selling prices increased 12% in the nine months ended October 29, 2016, compared to the nine months ended October 31, 2015, for an overall decline of 14%.</w:t>
      </w:r>
    </w:p>
    <w:p>
      <w:pPr>
        <w:spacing w:after="0" w:line="118"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From time to time prior to fiscal 2017, our customers agreed to take shipments in an earlier fiscal quarter than the fiscal quarter they originally requested delivery. When such agreement would not have occurred but for the request made by Marvell, we refer to such transactions internally as “pull-ins.” Beginning in fiscal 2017, our policy is not to engage in pull-in transactions and, as a result, there were no such transactions in the third quarter and first nine months of fiscal 2017. This compares to fiscal 2016, when we had net revenue related to pull-in sales for shipments taken early by our customers of less than 1% of net revenue in the third quarter of fiscal 2016, and 9% and 11% of net revenue in the first and second quarters of fiscal 2016, respectively.</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440" w:type="dxa"/>
            <w:vAlign w:val="bottom"/>
          </w:tcPr>
          <w:p>
            <w:pPr>
              <w:spacing w:after="0"/>
              <w:rPr>
                <w:sz w:val="14"/>
                <w:szCs w:val="14"/>
                <w:color w:val="auto"/>
              </w:rPr>
            </w:pPr>
          </w:p>
        </w:tc>
        <w:tc>
          <w:tcPr>
            <w:tcW w:w="1900" w:type="dxa"/>
            <w:vAlign w:val="bottom"/>
            <w:gridSpan w:val="3"/>
          </w:tcPr>
          <w:p>
            <w:pPr>
              <w:jc w:val="right"/>
              <w:ind w:right="420"/>
              <w:spacing w:after="0"/>
              <w:rPr>
                <w:sz w:val="20"/>
                <w:szCs w:val="20"/>
                <w:color w:val="auto"/>
              </w:rPr>
            </w:pPr>
            <w:r>
              <w:rPr>
                <w:rFonts w:ascii="Arial" w:cs="Arial" w:eastAsia="Arial" w:hAnsi="Arial"/>
                <w:sz w:val="14"/>
                <w:szCs w:val="14"/>
                <w:b w:val="1"/>
                <w:bCs w:val="1"/>
                <w:color w:val="auto"/>
              </w:rPr>
              <w:t>Three Months Ended</w:t>
            </w:r>
          </w:p>
        </w:tc>
        <w:tc>
          <w:tcPr>
            <w:tcW w:w="1120" w:type="dxa"/>
            <w:vAlign w:val="bottom"/>
            <w:vMerge w:val="restart"/>
          </w:tcPr>
          <w:p>
            <w:pPr>
              <w:jc w:val="right"/>
              <w:ind w:right="527"/>
              <w:spacing w:after="0"/>
              <w:rPr>
                <w:sz w:val="20"/>
                <w:szCs w:val="20"/>
                <w:color w:val="auto"/>
              </w:rPr>
            </w:pPr>
            <w:r>
              <w:rPr>
                <w:rFonts w:ascii="Arial" w:cs="Arial" w:eastAsia="Arial" w:hAnsi="Arial"/>
                <w:sz w:val="14"/>
                <w:szCs w:val="14"/>
                <w:b w:val="1"/>
                <w:bCs w:val="1"/>
                <w:color w:val="auto"/>
              </w:rPr>
              <w:t>%</w:t>
            </w:r>
          </w:p>
        </w:tc>
        <w:tc>
          <w:tcPr>
            <w:tcW w:w="214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440" w:type="dxa"/>
            <w:vAlign w:val="bottom"/>
          </w:tcPr>
          <w:p>
            <w:pPr>
              <w:spacing w:after="0"/>
              <w:rPr>
                <w:sz w:val="11"/>
                <w:szCs w:val="11"/>
                <w:color w:val="auto"/>
              </w:rPr>
            </w:pPr>
          </w:p>
        </w:tc>
        <w:tc>
          <w:tcPr>
            <w:tcW w:w="94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5"/>
              </w:rPr>
              <w:t>October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160" w:type="dxa"/>
            <w:vAlign w:val="bottom"/>
          </w:tcPr>
          <w:p>
            <w:pPr>
              <w:spacing w:after="0"/>
              <w:rPr>
                <w:sz w:val="11"/>
                <w:szCs w:val="11"/>
                <w:color w:val="auto"/>
              </w:rPr>
            </w:pPr>
          </w:p>
        </w:tc>
        <w:tc>
          <w:tcPr>
            <w:tcW w:w="1120" w:type="dxa"/>
            <w:vAlign w:val="bottom"/>
            <w:vMerge w:val="continue"/>
          </w:tcPr>
          <w:p>
            <w:pPr>
              <w:spacing w:after="0"/>
              <w:rPr>
                <w:sz w:val="11"/>
                <w:szCs w:val="11"/>
                <w:color w:val="auto"/>
              </w:rPr>
            </w:pPr>
          </w:p>
        </w:tc>
        <w:tc>
          <w:tcPr>
            <w:tcW w:w="940" w:type="dxa"/>
            <w:vAlign w:val="bottom"/>
            <w:tcBorders>
              <w:top w:val="single" w:sz="8" w:color="auto"/>
            </w:tcBorders>
          </w:tcPr>
          <w:p>
            <w:pPr>
              <w:jc w:val="right"/>
              <w:ind w:right="184"/>
              <w:spacing w:after="0" w:line="129" w:lineRule="exact"/>
              <w:rPr>
                <w:sz w:val="20"/>
                <w:szCs w:val="20"/>
                <w:color w:val="auto"/>
              </w:rPr>
            </w:pPr>
            <w:r>
              <w:rPr>
                <w:rFonts w:ascii="Arial" w:cs="Arial" w:eastAsia="Arial" w:hAnsi="Arial"/>
                <w:sz w:val="14"/>
                <w:szCs w:val="14"/>
                <w:b w:val="1"/>
                <w:bCs w:val="1"/>
                <w:color w:val="auto"/>
                <w:w w:val="85"/>
              </w:rPr>
              <w:t>October 29,</w:t>
            </w:r>
          </w:p>
        </w:tc>
        <w:tc>
          <w:tcPr>
            <w:tcW w:w="9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440" w:type="dxa"/>
            <w:vAlign w:val="bottom"/>
          </w:tcPr>
          <w:p>
            <w:pPr>
              <w:spacing w:after="0"/>
              <w:rPr>
                <w:sz w:val="14"/>
                <w:szCs w:val="14"/>
                <w:color w:val="auto"/>
              </w:rPr>
            </w:pPr>
          </w:p>
        </w:tc>
        <w:tc>
          <w:tcPr>
            <w:tcW w:w="940" w:type="dxa"/>
            <w:vAlign w:val="bottom"/>
          </w:tcPr>
          <w:p>
            <w:pPr>
              <w:jc w:val="right"/>
              <w:ind w:right="404"/>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120" w:type="dxa"/>
            <w:vAlign w:val="bottom"/>
          </w:tcPr>
          <w:p>
            <w:pPr>
              <w:jc w:val="center"/>
              <w:ind w:right="127"/>
              <w:spacing w:after="0"/>
              <w:rPr>
                <w:sz w:val="20"/>
                <w:szCs w:val="20"/>
                <w:color w:val="auto"/>
              </w:rPr>
            </w:pPr>
            <w:r>
              <w:rPr>
                <w:rFonts w:ascii="Arial" w:cs="Arial" w:eastAsia="Arial" w:hAnsi="Arial"/>
                <w:sz w:val="14"/>
                <w:szCs w:val="14"/>
                <w:b w:val="1"/>
                <w:bCs w:val="1"/>
                <w:color w:val="auto"/>
                <w:w w:val="85"/>
              </w:rPr>
              <w:t>Change</w:t>
            </w:r>
          </w:p>
        </w:tc>
        <w:tc>
          <w:tcPr>
            <w:tcW w:w="940" w:type="dxa"/>
            <w:vAlign w:val="bottom"/>
          </w:tcPr>
          <w:p>
            <w:pPr>
              <w:jc w:val="right"/>
              <w:ind w:right="384"/>
              <w:spacing w:after="0"/>
              <w:rPr>
                <w:sz w:val="20"/>
                <w:szCs w:val="20"/>
                <w:color w:val="auto"/>
              </w:rPr>
            </w:pPr>
            <w:r>
              <w:rPr>
                <w:rFonts w:ascii="Arial" w:cs="Arial" w:eastAsia="Arial" w:hAnsi="Arial"/>
                <w:sz w:val="14"/>
                <w:szCs w:val="14"/>
                <w:b w:val="1"/>
                <w:bCs w:val="1"/>
                <w:color w:val="auto"/>
              </w:rPr>
              <w:t>2016</w:t>
            </w:r>
          </w:p>
        </w:tc>
        <w:tc>
          <w:tcPr>
            <w:tcW w:w="920" w:type="dxa"/>
            <w:vAlign w:val="bottom"/>
          </w:tcPr>
          <w:p>
            <w:pPr>
              <w:jc w:val="right"/>
              <w:ind w:right="18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44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gridSpan w:val="2"/>
          </w:tcPr>
          <w:p>
            <w:pPr>
              <w:jc w:val="right"/>
              <w:ind w:right="64"/>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92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9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$286,063</w:t>
            </w: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$379,254</w:t>
            </w:r>
          </w:p>
        </w:tc>
        <w:tc>
          <w:tcPr>
            <w:tcW w:w="1120" w:type="dxa"/>
            <w:vAlign w:val="bottom"/>
            <w:shd w:val="clear" w:color="auto" w:fill="CCEEFF"/>
          </w:tcPr>
          <w:p>
            <w:pPr>
              <w:jc w:val="right"/>
              <w:ind w:right="167"/>
              <w:spacing w:after="0"/>
              <w:rPr>
                <w:sz w:val="20"/>
                <w:szCs w:val="20"/>
                <w:color w:val="auto"/>
              </w:rPr>
            </w:pPr>
            <w:r>
              <w:rPr>
                <w:rFonts w:ascii="Arial" w:cs="Arial" w:eastAsia="Arial" w:hAnsi="Arial"/>
                <w:sz w:val="18"/>
                <w:szCs w:val="18"/>
                <w:color w:val="auto"/>
              </w:rPr>
              <w:t>(24.6)%</w:t>
            </w:r>
          </w:p>
        </w:tc>
        <w:tc>
          <w:tcPr>
            <w:tcW w:w="940" w:type="dxa"/>
            <w:vAlign w:val="bottom"/>
            <w:shd w:val="clear" w:color="auto" w:fill="CCEEFF"/>
          </w:tcPr>
          <w:p>
            <w:pPr>
              <w:jc w:val="right"/>
              <w:ind w:right="184"/>
              <w:spacing w:after="0"/>
              <w:rPr>
                <w:sz w:val="20"/>
                <w:szCs w:val="20"/>
                <w:color w:val="auto"/>
              </w:rPr>
            </w:pPr>
            <w:r>
              <w:rPr>
                <w:rFonts w:ascii="Arial" w:cs="Arial" w:eastAsia="Arial" w:hAnsi="Arial"/>
                <w:sz w:val="18"/>
                <w:szCs w:val="18"/>
                <w:color w:val="auto"/>
                <w:w w:val="87"/>
              </w:rPr>
              <w:t>$832,881</w:t>
            </w: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$1,192,126</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(30.1)%</w:t>
            </w:r>
          </w:p>
        </w:tc>
        <w:tc>
          <w:tcPr>
            <w:tcW w:w="0" w:type="dxa"/>
            <w:vAlign w:val="bottom"/>
          </w:tcPr>
          <w:p>
            <w:pPr>
              <w:spacing w:after="0"/>
              <w:rPr>
                <w:sz w:val="1"/>
                <w:szCs w:val="1"/>
                <w:color w:val="auto"/>
              </w:rPr>
            </w:pPr>
          </w:p>
        </w:tc>
      </w:tr>
      <w:tr>
        <w:trPr>
          <w:trHeight w:val="222"/>
        </w:trPr>
        <w:tc>
          <w:tcPr>
            <w:tcW w:w="5440" w:type="dxa"/>
            <w:vAlign w:val="bottom"/>
          </w:tcPr>
          <w:p>
            <w:pPr>
              <w:spacing w:after="0"/>
              <w:rPr>
                <w:sz w:val="20"/>
                <w:szCs w:val="20"/>
                <w:color w:val="auto"/>
              </w:rPr>
            </w:pPr>
            <w:r>
              <w:rPr>
                <w:rFonts w:ascii="Arial" w:cs="Arial" w:eastAsia="Arial" w:hAnsi="Arial"/>
                <w:sz w:val="18"/>
                <w:szCs w:val="18"/>
                <w:color w:val="auto"/>
              </w:rPr>
              <w:t>% of net revenue</w:t>
            </w:r>
          </w:p>
        </w:tc>
        <w:tc>
          <w:tcPr>
            <w:tcW w:w="940" w:type="dxa"/>
            <w:vAlign w:val="bottom"/>
          </w:tcPr>
          <w:p>
            <w:pPr>
              <w:jc w:val="right"/>
              <w:ind w:right="44"/>
              <w:spacing w:after="0"/>
              <w:rPr>
                <w:sz w:val="20"/>
                <w:szCs w:val="20"/>
                <w:color w:val="auto"/>
              </w:rPr>
            </w:pPr>
            <w:r>
              <w:rPr>
                <w:rFonts w:ascii="Arial" w:cs="Arial" w:eastAsia="Arial" w:hAnsi="Arial"/>
                <w:sz w:val="18"/>
                <w:szCs w:val="18"/>
                <w:color w:val="auto"/>
              </w:rPr>
              <w:t>43.7%</w:t>
            </w:r>
          </w:p>
        </w:tc>
        <w:tc>
          <w:tcPr>
            <w:tcW w:w="960" w:type="dxa"/>
            <w:vAlign w:val="bottom"/>
            <w:gridSpan w:val="2"/>
          </w:tcPr>
          <w:p>
            <w:pPr>
              <w:jc w:val="right"/>
              <w:ind w:right="20"/>
              <w:spacing w:after="0"/>
              <w:rPr>
                <w:sz w:val="20"/>
                <w:szCs w:val="20"/>
                <w:color w:val="auto"/>
              </w:rPr>
            </w:pPr>
            <w:r>
              <w:rPr>
                <w:rFonts w:ascii="Arial" w:cs="Arial" w:eastAsia="Arial" w:hAnsi="Arial"/>
                <w:sz w:val="18"/>
                <w:szCs w:val="18"/>
                <w:color w:val="auto"/>
              </w:rPr>
              <w:t>56.2%</w:t>
            </w:r>
          </w:p>
        </w:tc>
        <w:tc>
          <w:tcPr>
            <w:tcW w:w="1120" w:type="dxa"/>
            <w:vAlign w:val="bottom"/>
          </w:tcPr>
          <w:p>
            <w:pPr>
              <w:spacing w:after="0"/>
              <w:rPr>
                <w:sz w:val="19"/>
                <w:szCs w:val="19"/>
                <w:color w:val="auto"/>
              </w:rPr>
            </w:pPr>
          </w:p>
        </w:tc>
        <w:tc>
          <w:tcPr>
            <w:tcW w:w="940" w:type="dxa"/>
            <w:vAlign w:val="bottom"/>
          </w:tcPr>
          <w:p>
            <w:pPr>
              <w:jc w:val="right"/>
              <w:ind w:right="44"/>
              <w:spacing w:after="0"/>
              <w:rPr>
                <w:sz w:val="20"/>
                <w:szCs w:val="20"/>
                <w:color w:val="auto"/>
              </w:rPr>
            </w:pPr>
            <w:r>
              <w:rPr>
                <w:rFonts w:ascii="Arial" w:cs="Arial" w:eastAsia="Arial" w:hAnsi="Arial"/>
                <w:sz w:val="18"/>
                <w:szCs w:val="18"/>
                <w:color w:val="auto"/>
              </w:rPr>
              <w:t>45.7%</w:t>
            </w:r>
          </w:p>
        </w:tc>
        <w:tc>
          <w:tcPr>
            <w:tcW w:w="1200" w:type="dxa"/>
            <w:vAlign w:val="bottom"/>
            <w:gridSpan w:val="2"/>
          </w:tcPr>
          <w:p>
            <w:pPr>
              <w:jc w:val="right"/>
              <w:ind w:right="120"/>
              <w:spacing w:after="0"/>
              <w:rPr>
                <w:sz w:val="20"/>
                <w:szCs w:val="20"/>
                <w:color w:val="auto"/>
              </w:rPr>
            </w:pPr>
            <w:r>
              <w:rPr>
                <w:rFonts w:ascii="Arial" w:cs="Arial" w:eastAsia="Arial" w:hAnsi="Arial"/>
                <w:sz w:val="18"/>
                <w:szCs w:val="18"/>
                <w:color w:val="auto"/>
              </w:rPr>
              <w:t>56.5%</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89" w:lineRule="auto"/>
        <w:rPr>
          <w:sz w:val="20"/>
          <w:szCs w:val="20"/>
          <w:color w:val="auto"/>
        </w:rPr>
      </w:pPr>
      <w:r>
        <w:rPr>
          <w:rFonts w:ascii="Arial" w:cs="Arial" w:eastAsia="Arial" w:hAnsi="Arial"/>
          <w:sz w:val="16"/>
          <w:szCs w:val="16"/>
          <w:color w:val="auto"/>
        </w:rPr>
        <w:t>The cost of goods sold as a percentage of net revenue was lower for the three and nine months ended October 29, 2016, primarily due to a shift toward sales of higher margin storage products. Material and manufacturing costs for the three months ended October 29, 2016 were also lower compared to the three months ended October 31, 2015. In addition, cost of goods sold were higher by $1.1 million and $80.0 million in the three and nine months ended October 31, 2015, respectively, related to the litigation settlement reached with CMU and higher inventory write-downs due to lower than expected demand from our mobile related products. Our cost of goods sold as a percentage of net revenue may fluctuate in future periods due to, among other things: changes in the mix of products sold; the timing of production ramps of new products; increased pricing pressures from our customers and competitors;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920" w:type="dxa"/>
            <w:vAlign w:val="bottom"/>
            <w:gridSpan w:val="5"/>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740" w:type="dxa"/>
            <w:vAlign w:val="bottom"/>
            <w:gridSpan w:val="5"/>
          </w:tcPr>
          <w:p>
            <w:pPr>
              <w:ind w:left="16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2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2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480" w:type="dxa"/>
            <w:vAlign w:val="bottom"/>
            <w:tcBorders>
              <w:top w:val="single" w:sz="8" w:color="auto"/>
            </w:tcBorders>
          </w:tcPr>
          <w:p>
            <w:pPr>
              <w:spacing w:after="0"/>
              <w:rPr>
                <w:sz w:val="11"/>
                <w:szCs w:val="11"/>
                <w:color w:val="auto"/>
              </w:rPr>
            </w:pPr>
          </w:p>
        </w:tc>
        <w:tc>
          <w:tcPr>
            <w:tcW w:w="66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r>
      <w:tr>
        <w:trPr>
          <w:trHeight w:val="161"/>
        </w:trPr>
        <w:tc>
          <w:tcPr>
            <w:tcW w:w="62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rPr>
              <w:t>2016</w:t>
            </w:r>
          </w:p>
        </w:tc>
        <w:tc>
          <w:tcPr>
            <w:tcW w:w="4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38"/>
              <w:spacing w:after="0"/>
              <w:rPr>
                <w:sz w:val="20"/>
                <w:szCs w:val="20"/>
                <w:color w:val="auto"/>
              </w:rPr>
            </w:pPr>
            <w:r>
              <w:rPr>
                <w:rFonts w:ascii="Arial" w:cs="Arial" w:eastAsia="Arial" w:hAnsi="Arial"/>
                <w:sz w:val="14"/>
                <w:szCs w:val="14"/>
                <w:b w:val="1"/>
                <w:bCs w:val="1"/>
                <w:color w:val="auto"/>
                <w:w w:val="96"/>
              </w:rPr>
              <w:t>2015</w:t>
            </w:r>
          </w:p>
        </w:tc>
        <w:tc>
          <w:tcPr>
            <w:tcW w:w="22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8"/>
              <w:spacing w:after="0"/>
              <w:rPr>
                <w:sz w:val="20"/>
                <w:szCs w:val="20"/>
                <w:color w:val="auto"/>
              </w:rPr>
            </w:pPr>
            <w:r>
              <w:rPr>
                <w:rFonts w:ascii="Arial" w:cs="Arial" w:eastAsia="Arial" w:hAnsi="Arial"/>
                <w:sz w:val="14"/>
                <w:szCs w:val="14"/>
                <w:b w:val="1"/>
                <w:bCs w:val="1"/>
                <w:color w:val="auto"/>
                <w:w w:val="89"/>
              </w:rPr>
              <w:t>2016</w:t>
            </w:r>
          </w:p>
        </w:tc>
        <w:tc>
          <w:tcPr>
            <w:tcW w:w="48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r>
      <w:tr>
        <w:trPr>
          <w:trHeight w:val="142"/>
        </w:trPr>
        <w:tc>
          <w:tcPr>
            <w:tcW w:w="6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180" w:type="dxa"/>
            <w:vAlign w:val="bottom"/>
            <w:gridSpan w:val="4"/>
          </w:tcPr>
          <w:p>
            <w:pPr>
              <w:ind w:left="360"/>
              <w:spacing w:after="0" w:line="142" w:lineRule="exact"/>
              <w:rPr>
                <w:sz w:val="20"/>
                <w:szCs w:val="20"/>
                <w:color w:val="auto"/>
              </w:rPr>
            </w:pPr>
            <w:r>
              <w:rPr>
                <w:rFonts w:ascii="Arial" w:cs="Arial" w:eastAsia="Arial" w:hAnsi="Arial"/>
                <w:sz w:val="14"/>
                <w:szCs w:val="14"/>
                <w:b w:val="1"/>
                <w:bCs w:val="1"/>
                <w:color w:val="auto"/>
                <w:w w:val="82"/>
              </w:rPr>
              <w:t>(in thousands)</w:t>
            </w:r>
          </w:p>
        </w:tc>
        <w:tc>
          <w:tcPr>
            <w:tcW w:w="5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2,225</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2,495</w:t>
            </w:r>
          </w:p>
        </w:tc>
        <w:tc>
          <w:tcPr>
            <w:tcW w:w="4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6,859</w:t>
            </w:r>
          </w:p>
        </w:tc>
        <w:tc>
          <w:tcPr>
            <w:tcW w:w="560" w:type="dxa"/>
            <w:vAlign w:val="bottom"/>
            <w:gridSpan w:val="2"/>
            <w:shd w:val="clear" w:color="auto" w:fill="CCEEFF"/>
          </w:tcPr>
          <w:p>
            <w:pPr>
              <w:ind w:left="480"/>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6,054</w:t>
            </w:r>
          </w:p>
        </w:tc>
        <w:tc>
          <w:tcPr>
            <w:tcW w:w="100" w:type="dxa"/>
            <w:vAlign w:val="bottom"/>
            <w:shd w:val="clear" w:color="auto" w:fill="CCEEFF"/>
          </w:tcPr>
          <w:p>
            <w:pPr>
              <w:spacing w:after="0"/>
              <w:rPr>
                <w:sz w:val="18"/>
                <w:szCs w:val="18"/>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Arial" w:cs="Arial" w:eastAsia="Arial" w:hAnsi="Arial"/>
                <w:sz w:val="18"/>
                <w:szCs w:val="18"/>
                <w:color w:val="auto"/>
                <w:w w:val="94"/>
              </w:rPr>
              <w:t>19,998</w:t>
            </w:r>
          </w:p>
        </w:tc>
        <w:tc>
          <w:tcPr>
            <w:tcW w:w="4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760" w:type="dxa"/>
            <w:vAlign w:val="bottom"/>
            <w:gridSpan w:val="2"/>
          </w:tcPr>
          <w:p>
            <w:pPr>
              <w:jc w:val="right"/>
              <w:ind w:right="220"/>
              <w:spacing w:after="0"/>
              <w:rPr>
                <w:sz w:val="20"/>
                <w:szCs w:val="20"/>
                <w:color w:val="auto"/>
              </w:rPr>
            </w:pPr>
            <w:r>
              <w:rPr>
                <w:rFonts w:ascii="Arial" w:cs="Arial" w:eastAsia="Arial" w:hAnsi="Arial"/>
                <w:sz w:val="18"/>
                <w:szCs w:val="18"/>
                <w:color w:val="auto"/>
                <w:w w:val="94"/>
              </w:rPr>
              <w:t>22,573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72,975</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75,162</w:t>
            </w:r>
          </w:p>
        </w:tc>
        <w:tc>
          <w:tcPr>
            <w:tcW w:w="100" w:type="dxa"/>
            <w:vAlign w:val="bottom"/>
          </w:tcPr>
          <w:p>
            <w:pPr>
              <w:spacing w:after="0"/>
              <w:rPr>
                <w:sz w:val="18"/>
                <w:szCs w:val="18"/>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2,958</w:t>
            </w:r>
          </w:p>
        </w:tc>
        <w:tc>
          <w:tcPr>
            <w:tcW w:w="4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2,608</w:t>
            </w:r>
          </w:p>
        </w:tc>
        <w:tc>
          <w:tcPr>
            <w:tcW w:w="2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9,215</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7,892</w:t>
            </w:r>
          </w:p>
        </w:tc>
        <w:tc>
          <w:tcPr>
            <w:tcW w:w="100" w:type="dxa"/>
            <w:vAlign w:val="bottom"/>
            <w:shd w:val="clear" w:color="auto" w:fill="CCEEFF"/>
          </w:tcPr>
          <w:p>
            <w:pPr>
              <w:spacing w:after="0"/>
              <w:rPr>
                <w:sz w:val="18"/>
                <w:szCs w:val="18"/>
                <w:color w:val="auto"/>
              </w:rPr>
            </w:pPr>
          </w:p>
        </w:tc>
      </w:tr>
      <w:tr>
        <w:trPr>
          <w:trHeight w:val="223"/>
        </w:trPr>
        <w:tc>
          <w:tcPr>
            <w:tcW w:w="62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3,082</w:t>
            </w:r>
          </w:p>
        </w:tc>
        <w:tc>
          <w:tcPr>
            <w:tcW w:w="4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3,789</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863</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12,252</w:t>
            </w:r>
          </w:p>
        </w:tc>
        <w:tc>
          <w:tcPr>
            <w:tcW w:w="100" w:type="dxa"/>
            <w:vAlign w:val="bottom"/>
          </w:tcPr>
          <w:p>
            <w:pPr>
              <w:spacing w:after="0"/>
              <w:rPr>
                <w:sz w:val="19"/>
                <w:szCs w:val="19"/>
                <w:color w:val="auto"/>
              </w:rPr>
            </w:pPr>
          </w:p>
        </w:tc>
      </w:tr>
      <w:tr>
        <w:trPr>
          <w:trHeight w:val="216"/>
        </w:trPr>
        <w:tc>
          <w:tcPr>
            <w:tcW w:w="6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28,263</w:t>
            </w:r>
          </w:p>
        </w:tc>
        <w:tc>
          <w:tcPr>
            <w:tcW w:w="620" w:type="dxa"/>
            <w:vAlign w:val="bottom"/>
            <w:gridSpan w:val="2"/>
            <w:shd w:val="clear" w:color="auto" w:fill="CCEEFF"/>
          </w:tcPr>
          <w:p>
            <w:pPr>
              <w:ind w:left="48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31,465</w:t>
            </w:r>
          </w:p>
        </w:tc>
        <w:tc>
          <w:tcPr>
            <w:tcW w:w="42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89,912</w:t>
            </w:r>
          </w:p>
        </w:tc>
        <w:tc>
          <w:tcPr>
            <w:tcW w:w="560" w:type="dxa"/>
            <w:vAlign w:val="bottom"/>
            <w:gridSpan w:val="2"/>
            <w:shd w:val="clear" w:color="auto" w:fill="CCEEFF"/>
          </w:tcPr>
          <w:p>
            <w:pPr>
              <w:ind w:left="480"/>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101,360</w:t>
            </w:r>
          </w:p>
        </w:tc>
        <w:tc>
          <w:tcPr>
            <w:tcW w:w="100" w:type="dxa"/>
            <w:vAlign w:val="bottom"/>
            <w:shd w:val="clear" w:color="auto" w:fill="CCEEFF"/>
          </w:tcPr>
          <w:p>
            <w:pPr>
              <w:spacing w:after="0"/>
              <w:rPr>
                <w:sz w:val="18"/>
                <w:szCs w:val="18"/>
                <w:color w:val="auto"/>
              </w:rPr>
            </w:pPr>
          </w:p>
        </w:tc>
      </w:tr>
      <w:tr>
        <w:trPr>
          <w:trHeight w:val="20"/>
        </w:trPr>
        <w:tc>
          <w:tcPr>
            <w:tcW w:w="6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Share-based compensation expense decreased by $3.2 million and $11.4 million in the three and nine months ended October 29, 2016 compared to the three and nine months ended October 31, 2015. The decreases were mainly due to lower headcount from the restructuring of the mobile platform business in September 2015 and the $6.9 million reversal in the first quarter of fiscal 2017 of previously recognized expense associated with unvested stock awards for which vesting was determined as not probable upon the termination in April 2016 of certain members of our executive management. These decreases were partially offset by the effect from the acceleration of expense caused by the cancellation of the June 2016 ESPP purchase because the Company was not eligible to issue shares of its common stock due to the delay in the timely filing of its periodic reports with the SEC (see “Note 12 –Share-Based Compensation” in the Notes to the Unaudited Condensed Consolidated Financial Statements set forth in Part I, Item 1 of this Quarterly Report on Form 10-Q).</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 and Other Related Charges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300" w:type="dxa"/>
            <w:vAlign w:val="bottom"/>
            <w:gridSpan w:val="5"/>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4"/>
                <w:szCs w:val="14"/>
                <w:color w:val="auto"/>
              </w:rPr>
            </w:pPr>
          </w:p>
        </w:tc>
        <w:tc>
          <w:tcPr>
            <w:tcW w:w="1820" w:type="dxa"/>
            <w:vAlign w:val="bottom"/>
            <w:gridSpan w:val="5"/>
          </w:tcPr>
          <w:p>
            <w:pPr>
              <w:ind w:left="200"/>
              <w:spacing w:after="0"/>
              <w:rPr>
                <w:sz w:val="20"/>
                <w:szCs w:val="20"/>
                <w:color w:val="auto"/>
              </w:rPr>
            </w:pPr>
            <w:r>
              <w:rPr>
                <w:rFonts w:ascii="Arial" w:cs="Arial" w:eastAsia="Arial" w:hAnsi="Arial"/>
                <w:sz w:val="14"/>
                <w:szCs w:val="14"/>
                <w:b w:val="1"/>
                <w:bCs w:val="1"/>
                <w:color w:val="auto"/>
              </w:rPr>
              <w:t>Nine Months Ended</w:t>
            </w:r>
          </w:p>
        </w:tc>
      </w:tr>
      <w:tr>
        <w:trPr>
          <w:trHeight w:val="129"/>
        </w:trPr>
        <w:tc>
          <w:tcPr>
            <w:tcW w:w="6080" w:type="dxa"/>
            <w:vAlign w:val="bottom"/>
          </w:tcPr>
          <w:p>
            <w:pPr>
              <w:spacing w:after="0"/>
              <w:rPr>
                <w:sz w:val="11"/>
                <w:szCs w:val="11"/>
                <w:color w:val="auto"/>
              </w:rPr>
            </w:pP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29,</w:t>
            </w:r>
          </w:p>
        </w:tc>
        <w:tc>
          <w:tcPr>
            <w:tcW w:w="540" w:type="dxa"/>
            <w:vAlign w:val="bottom"/>
            <w:tcBorders>
              <w:top w:val="single" w:sz="8" w:color="auto"/>
            </w:tcBorders>
          </w:tcPr>
          <w:p>
            <w:pPr>
              <w:spacing w:after="0"/>
              <w:rPr>
                <w:sz w:val="11"/>
                <w:szCs w:val="11"/>
                <w:color w:val="auto"/>
              </w:rPr>
            </w:pPr>
          </w:p>
        </w:tc>
        <w:tc>
          <w:tcPr>
            <w:tcW w:w="68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5"/>
              </w:rPr>
              <w:t>October 31,</w:t>
            </w:r>
          </w:p>
        </w:tc>
        <w:tc>
          <w:tcPr>
            <w:tcW w:w="540" w:type="dxa"/>
            <w:vAlign w:val="bottom"/>
          </w:tcPr>
          <w:p>
            <w:pPr>
              <w:spacing w:after="0"/>
              <w:rPr>
                <w:sz w:val="11"/>
                <w:szCs w:val="11"/>
                <w:color w:val="auto"/>
              </w:rPr>
            </w:pPr>
          </w:p>
        </w:tc>
        <w:tc>
          <w:tcPr>
            <w:tcW w:w="122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66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83"/>
              </w:rPr>
              <w:t>October 31,</w:t>
            </w:r>
          </w:p>
        </w:tc>
        <w:tc>
          <w:tcPr>
            <w:tcW w:w="100" w:type="dxa"/>
            <w:vAlign w:val="bottom"/>
          </w:tcPr>
          <w:p>
            <w:pPr>
              <w:spacing w:after="0"/>
              <w:rPr>
                <w:sz w:val="11"/>
                <w:szCs w:val="11"/>
                <w:color w:val="auto"/>
              </w:rPr>
            </w:pPr>
          </w:p>
        </w:tc>
      </w:tr>
      <w:tr>
        <w:trPr>
          <w:trHeight w:val="161"/>
        </w:trPr>
        <w:tc>
          <w:tcPr>
            <w:tcW w:w="608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2016</w:t>
            </w: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jc w:val="right"/>
              <w:ind w:right="120"/>
              <w:spacing w:after="0"/>
              <w:rPr>
                <w:sz w:val="20"/>
                <w:szCs w:val="20"/>
                <w:color w:val="auto"/>
              </w:rPr>
            </w:pPr>
            <w:r>
              <w:rPr>
                <w:rFonts w:ascii="Arial" w:cs="Arial" w:eastAsia="Arial" w:hAnsi="Arial"/>
                <w:sz w:val="14"/>
                <w:szCs w:val="14"/>
                <w:b w:val="1"/>
                <w:bCs w:val="1"/>
                <w:color w:val="auto"/>
              </w:rPr>
              <w:t>2015</w:t>
            </w:r>
          </w:p>
        </w:tc>
        <w:tc>
          <w:tcPr>
            <w:tcW w:w="5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40"/>
              <w:spacing w:after="0"/>
              <w:rPr>
                <w:sz w:val="20"/>
                <w:szCs w:val="20"/>
                <w:color w:val="auto"/>
              </w:rPr>
            </w:pPr>
            <w:r>
              <w:rPr>
                <w:rFonts w:ascii="Arial" w:cs="Arial" w:eastAsia="Arial" w:hAnsi="Arial"/>
                <w:sz w:val="14"/>
                <w:szCs w:val="14"/>
                <w:b w:val="1"/>
                <w:bCs w:val="1"/>
                <w:color w:val="auto"/>
                <w:w w:val="89"/>
              </w:rPr>
              <w:t>2016</w:t>
            </w:r>
          </w:p>
        </w:tc>
        <w:tc>
          <w:tcPr>
            <w:tcW w:w="54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20" w:type="dxa"/>
            <w:vAlign w:val="bottom"/>
            <w:tcBorders>
              <w:bottom w:val="single" w:sz="8" w:color="auto"/>
            </w:tcBorders>
          </w:tcPr>
          <w:p>
            <w:pPr>
              <w:jc w:val="right"/>
              <w:ind w:right="117"/>
              <w:spacing w:after="0"/>
              <w:rPr>
                <w:sz w:val="20"/>
                <w:szCs w:val="20"/>
                <w:color w:val="auto"/>
              </w:rPr>
            </w:pPr>
            <w:r>
              <w:rPr>
                <w:rFonts w:ascii="Arial" w:cs="Arial" w:eastAsia="Arial" w:hAnsi="Arial"/>
                <w:sz w:val="14"/>
                <w:szCs w:val="14"/>
                <w:b w:val="1"/>
                <w:bCs w:val="1"/>
                <w:color w:val="auto"/>
                <w:w w:val="96"/>
              </w:rPr>
              <w:t>2015</w:t>
            </w:r>
          </w:p>
        </w:tc>
        <w:tc>
          <w:tcPr>
            <w:tcW w:w="100" w:type="dxa"/>
            <w:vAlign w:val="bottom"/>
          </w:tcPr>
          <w:p>
            <w:pPr>
              <w:spacing w:after="0"/>
              <w:rPr>
                <w:sz w:val="14"/>
                <w:szCs w:val="14"/>
                <w:color w:val="auto"/>
              </w:rPr>
            </w:pPr>
          </w:p>
        </w:tc>
      </w:tr>
      <w:tr>
        <w:trPr>
          <w:trHeight w:val="142"/>
        </w:trPr>
        <w:tc>
          <w:tcPr>
            <w:tcW w:w="6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40" w:type="dxa"/>
            <w:vAlign w:val="bottom"/>
            <w:gridSpan w:val="3"/>
          </w:tcPr>
          <w:p>
            <w:pPr>
              <w:ind w:left="400"/>
              <w:spacing w:after="0" w:line="142" w:lineRule="exact"/>
              <w:rPr>
                <w:sz w:val="20"/>
                <w:szCs w:val="20"/>
                <w:color w:val="auto"/>
              </w:rPr>
            </w:pPr>
            <w:r>
              <w:rPr>
                <w:rFonts w:ascii="Arial" w:cs="Arial" w:eastAsia="Arial" w:hAnsi="Arial"/>
                <w:sz w:val="14"/>
                <w:szCs w:val="14"/>
                <w:b w:val="1"/>
                <w:bCs w:val="1"/>
                <w:color w:val="auto"/>
                <w:w w:val="84"/>
              </w:rPr>
              <w:t>(in thousands)</w:t>
            </w:r>
          </w:p>
        </w:tc>
        <w:tc>
          <w:tcPr>
            <w:tcW w:w="52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0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4"/>
              </w:rPr>
              <w:t>10,285</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10,285</w:t>
            </w:r>
          </w:p>
        </w:tc>
        <w:tc>
          <w:tcPr>
            <w:tcW w:w="100" w:type="dxa"/>
            <w:vAlign w:val="bottom"/>
            <w:shd w:val="clear" w:color="auto" w:fill="CCEEFF"/>
          </w:tcPr>
          <w:p>
            <w:pPr>
              <w:spacing w:after="0"/>
              <w:rPr>
                <w:sz w:val="18"/>
                <w:szCs w:val="18"/>
                <w:color w:val="auto"/>
              </w:rPr>
            </w:pPr>
          </w:p>
        </w:tc>
      </w:tr>
      <w:tr>
        <w:trPr>
          <w:trHeight w:val="223"/>
        </w:trPr>
        <w:tc>
          <w:tcPr>
            <w:tcW w:w="6080" w:type="dxa"/>
            <w:vAlign w:val="bottom"/>
          </w:tcPr>
          <w:p>
            <w:pPr>
              <w:spacing w:after="0"/>
              <w:rPr>
                <w:sz w:val="20"/>
                <w:szCs w:val="20"/>
                <w:color w:val="auto"/>
              </w:rPr>
            </w:pPr>
            <w:r>
              <w:rPr>
                <w:rFonts w:ascii="Arial" w:cs="Arial" w:eastAsia="Arial" w:hAnsi="Arial"/>
                <w:sz w:val="18"/>
                <w:szCs w:val="18"/>
                <w:color w:val="auto"/>
              </w:rPr>
              <w:t>Restructuring and other related charges</w:t>
            </w: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1,164</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4"/>
              </w:rPr>
              <w:t>35,270</w:t>
            </w:r>
          </w:p>
        </w:tc>
        <w:tc>
          <w:tcPr>
            <w:tcW w:w="54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6,326</w:t>
            </w:r>
          </w:p>
        </w:tc>
        <w:tc>
          <w:tcPr>
            <w:tcW w:w="54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0"/>
              </w:rPr>
              <w:t>48,862</w:t>
            </w:r>
          </w:p>
        </w:tc>
        <w:tc>
          <w:tcPr>
            <w:tcW w:w="100" w:type="dxa"/>
            <w:vAlign w:val="bottom"/>
          </w:tcPr>
          <w:p>
            <w:pPr>
              <w:spacing w:after="0"/>
              <w:rPr>
                <w:sz w:val="19"/>
                <w:szCs w:val="19"/>
                <w:color w:val="auto"/>
              </w:rPr>
            </w:pPr>
          </w:p>
        </w:tc>
      </w:tr>
      <w:tr>
        <w:trPr>
          <w:trHeight w:val="216"/>
        </w:trPr>
        <w:tc>
          <w:tcPr>
            <w:tcW w:w="60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1,164</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w w:val="94"/>
              </w:rPr>
              <w:t>45,555</w:t>
            </w: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060" w:type="dxa"/>
            <w:vAlign w:val="bottom"/>
            <w:gridSpan w:val="2"/>
            <w:shd w:val="clear" w:color="auto" w:fill="CCEEFF"/>
          </w:tcPr>
          <w:p>
            <w:pPr>
              <w:jc w:val="right"/>
              <w:ind w:right="540"/>
              <w:spacing w:after="0"/>
              <w:rPr>
                <w:sz w:val="20"/>
                <w:szCs w:val="20"/>
                <w:color w:val="auto"/>
              </w:rPr>
            </w:pPr>
            <w:r>
              <w:rPr>
                <w:rFonts w:ascii="Arial" w:cs="Arial" w:eastAsia="Arial" w:hAnsi="Arial"/>
                <w:sz w:val="18"/>
                <w:szCs w:val="18"/>
                <w:color w:val="auto"/>
              </w:rPr>
              <w:t>6,326</w:t>
            </w: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0"/>
              </w:rPr>
              <w:t>59,147</w:t>
            </w:r>
          </w:p>
        </w:tc>
        <w:tc>
          <w:tcPr>
            <w:tcW w:w="100" w:type="dxa"/>
            <w:vAlign w:val="bottom"/>
            <w:shd w:val="clear" w:color="auto" w:fill="CCEEFF"/>
          </w:tcPr>
          <w:p>
            <w:pPr>
              <w:spacing w:after="0"/>
              <w:rPr>
                <w:sz w:val="18"/>
                <w:szCs w:val="18"/>
                <w:color w:val="auto"/>
              </w:rPr>
            </w:pPr>
          </w:p>
        </w:tc>
      </w:tr>
      <w:tr>
        <w:trPr>
          <w:trHeight w:val="20"/>
        </w:trPr>
        <w:tc>
          <w:tcPr>
            <w:tcW w:w="60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We recorded total restructuring charges of $1.2 million and $6.3 million in the three and nine months ended October 29, 2016, respectively. The charges primarily included the remaining lease obligation associated with our facility located in Israel where we vacated and released certain floors back to the landlord as part of restructuring actions announced in May 2015. In addition, we wrote off certain mobile-related equipment classified as held for sale that we are no longer able to sell. See “Note 8 – Restructuring and Other Related Charges” in the Notes to Unaudited Condensed Consolidated Financial Statements set forth in Part I, Item 1 of this Quarterly Report on Form 10-Q for further discussion.</w:t>
      </w:r>
    </w:p>
    <w:p>
      <w:pPr>
        <w:spacing w:after="0" w:line="1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This compares to restructuring charges of $45.6 million and $59.1 million recorded in the three and nine months ended October 31, 2015, respectively. Those charges primarily related to the restructuring of our mobile platform business announced in September 2015 and included severance, other exit-related costs, the impairment of certain equipment and other assets, as well as the write down of inventory. In addition, we incurred additional charges in connection with our ongoing effort to streamline our business.</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In November 2016, we announced a plan to restructure our operations to refocus our research and development, increase operational efficiency and improve profitability. We expect to incur significant charges beginning in our fourth quarter of fiscal 2017 in connection with our restructuring actions. See “Note 16 – Subsequent Events” in the Notes to the Unaudited Condensed Consolidated Financial Statements set forth in Part I, Item 1 of this Quarterly Report on Form 10-Q for further discussion.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72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2020" w:type="dxa"/>
            <w:vAlign w:val="bottom"/>
            <w:gridSpan w:val="3"/>
          </w:tcPr>
          <w:p>
            <w:pPr>
              <w:jc w:val="right"/>
              <w:ind w:right="472"/>
              <w:spacing w:after="0"/>
              <w:rPr>
                <w:sz w:val="20"/>
                <w:szCs w:val="20"/>
                <w:color w:val="auto"/>
              </w:rPr>
            </w:pPr>
            <w:r>
              <w:rPr>
                <w:rFonts w:ascii="Arial" w:cs="Arial" w:eastAsia="Arial" w:hAnsi="Arial"/>
                <w:sz w:val="14"/>
                <w:szCs w:val="14"/>
                <w:b w:val="1"/>
                <w:bCs w:val="1"/>
                <w:color w:val="auto"/>
              </w:rPr>
              <w:t>Three Months Ended</w:t>
            </w:r>
          </w:p>
        </w:tc>
        <w:tc>
          <w:tcPr>
            <w:tcW w:w="880" w:type="dxa"/>
            <w:vAlign w:val="bottom"/>
            <w:vMerge w:val="restart"/>
          </w:tcPr>
          <w:p>
            <w:pPr>
              <w:jc w:val="right"/>
              <w:ind w:right="406"/>
              <w:spacing w:after="0"/>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4"/>
                <w:szCs w:val="14"/>
                <w:color w:val="auto"/>
              </w:rPr>
            </w:pPr>
          </w:p>
        </w:tc>
        <w:tc>
          <w:tcPr>
            <w:tcW w:w="2020" w:type="dxa"/>
            <w:vAlign w:val="bottom"/>
            <w:gridSpan w:val="3"/>
          </w:tcPr>
          <w:p>
            <w:pPr>
              <w:jc w:val="right"/>
              <w:ind w:right="560"/>
              <w:spacing w:after="0"/>
              <w:rPr>
                <w:sz w:val="20"/>
                <w:szCs w:val="20"/>
                <w:color w:val="auto"/>
              </w:rPr>
            </w:pPr>
            <w:r>
              <w:rPr>
                <w:rFonts w:ascii="Arial" w:cs="Arial" w:eastAsia="Arial" w:hAnsi="Arial"/>
                <w:sz w:val="14"/>
                <w:szCs w:val="14"/>
                <w:b w:val="1"/>
                <w:bCs w:val="1"/>
                <w:color w:val="auto"/>
              </w:rPr>
              <w:t>Nine Months Ended</w:t>
            </w:r>
          </w:p>
        </w:tc>
        <w:tc>
          <w:tcPr>
            <w:tcW w:w="5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72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94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1"/>
                <w:szCs w:val="11"/>
                <w:color w:val="auto"/>
              </w:rPr>
            </w:pPr>
          </w:p>
        </w:tc>
        <w:tc>
          <w:tcPr>
            <w:tcW w:w="880" w:type="dxa"/>
            <w:vAlign w:val="bottom"/>
            <w:vMerge w:val="continue"/>
          </w:tcPr>
          <w:p>
            <w:pPr>
              <w:spacing w:after="0"/>
              <w:rPr>
                <w:sz w:val="11"/>
                <w:szCs w:val="11"/>
                <w:color w:val="auto"/>
              </w:rPr>
            </w:pPr>
          </w:p>
        </w:tc>
        <w:tc>
          <w:tcPr>
            <w:tcW w:w="120" w:type="dxa"/>
            <w:vAlign w:val="bottom"/>
          </w:tcPr>
          <w:p>
            <w:pPr>
              <w:spacing w:after="0"/>
              <w:rPr>
                <w:sz w:val="11"/>
                <w:szCs w:val="11"/>
                <w:color w:val="auto"/>
              </w:rPr>
            </w:pPr>
          </w:p>
        </w:tc>
        <w:tc>
          <w:tcPr>
            <w:tcW w:w="940" w:type="dxa"/>
            <w:vAlign w:val="bottom"/>
            <w:tcBorders>
              <w:top w:val="single" w:sz="8" w:color="auto"/>
            </w:tcBorders>
          </w:tcPr>
          <w:p>
            <w:pPr>
              <w:jc w:val="right"/>
              <w:ind w:right="19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720" w:type="dxa"/>
            <w:vAlign w:val="bottom"/>
          </w:tcPr>
          <w:p>
            <w:pPr>
              <w:spacing w:after="0"/>
              <w:rPr>
                <w:sz w:val="14"/>
                <w:szCs w:val="14"/>
                <w:color w:val="auto"/>
              </w:rPr>
            </w:pPr>
          </w:p>
        </w:tc>
        <w:tc>
          <w:tcPr>
            <w:tcW w:w="278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80" w:type="dxa"/>
            <w:vAlign w:val="bottom"/>
          </w:tcPr>
          <w:p>
            <w:pPr>
              <w:jc w:val="center"/>
              <w:ind w:right="126"/>
              <w:spacing w:after="0"/>
              <w:rPr>
                <w:sz w:val="20"/>
                <w:szCs w:val="20"/>
                <w:color w:val="auto"/>
              </w:rPr>
            </w:pPr>
            <w:r>
              <w:rPr>
                <w:rFonts w:ascii="Arial" w:cs="Arial" w:eastAsia="Arial" w:hAnsi="Arial"/>
                <w:sz w:val="14"/>
                <w:szCs w:val="14"/>
                <w:b w:val="1"/>
                <w:bCs w:val="1"/>
                <w:color w:val="auto"/>
                <w:w w:val="85"/>
              </w:rPr>
              <w:t>Change</w:t>
            </w:r>
          </w:p>
        </w:tc>
        <w:tc>
          <w:tcPr>
            <w:tcW w:w="1060" w:type="dxa"/>
            <w:vAlign w:val="bottom"/>
            <w:gridSpan w:val="2"/>
          </w:tcPr>
          <w:p>
            <w:pPr>
              <w:jc w:val="right"/>
              <w:ind w:right="392"/>
              <w:spacing w:after="0"/>
              <w:rPr>
                <w:sz w:val="20"/>
                <w:szCs w:val="20"/>
                <w:color w:val="auto"/>
              </w:rPr>
            </w:pPr>
            <w:r>
              <w:rPr>
                <w:rFonts w:ascii="Arial" w:cs="Arial" w:eastAsia="Arial" w:hAnsi="Arial"/>
                <w:sz w:val="14"/>
                <w:szCs w:val="14"/>
                <w:b w:val="1"/>
                <w:bCs w:val="1"/>
                <w:color w:val="auto"/>
              </w:rPr>
              <w:t>2016</w:t>
            </w:r>
          </w:p>
        </w:tc>
        <w:tc>
          <w:tcPr>
            <w:tcW w:w="80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72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4"/>
          </w:tcPr>
          <w:p>
            <w:pPr>
              <w:jc w:val="right"/>
              <w:ind w:right="132"/>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8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78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$222,463</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$252,502</w:t>
            </w:r>
          </w:p>
        </w:tc>
        <w:tc>
          <w:tcPr>
            <w:tcW w:w="280" w:type="dxa"/>
            <w:vAlign w:val="bottom"/>
            <w:shd w:val="clear" w:color="auto" w:fill="CCEEFF"/>
          </w:tcPr>
          <w:p>
            <w:pPr>
              <w:spacing w:after="0"/>
              <w:rPr>
                <w:sz w:val="18"/>
                <w:szCs w:val="18"/>
                <w:color w:val="auto"/>
              </w:rPr>
            </w:pPr>
          </w:p>
        </w:tc>
        <w:tc>
          <w:tcPr>
            <w:tcW w:w="880" w:type="dxa"/>
            <w:vAlign w:val="bottom"/>
            <w:shd w:val="clear" w:color="auto" w:fill="CCEEFF"/>
          </w:tcPr>
          <w:p>
            <w:pPr>
              <w:jc w:val="right"/>
              <w:ind w:right="46"/>
              <w:spacing w:after="0"/>
              <w:rPr>
                <w:sz w:val="20"/>
                <w:szCs w:val="20"/>
                <w:color w:val="auto"/>
              </w:rPr>
            </w:pPr>
            <w:r>
              <w:rPr>
                <w:rFonts w:ascii="Arial" w:cs="Arial" w:eastAsia="Arial" w:hAnsi="Arial"/>
                <w:sz w:val="18"/>
                <w:szCs w:val="18"/>
                <w:color w:val="auto"/>
              </w:rPr>
              <w:t>(11.9)%</w:t>
            </w:r>
          </w:p>
        </w:tc>
        <w:tc>
          <w:tcPr>
            <w:tcW w:w="106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$691,812</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$818,257</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(15.5)%</w:t>
            </w:r>
          </w:p>
        </w:tc>
        <w:tc>
          <w:tcPr>
            <w:tcW w:w="0" w:type="dxa"/>
            <w:vAlign w:val="bottom"/>
          </w:tcPr>
          <w:p>
            <w:pPr>
              <w:spacing w:after="0"/>
              <w:rPr>
                <w:sz w:val="1"/>
                <w:szCs w:val="1"/>
                <w:color w:val="auto"/>
              </w:rPr>
            </w:pPr>
          </w:p>
        </w:tc>
      </w:tr>
      <w:tr>
        <w:trPr>
          <w:trHeight w:val="222"/>
        </w:trPr>
        <w:tc>
          <w:tcPr>
            <w:tcW w:w="3720" w:type="dxa"/>
            <w:vAlign w:val="bottom"/>
          </w:tcPr>
          <w:p>
            <w:pPr>
              <w:spacing w:after="0"/>
              <w:rPr>
                <w:sz w:val="20"/>
                <w:szCs w:val="20"/>
                <w:color w:val="auto"/>
              </w:rPr>
            </w:pPr>
            <w:r>
              <w:rPr>
                <w:rFonts w:ascii="Arial" w:cs="Arial" w:eastAsia="Arial" w:hAnsi="Arial"/>
                <w:sz w:val="18"/>
                <w:szCs w:val="18"/>
                <w:color w:val="auto"/>
              </w:rPr>
              <w:t>% of net revenue</w:t>
            </w:r>
          </w:p>
        </w:tc>
        <w:tc>
          <w:tcPr>
            <w:tcW w:w="2780" w:type="dxa"/>
            <w:vAlign w:val="bottom"/>
            <w:gridSpan w:val="2"/>
          </w:tcPr>
          <w:p>
            <w:pPr>
              <w:jc w:val="right"/>
              <w:ind w:right="52"/>
              <w:spacing w:after="0"/>
              <w:rPr>
                <w:sz w:val="20"/>
                <w:szCs w:val="20"/>
                <w:color w:val="auto"/>
              </w:rPr>
            </w:pPr>
            <w:r>
              <w:rPr>
                <w:rFonts w:ascii="Arial" w:cs="Arial" w:eastAsia="Arial" w:hAnsi="Arial"/>
                <w:sz w:val="18"/>
                <w:szCs w:val="18"/>
                <w:color w:val="auto"/>
              </w:rPr>
              <w:t>34.0%</w:t>
            </w:r>
          </w:p>
        </w:tc>
        <w:tc>
          <w:tcPr>
            <w:tcW w:w="1080" w:type="dxa"/>
            <w:vAlign w:val="bottom"/>
            <w:gridSpan w:val="2"/>
          </w:tcPr>
          <w:p>
            <w:pPr>
              <w:jc w:val="right"/>
              <w:ind w:right="72"/>
              <w:spacing w:after="0"/>
              <w:rPr>
                <w:sz w:val="20"/>
                <w:szCs w:val="20"/>
                <w:color w:val="auto"/>
              </w:rPr>
            </w:pPr>
            <w:r>
              <w:rPr>
                <w:rFonts w:ascii="Arial" w:cs="Arial" w:eastAsia="Arial" w:hAnsi="Arial"/>
                <w:sz w:val="18"/>
                <w:szCs w:val="18"/>
                <w:color w:val="auto"/>
              </w:rPr>
              <w:t>37.4%</w:t>
            </w:r>
          </w:p>
        </w:tc>
        <w:tc>
          <w:tcPr>
            <w:tcW w:w="88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Arial" w:cs="Arial" w:eastAsia="Arial" w:hAnsi="Arial"/>
                <w:sz w:val="18"/>
                <w:szCs w:val="18"/>
                <w:color w:val="auto"/>
              </w:rPr>
              <w:t>38.0%</w:t>
            </w:r>
          </w:p>
        </w:tc>
        <w:tc>
          <w:tcPr>
            <w:tcW w:w="1080" w:type="dxa"/>
            <w:vAlign w:val="bottom"/>
            <w:gridSpan w:val="2"/>
          </w:tcPr>
          <w:p>
            <w:pPr>
              <w:jc w:val="right"/>
              <w:ind w:right="120"/>
              <w:spacing w:after="0"/>
              <w:rPr>
                <w:sz w:val="20"/>
                <w:szCs w:val="20"/>
                <w:color w:val="auto"/>
              </w:rPr>
            </w:pPr>
            <w:r>
              <w:rPr>
                <w:rFonts w:ascii="Arial" w:cs="Arial" w:eastAsia="Arial" w:hAnsi="Arial"/>
                <w:sz w:val="18"/>
                <w:szCs w:val="18"/>
                <w:color w:val="auto"/>
              </w:rPr>
              <w:t>38.8%</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Research and development expense decreased by $30.0 million for the three months ended October 29, 2016 compared to the three months ended October 31, 2015. The decrease in the three months ended October 29, 2016 was attributable to $14.2 million of lower personnel-related costs due to headcount reduction, a large part of which was from the restructuring of our mobile platform business announced in September 2015 that now has been substantially completed. As a result, we anticipate total annual cost savings of approximately $130 million in lower research and development expenses for fiscal 2017. The decrease also reflects a decrease of $13.2 million for third-party vendor and non-recurring engineering services, and a reduction in depreciation and amortization expense of $1.8 million.</w:t>
      </w:r>
    </w:p>
    <w:p>
      <w:pPr>
        <w:spacing w:after="0" w:line="144" w:lineRule="exact"/>
        <w:rPr>
          <w:sz w:val="20"/>
          <w:szCs w:val="20"/>
          <w:color w:val="auto"/>
        </w:rPr>
      </w:pPr>
    </w:p>
    <w:p>
      <w:pPr>
        <w:ind w:right="120" w:firstLine="456"/>
        <w:spacing w:after="0" w:line="256" w:lineRule="auto"/>
        <w:rPr>
          <w:sz w:val="20"/>
          <w:szCs w:val="20"/>
          <w:color w:val="auto"/>
        </w:rPr>
      </w:pPr>
      <w:r>
        <w:rPr>
          <w:rFonts w:ascii="Arial" w:cs="Arial" w:eastAsia="Arial" w:hAnsi="Arial"/>
          <w:sz w:val="18"/>
          <w:szCs w:val="18"/>
          <w:color w:val="auto"/>
        </w:rPr>
        <w:t>Research and development expense decreased by $126.4 million for the nine months ended October 29, 2016 compared to the nine months ended October 31, 2015. The decrease in the nine months ended October 29, 2016 was attributable to approximately $76.4 million of lower personnel-related costs due to the headcount reduction as described above, combined with a decrease of $30.9 million for third-party vendor and non-recurring engineering services, and a reduction in depreciation and amortization expense of $9.5 million.</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3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1980" w:type="dxa"/>
            <w:vAlign w:val="bottom"/>
            <w:gridSpan w:val="3"/>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1100" w:type="dxa"/>
            <w:vAlign w:val="bottom"/>
            <w:vMerge w:val="restart"/>
          </w:tcPr>
          <w:p>
            <w:pPr>
              <w:ind w:left="440"/>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ind w:left="32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38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160" w:type="dxa"/>
            <w:vAlign w:val="bottom"/>
          </w:tcPr>
          <w:p>
            <w:pPr>
              <w:spacing w:after="0"/>
              <w:rPr>
                <w:sz w:val="11"/>
                <w:szCs w:val="11"/>
                <w:color w:val="auto"/>
              </w:rPr>
            </w:pPr>
          </w:p>
        </w:tc>
        <w:tc>
          <w:tcPr>
            <w:tcW w:w="110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380" w:type="dxa"/>
            <w:vAlign w:val="bottom"/>
          </w:tcPr>
          <w:p>
            <w:pPr>
              <w:spacing w:after="0"/>
              <w:rPr>
                <w:sz w:val="14"/>
                <w:szCs w:val="14"/>
                <w:color w:val="auto"/>
              </w:rPr>
            </w:pPr>
          </w:p>
        </w:tc>
        <w:tc>
          <w:tcPr>
            <w:tcW w:w="28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10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30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380" w:type="dxa"/>
            <w:vAlign w:val="bottom"/>
          </w:tcPr>
          <w:p>
            <w:pPr>
              <w:spacing w:after="0"/>
              <w:rPr>
                <w:sz w:val="12"/>
                <w:szCs w:val="12"/>
                <w:color w:val="auto"/>
              </w:rPr>
            </w:pPr>
          </w:p>
        </w:tc>
        <w:tc>
          <w:tcPr>
            <w:tcW w:w="184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2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3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8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$ 30,576</w:t>
            </w:r>
          </w:p>
        </w:tc>
        <w:tc>
          <w:tcPr>
            <w:tcW w:w="10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$ 30,582</w:t>
            </w:r>
          </w:p>
        </w:tc>
        <w:tc>
          <w:tcPr>
            <w:tcW w:w="1100" w:type="dxa"/>
            <w:vAlign w:val="bottom"/>
            <w:shd w:val="clear" w:color="auto" w:fill="CCEEFF"/>
          </w:tcPr>
          <w:p>
            <w:pPr>
              <w:ind w:left="460"/>
              <w:spacing w:after="0"/>
              <w:rPr>
                <w:sz w:val="20"/>
                <w:szCs w:val="20"/>
                <w:color w:val="auto"/>
              </w:rPr>
            </w:pPr>
            <w:r>
              <w:rPr>
                <w:rFonts w:ascii="Arial" w:cs="Arial" w:eastAsia="Arial" w:hAnsi="Arial"/>
                <w:sz w:val="18"/>
                <w:szCs w:val="18"/>
                <w:color w:val="auto"/>
              </w:rPr>
              <w:t>(0.0)%</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$ 93,022</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$ 97,597</w:t>
            </w:r>
          </w:p>
        </w:tc>
        <w:tc>
          <w:tcPr>
            <w:tcW w:w="8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w w:val="98"/>
              </w:rPr>
              <w:t>(4.7)%</w:t>
            </w:r>
          </w:p>
        </w:tc>
        <w:tc>
          <w:tcPr>
            <w:tcW w:w="0" w:type="dxa"/>
            <w:vAlign w:val="bottom"/>
          </w:tcPr>
          <w:p>
            <w:pPr>
              <w:spacing w:after="0"/>
              <w:rPr>
                <w:sz w:val="1"/>
                <w:szCs w:val="1"/>
                <w:color w:val="auto"/>
              </w:rPr>
            </w:pPr>
          </w:p>
        </w:tc>
      </w:tr>
      <w:tr>
        <w:trPr>
          <w:trHeight w:val="222"/>
        </w:trPr>
        <w:tc>
          <w:tcPr>
            <w:tcW w:w="3380" w:type="dxa"/>
            <w:vAlign w:val="bottom"/>
          </w:tcPr>
          <w:p>
            <w:pPr>
              <w:spacing w:after="0"/>
              <w:rPr>
                <w:sz w:val="20"/>
                <w:szCs w:val="20"/>
                <w:color w:val="auto"/>
              </w:rPr>
            </w:pPr>
            <w:r>
              <w:rPr>
                <w:rFonts w:ascii="Arial" w:cs="Arial" w:eastAsia="Arial" w:hAnsi="Arial"/>
                <w:sz w:val="18"/>
                <w:szCs w:val="18"/>
                <w:color w:val="auto"/>
              </w:rPr>
              <w:t>% of net revenue</w:t>
            </w:r>
          </w:p>
        </w:tc>
        <w:tc>
          <w:tcPr>
            <w:tcW w:w="2820" w:type="dxa"/>
            <w:vAlign w:val="bottom"/>
            <w:gridSpan w:val="2"/>
          </w:tcPr>
          <w:p>
            <w:pPr>
              <w:jc w:val="right"/>
              <w:ind w:right="92"/>
              <w:spacing w:after="0"/>
              <w:rPr>
                <w:sz w:val="20"/>
                <w:szCs w:val="20"/>
                <w:color w:val="auto"/>
              </w:rPr>
            </w:pPr>
            <w:r>
              <w:rPr>
                <w:rFonts w:ascii="Arial" w:cs="Arial" w:eastAsia="Arial" w:hAnsi="Arial"/>
                <w:sz w:val="18"/>
                <w:szCs w:val="18"/>
                <w:color w:val="auto"/>
              </w:rPr>
              <w:t>4.7%</w:t>
            </w: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4.5%</w:t>
            </w:r>
          </w:p>
        </w:tc>
        <w:tc>
          <w:tcPr>
            <w:tcW w:w="110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5.1%</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4.6%</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Selling and marketing expense remained flat at $30.6 million for the three months ended October 29, 2016 primarily due to an increase of $1.7 million of personnel-related costs that was offset by $1.7 million of lower costs for general marketing advertisement activities. Selling and marketing expense decreased by $4.6 million for the nine months ended October 29, 2016 primarily due to $6.1 million of lower spending for general marketing advertisement activities, including a special program offered in early fiscal 2016, offset by $1.7 million from higher personnel-related costs.</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2000" w:type="dxa"/>
            <w:vAlign w:val="bottom"/>
            <w:gridSpan w:val="3"/>
          </w:tcPr>
          <w:p>
            <w:pPr>
              <w:jc w:val="right"/>
              <w:ind w:right="480"/>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vMerge w:val="restart"/>
          </w:tcPr>
          <w:p>
            <w:pPr>
              <w:jc w:val="right"/>
              <w:ind w:right="607"/>
              <w:spacing w:after="0"/>
              <w:rPr>
                <w:sz w:val="20"/>
                <w:szCs w:val="20"/>
                <w:color w:val="auto"/>
              </w:rPr>
            </w:pPr>
            <w:r>
              <w:rPr>
                <w:rFonts w:ascii="Arial" w:cs="Arial" w:eastAsia="Arial" w:hAnsi="Arial"/>
                <w:sz w:val="14"/>
                <w:szCs w:val="14"/>
                <w:b w:val="1"/>
                <w:bCs w:val="1"/>
                <w:color w:val="auto"/>
              </w:rPr>
              <w:t>%</w:t>
            </w:r>
          </w:p>
        </w:tc>
        <w:tc>
          <w:tcPr>
            <w:tcW w:w="214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160" w:type="dxa"/>
            <w:vAlign w:val="bottom"/>
          </w:tcPr>
          <w:p>
            <w:pPr>
              <w:spacing w:after="0"/>
              <w:rPr>
                <w:sz w:val="11"/>
                <w:szCs w:val="11"/>
                <w:color w:val="auto"/>
              </w:rPr>
            </w:pPr>
          </w:p>
        </w:tc>
        <w:tc>
          <w:tcPr>
            <w:tcW w:w="980" w:type="dxa"/>
            <w:vAlign w:val="bottom"/>
            <w:tcBorders>
              <w:top w:val="single" w:sz="8" w:color="auto"/>
            </w:tcBorders>
          </w:tcPr>
          <w:p>
            <w:pPr>
              <w:jc w:val="right"/>
              <w:ind w:right="244"/>
              <w:spacing w:after="0" w:line="129" w:lineRule="exact"/>
              <w:rPr>
                <w:sz w:val="20"/>
                <w:szCs w:val="20"/>
                <w:color w:val="auto"/>
              </w:rPr>
            </w:pPr>
            <w:r>
              <w:rPr>
                <w:rFonts w:ascii="Arial" w:cs="Arial" w:eastAsia="Arial" w:hAnsi="Arial"/>
                <w:sz w:val="14"/>
                <w:szCs w:val="14"/>
                <w:b w:val="1"/>
                <w:bCs w:val="1"/>
                <w:color w:val="auto"/>
                <w:w w:val="83"/>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180" w:type="dxa"/>
            <w:vAlign w:val="bottom"/>
          </w:tcPr>
          <w:p>
            <w:pPr>
              <w:spacing w:after="0"/>
              <w:rPr>
                <w:sz w:val="11"/>
                <w:szCs w:val="11"/>
                <w:color w:val="auto"/>
              </w:rPr>
            </w:pPr>
          </w:p>
        </w:tc>
        <w:tc>
          <w:tcPr>
            <w:tcW w:w="1260" w:type="dxa"/>
            <w:vAlign w:val="bottom"/>
            <w:vMerge w:val="continue"/>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32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160" w:type="dxa"/>
            <w:vAlign w:val="bottom"/>
          </w:tcPr>
          <w:p>
            <w:pPr>
              <w:spacing w:after="0"/>
              <w:rPr>
                <w:sz w:val="14"/>
                <w:szCs w:val="14"/>
                <w:color w:val="auto"/>
              </w:rPr>
            </w:pPr>
          </w:p>
        </w:tc>
        <w:tc>
          <w:tcPr>
            <w:tcW w:w="980" w:type="dxa"/>
            <w:vAlign w:val="bottom"/>
          </w:tcPr>
          <w:p>
            <w:pPr>
              <w:jc w:val="right"/>
              <w:ind w:right="444"/>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180" w:type="dxa"/>
            <w:vAlign w:val="bottom"/>
          </w:tcPr>
          <w:p>
            <w:pPr>
              <w:spacing w:after="0"/>
              <w:rPr>
                <w:sz w:val="14"/>
                <w:szCs w:val="14"/>
                <w:color w:val="auto"/>
              </w:rPr>
            </w:pPr>
          </w:p>
        </w:tc>
        <w:tc>
          <w:tcPr>
            <w:tcW w:w="1260" w:type="dxa"/>
            <w:vAlign w:val="bottom"/>
          </w:tcPr>
          <w:p>
            <w:pPr>
              <w:jc w:val="center"/>
              <w:ind w:right="147"/>
              <w:spacing w:after="0"/>
              <w:rPr>
                <w:sz w:val="20"/>
                <w:szCs w:val="20"/>
                <w:color w:val="auto"/>
              </w:rPr>
            </w:pPr>
            <w:r>
              <w:rPr>
                <w:rFonts w:ascii="Arial" w:cs="Arial" w:eastAsia="Arial" w:hAnsi="Arial"/>
                <w:sz w:val="14"/>
                <w:szCs w:val="14"/>
                <w:b w:val="1"/>
                <w:bCs w:val="1"/>
                <w:color w:val="auto"/>
                <w:w w:val="85"/>
              </w:rPr>
              <w:t>Change</w:t>
            </w: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32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16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240" w:type="dxa"/>
            <w:vAlign w:val="bottom"/>
            <w:tcBorders>
              <w:top w:val="single" w:sz="8" w:color="auto"/>
            </w:tcBorders>
            <w:gridSpan w:val="2"/>
          </w:tcPr>
          <w:p>
            <w:pPr>
              <w:jc w:val="right"/>
              <w:ind w:right="204"/>
              <w:spacing w:after="0" w:line="142" w:lineRule="exact"/>
              <w:rPr>
                <w:sz w:val="20"/>
                <w:szCs w:val="20"/>
                <w:color w:val="auto"/>
              </w:rPr>
            </w:pPr>
            <w:r>
              <w:rPr>
                <w:rFonts w:ascii="Arial" w:cs="Arial" w:eastAsia="Arial" w:hAnsi="Arial"/>
                <w:sz w:val="14"/>
                <w:szCs w:val="14"/>
                <w:b w:val="1"/>
                <w:bCs w:val="1"/>
                <w:color w:val="auto"/>
                <w:w w:val="85"/>
              </w:rPr>
              <w:t>(in thousands, except percentage)</w:t>
            </w:r>
          </w:p>
        </w:tc>
        <w:tc>
          <w:tcPr>
            <w:tcW w:w="840" w:type="dxa"/>
            <w:vAlign w:val="bottom"/>
            <w:tcBorders>
              <w:top w:val="single" w:sz="8" w:color="auto"/>
            </w:tcBorders>
          </w:tcPr>
          <w:p>
            <w:pPr>
              <w:spacing w:after="0"/>
              <w:rPr>
                <w:sz w:val="12"/>
                <w:szCs w:val="12"/>
                <w:color w:val="auto"/>
              </w:rPr>
            </w:pPr>
          </w:p>
        </w:tc>
        <w:tc>
          <w:tcPr>
            <w:tcW w:w="32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1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980" w:type="dxa"/>
            <w:vAlign w:val="bottom"/>
            <w:shd w:val="clear" w:color="auto" w:fill="CCEEFF"/>
          </w:tcPr>
          <w:p>
            <w:pPr>
              <w:jc w:val="right"/>
              <w:ind w:right="244"/>
              <w:spacing w:after="0"/>
              <w:rPr>
                <w:sz w:val="20"/>
                <w:szCs w:val="20"/>
                <w:color w:val="auto"/>
              </w:rPr>
            </w:pPr>
            <w:r>
              <w:rPr>
                <w:rFonts w:ascii="Arial" w:cs="Arial" w:eastAsia="Arial" w:hAnsi="Arial"/>
                <w:sz w:val="18"/>
                <w:szCs w:val="18"/>
                <w:color w:val="auto"/>
                <w:w w:val="91"/>
              </w:rPr>
              <w:t>$ 28,904</w:t>
            </w:r>
          </w:p>
        </w:tc>
        <w:tc>
          <w:tcPr>
            <w:tcW w:w="102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$ 33,206</w:t>
            </w:r>
          </w:p>
        </w:tc>
        <w:tc>
          <w:tcPr>
            <w:tcW w:w="1260" w:type="dxa"/>
            <w:vAlign w:val="bottom"/>
            <w:shd w:val="clear" w:color="auto" w:fill="CCEEFF"/>
          </w:tcPr>
          <w:p>
            <w:pPr>
              <w:jc w:val="right"/>
              <w:ind w:right="247"/>
              <w:spacing w:after="0"/>
              <w:rPr>
                <w:sz w:val="20"/>
                <w:szCs w:val="20"/>
                <w:color w:val="auto"/>
              </w:rPr>
            </w:pPr>
            <w:r>
              <w:rPr>
                <w:rFonts w:ascii="Arial" w:cs="Arial" w:eastAsia="Arial" w:hAnsi="Arial"/>
                <w:sz w:val="18"/>
                <w:szCs w:val="18"/>
                <w:color w:val="auto"/>
              </w:rPr>
              <w:t>(13.0)%</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w w:val="94"/>
              </w:rPr>
              <w:t>$ 97,049</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$108,884</w:t>
            </w:r>
          </w:p>
        </w:tc>
        <w:tc>
          <w:tcPr>
            <w:tcW w:w="3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(10.9)%</w:t>
            </w:r>
          </w:p>
        </w:tc>
        <w:tc>
          <w:tcPr>
            <w:tcW w:w="0" w:type="dxa"/>
            <w:vAlign w:val="bottom"/>
          </w:tcPr>
          <w:p>
            <w:pPr>
              <w:spacing w:after="0"/>
              <w:rPr>
                <w:sz w:val="1"/>
                <w:szCs w:val="1"/>
                <w:color w:val="auto"/>
              </w:rPr>
            </w:pPr>
          </w:p>
        </w:tc>
      </w:tr>
      <w:tr>
        <w:trPr>
          <w:trHeight w:val="222"/>
        </w:trPr>
        <w:tc>
          <w:tcPr>
            <w:tcW w:w="516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4.4%</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4.9%</w:t>
            </w:r>
          </w:p>
        </w:tc>
        <w:tc>
          <w:tcPr>
            <w:tcW w:w="1260" w:type="dxa"/>
            <w:vAlign w:val="bottom"/>
          </w:tcPr>
          <w:p>
            <w:pPr>
              <w:spacing w:after="0"/>
              <w:rPr>
                <w:sz w:val="19"/>
                <w:szCs w:val="19"/>
                <w:color w:val="auto"/>
              </w:rPr>
            </w:pPr>
          </w:p>
        </w:tc>
        <w:tc>
          <w:tcPr>
            <w:tcW w:w="980" w:type="dxa"/>
            <w:vAlign w:val="bottom"/>
          </w:tcPr>
          <w:p>
            <w:pPr>
              <w:jc w:val="right"/>
              <w:ind w:right="84"/>
              <w:spacing w:after="0"/>
              <w:rPr>
                <w:sz w:val="20"/>
                <w:szCs w:val="20"/>
                <w:color w:val="auto"/>
              </w:rPr>
            </w:pPr>
            <w:r>
              <w:rPr>
                <w:rFonts w:ascii="Arial" w:cs="Arial" w:eastAsia="Arial" w:hAnsi="Arial"/>
                <w:sz w:val="18"/>
                <w:szCs w:val="18"/>
                <w:color w:val="auto"/>
              </w:rPr>
              <w:t>5.4%</w:t>
            </w:r>
          </w:p>
        </w:tc>
        <w:tc>
          <w:tcPr>
            <w:tcW w:w="1160" w:type="dxa"/>
            <w:vAlign w:val="bottom"/>
            <w:gridSpan w:val="2"/>
          </w:tcPr>
          <w:p>
            <w:pPr>
              <w:jc w:val="right"/>
              <w:ind w:right="160"/>
              <w:spacing w:after="0"/>
              <w:rPr>
                <w:sz w:val="20"/>
                <w:szCs w:val="20"/>
                <w:color w:val="auto"/>
              </w:rPr>
            </w:pPr>
            <w:r>
              <w:rPr>
                <w:rFonts w:ascii="Arial" w:cs="Arial" w:eastAsia="Arial" w:hAnsi="Arial"/>
                <w:sz w:val="18"/>
                <w:szCs w:val="18"/>
                <w:color w:val="auto"/>
              </w:rPr>
              <w:t>5.2%</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jc w:val="both"/>
        <w:ind w:right="40" w:firstLine="456"/>
        <w:spacing w:after="0" w:line="303" w:lineRule="auto"/>
        <w:rPr>
          <w:sz w:val="20"/>
          <w:szCs w:val="20"/>
          <w:color w:val="auto"/>
        </w:rPr>
      </w:pPr>
      <w:r>
        <w:rPr>
          <w:rFonts w:ascii="Arial" w:cs="Arial" w:eastAsia="Arial" w:hAnsi="Arial"/>
          <w:sz w:val="15"/>
          <w:szCs w:val="15"/>
          <w:color w:val="auto"/>
        </w:rPr>
        <w:t>General and administrative expense decreased by $4.3 million for the three months ended October 29, 2016 primarily due to decreases in legal expenses of $5.1 million associated with certain accounting and internal control matters that have been the subject of investigations by the Company, Securities and Exchange Commission and the U.S. Attorney and related civil litigation. Costs for the surety bonds related to the litigation with CMU were also lower by $2.9 million.</w:t>
      </w:r>
    </w:p>
    <w:p>
      <w:pPr>
        <w:spacing w:after="0" w:line="1" w:lineRule="exact"/>
        <w:rPr>
          <w:sz w:val="20"/>
          <w:szCs w:val="20"/>
          <w:color w:val="auto"/>
        </w:rPr>
      </w:pPr>
    </w:p>
    <w:p>
      <w:pPr>
        <w:ind w:right="360"/>
        <w:spacing w:after="0" w:line="261" w:lineRule="auto"/>
        <w:rPr>
          <w:sz w:val="20"/>
          <w:szCs w:val="20"/>
          <w:color w:val="auto"/>
        </w:rPr>
      </w:pPr>
      <w:r>
        <w:rPr>
          <w:rFonts w:ascii="Arial" w:cs="Arial" w:eastAsia="Arial" w:hAnsi="Arial"/>
          <w:sz w:val="18"/>
          <w:szCs w:val="18"/>
          <w:color w:val="auto"/>
        </w:rPr>
        <w:t>These decreases were partially offset by $1.9 million of higher professional fees, primarily for audit-related services, combined with higher personnel-related costs of $1.5 million.</w:t>
      </w:r>
    </w:p>
    <w:p>
      <w:pPr>
        <w:spacing w:after="0" w:line="138" w:lineRule="exact"/>
        <w:rPr>
          <w:sz w:val="20"/>
          <w:szCs w:val="20"/>
          <w:color w:val="auto"/>
        </w:rPr>
      </w:pPr>
    </w:p>
    <w:p>
      <w:pPr>
        <w:ind w:right="40" w:firstLine="456"/>
        <w:spacing w:after="0" w:line="288" w:lineRule="auto"/>
        <w:rPr>
          <w:sz w:val="20"/>
          <w:szCs w:val="20"/>
          <w:color w:val="auto"/>
        </w:rPr>
      </w:pPr>
      <w:r>
        <w:rPr>
          <w:rFonts w:ascii="Arial" w:cs="Arial" w:eastAsia="Arial" w:hAnsi="Arial"/>
          <w:sz w:val="16"/>
          <w:szCs w:val="16"/>
          <w:color w:val="auto"/>
        </w:rPr>
        <w:t>General and administrative expense decreased by $11.8 million for the nine months ended October 29, 2016 compared to the nine months ended October 31, 2015. The decrease reflects the effect of a $15.4 million charge for a cash payment to our former Chief Executive Officer approved by the Company’s Executive Compensation Committee and included in the nine months ended October 31, 2015 that is not included in the nine months ended October 29, 2016 combined with $7.7 million of lower charges for various litigation matters and $8.6 million of lower costs for the surety bonds related to the litigation with CMU. In addition, the decrease includes a $6.9 million reversal of previously recognized share-based compensation expense related to certain members of our executive management for which the vesting was determined not probable upon their termination in April 2016. These decreases were partially offset by increases in legal expenses of $12.9 million mainly associated with certain accounting and internal control matters that have been the subject of investigations by the Company, Securities and Exchange Commission and the U.S. Attorney and related civil litigation combined with $19.0 million of higher professional fees, primarily for audit-related services and $5.8 million of higher personnel-related costs.</w:t>
      </w:r>
    </w:p>
    <w:p>
      <w:pPr>
        <w:sectPr>
          <w:pgSz w:w="11900" w:h="16838" w:orient="portrait"/>
          <w:cols w:equalWidth="0" w:num="1">
            <w:col w:w="11420"/>
          </w:cols>
          <w:pgMar w:left="240" w:top="459" w:right="239" w:bottom="1440" w:gutter="0" w:footer="0" w:header="0"/>
        </w:sectPr>
      </w:pP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30</w:t>
      </w:r>
    </w:p>
    <w:p>
      <w:pPr>
        <w:sectPr>
          <w:pgSz w:w="11900" w:h="16838" w:orient="portrait"/>
          <w:cols w:equalWidth="0" w:num="1">
            <w:col w:w="11420"/>
          </w:cols>
          <w:pgMar w:left="240" w:top="459" w:right="239" w:bottom="1440" w:gutter="0" w:footer="0" w:header="0"/>
          <w:type w:val="continuous"/>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Carnegie Mellon University Litigation Settlement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960" w:type="dxa"/>
            <w:vAlign w:val="bottom"/>
            <w:gridSpan w:val="4"/>
          </w:tcPr>
          <w:p>
            <w:pPr>
              <w:jc w:val="right"/>
              <w:ind w:right="560"/>
              <w:spacing w:after="0"/>
              <w:rPr>
                <w:sz w:val="20"/>
                <w:szCs w:val="20"/>
                <w:color w:val="auto"/>
              </w:rPr>
            </w:pPr>
            <w:r>
              <w:rPr>
                <w:rFonts w:ascii="Arial" w:cs="Arial" w:eastAsia="Arial" w:hAnsi="Arial"/>
                <w:sz w:val="14"/>
                <w:szCs w:val="14"/>
                <w:b w:val="1"/>
                <w:bCs w:val="1"/>
                <w:color w:val="auto"/>
                <w:w w:val="99"/>
              </w:rPr>
              <w:t>Three Months Ended</w:t>
            </w:r>
          </w:p>
        </w:tc>
        <w:tc>
          <w:tcPr>
            <w:tcW w:w="108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80" w:type="dxa"/>
            <w:vAlign w:val="bottom"/>
            <w:gridSpan w:val="3"/>
          </w:tcPr>
          <w:p>
            <w:pPr>
              <w:jc w:val="right"/>
              <w:ind w:right="720"/>
              <w:spacing w:after="0"/>
              <w:rPr>
                <w:sz w:val="20"/>
                <w:szCs w:val="20"/>
                <w:color w:val="auto"/>
              </w:rPr>
            </w:pPr>
            <w:r>
              <w:rPr>
                <w:rFonts w:ascii="Arial" w:cs="Arial" w:eastAsia="Arial" w:hAnsi="Arial"/>
                <w:sz w:val="14"/>
                <w:szCs w:val="14"/>
                <w:b w:val="1"/>
                <w:bCs w:val="1"/>
                <w:color w:val="auto"/>
              </w:rPr>
              <w:t>Nine Months Ended</w:t>
            </w:r>
          </w:p>
        </w:tc>
        <w:tc>
          <w:tcPr>
            <w:tcW w:w="68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860" w:type="dxa"/>
            <w:vAlign w:val="bottom"/>
          </w:tcPr>
          <w:p>
            <w:pPr>
              <w:spacing w:after="0"/>
              <w:rPr>
                <w:sz w:val="11"/>
                <w:szCs w:val="11"/>
                <w:color w:val="auto"/>
              </w:rPr>
            </w:pPr>
          </w:p>
        </w:tc>
        <w:tc>
          <w:tcPr>
            <w:tcW w:w="102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rPr>
              <w:t>October 29,</w:t>
            </w:r>
          </w:p>
        </w:tc>
        <w:tc>
          <w:tcPr>
            <w:tcW w:w="860" w:type="dxa"/>
            <w:vAlign w:val="bottom"/>
            <w:tcBorders>
              <w:top w:val="single" w:sz="8" w:color="auto"/>
            </w:tcBorders>
            <w:gridSpan w:val="2"/>
          </w:tcPr>
          <w:p>
            <w:pPr>
              <w:ind w:left="200"/>
              <w:spacing w:after="0" w:line="129" w:lineRule="exact"/>
              <w:rPr>
                <w:sz w:val="20"/>
                <w:szCs w:val="20"/>
                <w:color w:val="auto"/>
              </w:rPr>
            </w:pPr>
            <w:r>
              <w:rPr>
                <w:rFonts w:ascii="Arial" w:cs="Arial" w:eastAsia="Arial" w:hAnsi="Arial"/>
                <w:sz w:val="14"/>
                <w:szCs w:val="14"/>
                <w:b w:val="1"/>
                <w:bCs w:val="1"/>
                <w:color w:val="auto"/>
                <w:w w:val="83"/>
              </w:rPr>
              <w:t>October 31,</w:t>
            </w:r>
          </w:p>
        </w:tc>
        <w:tc>
          <w:tcPr>
            <w:tcW w:w="24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102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86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360" w:type="dxa"/>
            <w:vAlign w:val="bottom"/>
          </w:tcPr>
          <w:p>
            <w:pPr>
              <w:spacing w:after="0"/>
              <w:rPr>
                <w:sz w:val="11"/>
                <w:szCs w:val="11"/>
                <w:color w:val="auto"/>
              </w:rPr>
            </w:pPr>
          </w:p>
        </w:tc>
        <w:tc>
          <w:tcPr>
            <w:tcW w:w="6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8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tcPr>
          <w:p>
            <w:pPr>
              <w:jc w:val="right"/>
              <w:ind w:right="462"/>
              <w:spacing w:after="0"/>
              <w:rPr>
                <w:sz w:val="20"/>
                <w:szCs w:val="20"/>
                <w:color w:val="auto"/>
              </w:rPr>
            </w:pPr>
            <w:r>
              <w:rPr>
                <w:rFonts w:ascii="Arial" w:cs="Arial" w:eastAsia="Arial" w:hAnsi="Arial"/>
                <w:sz w:val="14"/>
                <w:szCs w:val="14"/>
                <w:b w:val="1"/>
                <w:bCs w:val="1"/>
                <w:color w:val="auto"/>
                <w:w w:val="96"/>
              </w:rPr>
              <w:t>2016</w:t>
            </w:r>
          </w:p>
        </w:tc>
        <w:tc>
          <w:tcPr>
            <w:tcW w:w="340" w:type="dxa"/>
            <w:vAlign w:val="bottom"/>
          </w:tcPr>
          <w:p>
            <w:pPr>
              <w:spacing w:after="0"/>
              <w:rPr>
                <w:sz w:val="14"/>
                <w:szCs w:val="14"/>
                <w:color w:val="auto"/>
              </w:rPr>
            </w:pPr>
          </w:p>
        </w:tc>
        <w:tc>
          <w:tcPr>
            <w:tcW w:w="520" w:type="dxa"/>
            <w:vAlign w:val="bottom"/>
          </w:tcPr>
          <w:p>
            <w:pPr>
              <w:jc w:val="right"/>
              <w:ind w:right="119"/>
              <w:spacing w:after="0"/>
              <w:rPr>
                <w:sz w:val="20"/>
                <w:szCs w:val="20"/>
                <w:color w:val="auto"/>
              </w:rPr>
            </w:pPr>
            <w:r>
              <w:rPr>
                <w:rFonts w:ascii="Arial" w:cs="Arial" w:eastAsia="Arial" w:hAnsi="Arial"/>
                <w:sz w:val="14"/>
                <w:szCs w:val="14"/>
                <w:b w:val="1"/>
                <w:bCs w:val="1"/>
                <w:color w:val="auto"/>
                <w:w w:val="96"/>
              </w:rPr>
              <w:t>2015</w:t>
            </w:r>
          </w:p>
        </w:tc>
        <w:tc>
          <w:tcPr>
            <w:tcW w:w="240" w:type="dxa"/>
            <w:vAlign w:val="bottom"/>
          </w:tcPr>
          <w:p>
            <w:pPr>
              <w:spacing w:after="0"/>
              <w:rPr>
                <w:sz w:val="14"/>
                <w:szCs w:val="14"/>
                <w:color w:val="auto"/>
              </w:rPr>
            </w:pPr>
          </w:p>
        </w:tc>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tcPr>
          <w:p>
            <w:pPr>
              <w:jc w:val="right"/>
              <w:ind w:right="462"/>
              <w:spacing w:after="0"/>
              <w:rPr>
                <w:sz w:val="20"/>
                <w:szCs w:val="20"/>
                <w:color w:val="auto"/>
              </w:rPr>
            </w:pPr>
            <w:r>
              <w:rPr>
                <w:rFonts w:ascii="Arial" w:cs="Arial" w:eastAsia="Arial" w:hAnsi="Arial"/>
                <w:sz w:val="14"/>
                <w:szCs w:val="14"/>
                <w:b w:val="1"/>
                <w:bCs w:val="1"/>
                <w:color w:val="auto"/>
                <w:w w:val="96"/>
              </w:rPr>
              <w:t>2016</w:t>
            </w:r>
          </w:p>
        </w:tc>
        <w:tc>
          <w:tcPr>
            <w:tcW w:w="86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360" w:type="dxa"/>
            <w:vAlign w:val="bottom"/>
          </w:tcPr>
          <w:p>
            <w:pPr>
              <w:spacing w:after="0"/>
              <w:rPr>
                <w:sz w:val="14"/>
                <w:szCs w:val="14"/>
                <w:color w:val="auto"/>
              </w:rPr>
            </w:pPr>
          </w:p>
        </w:tc>
        <w:tc>
          <w:tcPr>
            <w:tcW w:w="9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86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spacing w:after="0"/>
              <w:rPr>
                <w:sz w:val="12"/>
                <w:szCs w:val="12"/>
                <w:color w:val="auto"/>
              </w:rPr>
            </w:pPr>
          </w:p>
        </w:tc>
        <w:tc>
          <w:tcPr>
            <w:tcW w:w="240" w:type="dxa"/>
            <w:vAlign w:val="bottom"/>
            <w:tcBorders>
              <w:top w:val="single" w:sz="8" w:color="auto"/>
            </w:tcBorders>
          </w:tcPr>
          <w:p>
            <w:pPr>
              <w:spacing w:after="0"/>
              <w:rPr>
                <w:sz w:val="12"/>
                <w:szCs w:val="12"/>
                <w:color w:val="auto"/>
              </w:rPr>
            </w:pPr>
          </w:p>
        </w:tc>
        <w:tc>
          <w:tcPr>
            <w:tcW w:w="2280" w:type="dxa"/>
            <w:vAlign w:val="bottom"/>
            <w:tcBorders>
              <w:top w:val="single" w:sz="8" w:color="auto"/>
            </w:tcBorders>
            <w:gridSpan w:val="4"/>
          </w:tcPr>
          <w:p>
            <w:pPr>
              <w:jc w:val="right"/>
              <w:ind w:right="202"/>
              <w:spacing w:after="0" w:line="142" w:lineRule="exact"/>
              <w:rPr>
                <w:sz w:val="20"/>
                <w:szCs w:val="20"/>
                <w:color w:val="auto"/>
              </w:rPr>
            </w:pPr>
            <w:r>
              <w:rPr>
                <w:rFonts w:ascii="Arial" w:cs="Arial" w:eastAsia="Arial" w:hAnsi="Arial"/>
                <w:sz w:val="14"/>
                <w:szCs w:val="14"/>
                <w:b w:val="1"/>
                <w:bCs w:val="1"/>
                <w:color w:val="auto"/>
                <w:w w:val="87"/>
              </w:rPr>
              <w:t>(in thousands, except percentage)</w:t>
            </w:r>
          </w:p>
        </w:tc>
        <w:tc>
          <w:tcPr>
            <w:tcW w:w="860" w:type="dxa"/>
            <w:vAlign w:val="bottom"/>
            <w:tcBorders>
              <w:top w:val="single" w:sz="8" w:color="auto"/>
            </w:tcBorders>
          </w:tcPr>
          <w:p>
            <w:pPr>
              <w:spacing w:after="0"/>
              <w:rPr>
                <w:sz w:val="12"/>
                <w:szCs w:val="12"/>
                <w:color w:val="auto"/>
              </w:rPr>
            </w:pPr>
          </w:p>
        </w:tc>
        <w:tc>
          <w:tcPr>
            <w:tcW w:w="360" w:type="dxa"/>
            <w:vAlign w:val="bottom"/>
            <w:tcBorders>
              <w:top w:val="single" w:sz="8" w:color="auto"/>
            </w:tcBorders>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Litigation settlement with Carnegie Mellon University</w:t>
            </w:r>
          </w:p>
        </w:tc>
        <w:tc>
          <w:tcPr>
            <w:tcW w:w="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080" w:type="dxa"/>
            <w:vAlign w:val="bottom"/>
            <w:shd w:val="clear" w:color="auto" w:fill="CCEEFF"/>
          </w:tcPr>
          <w:p>
            <w:pPr>
              <w:jc w:val="right"/>
              <w:ind w:right="127"/>
              <w:spacing w:after="0"/>
              <w:rPr>
                <w:sz w:val="20"/>
                <w:szCs w:val="20"/>
                <w:color w:val="auto"/>
              </w:rPr>
            </w:pPr>
            <w:r>
              <w:rPr>
                <w:rFonts w:ascii="Arial" w:cs="Arial" w:eastAsia="Arial" w:hAnsi="Arial"/>
                <w:sz w:val="18"/>
                <w:szCs w:val="18"/>
                <w:color w:val="auto"/>
              </w:rPr>
              <w:t>0.0%</w:t>
            </w:r>
          </w:p>
        </w:tc>
        <w:tc>
          <w:tcPr>
            <w:tcW w:w="34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$654,667</w:t>
            </w:r>
          </w:p>
        </w:tc>
        <w:tc>
          <w:tcPr>
            <w:tcW w:w="360" w:type="dxa"/>
            <w:vAlign w:val="bottom"/>
            <w:shd w:val="clear" w:color="auto" w:fill="CCEEFF"/>
          </w:tcPr>
          <w:p>
            <w:pPr>
              <w:spacing w:after="0"/>
              <w:rPr>
                <w:sz w:val="18"/>
                <w:szCs w:val="18"/>
                <w:color w:val="auto"/>
              </w:rPr>
            </w:pPr>
          </w:p>
        </w:tc>
        <w:tc>
          <w:tcPr>
            <w:tcW w:w="9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22"/>
        </w:trPr>
        <w:tc>
          <w:tcPr>
            <w:tcW w:w="4860" w:type="dxa"/>
            <w:vAlign w:val="bottom"/>
          </w:tcPr>
          <w:p>
            <w:pPr>
              <w:spacing w:after="0"/>
              <w:rPr>
                <w:sz w:val="20"/>
                <w:szCs w:val="20"/>
                <w:color w:val="auto"/>
              </w:rPr>
            </w:pPr>
            <w:r>
              <w:rPr>
                <w:rFonts w:ascii="Arial" w:cs="Arial" w:eastAsia="Arial" w:hAnsi="Arial"/>
                <w:sz w:val="18"/>
                <w:szCs w:val="18"/>
                <w:color w:val="auto"/>
              </w:rPr>
              <w:t>% of net revenue</w:t>
            </w:r>
          </w:p>
        </w:tc>
        <w:tc>
          <w:tcPr>
            <w:tcW w:w="160" w:type="dxa"/>
            <w:vAlign w:val="bottom"/>
          </w:tcPr>
          <w:p>
            <w:pPr>
              <w:spacing w:after="0"/>
              <w:rPr>
                <w:sz w:val="19"/>
                <w:szCs w:val="19"/>
                <w:color w:val="auto"/>
              </w:rPr>
            </w:pPr>
          </w:p>
        </w:tc>
        <w:tc>
          <w:tcPr>
            <w:tcW w:w="860" w:type="dxa"/>
            <w:vAlign w:val="bottom"/>
          </w:tcPr>
          <w:p>
            <w:pPr>
              <w:jc w:val="right"/>
              <w:ind w:right="102"/>
              <w:spacing w:after="0"/>
              <w:rPr>
                <w:sz w:val="20"/>
                <w:szCs w:val="20"/>
                <w:color w:val="auto"/>
              </w:rPr>
            </w:pPr>
            <w:r>
              <w:rPr>
                <w:rFonts w:ascii="Arial" w:cs="Arial" w:eastAsia="Arial" w:hAnsi="Arial"/>
                <w:sz w:val="18"/>
                <w:szCs w:val="18"/>
                <w:color w:val="auto"/>
              </w:rPr>
              <w:t>0.0%</w:t>
            </w:r>
          </w:p>
        </w:tc>
        <w:tc>
          <w:tcPr>
            <w:tcW w:w="340" w:type="dxa"/>
            <w:vAlign w:val="bottom"/>
          </w:tcPr>
          <w:p>
            <w:pPr>
              <w:spacing w:after="0"/>
              <w:rPr>
                <w:sz w:val="19"/>
                <w:szCs w:val="19"/>
                <w:color w:val="auto"/>
              </w:rPr>
            </w:pPr>
          </w:p>
        </w:tc>
        <w:tc>
          <w:tcPr>
            <w:tcW w:w="760" w:type="dxa"/>
            <w:vAlign w:val="bottom"/>
            <w:gridSpan w:val="2"/>
          </w:tcPr>
          <w:p>
            <w:pPr>
              <w:jc w:val="right"/>
              <w:ind w:right="80"/>
              <w:spacing w:after="0"/>
              <w:rPr>
                <w:sz w:val="20"/>
                <w:szCs w:val="20"/>
                <w:color w:val="auto"/>
              </w:rPr>
            </w:pPr>
            <w:r>
              <w:rPr>
                <w:rFonts w:ascii="Arial" w:cs="Arial" w:eastAsia="Arial" w:hAnsi="Arial"/>
                <w:sz w:val="18"/>
                <w:szCs w:val="18"/>
                <w:color w:val="auto"/>
              </w:rPr>
              <w:t>0.0%</w:t>
            </w:r>
          </w:p>
        </w:tc>
        <w:tc>
          <w:tcPr>
            <w:tcW w:w="10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60" w:type="dxa"/>
            <w:vAlign w:val="bottom"/>
          </w:tcPr>
          <w:p>
            <w:pPr>
              <w:jc w:val="right"/>
              <w:ind w:right="122"/>
              <w:spacing w:after="0"/>
              <w:rPr>
                <w:sz w:val="20"/>
                <w:szCs w:val="20"/>
                <w:color w:val="auto"/>
              </w:rPr>
            </w:pPr>
            <w:r>
              <w:rPr>
                <w:rFonts w:ascii="Arial" w:cs="Arial" w:eastAsia="Arial" w:hAnsi="Arial"/>
                <w:sz w:val="18"/>
                <w:szCs w:val="18"/>
                <w:color w:val="auto"/>
              </w:rPr>
              <w:t>0.0%</w:t>
            </w: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31.0%</w:t>
            </w:r>
          </w:p>
        </w:tc>
        <w:tc>
          <w:tcPr>
            <w:tcW w:w="6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connection with the settlement agreement with CMU for $750 million (see “Note 10 – Commitments and Contingencies” and “Note 13 – Carnegie Mellon University Settlement” in the Notes to the Unaudited Consolidated Financial Statements set forth in Part I, Item 1 of this Quarterly Report on Form 10-Q), $654.7 million of the settlement allocated to the mutual release of claims and covenant not to sue was recorded in operating expenses in fiscal 2016. Of the remaining $95.3 million, $81.3 million was recorded in cost of goods sold in fiscal 2016. The remaining $14.0 million will be recognized in cost of goods sold over the remaining term of the license from February 2016 through April 2018.</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196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080" w:type="dxa"/>
            <w:vAlign w:val="bottom"/>
            <w:vMerge w:val="restart"/>
          </w:tcPr>
          <w:p>
            <w:pPr>
              <w:jc w:val="right"/>
              <w:ind w:right="427"/>
              <w:spacing w:after="0"/>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4"/>
                <w:szCs w:val="14"/>
                <w:color w:val="auto"/>
              </w:rPr>
            </w:pPr>
          </w:p>
        </w:tc>
        <w:tc>
          <w:tcPr>
            <w:tcW w:w="2080" w:type="dxa"/>
            <w:vAlign w:val="bottom"/>
            <w:gridSpan w:val="3"/>
          </w:tcPr>
          <w:p>
            <w:pPr>
              <w:jc w:val="right"/>
              <w:ind w:right="60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80" w:type="dxa"/>
            <w:vAlign w:val="bottom"/>
          </w:tcPr>
          <w:p>
            <w:pPr>
              <w:spacing w:after="0"/>
              <w:rPr>
                <w:sz w:val="11"/>
                <w:szCs w:val="11"/>
                <w:color w:val="auto"/>
              </w:rPr>
            </w:pPr>
          </w:p>
        </w:tc>
        <w:tc>
          <w:tcPr>
            <w:tcW w:w="980" w:type="dxa"/>
            <w:vAlign w:val="bottom"/>
            <w:tcBorders>
              <w:top w:val="single" w:sz="8" w:color="auto"/>
            </w:tcBorders>
          </w:tcPr>
          <w:p>
            <w:pPr>
              <w:jc w:val="right"/>
              <w:ind w:right="224"/>
              <w:spacing w:after="0" w:line="129" w:lineRule="exact"/>
              <w:rPr>
                <w:sz w:val="20"/>
                <w:szCs w:val="20"/>
                <w:color w:val="auto"/>
              </w:rPr>
            </w:pPr>
            <w:r>
              <w:rPr>
                <w:rFonts w:ascii="Arial" w:cs="Arial" w:eastAsia="Arial" w:hAnsi="Arial"/>
                <w:sz w:val="14"/>
                <w:szCs w:val="14"/>
                <w:b w:val="1"/>
                <w:bCs w:val="1"/>
                <w:color w:val="auto"/>
                <w:w w:val="85"/>
              </w:rPr>
              <w:t>October 29,</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160" w:type="dxa"/>
            <w:vAlign w:val="bottom"/>
          </w:tcPr>
          <w:p>
            <w:pPr>
              <w:spacing w:after="0"/>
              <w:rPr>
                <w:sz w:val="11"/>
                <w:szCs w:val="11"/>
                <w:color w:val="auto"/>
              </w:rPr>
            </w:pPr>
          </w:p>
        </w:tc>
        <w:tc>
          <w:tcPr>
            <w:tcW w:w="108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3"/>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280" w:type="dxa"/>
            <w:vAlign w:val="bottom"/>
          </w:tcPr>
          <w:p>
            <w:pPr>
              <w:spacing w:after="0"/>
              <w:rPr>
                <w:sz w:val="14"/>
                <w:szCs w:val="14"/>
                <w:color w:val="auto"/>
              </w:rPr>
            </w:pPr>
          </w:p>
        </w:tc>
        <w:tc>
          <w:tcPr>
            <w:tcW w:w="980" w:type="dxa"/>
            <w:vAlign w:val="bottom"/>
          </w:tcPr>
          <w:p>
            <w:pPr>
              <w:jc w:val="right"/>
              <w:ind w:right="424"/>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080" w:type="dxa"/>
            <w:vAlign w:val="bottom"/>
          </w:tcPr>
          <w:p>
            <w:pPr>
              <w:jc w:val="center"/>
              <w:spacing w:after="0"/>
              <w:rPr>
                <w:sz w:val="20"/>
                <w:szCs w:val="20"/>
                <w:color w:val="auto"/>
              </w:rPr>
            </w:pPr>
            <w:r>
              <w:rPr>
                <w:rFonts w:ascii="Arial" w:cs="Arial" w:eastAsia="Arial" w:hAnsi="Arial"/>
                <w:sz w:val="14"/>
                <w:szCs w:val="14"/>
                <w:b w:val="1"/>
                <w:bCs w:val="1"/>
                <w:color w:val="auto"/>
                <w:w w:val="85"/>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42"/>
              <w:spacing w:after="0"/>
              <w:rPr>
                <w:sz w:val="20"/>
                <w:szCs w:val="20"/>
                <w:color w:val="auto"/>
              </w:rPr>
            </w:pPr>
            <w:r>
              <w:rPr>
                <w:rFonts w:ascii="Arial" w:cs="Arial" w:eastAsia="Arial" w:hAnsi="Arial"/>
                <w:sz w:val="14"/>
                <w:szCs w:val="14"/>
                <w:b w:val="1"/>
                <w:bCs w:val="1"/>
                <w:color w:val="auto"/>
              </w:rPr>
              <w:t>2015</w:t>
            </w:r>
          </w:p>
        </w:tc>
        <w:tc>
          <w:tcPr>
            <w:tcW w:w="28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200" w:type="dxa"/>
            <w:vAlign w:val="bottom"/>
            <w:tcBorders>
              <w:top w:val="single" w:sz="8" w:color="auto"/>
            </w:tcBorders>
            <w:gridSpan w:val="3"/>
          </w:tcPr>
          <w:p>
            <w:pPr>
              <w:jc w:val="right"/>
              <w:ind w:right="19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980" w:type="dxa"/>
            <w:vAlign w:val="bottom"/>
            <w:shd w:val="clear" w:color="auto" w:fill="CCEEFF"/>
          </w:tcPr>
          <w:p>
            <w:pPr>
              <w:jc w:val="right"/>
              <w:ind w:right="224"/>
              <w:spacing w:after="0"/>
              <w:rPr>
                <w:sz w:val="20"/>
                <w:szCs w:val="20"/>
                <w:color w:val="auto"/>
              </w:rPr>
            </w:pPr>
            <w:r>
              <w:rPr>
                <w:rFonts w:ascii="Arial" w:cs="Arial" w:eastAsia="Arial" w:hAnsi="Arial"/>
                <w:sz w:val="18"/>
                <w:szCs w:val="18"/>
                <w:color w:val="auto"/>
              </w:rPr>
              <w:t>$  2,299</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3,150</w:t>
            </w:r>
          </w:p>
        </w:tc>
        <w:tc>
          <w:tcPr>
            <w:tcW w:w="108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rPr>
              <w:t>(27.0)%</w:t>
            </w:r>
          </w:p>
        </w:tc>
        <w:tc>
          <w:tcPr>
            <w:tcW w:w="1120" w:type="dxa"/>
            <w:vAlign w:val="bottom"/>
            <w:gridSpan w:val="2"/>
            <w:shd w:val="clear" w:color="auto" w:fill="CCEEFF"/>
          </w:tcPr>
          <w:p>
            <w:pPr>
              <w:jc w:val="right"/>
              <w:ind w:right="212"/>
              <w:spacing w:after="0"/>
              <w:rPr>
                <w:sz w:val="20"/>
                <w:szCs w:val="20"/>
                <w:color w:val="auto"/>
              </w:rPr>
            </w:pPr>
            <w:r>
              <w:rPr>
                <w:rFonts w:ascii="Arial" w:cs="Arial" w:eastAsia="Arial" w:hAnsi="Arial"/>
                <w:sz w:val="18"/>
                <w:szCs w:val="18"/>
                <w:color w:val="auto"/>
              </w:rPr>
              <w:t>$  7,221</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8,286</w:t>
            </w:r>
          </w:p>
        </w:tc>
        <w:tc>
          <w:tcPr>
            <w:tcW w:w="2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(12.9)%</w:t>
            </w:r>
          </w:p>
        </w:tc>
        <w:tc>
          <w:tcPr>
            <w:tcW w:w="0" w:type="dxa"/>
            <w:vAlign w:val="bottom"/>
          </w:tcPr>
          <w:p>
            <w:pPr>
              <w:spacing w:after="0"/>
              <w:rPr>
                <w:sz w:val="1"/>
                <w:szCs w:val="1"/>
                <w:color w:val="auto"/>
              </w:rPr>
            </w:pPr>
          </w:p>
        </w:tc>
      </w:tr>
      <w:tr>
        <w:trPr>
          <w:trHeight w:val="222"/>
        </w:trPr>
        <w:tc>
          <w:tcPr>
            <w:tcW w:w="5280" w:type="dxa"/>
            <w:vAlign w:val="bottom"/>
          </w:tcPr>
          <w:p>
            <w:pPr>
              <w:spacing w:after="0"/>
              <w:rPr>
                <w:sz w:val="20"/>
                <w:szCs w:val="20"/>
                <w:color w:val="auto"/>
              </w:rPr>
            </w:pPr>
            <w:r>
              <w:rPr>
                <w:rFonts w:ascii="Arial" w:cs="Arial" w:eastAsia="Arial" w:hAnsi="Arial"/>
                <w:sz w:val="18"/>
                <w:szCs w:val="18"/>
                <w:color w:val="auto"/>
              </w:rPr>
              <w:t>% of net revenue</w:t>
            </w:r>
          </w:p>
        </w:tc>
        <w:tc>
          <w:tcPr>
            <w:tcW w:w="980" w:type="dxa"/>
            <w:vAlign w:val="bottom"/>
          </w:tcPr>
          <w:p>
            <w:pPr>
              <w:jc w:val="right"/>
              <w:ind w:right="64"/>
              <w:spacing w:after="0"/>
              <w:rPr>
                <w:sz w:val="20"/>
                <w:szCs w:val="20"/>
                <w:color w:val="auto"/>
              </w:rPr>
            </w:pPr>
            <w:r>
              <w:rPr>
                <w:rFonts w:ascii="Arial" w:cs="Arial" w:eastAsia="Arial" w:hAnsi="Arial"/>
                <w:sz w:val="18"/>
                <w:szCs w:val="18"/>
                <w:color w:val="auto"/>
              </w:rPr>
              <w:t>0.3%</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0.6%</w:t>
            </w:r>
          </w:p>
        </w:tc>
        <w:tc>
          <w:tcPr>
            <w:tcW w:w="108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0.4%</w:t>
            </w: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0.4%</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Amortization and write-off of acquired intangible assets decreased by $0.9 million and $1.1 million for the three and nine months ended October 29, 2016, respectively, compared to the three and nine months ended October 31, 2015. The decrease reflects lower amortization expense as certain intangible assets have become fully amortized. Amortization and write-off of acquired intangible assets in the nine months ended October 31, 2015 included a charge of $0.3 million to write off an existing trade name while there was no such charge in the nine months ended October 29, 2016.</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960" w:type="dxa"/>
            <w:vAlign w:val="bottom"/>
            <w:gridSpan w:val="3"/>
          </w:tcPr>
          <w:p>
            <w:pPr>
              <w:jc w:val="right"/>
              <w:ind w:right="440"/>
              <w:spacing w:after="0"/>
              <w:rPr>
                <w:sz w:val="20"/>
                <w:szCs w:val="20"/>
                <w:color w:val="auto"/>
              </w:rPr>
            </w:pPr>
            <w:r>
              <w:rPr>
                <w:rFonts w:ascii="Arial" w:cs="Arial" w:eastAsia="Arial" w:hAnsi="Arial"/>
                <w:sz w:val="14"/>
                <w:szCs w:val="14"/>
                <w:b w:val="1"/>
                <w:bCs w:val="1"/>
                <w:color w:val="auto"/>
              </w:rPr>
              <w:t>Three Months Ended</w:t>
            </w:r>
          </w:p>
        </w:tc>
        <w:tc>
          <w:tcPr>
            <w:tcW w:w="106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4"/>
                <w:szCs w:val="14"/>
                <w:color w:val="auto"/>
              </w:rPr>
            </w:pPr>
          </w:p>
        </w:tc>
        <w:tc>
          <w:tcPr>
            <w:tcW w:w="2120" w:type="dxa"/>
            <w:vAlign w:val="bottom"/>
            <w:gridSpan w:val="3"/>
          </w:tcPr>
          <w:p>
            <w:pPr>
              <w:jc w:val="right"/>
              <w:ind w:right="62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3680" w:type="dxa"/>
            <w:vAlign w:val="bottom"/>
          </w:tcPr>
          <w:p>
            <w:pPr>
              <w:spacing w:after="0"/>
              <w:rPr>
                <w:sz w:val="11"/>
                <w:szCs w:val="11"/>
                <w:color w:val="auto"/>
              </w:rPr>
            </w:pPr>
          </w:p>
        </w:tc>
        <w:tc>
          <w:tcPr>
            <w:tcW w:w="1600" w:type="dxa"/>
            <w:vAlign w:val="bottom"/>
          </w:tcPr>
          <w:p>
            <w:pPr>
              <w:spacing w:after="0"/>
              <w:rPr>
                <w:sz w:val="11"/>
                <w:szCs w:val="11"/>
                <w:color w:val="auto"/>
              </w:rPr>
            </w:pPr>
          </w:p>
        </w:tc>
        <w:tc>
          <w:tcPr>
            <w:tcW w:w="980" w:type="dxa"/>
            <w:vAlign w:val="bottom"/>
            <w:tcBorders>
              <w:top w:val="single" w:sz="8" w:color="auto"/>
            </w:tcBorders>
          </w:tcPr>
          <w:p>
            <w:pPr>
              <w:jc w:val="right"/>
              <w:ind w:right="252"/>
              <w:spacing w:after="0" w:line="129" w:lineRule="exact"/>
              <w:rPr>
                <w:sz w:val="20"/>
                <w:szCs w:val="20"/>
                <w:color w:val="auto"/>
              </w:rPr>
            </w:pPr>
            <w:r>
              <w:rPr>
                <w:rFonts w:ascii="Arial" w:cs="Arial" w:eastAsia="Arial" w:hAnsi="Arial"/>
                <w:sz w:val="14"/>
                <w:szCs w:val="14"/>
                <w:b w:val="1"/>
                <w:bCs w:val="1"/>
                <w:color w:val="auto"/>
                <w:w w:val="83"/>
              </w:rPr>
              <w:t>October 29,</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16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980" w:type="dxa"/>
            <w:vAlign w:val="bottom"/>
            <w:tcBorders>
              <w:top w:val="single" w:sz="8" w:color="auto"/>
            </w:tcBorders>
          </w:tcPr>
          <w:p>
            <w:pPr>
              <w:jc w:val="right"/>
              <w:ind w:right="232"/>
              <w:spacing w:after="0" w:line="129" w:lineRule="exact"/>
              <w:rPr>
                <w:sz w:val="20"/>
                <w:szCs w:val="20"/>
                <w:color w:val="auto"/>
              </w:rPr>
            </w:pPr>
            <w:r>
              <w:rPr>
                <w:rFonts w:ascii="Arial" w:cs="Arial" w:eastAsia="Arial" w:hAnsi="Arial"/>
                <w:sz w:val="14"/>
                <w:szCs w:val="14"/>
                <w:b w:val="1"/>
                <w:bCs w:val="1"/>
                <w:color w:val="auto"/>
                <w:w w:val="85"/>
              </w:rPr>
              <w:t>October 29,</w:t>
            </w:r>
          </w:p>
        </w:tc>
        <w:tc>
          <w:tcPr>
            <w:tcW w:w="84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October 31,</w:t>
            </w:r>
          </w:p>
        </w:tc>
        <w:tc>
          <w:tcPr>
            <w:tcW w:w="3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680" w:type="dxa"/>
            <w:vAlign w:val="bottom"/>
          </w:tcPr>
          <w:p>
            <w:pPr>
              <w:spacing w:after="0"/>
              <w:rPr>
                <w:sz w:val="14"/>
                <w:szCs w:val="14"/>
                <w:color w:val="auto"/>
              </w:rPr>
            </w:pPr>
          </w:p>
        </w:tc>
        <w:tc>
          <w:tcPr>
            <w:tcW w:w="258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060" w:type="dxa"/>
            <w:vAlign w:val="bottom"/>
          </w:tcPr>
          <w:p>
            <w:pPr>
              <w:ind w:left="300"/>
              <w:spacing w:after="0"/>
              <w:rPr>
                <w:sz w:val="20"/>
                <w:szCs w:val="20"/>
                <w:color w:val="auto"/>
              </w:rPr>
            </w:pPr>
            <w:r>
              <w:rPr>
                <w:rFonts w:ascii="Arial" w:cs="Arial" w:eastAsia="Arial" w:hAnsi="Arial"/>
                <w:sz w:val="14"/>
                <w:szCs w:val="14"/>
                <w:b w:val="1"/>
                <w:bCs w:val="1"/>
                <w:color w:val="auto"/>
              </w:rPr>
              <w:t>Change</w:t>
            </w:r>
          </w:p>
        </w:tc>
        <w:tc>
          <w:tcPr>
            <w:tcW w:w="1120" w:type="dxa"/>
            <w:vAlign w:val="bottom"/>
            <w:gridSpan w:val="2"/>
          </w:tcPr>
          <w:p>
            <w:pPr>
              <w:jc w:val="right"/>
              <w:ind w:right="432"/>
              <w:spacing w:after="0"/>
              <w:rPr>
                <w:sz w:val="20"/>
                <w:szCs w:val="20"/>
                <w:color w:val="auto"/>
              </w:rPr>
            </w:pPr>
            <w:r>
              <w:rPr>
                <w:rFonts w:ascii="Arial" w:cs="Arial" w:eastAsia="Arial" w:hAnsi="Arial"/>
                <w:sz w:val="14"/>
                <w:szCs w:val="14"/>
                <w:b w:val="1"/>
                <w:bCs w:val="1"/>
                <w:color w:val="auto"/>
              </w:rPr>
              <w:t>2016</w:t>
            </w:r>
          </w:p>
        </w:tc>
        <w:tc>
          <w:tcPr>
            <w:tcW w:w="840" w:type="dxa"/>
            <w:vAlign w:val="bottom"/>
          </w:tcPr>
          <w:p>
            <w:pPr>
              <w:jc w:val="right"/>
              <w:ind w:right="122"/>
              <w:spacing w:after="0"/>
              <w:rPr>
                <w:sz w:val="20"/>
                <w:szCs w:val="20"/>
                <w:color w:val="auto"/>
              </w:rPr>
            </w:pPr>
            <w:r>
              <w:rPr>
                <w:rFonts w:ascii="Arial" w:cs="Arial" w:eastAsia="Arial" w:hAnsi="Arial"/>
                <w:sz w:val="14"/>
                <w:szCs w:val="14"/>
                <w:b w:val="1"/>
                <w:bCs w:val="1"/>
                <w:color w:val="auto"/>
              </w:rPr>
              <w:t>2015</w:t>
            </w:r>
          </w:p>
        </w:tc>
        <w:tc>
          <w:tcPr>
            <w:tcW w:w="30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36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3"/>
          </w:tcPr>
          <w:p>
            <w:pPr>
              <w:jc w:val="right"/>
              <w:ind w:right="17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8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258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5,470</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4,644</w:t>
            </w:r>
          </w:p>
        </w:tc>
        <w:tc>
          <w:tcPr>
            <w:tcW w:w="10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17.8%</w:t>
            </w:r>
          </w:p>
        </w:tc>
        <w:tc>
          <w:tcPr>
            <w:tcW w:w="1120" w:type="dxa"/>
            <w:vAlign w:val="bottom"/>
            <w:gridSpan w:val="2"/>
            <w:shd w:val="clear" w:color="auto" w:fill="CCEEFF"/>
          </w:tcPr>
          <w:p>
            <w:pPr>
              <w:jc w:val="right"/>
              <w:ind w:right="232"/>
              <w:spacing w:after="0"/>
              <w:rPr>
                <w:sz w:val="20"/>
                <w:szCs w:val="20"/>
                <w:color w:val="auto"/>
              </w:rPr>
            </w:pPr>
            <w:r>
              <w:rPr>
                <w:rFonts w:ascii="Arial" w:cs="Arial" w:eastAsia="Arial" w:hAnsi="Arial"/>
                <w:sz w:val="18"/>
                <w:szCs w:val="18"/>
                <w:color w:val="auto"/>
              </w:rPr>
              <w:t>$ 13,242</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$ 16,601</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(20.2)%</w:t>
            </w:r>
          </w:p>
        </w:tc>
        <w:tc>
          <w:tcPr>
            <w:tcW w:w="0" w:type="dxa"/>
            <w:vAlign w:val="bottom"/>
          </w:tcPr>
          <w:p>
            <w:pPr>
              <w:spacing w:after="0"/>
              <w:rPr>
                <w:sz w:val="1"/>
                <w:szCs w:val="1"/>
                <w:color w:val="auto"/>
              </w:rPr>
            </w:pPr>
          </w:p>
        </w:tc>
      </w:tr>
      <w:tr>
        <w:trPr>
          <w:trHeight w:val="222"/>
        </w:trPr>
        <w:tc>
          <w:tcPr>
            <w:tcW w:w="3680" w:type="dxa"/>
            <w:vAlign w:val="bottom"/>
          </w:tcPr>
          <w:p>
            <w:pPr>
              <w:spacing w:after="0"/>
              <w:rPr>
                <w:sz w:val="20"/>
                <w:szCs w:val="20"/>
                <w:color w:val="auto"/>
              </w:rPr>
            </w:pPr>
            <w:r>
              <w:rPr>
                <w:rFonts w:ascii="Arial" w:cs="Arial" w:eastAsia="Arial" w:hAnsi="Arial"/>
                <w:sz w:val="18"/>
                <w:szCs w:val="18"/>
                <w:color w:val="auto"/>
              </w:rPr>
              <w:t>% of net revenue</w:t>
            </w:r>
          </w:p>
        </w:tc>
        <w:tc>
          <w:tcPr>
            <w:tcW w:w="2580" w:type="dxa"/>
            <w:vAlign w:val="bottom"/>
            <w:gridSpan w:val="2"/>
          </w:tcPr>
          <w:p>
            <w:pPr>
              <w:jc w:val="right"/>
              <w:ind w:right="92"/>
              <w:spacing w:after="0"/>
              <w:rPr>
                <w:sz w:val="20"/>
                <w:szCs w:val="20"/>
                <w:color w:val="auto"/>
              </w:rPr>
            </w:pPr>
            <w:r>
              <w:rPr>
                <w:rFonts w:ascii="Arial" w:cs="Arial" w:eastAsia="Arial" w:hAnsi="Arial"/>
                <w:sz w:val="18"/>
                <w:szCs w:val="18"/>
                <w:color w:val="auto"/>
              </w:rPr>
              <w:t>0.8%</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0.7%</w:t>
            </w:r>
          </w:p>
        </w:tc>
        <w:tc>
          <w:tcPr>
            <w:tcW w:w="1060" w:type="dxa"/>
            <w:vAlign w:val="bottom"/>
          </w:tcPr>
          <w:p>
            <w:pPr>
              <w:spacing w:after="0"/>
              <w:rPr>
                <w:sz w:val="19"/>
                <w:szCs w:val="19"/>
                <w:color w:val="auto"/>
              </w:rPr>
            </w:pPr>
          </w:p>
        </w:tc>
        <w:tc>
          <w:tcPr>
            <w:tcW w:w="1120" w:type="dxa"/>
            <w:vAlign w:val="bottom"/>
            <w:gridSpan w:val="2"/>
          </w:tcPr>
          <w:p>
            <w:pPr>
              <w:jc w:val="right"/>
              <w:ind w:right="72"/>
              <w:spacing w:after="0"/>
              <w:rPr>
                <w:sz w:val="20"/>
                <w:szCs w:val="20"/>
                <w:color w:val="auto"/>
              </w:rPr>
            </w:pPr>
            <w:r>
              <w:rPr>
                <w:rFonts w:ascii="Arial" w:cs="Arial" w:eastAsia="Arial" w:hAnsi="Arial"/>
                <w:sz w:val="18"/>
                <w:szCs w:val="18"/>
                <w:color w:val="auto"/>
              </w:rPr>
              <w:t>0.8%</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0.8%</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Interest and other income, net, increased by $0.8 million and decreased by $3.4 million for the three and nine months ended October 29, 2016 compared to the three and nine months ended October 31, 2015, respectively. The increase in the three months ended October 29, 2016 is mainly due to the sale of equipment and an intangible asset to a non-related third party, partially offset by a decline in interest income. The decrease in the nine months ended October 29, 2016 reflects lower foreign currency gains from the revaluation of our foreign currency denominated tax liabilities combined with a decrease in interest income. The decrease in interest income is mainly due to overall lower average cash balances offset by effects of higher interest rates.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45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for Income Taxes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980" w:type="dxa"/>
            <w:vAlign w:val="bottom"/>
          </w:tcPr>
          <w:p>
            <w:pPr>
              <w:spacing w:after="0"/>
              <w:rPr>
                <w:sz w:val="14"/>
                <w:szCs w:val="14"/>
                <w:color w:val="auto"/>
              </w:rPr>
            </w:pPr>
          </w:p>
        </w:tc>
        <w:tc>
          <w:tcPr>
            <w:tcW w:w="1800" w:type="dxa"/>
            <w:vAlign w:val="bottom"/>
            <w:gridSpan w:val="3"/>
          </w:tcPr>
          <w:p>
            <w:pPr>
              <w:ind w:left="200"/>
              <w:spacing w:after="0"/>
              <w:rPr>
                <w:sz w:val="20"/>
                <w:szCs w:val="20"/>
                <w:color w:val="auto"/>
              </w:rPr>
            </w:pPr>
            <w:r>
              <w:rPr>
                <w:rFonts w:ascii="Arial" w:cs="Arial" w:eastAsia="Arial" w:hAnsi="Arial"/>
                <w:sz w:val="14"/>
                <w:szCs w:val="14"/>
                <w:b w:val="1"/>
                <w:bCs w:val="1"/>
                <w:color w:val="auto"/>
              </w:rPr>
              <w:t>Three Months Ended</w:t>
            </w:r>
          </w:p>
        </w:tc>
        <w:tc>
          <w:tcPr>
            <w:tcW w:w="1000" w:type="dxa"/>
            <w:vAlign w:val="bottom"/>
            <w:vMerge w:val="restart"/>
          </w:tcPr>
          <w:p>
            <w:pPr>
              <w:jc w:val="right"/>
              <w:ind w:right="486"/>
              <w:spacing w:after="0"/>
              <w:rPr>
                <w:sz w:val="20"/>
                <w:szCs w:val="20"/>
                <w:color w:val="auto"/>
              </w:rPr>
            </w:pPr>
            <w:r>
              <w:rPr>
                <w:rFonts w:ascii="Arial" w:cs="Arial" w:eastAsia="Arial" w:hAnsi="Arial"/>
                <w:sz w:val="14"/>
                <w:szCs w:val="14"/>
                <w:b w:val="1"/>
                <w:bCs w:val="1"/>
                <w:color w:val="auto"/>
              </w:rPr>
              <w:t>%</w:t>
            </w:r>
          </w:p>
        </w:tc>
        <w:tc>
          <w:tcPr>
            <w:tcW w:w="1780" w:type="dxa"/>
            <w:vAlign w:val="bottom"/>
            <w:gridSpan w:val="3"/>
          </w:tcPr>
          <w:p>
            <w:pPr>
              <w:ind w:left="240"/>
              <w:spacing w:after="0"/>
              <w:rPr>
                <w:sz w:val="20"/>
                <w:szCs w:val="20"/>
                <w:color w:val="auto"/>
              </w:rPr>
            </w:pPr>
            <w:r>
              <w:rPr>
                <w:rFonts w:ascii="Arial" w:cs="Arial" w:eastAsia="Arial" w:hAnsi="Arial"/>
                <w:sz w:val="14"/>
                <w:szCs w:val="14"/>
                <w:b w:val="1"/>
                <w:bCs w:val="1"/>
                <w:color w:val="auto"/>
              </w:rPr>
              <w:t>Nine Months Ended</w:t>
            </w:r>
          </w:p>
        </w:tc>
        <w:tc>
          <w:tcPr>
            <w:tcW w:w="60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980" w:type="dxa"/>
            <w:vAlign w:val="bottom"/>
          </w:tcPr>
          <w:p>
            <w:pPr>
              <w:spacing w:after="0"/>
              <w:rPr>
                <w:sz w:val="11"/>
                <w:szCs w:val="11"/>
                <w:color w:val="auto"/>
              </w:rPr>
            </w:pPr>
          </w:p>
        </w:tc>
        <w:tc>
          <w:tcPr>
            <w:tcW w:w="820" w:type="dxa"/>
            <w:vAlign w:val="bottom"/>
            <w:tcBorders>
              <w:top w:val="single" w:sz="8" w:color="auto"/>
            </w:tcBorders>
          </w:tcPr>
          <w:p>
            <w:pPr>
              <w:spacing w:after="0" w:line="129" w:lineRule="exact"/>
              <w:rPr>
                <w:sz w:val="20"/>
                <w:szCs w:val="20"/>
                <w:color w:val="auto"/>
              </w:rPr>
            </w:pPr>
            <w:r>
              <w:rPr>
                <w:rFonts w:ascii="Arial" w:cs="Arial" w:eastAsia="Arial" w:hAnsi="Arial"/>
                <w:sz w:val="14"/>
                <w:szCs w:val="14"/>
                <w:b w:val="1"/>
                <w:bCs w:val="1"/>
                <w:color w:val="auto"/>
              </w:rPr>
              <w:t>October 29,</w:t>
            </w:r>
          </w:p>
        </w:tc>
        <w:tc>
          <w:tcPr>
            <w:tcW w:w="820" w:type="dxa"/>
            <w:vAlign w:val="bottom"/>
            <w:tcBorders>
              <w:top w:val="single" w:sz="8" w:color="auto"/>
            </w:tcBorders>
          </w:tcPr>
          <w:p>
            <w:pPr>
              <w:ind w:left="160"/>
              <w:spacing w:after="0" w:line="129" w:lineRule="exact"/>
              <w:rPr>
                <w:sz w:val="20"/>
                <w:szCs w:val="20"/>
                <w:color w:val="auto"/>
              </w:rPr>
            </w:pPr>
            <w:r>
              <w:rPr>
                <w:rFonts w:ascii="Arial" w:cs="Arial" w:eastAsia="Arial" w:hAnsi="Arial"/>
                <w:sz w:val="14"/>
                <w:szCs w:val="14"/>
                <w:b w:val="1"/>
                <w:bCs w:val="1"/>
                <w:color w:val="auto"/>
                <w:w w:val="83"/>
              </w:rPr>
              <w:t>October 31,</w:t>
            </w:r>
          </w:p>
        </w:tc>
        <w:tc>
          <w:tcPr>
            <w:tcW w:w="160" w:type="dxa"/>
            <w:vAlign w:val="bottom"/>
          </w:tcPr>
          <w:p>
            <w:pPr>
              <w:spacing w:after="0"/>
              <w:rPr>
                <w:sz w:val="11"/>
                <w:szCs w:val="11"/>
                <w:color w:val="auto"/>
              </w:rPr>
            </w:pPr>
          </w:p>
        </w:tc>
        <w:tc>
          <w:tcPr>
            <w:tcW w:w="1000" w:type="dxa"/>
            <w:vAlign w:val="bottom"/>
            <w:vMerge w:val="continue"/>
          </w:tcPr>
          <w:p>
            <w:pPr>
              <w:spacing w:after="0"/>
              <w:rPr>
                <w:sz w:val="11"/>
                <w:szCs w:val="11"/>
                <w:color w:val="auto"/>
              </w:rPr>
            </w:pPr>
          </w:p>
        </w:tc>
        <w:tc>
          <w:tcPr>
            <w:tcW w:w="860" w:type="dxa"/>
            <w:vAlign w:val="bottom"/>
            <w:tcBorders>
              <w:top w:val="single" w:sz="8" w:color="auto"/>
            </w:tcBorders>
          </w:tcPr>
          <w:p>
            <w:pPr>
              <w:jc w:val="center"/>
              <w:ind w:right="127"/>
              <w:spacing w:after="0" w:line="129" w:lineRule="exact"/>
              <w:rPr>
                <w:sz w:val="20"/>
                <w:szCs w:val="20"/>
                <w:color w:val="auto"/>
              </w:rPr>
            </w:pPr>
            <w:r>
              <w:rPr>
                <w:rFonts w:ascii="Arial" w:cs="Arial" w:eastAsia="Arial" w:hAnsi="Arial"/>
                <w:sz w:val="14"/>
                <w:szCs w:val="14"/>
                <w:b w:val="1"/>
                <w:bCs w:val="1"/>
                <w:color w:val="auto"/>
                <w:w w:val="85"/>
              </w:rPr>
              <w:t>October 29,</w:t>
            </w:r>
          </w:p>
        </w:tc>
        <w:tc>
          <w:tcPr>
            <w:tcW w:w="780" w:type="dxa"/>
            <w:vAlign w:val="bottom"/>
            <w:tcBorders>
              <w:top w:val="single" w:sz="8" w:color="auto"/>
            </w:tcBorders>
          </w:tcPr>
          <w:p>
            <w:pPr>
              <w:ind w:left="100"/>
              <w:spacing w:after="0" w:line="129" w:lineRule="exact"/>
              <w:rPr>
                <w:sz w:val="20"/>
                <w:szCs w:val="20"/>
                <w:color w:val="auto"/>
              </w:rPr>
            </w:pPr>
            <w:r>
              <w:rPr>
                <w:rFonts w:ascii="Arial" w:cs="Arial" w:eastAsia="Arial" w:hAnsi="Arial"/>
                <w:sz w:val="14"/>
                <w:szCs w:val="14"/>
                <w:b w:val="1"/>
                <w:bCs w:val="1"/>
                <w:color w:val="auto"/>
                <w:w w:val="85"/>
              </w:rPr>
              <w:t>October 31,</w:t>
            </w:r>
          </w:p>
        </w:tc>
        <w:tc>
          <w:tcPr>
            <w:tcW w:w="14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5980" w:type="dxa"/>
            <w:vAlign w:val="bottom"/>
          </w:tcPr>
          <w:p>
            <w:pPr>
              <w:spacing w:after="0"/>
              <w:rPr>
                <w:sz w:val="14"/>
                <w:szCs w:val="14"/>
                <w:color w:val="auto"/>
              </w:rPr>
            </w:pPr>
          </w:p>
        </w:tc>
        <w:tc>
          <w:tcPr>
            <w:tcW w:w="820" w:type="dxa"/>
            <w:vAlign w:val="bottom"/>
          </w:tcPr>
          <w:p>
            <w:pPr>
              <w:jc w:val="right"/>
              <w:ind w:right="267"/>
              <w:spacing w:after="0"/>
              <w:rPr>
                <w:sz w:val="20"/>
                <w:szCs w:val="20"/>
                <w:color w:val="auto"/>
              </w:rPr>
            </w:pPr>
            <w:r>
              <w:rPr>
                <w:rFonts w:ascii="Arial" w:cs="Arial" w:eastAsia="Arial" w:hAnsi="Arial"/>
                <w:sz w:val="14"/>
                <w:szCs w:val="14"/>
                <w:b w:val="1"/>
                <w:bCs w:val="1"/>
                <w:color w:val="auto"/>
              </w:rPr>
              <w:t>2016</w:t>
            </w:r>
          </w:p>
        </w:tc>
        <w:tc>
          <w:tcPr>
            <w:tcW w:w="820" w:type="dxa"/>
            <w:vAlign w:val="bottom"/>
          </w:tcPr>
          <w:p>
            <w:pPr>
              <w:jc w:val="right"/>
              <w:ind w:right="127"/>
              <w:spacing w:after="0"/>
              <w:rPr>
                <w:sz w:val="20"/>
                <w:szCs w:val="20"/>
                <w:color w:val="auto"/>
              </w:rPr>
            </w:pPr>
            <w:r>
              <w:rPr>
                <w:rFonts w:ascii="Arial" w:cs="Arial" w:eastAsia="Arial" w:hAnsi="Arial"/>
                <w:sz w:val="14"/>
                <w:szCs w:val="14"/>
                <w:b w:val="1"/>
                <w:bCs w:val="1"/>
                <w:color w:val="auto"/>
              </w:rPr>
              <w:t>2015</w:t>
            </w:r>
          </w:p>
        </w:tc>
        <w:tc>
          <w:tcPr>
            <w:tcW w:w="160" w:type="dxa"/>
            <w:vAlign w:val="bottom"/>
          </w:tcPr>
          <w:p>
            <w:pPr>
              <w:spacing w:after="0"/>
              <w:rPr>
                <w:sz w:val="14"/>
                <w:szCs w:val="14"/>
                <w:color w:val="auto"/>
              </w:rPr>
            </w:pPr>
          </w:p>
        </w:tc>
        <w:tc>
          <w:tcPr>
            <w:tcW w:w="1000" w:type="dxa"/>
            <w:vAlign w:val="bottom"/>
          </w:tcPr>
          <w:p>
            <w:pPr>
              <w:jc w:val="center"/>
              <w:ind w:right="166"/>
              <w:spacing w:after="0"/>
              <w:rPr>
                <w:sz w:val="20"/>
                <w:szCs w:val="20"/>
                <w:color w:val="auto"/>
              </w:rPr>
            </w:pPr>
            <w:r>
              <w:rPr>
                <w:rFonts w:ascii="Arial" w:cs="Arial" w:eastAsia="Arial" w:hAnsi="Arial"/>
                <w:sz w:val="14"/>
                <w:szCs w:val="14"/>
                <w:b w:val="1"/>
                <w:bCs w:val="1"/>
                <w:color w:val="auto"/>
                <w:w w:val="85"/>
              </w:rPr>
              <w:t>Change</w:t>
            </w:r>
          </w:p>
        </w:tc>
        <w:tc>
          <w:tcPr>
            <w:tcW w:w="860" w:type="dxa"/>
            <w:vAlign w:val="bottom"/>
          </w:tcPr>
          <w:p>
            <w:pPr>
              <w:jc w:val="center"/>
              <w:ind w:right="127"/>
              <w:spacing w:after="0"/>
              <w:rPr>
                <w:sz w:val="20"/>
                <w:szCs w:val="20"/>
                <w:color w:val="auto"/>
              </w:rPr>
            </w:pPr>
            <w:r>
              <w:rPr>
                <w:rFonts w:ascii="Arial" w:cs="Arial" w:eastAsia="Arial" w:hAnsi="Arial"/>
                <w:sz w:val="14"/>
                <w:szCs w:val="14"/>
                <w:b w:val="1"/>
                <w:bCs w:val="1"/>
                <w:color w:val="auto"/>
                <w:w w:val="83"/>
              </w:rPr>
              <w:t>2016</w:t>
            </w:r>
          </w:p>
        </w:tc>
        <w:tc>
          <w:tcPr>
            <w:tcW w:w="780" w:type="dxa"/>
            <w:vAlign w:val="bottom"/>
          </w:tcPr>
          <w:p>
            <w:pPr>
              <w:jc w:val="right"/>
              <w:ind w:right="126"/>
              <w:spacing w:after="0"/>
              <w:rPr>
                <w:sz w:val="20"/>
                <w:szCs w:val="20"/>
                <w:color w:val="auto"/>
              </w:rPr>
            </w:pPr>
            <w:r>
              <w:rPr>
                <w:rFonts w:ascii="Arial" w:cs="Arial" w:eastAsia="Arial" w:hAnsi="Arial"/>
                <w:sz w:val="14"/>
                <w:szCs w:val="14"/>
                <w:b w:val="1"/>
                <w:bCs w:val="1"/>
                <w:color w:val="auto"/>
              </w:rPr>
              <w:t>2015</w:t>
            </w:r>
          </w:p>
        </w:tc>
        <w:tc>
          <w:tcPr>
            <w:tcW w:w="140" w:type="dxa"/>
            <w:vAlign w:val="bottom"/>
          </w:tcPr>
          <w:p>
            <w:pPr>
              <w:spacing w:after="0"/>
              <w:rPr>
                <w:sz w:val="14"/>
                <w:szCs w:val="14"/>
                <w:color w:val="auto"/>
              </w:rPr>
            </w:pPr>
          </w:p>
        </w:tc>
        <w:tc>
          <w:tcPr>
            <w:tcW w:w="8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598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840" w:type="dxa"/>
            <w:vAlign w:val="bottom"/>
            <w:tcBorders>
              <w:top w:val="single" w:sz="8" w:color="auto"/>
            </w:tcBorders>
            <w:gridSpan w:val="4"/>
          </w:tcPr>
          <w:p>
            <w:pPr>
              <w:ind w:left="820"/>
              <w:spacing w:after="0" w:line="142" w:lineRule="exact"/>
              <w:rPr>
                <w:sz w:val="20"/>
                <w:szCs w:val="20"/>
                <w:color w:val="auto"/>
              </w:rPr>
            </w:pPr>
            <w:r>
              <w:rPr>
                <w:rFonts w:ascii="Arial" w:cs="Arial" w:eastAsia="Arial" w:hAnsi="Arial"/>
                <w:sz w:val="14"/>
                <w:szCs w:val="14"/>
                <w:b w:val="1"/>
                <w:bCs w:val="1"/>
                <w:color w:val="auto"/>
                <w:w w:val="88"/>
              </w:rPr>
              <w:t>(in thousands, except percentage)</w:t>
            </w:r>
          </w:p>
        </w:tc>
        <w:tc>
          <w:tcPr>
            <w:tcW w:w="7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820" w:type="dxa"/>
            <w:vAlign w:val="bottom"/>
            <w:shd w:val="clear" w:color="auto" w:fill="CCEEFF"/>
          </w:tcPr>
          <w:p>
            <w:pPr>
              <w:jc w:val="right"/>
              <w:ind w:right="67"/>
              <w:spacing w:after="0"/>
              <w:rPr>
                <w:sz w:val="20"/>
                <w:szCs w:val="20"/>
                <w:color w:val="auto"/>
              </w:rPr>
            </w:pPr>
            <w:r>
              <w:rPr>
                <w:rFonts w:ascii="Arial" w:cs="Arial" w:eastAsia="Arial" w:hAnsi="Arial"/>
                <w:sz w:val="18"/>
                <w:szCs w:val="18"/>
                <w:color w:val="auto"/>
                <w:w w:val="94"/>
              </w:rPr>
              <w:t>$ 15,807</w:t>
            </w:r>
          </w:p>
        </w:tc>
        <w:tc>
          <w:tcPr>
            <w:tcW w:w="9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  3,320</w:t>
            </w:r>
          </w:p>
        </w:tc>
        <w:tc>
          <w:tcPr>
            <w:tcW w:w="1000" w:type="dxa"/>
            <w:vAlign w:val="bottom"/>
            <w:shd w:val="clear" w:color="auto" w:fill="CCEEFF"/>
          </w:tcPr>
          <w:p>
            <w:pPr>
              <w:jc w:val="right"/>
              <w:ind w:right="186"/>
              <w:spacing w:after="0"/>
              <w:rPr>
                <w:sz w:val="20"/>
                <w:szCs w:val="20"/>
                <w:color w:val="auto"/>
              </w:rPr>
            </w:pPr>
            <w:r>
              <w:rPr>
                <w:rFonts w:ascii="Arial" w:cs="Arial" w:eastAsia="Arial" w:hAnsi="Arial"/>
                <w:sz w:val="18"/>
                <w:szCs w:val="18"/>
                <w:color w:val="auto"/>
              </w:rPr>
              <w:t>376.1%</w:t>
            </w:r>
          </w:p>
        </w:tc>
        <w:tc>
          <w:tcPr>
            <w:tcW w:w="860" w:type="dxa"/>
            <w:vAlign w:val="bottom"/>
            <w:shd w:val="clear" w:color="auto" w:fill="CCEEFF"/>
          </w:tcPr>
          <w:p>
            <w:pPr>
              <w:jc w:val="center"/>
              <w:ind w:right="127"/>
              <w:spacing w:after="0"/>
              <w:rPr>
                <w:sz w:val="20"/>
                <w:szCs w:val="20"/>
                <w:color w:val="auto"/>
              </w:rPr>
            </w:pPr>
            <w:r>
              <w:rPr>
                <w:rFonts w:ascii="Arial" w:cs="Arial" w:eastAsia="Arial" w:hAnsi="Arial"/>
                <w:sz w:val="18"/>
                <w:szCs w:val="18"/>
                <w:color w:val="auto"/>
              </w:rPr>
              <w:t>$  5,337</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$ 13,192</w:t>
            </w: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(59.5)%</w:t>
            </w:r>
          </w:p>
        </w:tc>
        <w:tc>
          <w:tcPr>
            <w:tcW w:w="0" w:type="dxa"/>
            <w:vAlign w:val="bottom"/>
          </w:tcPr>
          <w:p>
            <w:pPr>
              <w:spacing w:after="0"/>
              <w:rPr>
                <w:sz w:val="1"/>
                <w:szCs w:val="1"/>
                <w:color w:val="auto"/>
              </w:rPr>
            </w:pPr>
          </w:p>
        </w:tc>
      </w:tr>
    </w:tbl>
    <w:p>
      <w:pPr>
        <w:spacing w:after="0" w:line="154"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color w:val="auto"/>
        </w:rPr>
        <w:t>We had an income tax provision in both the three and nine months ended October 29, 2016, and our effective tax rate was 17.9% and 5.0%, respectively. The income tax expense for the three months ended October 29, 2016 was primarily due to a current income tax expense of $12.4 million, an expense of $0.6 million related to settlements of prior year tax in foreign jurisdictions, plus a net increase in unrecognized tax benefits of $2.8 million. The net increase in unrecognized tax benefits arose from the accrual of penalties and interest of $0.5 million on the outstanding unrecognized tax benefit balance, plus the accrual of an additional $2.3 million for changes in prior year tax positions. The income tax expense for the nine months ended October 29, 2016 was primarily due to a current income tax expense of $16.9 million, plus an expense of $0.6 million related to settlements of prior year tax in foreign jurisdictions, offset by a tax benefit of $9.7 million from a net reduction in unrecognized tax benefits and a deferred tax benefit of $2.5 million for the portion of a payment to our former Chief Executive Officer that became deductible after his departure in April 2016. The net reduction in unrecognized tax benefits arose from the release of $14.3 million due to expiration of the statute of limitations in certain non-U.S. jurisdictions, which was partially offset by penalties and interest of $2.0 million accrued on the outstanding unrecognized tax benefit balance, and the accrual of an additional $2.6 million for changes in prior year tax positions.</w:t>
      </w:r>
    </w:p>
    <w:p>
      <w:pPr>
        <w:spacing w:after="0" w:line="12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We had an income tax provision in both the three and nine months ended October 31, 2015, and our effective tax rate was (6.1)% and (1.6)%, respectively. The income tax expense for the three months ended October 31, 2015 was primarily due to current income tax liability of $1.5 million, a $1.1 million provision to record a valuation allowance against certain deferred tax assets in a non-U.S. jurisdiction and $0.7 million of interest on unrecognized tax benefits. The income tax expense for the nine months ended October 31, 2015 was primarily due to current income tax liability of $21.0 million, a $7.8 million provision to record a valuation allowance against certain deferred tax assets in a non-U.S. jurisdiction and an additional tax provision of $3.1 million related to a $15.4 million payment to our former Chief Executive Officer. These tax provisions were partially offset by tax benefits of $15.3 million from a net reduction in unrecognized tax benefits, which primarily arose from the expiration of statutes of limitation and the settlement of tax audits in non-U.S. jurisdictions, and true-up adjustments of $4.8 million, primarily related to the filing of tax returns.</w:t>
      </w:r>
    </w:p>
    <w:p>
      <w:pPr>
        <w:spacing w:after="0" w:line="118" w:lineRule="exact"/>
        <w:rPr>
          <w:sz w:val="20"/>
          <w:szCs w:val="20"/>
          <w:color w:val="auto"/>
        </w:rPr>
      </w:pPr>
    </w:p>
    <w:p>
      <w:pPr>
        <w:ind w:right="26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$9.5 million from the lapse of statutes of limitation in various jurisdictions during the next 12 months. Government tax authorities from several non-U.S. jurisdictions are also examining our tax returns. We believe that we have adequately provided for any reasonably foreseeable outcomes related to these tax audits and that any settlement will not have a material effect on our results at this time.</w:t>
      </w:r>
    </w:p>
    <w:p>
      <w:pPr>
        <w:spacing w:after="0" w:line="116" w:lineRule="exact"/>
        <w:rPr>
          <w:sz w:val="20"/>
          <w:szCs w:val="20"/>
          <w:color w:val="auto"/>
        </w:rPr>
      </w:pPr>
    </w:p>
    <w:p>
      <w:pPr>
        <w:ind w:right="40" w:firstLine="456"/>
        <w:spacing w:after="0" w:line="318" w:lineRule="auto"/>
        <w:rPr>
          <w:sz w:val="20"/>
          <w:szCs w:val="20"/>
          <w:color w:val="auto"/>
        </w:rPr>
      </w:pPr>
      <w:r>
        <w:rPr>
          <w:rFonts w:ascii="Arial" w:cs="Arial" w:eastAsia="Arial" w:hAnsi="Arial"/>
          <w:sz w:val="15"/>
          <w:szCs w:val="15"/>
          <w:color w:val="auto"/>
        </w:rPr>
        <w:t>We operate under tax incentives in certain countries that may be extended if certain additional requirements are satisfied. The tax incentives are conditional upon meeting certain employment and investment thresholds. The impact of these tax incentives decreased foreign taxes by $2.4 million and $4.6 million for the three and nine months ended October 29, 2016, respectively, and $1.8 million and $6.7 million for the three and nine months ended October 31, 2015, respectively. The benefit of the tax incentives on net income per share was $0.01 per share for the three and nine months ended October 29, 2016, compared to a benefit of less than $0.01 per share for the three months ended October 31, 2015 and $0.01 per share for the nine months ended October 31, 2015.</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Our principal source of liquidity as of October 29, 2016 consisted of approximately $1.7 billion of cash, cash equivalents and short-term investments, of which approximately $990 million was held by foreign subsidiaries (outside Bermuda). Approximately $680 million of this amount held by foreign subsidiaries is related to undistributed earnings, most of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$210 million.</w:t>
      </w:r>
    </w:p>
    <w:p>
      <w:pPr>
        <w:spacing w:after="0" w:line="120" w:lineRule="exact"/>
        <w:rPr>
          <w:sz w:val="20"/>
          <w:szCs w:val="20"/>
          <w:color w:val="auto"/>
        </w:rPr>
      </w:pPr>
    </w:p>
    <w:p>
      <w:pPr>
        <w:ind w:right="160" w:firstLine="456"/>
        <w:spacing w:after="0" w:line="290" w:lineRule="auto"/>
        <w:rPr>
          <w:sz w:val="20"/>
          <w:szCs w:val="20"/>
          <w:color w:val="auto"/>
        </w:rPr>
      </w:pPr>
      <w:r>
        <w:rPr>
          <w:rFonts w:ascii="Arial" w:cs="Arial" w:eastAsia="Arial" w:hAnsi="Arial"/>
          <w:sz w:val="16"/>
          <w:szCs w:val="16"/>
          <w:color w:val="auto"/>
        </w:rPr>
        <w:t>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and any declared dividends, repurchase of our common stock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could have a material adverse effect on our liquidity, cash flows and results of operations.</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459" w:right="2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at all or in any particular amounts.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Net cash used in operating activities was $477.3 million for the nine months ended October 29, 2016. The cash outflows from operations for the nine months ended October 29, 2016 were due to $101.2 million of net income adjusted for $182.9 million of non-cash items (primarily depreciation and amortization, and share-based compensation), offset by a net decrease in working capital of $761.4 million. The cash outflow from working capital for the nine months ended October 29, 2016 was primarily driven by the decrease in the CMU accrued litigation settlement that was fully paid in the first quarter of fiscal 2017.</w:t>
      </w:r>
    </w:p>
    <w:p>
      <w:pPr>
        <w:spacing w:after="0" w:line="113" w:lineRule="exact"/>
        <w:rPr>
          <w:sz w:val="20"/>
          <w:szCs w:val="20"/>
          <w:color w:val="auto"/>
        </w:rPr>
      </w:pPr>
    </w:p>
    <w:p>
      <w:pPr>
        <w:ind w:right="240" w:firstLine="456"/>
        <w:spacing w:after="0" w:line="256" w:lineRule="auto"/>
        <w:rPr>
          <w:sz w:val="20"/>
          <w:szCs w:val="20"/>
          <w:color w:val="auto"/>
        </w:rPr>
      </w:pPr>
      <w:r>
        <w:rPr>
          <w:rFonts w:ascii="Arial" w:cs="Arial" w:eastAsia="Arial" w:hAnsi="Arial"/>
          <w:sz w:val="18"/>
          <w:szCs w:val="18"/>
          <w:color w:val="auto"/>
        </w:rPr>
        <w:t>Net cash provided by operating activities was $152.0 million for the nine months ended October 31, 2015. The cash inflows from operations for the nine months ended October 31, 2015 were primarily due to $815.6 million of net loss adjusted for $210.1 million of non-cash items (primarily depreciation and amortization, and share-based compensation), offset by a net increase in working capital of $757.5 million, mainly from the increase in the accrued litigation settlement with CMU.</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Net cash provided by investing activities was $117.3 million for the nine months ended October 29, 2016 compared to net cash used in investing activities of $136.8 million for the nine months ended October 31, 2015. For the nine months ended October 29, 2016, net cash provided by investing activities was primarily from sales and maturities of available-for-sale securities of $657.0 million. This amount was partially offset by cash used in investing activities for the purchase of available-for-sale securities of $343.8 million and net purchases of $150 million for time deposits. We also paid $37.7 million for the purchase of property and equipment and $8.4 million for the purchase of technology licenses.</w:t>
      </w:r>
    </w:p>
    <w:p>
      <w:pPr>
        <w:spacing w:after="0" w:line="116" w:lineRule="exact"/>
        <w:rPr>
          <w:sz w:val="20"/>
          <w:szCs w:val="20"/>
          <w:color w:val="auto"/>
        </w:rPr>
      </w:pPr>
    </w:p>
    <w:p>
      <w:pPr>
        <w:ind w:right="180" w:firstLine="456"/>
        <w:spacing w:after="0" w:line="298" w:lineRule="auto"/>
        <w:rPr>
          <w:sz w:val="20"/>
          <w:szCs w:val="20"/>
          <w:color w:val="auto"/>
        </w:rPr>
      </w:pPr>
      <w:r>
        <w:rPr>
          <w:rFonts w:ascii="Arial" w:cs="Arial" w:eastAsia="Arial" w:hAnsi="Arial"/>
          <w:sz w:val="16"/>
          <w:szCs w:val="16"/>
          <w:color w:val="auto"/>
        </w:rPr>
        <w:t>Net cash used in investing activities of $136.8 million for the nine months ended October 31, 2015 was primarily due to purchases of available-for-sale securities of $922.8 million partially offset by sales and maturities of available-for-sale securities of $826.2 million. We also paid $33.4 million for the purchase of property and equipment, $10.2 million for the purchase of equipment previously leased and $6.7 million for the purchase of technology licenses. These payments were partially offset by the receipt of $10.0 million from the sale of equipment held for sale.</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Net cash used in financing activities was $166.6 million for the nine months ended October 29, 2016 compared to net cash of $329.2 million used in financing activities for the nine months ended October 31, 2015. For the nine months ended October 29, 2016, net cash used in financing activities was primarily attributable to payments of our quarterly dividends of $91.8 million, $56.5 million for repurchases of our common stock and $13.8 million for technology license obligations.</w:t>
      </w:r>
    </w:p>
    <w:p>
      <w:pPr>
        <w:spacing w:after="0" w:line="143" w:lineRule="exact"/>
        <w:rPr>
          <w:sz w:val="20"/>
          <w:szCs w:val="20"/>
          <w:color w:val="auto"/>
        </w:rPr>
      </w:pPr>
    </w:p>
    <w:p>
      <w:pPr>
        <w:ind w:right="480" w:firstLine="456"/>
        <w:spacing w:after="0" w:line="256" w:lineRule="auto"/>
        <w:rPr>
          <w:sz w:val="20"/>
          <w:szCs w:val="20"/>
          <w:color w:val="auto"/>
        </w:rPr>
      </w:pPr>
      <w:r>
        <w:rPr>
          <w:rFonts w:ascii="Arial" w:cs="Arial" w:eastAsia="Arial" w:hAnsi="Arial"/>
          <w:sz w:val="18"/>
          <w:szCs w:val="18"/>
          <w:color w:val="auto"/>
        </w:rPr>
        <w:t>Net cash used in financing activities of $329.2 million for the nine months ended October 31, 2015 was primarily attributable to payments for the repurchase of our common stock of $260.9 million and payments of our quarterly dividends of $92.4 million. The cash outflow was partially offset by net proceeds of $35.5 million from the issuance of our common shares under our share-based plans less the payment for minimum tax withholding on behalf of employees for net share settlements.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459" w:right="2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335" w:lineRule="auto"/>
        <w:rPr>
          <w:sz w:val="20"/>
          <w:szCs w:val="20"/>
          <w:color w:val="auto"/>
        </w:rPr>
      </w:pPr>
      <w:r>
        <w:rPr>
          <w:rFonts w:ascii="Arial" w:cs="Arial" w:eastAsia="Arial" w:hAnsi="Arial"/>
          <w:sz w:val="15"/>
          <w:szCs w:val="15"/>
          <w:color w:val="auto"/>
        </w:rPr>
        <w:t>As part of our ongoing business, we do not participate in transactions that generate relationships with unconsolidated entities of financial partnerships, such as entities often referred to as structured finance or special purpose entities (“SPEs”), that would have been established for the purpose of facilitating off-balance sheet arrangements or other contractually narrow or limited purposes. As of October 29, 2016, we were not involved in any unconsolidated SPE transactions.</w:t>
      </w:r>
    </w:p>
    <w:p>
      <w:pPr>
        <w:spacing w:after="0" w:line="1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jc w:val="both"/>
        <w:ind w:right="440" w:firstLine="456"/>
        <w:spacing w:after="0" w:line="259" w:lineRule="auto"/>
        <w:rPr>
          <w:sz w:val="20"/>
          <w:szCs w:val="20"/>
          <w:color w:val="auto"/>
        </w:rPr>
      </w:pPr>
      <w:r>
        <w:rPr>
          <w:rFonts w:ascii="Arial" w:cs="Arial" w:eastAsia="Arial" w:hAnsi="Arial"/>
          <w:sz w:val="18"/>
          <w:szCs w:val="18"/>
          <w:color w:val="auto"/>
        </w:rPr>
        <w:t>We presented our contractual obligations at January 30, 2016 in our Annual Report on Form 10-K for the fiscal year then ended. There have been no material changes outside the ordinary course of business in those obligations during the three months ended October 29, 2016,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October 29, 2016. We maintain an investment policy that requires minimum credit ratings, diversification of credit risk and limits the long-term interest rate risk by requiring effective maturities of generally less than five years. We invest our excess cash primarily in highly liquid debt instruments of the U.S. government and its agencies, money market mutual funds, asset backed securities, corporate debt securities and municipal debt securities that are classified as available-for-sale and time deposits that are classified as held-to-maturity. These investments are recorded on our consolidated balance sheets at fair market value with their related unrealized gain or loss reflected as a component of accumulated other comprehensive income (loss) in the consolidated statement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18"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To provide an assessment of the interest rate risk associated with our investment portfolio, we performed a sensitivity analysis to determine the impact that an adverse change in interest rates would have on the value of the investment portfolio, excluding time deposits. Based on investment positions as of October 29, 2016, a hypothetical 100 basis point increase in interest rates across all maturities would result in a $9.5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16"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As of October 29, 2016, our investment portfolio included $10.0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w:t>
      </w:r>
    </w:p>
    <w:p>
      <w:pPr>
        <w:spacing w:after="0" w:line="98"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We made a determination in January 2016 that we did not expect to recover the par value of these auction rate securities and consider any impairment of these securities to be other-than-temporary. There has been no change in circumstances since January 2016 based upon the current time horizon for holding these securities and the continuation of an illiquid market. Based on our assessment of fair value as of October 29, 2016, we determined there was no further impairment of these auction rate securities.</w:t>
      </w:r>
    </w:p>
    <w:p>
      <w:pPr>
        <w:spacing w:after="0" w:line="143" w:lineRule="exact"/>
        <w:rPr>
          <w:sz w:val="20"/>
          <w:szCs w:val="20"/>
          <w:color w:val="auto"/>
        </w:rPr>
      </w:pPr>
    </w:p>
    <w:p>
      <w:pPr>
        <w:jc w:val="both"/>
        <w:ind w:right="120" w:firstLine="456"/>
        <w:spacing w:after="0" w:line="259" w:lineRule="auto"/>
        <w:rPr>
          <w:sz w:val="20"/>
          <w:szCs w:val="20"/>
          <w:color w:val="auto"/>
        </w:rPr>
      </w:pPr>
      <w:r>
        <w:rPr>
          <w:rFonts w:ascii="Arial" w:cs="Arial" w:eastAsia="Arial" w:hAnsi="Arial"/>
          <w:sz w:val="18"/>
          <w:szCs w:val="18"/>
          <w:color w:val="auto"/>
        </w:rPr>
        <w:t>In the nine months ended October 29, 2016, the Company sold auction rate securities with an aggregate par value of $2.5 million for total net proceeds of $2.4 million. The carrying value of these auction rate securities was $2.3 million and resulted in a net gain of $0.1 million recorded in interest and other income, net, in the nine months ended October 29, 2016.</w:t>
      </w:r>
    </w:p>
    <w:p>
      <w:pPr>
        <w:spacing w:after="0" w:line="140"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i w:val="1"/>
          <w:iCs w:val="1"/>
          <w:color w:val="auto"/>
        </w:rPr>
        <w:t xml:space="preserve">Investment Risk. </w:t>
      </w:r>
      <w:r>
        <w:rPr>
          <w:rFonts w:ascii="Arial" w:cs="Arial" w:eastAsia="Arial" w:hAnsi="Arial"/>
          <w:sz w:val="16"/>
          <w:szCs w:val="16"/>
          <w:color w:val="auto"/>
        </w:rPr>
        <w:t>We invest in equity instruments of privately-held companies for strategic purposes. We account for these investments under the cost</w:t>
      </w:r>
      <w:r>
        <w:rPr>
          <w:rFonts w:ascii="Arial" w:cs="Arial" w:eastAsia="Arial" w:hAnsi="Arial"/>
          <w:sz w:val="16"/>
          <w:szCs w:val="16"/>
          <w:i w:val="1"/>
          <w:iCs w:val="1"/>
          <w:color w:val="auto"/>
        </w:rPr>
        <w:t xml:space="preserve"> </w:t>
      </w:r>
      <w:r>
        <w:rPr>
          <w:rFonts w:ascii="Arial" w:cs="Arial" w:eastAsia="Arial" w:hAnsi="Arial"/>
          <w:sz w:val="16"/>
          <w:szCs w:val="16"/>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$5.5 million at October 29, 2016, and was included in other non-current assets in our consolidated balance sheets. We monitor these investments for impairment and make appropriate reductions in carrying value when an impairment is deemed to be other-than-temporary.</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10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expenses denominated in Israeli shekel and on occasion Chinese yuan. We enter into certain short-term forward exchange contracts, typically less than 12 months in duration, to hedge exposures for expenses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consolidated balance sheet as the timing of these tax liabilities becoming cash flows is not deemed to be certain.</w:t>
      </w:r>
    </w:p>
    <w:p>
      <w:pPr>
        <w:spacing w:after="0" w:line="120"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3.9%. We expect our hedges of foreign currency exposures to be highly effective and offset a significant portion of the short-term impact of changes in exchange rates on the hedged portion of our exposures.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9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As reported in the Current Report on Form 8-K filed by the Company with the SEC on March 1, 2016, and disclosed in our Quarterly Reports on Form 10-Q for the quarters ended August 1, 2015 and October 31, 2015, our Annual Report on Form 10-K for the fiscal year ended January 30, 2016 and our Quarterly Reports on Form 10-Q for the quarters ended April 30, 2016 and July 30, 2016, the Audit Committee (the “Audit Committee”) of the Company’s Board of Directors completed and made its findings with respect to an internal investigation (the “Audit Committee Investigation”).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stated belief by Marvell’s former Chief Executive Officer and Chairman of ownership of certain patent rights related to the Final-Level Cache invention.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23" w:lineRule="exact"/>
        <w:rPr>
          <w:sz w:val="20"/>
          <w:szCs w:val="20"/>
          <w:color w:val="auto"/>
        </w:rPr>
      </w:pPr>
    </w:p>
    <w:p>
      <w:pPr>
        <w:ind w:right="820" w:firstLine="456"/>
        <w:spacing w:after="0" w:line="268"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w:t>
      </w:r>
    </w:p>
    <w:p>
      <w:pPr>
        <w:spacing w:after="0" w:line="51" w:lineRule="exact"/>
        <w:rPr>
          <w:sz w:val="20"/>
          <w:szCs w:val="20"/>
          <w:color w:val="auto"/>
        </w:rPr>
      </w:pPr>
    </w:p>
    <w:p>
      <w:pPr>
        <w:ind w:left="900" w:right="240" w:hanging="446"/>
        <w:spacing w:after="0" w:line="256"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revenue related to pull-in transactions during the subject periods was for most such transactions properly recognized in accordance with Marvell’s revenue recognition policy and generally accepted accounting principles, though for certain transactions Marvell’s internal controls were not fully followed and revenue from certain pull-in and distributor transactions was recognized prematurely based on certain provisions of the revenue recognition policy in place at the time;</w:t>
      </w:r>
    </w:p>
    <w:p>
      <w:pPr>
        <w:spacing w:after="0" w:line="62" w:lineRule="exact"/>
        <w:rPr>
          <w:rFonts w:ascii="Arial" w:cs="Arial" w:eastAsia="Arial" w:hAnsi="Arial"/>
          <w:sz w:val="18"/>
          <w:szCs w:val="18"/>
          <w:color w:val="auto"/>
        </w:rPr>
      </w:pPr>
    </w:p>
    <w:p>
      <w:pPr>
        <w:ind w:left="900" w:hanging="446"/>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Marvell’s public disclosures for such periods related to revenue properly including pull-in transactions were not misleading;</w:t>
      </w:r>
    </w:p>
    <w:p>
      <w:pPr>
        <w:spacing w:after="0" w:line="90" w:lineRule="exact"/>
        <w:rPr>
          <w:rFonts w:ascii="Arial" w:cs="Arial" w:eastAsia="Arial" w:hAnsi="Arial"/>
          <w:sz w:val="18"/>
          <w:szCs w:val="18"/>
          <w:color w:val="auto"/>
        </w:rPr>
      </w:pPr>
    </w:p>
    <w:p>
      <w:pPr>
        <w:ind w:left="900" w:right="80" w:hanging="446"/>
        <w:spacing w:after="0" w:line="256"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while Marvell’s former Chief Executive Officer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62" w:lineRule="exact"/>
        <w:rPr>
          <w:rFonts w:ascii="Arial" w:cs="Arial" w:eastAsia="Arial" w:hAnsi="Arial"/>
          <w:sz w:val="18"/>
          <w:szCs w:val="18"/>
          <w:color w:val="auto"/>
        </w:rPr>
      </w:pPr>
    </w:p>
    <w:p>
      <w:pPr>
        <w:ind w:left="900" w:right="120" w:hanging="446"/>
        <w:spacing w:after="0" w:line="259"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while Marvell lacked a well-structured process to establish significant and judgmental reserves associated with litigation and royalties, there was no contemporaneous evidence that the increase in the reserve ultimately recorded in Marvell’s books and records for the second quarter of fiscal 2016 was not reasonable or appropriate.</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00"/>
          </w:cols>
          <w:pgMar w:left="240" w:top="459" w:right="2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The Audit Committee investigation also found certain “tone at the top” issues, including significant pressure on sales and finance personnel to meet revenue targets and the failure by Marvell’s former Chief Executive Officer and Chairman and by legal counsel to raise to the appropriate level at the appropriate times the initial assertion of Marvell’s former Chief Executive Officer and Chairman that he owned the Final-Level Cache invention, the patent rights for which he later assigned to Marvell.</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 13a-15(e) of the Exchange Act) as of October 29, 2016. Disclosure controls and procedures are designed to ensure that information required to be disclosed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October 29, 2016 to ensure that information required to be disclosed by us in reports that we file or submit under the Exchange Act is recorded, processed, summarized and reported within the time periods specified in Securities and Exchange Commission rules and forms and is accumulated and communicated to our management, including our principal executive officer and principal financial officer, as appropriate to allow timely decisions regarding required disclosures.</w:t>
      </w:r>
    </w:p>
    <w:p>
      <w:pPr>
        <w:spacing w:after="0" w:line="120"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Notwithstanding the material weaknesses in our internal controls over financial reporting as of October 29, 2016, management has concluded that the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Material Weaknesses</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Management concluded that we did not maintain effective internal control over financial reporting as of October 29, 2016 because of certain material weaknesses in our internal control over financial reporting as of October 29, 2016 that were initially identified previously in fiscal 2016 as follows:</w:t>
      </w:r>
    </w:p>
    <w:p>
      <w:pPr>
        <w:spacing w:after="0" w:line="113"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i w:val="1"/>
          <w:iCs w:val="1"/>
          <w:color w:val="auto"/>
        </w:rPr>
        <w:t xml:space="preserve">Entity Level Controls </w:t>
      </w:r>
      <w:r>
        <w:rPr>
          <w:rFonts w:ascii="Arial" w:cs="Arial" w:eastAsia="Arial" w:hAnsi="Arial"/>
          <w:sz w:val="16"/>
          <w:szCs w:val="16"/>
          <w:color w:val="auto"/>
        </w:rPr>
        <w:t>– The control environment, risk assessment, control activities, information and communication, and monitoring controls were not</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 These controls are the responsibility of senior management, who sets the tone of the organization, influences the control consciousness of employees, and is the foundation for internal control over financial reporting. As noted above, the Audit Committee investigation identified certain “tone at the top” issues that contributed to an ineffective control environment and to the deficiencies aggregating to the material weaknesses set forth below. The Company’s entity level controls related to assessing risk and communication of information, including the reporting of information to management and the Board of Directors, did not operate effectively as they relied upon information derived from processes where applicable controls were not fully followed.</w:t>
      </w:r>
    </w:p>
    <w:p>
      <w:pPr>
        <w:spacing w:after="0" w:line="120"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i w:val="1"/>
          <w:iCs w:val="1"/>
          <w:color w:val="auto"/>
        </w:rPr>
        <w:t xml:space="preserve">Sufficiency of Accounting and Finance Department Resources </w:t>
      </w:r>
      <w:r>
        <w:rPr>
          <w:rFonts w:ascii="Arial" w:cs="Arial" w:eastAsia="Arial" w:hAnsi="Arial"/>
          <w:sz w:val="16"/>
          <w:szCs w:val="16"/>
          <w:color w:val="auto"/>
        </w:rPr>
        <w:t>– The Company had insufficient finance and accounting department resources with</w:t>
      </w:r>
      <w:r>
        <w:rPr>
          <w:rFonts w:ascii="Arial" w:cs="Arial" w:eastAsia="Arial" w:hAnsi="Arial"/>
          <w:sz w:val="16"/>
          <w:szCs w:val="16"/>
          <w:i w:val="1"/>
          <w:iCs w:val="1"/>
          <w:color w:val="auto"/>
        </w:rPr>
        <w:t xml:space="preserve"> </w:t>
      </w:r>
      <w:r>
        <w:rPr>
          <w:rFonts w:ascii="Arial" w:cs="Arial" w:eastAsia="Arial" w:hAnsi="Arial"/>
          <w:sz w:val="16"/>
          <w:szCs w:val="16"/>
          <w:color w:val="auto"/>
        </w:rPr>
        <w:t>appropriate knowledge, expertise and training commensurate with the Company’s corporate structure and financial reporting requirements to effectively assess risk, and design, operate and oversee effective internal controls over financial reporting. The Company has experienced significant turnover at the senior financial management level. The lack of certain appropriate resources in the Company’s accounting and finance departments contributed to an ineffective control environment. This lack of resources resulted in inconsistent expectations around the preparation, review and maintenance of documentation critical to the design and consistent execution of internal controls. These factors contributed to deficiencies in the Company’s financial reporting process over (i) the establishment of significant and judgmental reserves, which included reserves for litigation and royalties, (ii) the Company’s process and controls over identification, communication and approval of related party transactions, and (iii) a lack of precision in the review controls over certain information and assumptions impacting various financial reporting areas, and monitoring of the Company’s terms and conditions for certain contractual arrangements to verify that all critical contract terms were communicated to accounting and finance for assessment.</w:t>
      </w:r>
    </w:p>
    <w:p>
      <w:pPr>
        <w:spacing w:after="0" w:line="123"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 xml:space="preserve">Revenue Recognition </w:t>
      </w:r>
      <w:r>
        <w:rPr>
          <w:rFonts w:ascii="Arial" w:cs="Arial" w:eastAsia="Arial" w:hAnsi="Arial"/>
          <w:sz w:val="16"/>
          <w:szCs w:val="16"/>
          <w:color w:val="auto"/>
        </w:rPr>
        <w:t>– The Company’s internal controls to identify, accumulate and assess the accounting impact of certain concessions or side agreements</w:t>
      </w:r>
      <w:r>
        <w:rPr>
          <w:rFonts w:ascii="Arial" w:cs="Arial" w:eastAsia="Arial" w:hAnsi="Arial"/>
          <w:sz w:val="16"/>
          <w:szCs w:val="16"/>
          <w:i w:val="1"/>
          <w:iCs w:val="1"/>
          <w:color w:val="auto"/>
        </w:rPr>
        <w:t xml:space="preserve"> </w:t>
      </w:r>
      <w:r>
        <w:rPr>
          <w:rFonts w:ascii="Arial" w:cs="Arial" w:eastAsia="Arial" w:hAnsi="Arial"/>
          <w:sz w:val="16"/>
          <w:szCs w:val="16"/>
          <w:color w:val="auto"/>
        </w:rPr>
        <w:t>on whether the Company’s revenue recognition criteria had been met were in certain instances not fully followed or were not effective. As noted above, the Audit Committee identified certain “tone at the top” issues, due to which the Company’s controls were not effective to ensure (i) consistent standards in the level of documentation of agreements required to support accurate recording of revenue transactions, and (ii) that such documentation is retained, complete, and independently reviewed to ensure certain terms impacting revenue recognition were accurately reflected in the Company’s books and records.</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459" w:right="2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56" w:lineRule="auto"/>
        <w:rPr>
          <w:sz w:val="20"/>
          <w:szCs w:val="20"/>
          <w:color w:val="auto"/>
        </w:rPr>
      </w:pPr>
      <w:r>
        <w:rPr>
          <w:rFonts w:ascii="Arial" w:cs="Arial" w:eastAsia="Arial" w:hAnsi="Arial"/>
          <w:sz w:val="18"/>
          <w:szCs w:val="18"/>
          <w:i w:val="1"/>
          <w:iCs w:val="1"/>
          <w:color w:val="auto"/>
        </w:rPr>
        <w:t xml:space="preserve">Process to Identify Contingencies, Including Those Related to the Company’s Intellectual Property – </w:t>
      </w:r>
      <w:r>
        <w:rPr>
          <w:rFonts w:ascii="Arial" w:cs="Arial" w:eastAsia="Arial" w:hAnsi="Arial"/>
          <w:sz w:val="18"/>
          <w:szCs w:val="18"/>
          <w:color w:val="auto"/>
        </w:rPr>
        <w:t>The Company’s internal controls over contingencies</w:t>
      </w:r>
      <w:r>
        <w:rPr>
          <w:rFonts w:ascii="Arial" w:cs="Arial" w:eastAsia="Arial" w:hAnsi="Arial"/>
          <w:sz w:val="18"/>
          <w:szCs w:val="18"/>
          <w:i w:val="1"/>
          <w:iCs w:val="1"/>
          <w:color w:val="auto"/>
        </w:rPr>
        <w:t xml:space="preserve"> </w:t>
      </w:r>
      <w:r>
        <w:rPr>
          <w:rFonts w:ascii="Arial" w:cs="Arial" w:eastAsia="Arial" w:hAnsi="Arial"/>
          <w:sz w:val="18"/>
          <w:szCs w:val="18"/>
          <w:color w:val="auto"/>
        </w:rPr>
        <w:t>were not effective as the Company lacked a well-structured process, including granting appropriate authority to senior legal management, to ensure the identification of actual and potential claims, and the assessment of probability of loss related to them. The Company also lacked a well-structured process to ensure the timely assignment to the Company of intellectual property.</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Remediation Efforts to Address Material Weaknesses</w:t>
      </w:r>
    </w:p>
    <w:p>
      <w:pPr>
        <w:spacing w:after="0" w:line="96" w:lineRule="exact"/>
        <w:rPr>
          <w:sz w:val="20"/>
          <w:szCs w:val="20"/>
          <w:color w:val="auto"/>
        </w:rPr>
      </w:pPr>
    </w:p>
    <w:p>
      <w:pPr>
        <w:ind w:right="80" w:firstLine="456"/>
        <w:spacing w:after="0" w:line="291" w:lineRule="auto"/>
        <w:rPr>
          <w:sz w:val="20"/>
          <w:szCs w:val="20"/>
          <w:color w:val="auto"/>
        </w:rPr>
      </w:pPr>
      <w:r>
        <w:rPr>
          <w:rFonts w:ascii="Arial" w:cs="Arial" w:eastAsia="Arial" w:hAnsi="Arial"/>
          <w:sz w:val="16"/>
          <w:szCs w:val="16"/>
          <w:color w:val="auto"/>
        </w:rPr>
        <w:t>Our management has worked, and continues to work, to strengthen our internal control over financial reporting. We are committed to ensuring that such controls are designed and operating effectively. Since identifying the material weaknesses in our internal control over financial reporting that are described in our Annual Report on Form 10-K for the fiscal year ended January 30, 2016, we are developing and implementing remediation plans to fully address these control failures. Our Board of Directors and management take internal controls over financial reporting and the integrity of the Company’s financial statements seriously and believe that the remediation steps described below, including with respect to personnel changes, were and are essential steps to maintaining strong and effective internal controls over financial reporting and a strong internal control environment.</w:t>
      </w:r>
    </w:p>
    <w:p>
      <w:pPr>
        <w:spacing w:after="0" w:line="120"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Company has taken significant steps to address the material weaknesses set forth above. The Company believes that making the following changes was a critical step toward addressing the “tone at the top” concerns that contributed to the material weaknesses it has identified.</w:t>
      </w:r>
    </w:p>
    <w:p>
      <w:pPr>
        <w:spacing w:after="0" w:line="8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steps are among the measures that have been implemented or will be implemented as soon as practicable after the date of this filing:</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Entity Level Controls</w:t>
      </w:r>
    </w:p>
    <w:p>
      <w:pPr>
        <w:spacing w:after="0" w:line="90" w:lineRule="exact"/>
        <w:rPr>
          <w:sz w:val="20"/>
          <w:szCs w:val="20"/>
          <w:color w:val="auto"/>
        </w:rPr>
      </w:pPr>
    </w:p>
    <w:p>
      <w:pPr>
        <w:ind w:left="900" w:right="40" w:hanging="325"/>
        <w:spacing w:after="0" w:line="306"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By unanimous action of the Board of Directors in May 2016, we appointed five new independent directors to our Board of Directors. Two of the new members of the Board have significant finance and accounting experience, have been appointed to the Audit Committee, and have been determined by the Board of Directors to be “audit committee financial experts” as defined in rules promulgated by the SEC.</w:t>
      </w:r>
    </w:p>
    <w:p>
      <w:pPr>
        <w:spacing w:after="0" w:line="25"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Concurrently with the appointment of our five new directors, we appointed a new Chairman of our Board of Directors.</w:t>
      </w:r>
    </w:p>
    <w:p>
      <w:pPr>
        <w:spacing w:after="0" w:line="90" w:lineRule="exact"/>
        <w:rPr>
          <w:rFonts w:ascii="Arial" w:cs="Arial" w:eastAsia="Arial" w:hAnsi="Arial"/>
          <w:sz w:val="18"/>
          <w:szCs w:val="18"/>
          <w:color w:val="auto"/>
        </w:rPr>
      </w:pPr>
    </w:p>
    <w:p>
      <w:pPr>
        <w:ind w:left="900" w:right="6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July 2016, we appointed a new Chief Executive Officer who is providing strong leadership to the Company and establishing open lines of communication with his internal business unit leaders and external partners.</w:t>
      </w:r>
    </w:p>
    <w:p>
      <w:pPr>
        <w:spacing w:after="0" w:line="50" w:lineRule="exact"/>
        <w:rPr>
          <w:rFonts w:ascii="Arial" w:cs="Arial" w:eastAsia="Arial" w:hAnsi="Arial"/>
          <w:sz w:val="18"/>
          <w:szCs w:val="18"/>
          <w:color w:val="auto"/>
        </w:rPr>
      </w:pPr>
    </w:p>
    <w:p>
      <w:pPr>
        <w:ind w:left="900" w:right="180" w:hanging="325"/>
        <w:spacing w:after="0" w:line="357" w:lineRule="auto"/>
        <w:tabs>
          <w:tab w:leader="none" w:pos="900" w:val="left"/>
        </w:tabs>
        <w:numPr>
          <w:ilvl w:val="0"/>
          <w:numId w:val="8"/>
        </w:numPr>
        <w:rPr>
          <w:rFonts w:ascii="Arial" w:cs="Arial" w:eastAsia="Arial" w:hAnsi="Arial"/>
          <w:sz w:val="15"/>
          <w:szCs w:val="15"/>
          <w:color w:val="auto"/>
        </w:rPr>
      </w:pPr>
      <w:r>
        <w:rPr>
          <w:rFonts w:ascii="Arial" w:cs="Arial" w:eastAsia="Arial" w:hAnsi="Arial"/>
          <w:sz w:val="15"/>
          <w:szCs w:val="15"/>
          <w:color w:val="auto"/>
        </w:rPr>
        <w:t>In August 2016, we appointed a new, permanent Chief Financial Officer who has brought expertise and leadership to the Company and our finance team and is establishing open lines of communication with her internal business unit leaders and the finance and accounting team world-wide.</w:t>
      </w:r>
    </w:p>
    <w:p>
      <w:pPr>
        <w:ind w:left="900" w:right="340" w:hanging="325"/>
        <w:spacing w:after="0" w:line="259"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October 2016, we appointed a new Controller and Chief Accounting Officer who has brought additional technical expertise to our finance and accounting function and is supporting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ind w:left="900" w:right="60" w:hanging="325"/>
        <w:spacing w:after="0" w:line="256"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the second and third quarters of fiscal 2017, we conducted a training program for our executives, vice presidents and associate vice presidents, led by our executive management team, to enhance awareness and understanding of the Company’s Code of Conduct and Ethics Policy and the importance of financial reporting integrity, and developed and implemented a similar program for finance, operations and sales personnel and others involved in the sales process. Training is ongoing.</w:t>
      </w:r>
    </w:p>
    <w:p>
      <w:pPr>
        <w:spacing w:after="0" w:line="62"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accordance with the Audit Committee Charter, the Audit Committee approves future earnings guidance in accordance with the Company’s normal earnings cycle.</w:t>
      </w:r>
    </w:p>
    <w:p>
      <w:pPr>
        <w:spacing w:after="0" w:line="50" w:lineRule="exact"/>
        <w:rPr>
          <w:rFonts w:ascii="Arial" w:cs="Arial" w:eastAsia="Arial" w:hAnsi="Arial"/>
          <w:sz w:val="18"/>
          <w:szCs w:val="18"/>
          <w:color w:val="auto"/>
        </w:rPr>
      </w:pPr>
    </w:p>
    <w:p>
      <w:pPr>
        <w:ind w:left="900" w:right="300" w:hanging="325"/>
        <w:spacing w:after="0" w:line="298"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In accordance with the Executive Compensation Committee Charter, the Executive Compensation Committee reviews and approves the compensation arrangements of any employees with a title of Associate Vice President or higher reporting directly to the Chief Executive Officer, including, but not limited to, those designated as executive officers. We believe this provides more transparent monitoring of performance of, and incentives offered to, senior management that may influence “tone at the top.”</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Sufficiency of Accounting and Finance Department Resources</w:t>
      </w:r>
    </w:p>
    <w:p>
      <w:pPr>
        <w:spacing w:after="0" w:line="90" w:lineRule="exact"/>
        <w:rPr>
          <w:sz w:val="20"/>
          <w:szCs w:val="20"/>
          <w:color w:val="auto"/>
        </w:rPr>
      </w:pPr>
    </w:p>
    <w:p>
      <w:pPr>
        <w:ind w:left="900" w:right="2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August 2016, we appointed a new Chief Financial Officer who is providing strong leadership to the Company and, in particular, to our finance and accounting function, and is establishing open lines of communication with her staff and internal business partners.</w:t>
      </w:r>
    </w:p>
    <w:p>
      <w:pPr>
        <w:spacing w:after="0" w:line="50" w:lineRule="exact"/>
        <w:rPr>
          <w:rFonts w:ascii="Arial" w:cs="Arial" w:eastAsia="Arial" w:hAnsi="Arial"/>
          <w:sz w:val="18"/>
          <w:szCs w:val="18"/>
          <w:color w:val="auto"/>
        </w:rPr>
      </w:pPr>
    </w:p>
    <w:p>
      <w:pPr>
        <w:ind w:left="900" w:right="120" w:hanging="325"/>
        <w:spacing w:after="0" w:line="306"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In the first and second quarters of fiscal 2017, we hired a Senior Vice President of Finance and an Assistant Controller to increase the depth and breadth of knowledge and expertise commensurate with the Company’s corporate structure and financial reporting requirements. These new finance team members support the Company’s substantial efforts to design, operate and oversee effective internal controls over financial reporting.</w:t>
      </w:r>
    </w:p>
    <w:p>
      <w:pPr>
        <w:spacing w:after="0" w:line="25" w:lineRule="exact"/>
        <w:rPr>
          <w:rFonts w:ascii="Arial" w:cs="Arial" w:eastAsia="Arial" w:hAnsi="Arial"/>
          <w:sz w:val="16"/>
          <w:szCs w:val="16"/>
          <w:color w:val="auto"/>
        </w:rPr>
      </w:pPr>
    </w:p>
    <w:p>
      <w:pPr>
        <w:ind w:left="900" w:right="440" w:hanging="325"/>
        <w:spacing w:after="0" w:line="259"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October 2016, we hired a new Chief Accounting Officer and Controller who has brought additional technical expertise to our finance and accounting function and is supporting the Company’s substantial efforts to design, operate and oversee effective internal controls over financial reporting.</w:t>
      </w:r>
    </w:p>
    <w:p>
      <w:pPr>
        <w:spacing w:after="0" w:line="59" w:lineRule="exact"/>
        <w:rPr>
          <w:rFonts w:ascii="Arial" w:cs="Arial" w:eastAsia="Arial" w:hAnsi="Arial"/>
          <w:sz w:val="18"/>
          <w:szCs w:val="18"/>
          <w:color w:val="auto"/>
        </w:rPr>
      </w:pPr>
    </w:p>
    <w:p>
      <w:pPr>
        <w:jc w:val="both"/>
        <w:ind w:left="900" w:right="100" w:hanging="325"/>
        <w:spacing w:after="0" w:line="306"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We continue to enhance the Company’s finance and accounting department staff, in terms of both number and competency of personnel, particularly in the area of revenue recognition and technical accounting. Our new senior finance and accounting team members are contributing their substantial experience and abilities to raise the level of expertise across the finance and accounting functions.</w:t>
      </w:r>
    </w:p>
    <w:p>
      <w:pPr>
        <w:spacing w:after="0" w:line="25" w:lineRule="exact"/>
        <w:rPr>
          <w:rFonts w:ascii="Arial" w:cs="Arial" w:eastAsia="Arial" w:hAnsi="Arial"/>
          <w:sz w:val="16"/>
          <w:szCs w:val="16"/>
          <w:color w:val="auto"/>
        </w:rPr>
      </w:pPr>
    </w:p>
    <w:p>
      <w:pPr>
        <w:ind w:left="900" w:hanging="325"/>
        <w:spacing w:after="0" w:line="255"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In connection with its investigation, the Audit Committee directed our then Interim Chief Financial Officer, in coordination with our new Chief Legal Officer, to undertake a comprehensive review of the procedures to be followed by the Company for establishing significant and judgmental reserves, including reserves for litigation and royalties. As a result, a more comprehensive policy has been established and will be adhered to going forward. In addition, management will continue to report to the Audit Committee the methodologies used and basis of estimates for the establishment of significant and judgmental reserves.</w:t>
      </w:r>
    </w:p>
    <w:p>
      <w:pPr>
        <w:spacing w:after="0" w:line="61" w:lineRule="exact"/>
        <w:rPr>
          <w:rFonts w:ascii="Arial" w:cs="Arial" w:eastAsia="Arial" w:hAnsi="Arial"/>
          <w:sz w:val="18"/>
          <w:szCs w:val="18"/>
          <w:color w:val="auto"/>
        </w:rPr>
      </w:pPr>
    </w:p>
    <w:p>
      <w:pPr>
        <w:ind w:left="900" w:right="100" w:hanging="325"/>
        <w:spacing w:after="0" w:line="332" w:lineRule="auto"/>
        <w:tabs>
          <w:tab w:leader="none" w:pos="900" w:val="left"/>
        </w:tabs>
        <w:numPr>
          <w:ilvl w:val="0"/>
          <w:numId w:val="9"/>
        </w:numPr>
        <w:rPr>
          <w:rFonts w:ascii="Arial" w:cs="Arial" w:eastAsia="Arial" w:hAnsi="Arial"/>
          <w:sz w:val="16"/>
          <w:szCs w:val="16"/>
          <w:color w:val="auto"/>
        </w:rPr>
      </w:pPr>
      <w:r>
        <w:rPr>
          <w:rFonts w:ascii="Arial" w:cs="Arial" w:eastAsia="Arial" w:hAnsi="Arial"/>
          <w:sz w:val="16"/>
          <w:szCs w:val="16"/>
          <w:color w:val="auto"/>
        </w:rPr>
        <w:t>We are in the process of developing a roles and responsibilities matrix for our key accounting and operations personnel to incorporate segregation of duties considerations. We expect our incoming senior finance personnel to contribute their significant expertise to this process.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Revenue Recognition</w:t>
      </w:r>
    </w:p>
    <w:p>
      <w:pPr>
        <w:spacing w:after="0" w:line="90" w:lineRule="exact"/>
        <w:rPr>
          <w:sz w:val="20"/>
          <w:szCs w:val="20"/>
          <w:color w:val="auto"/>
        </w:rPr>
      </w:pPr>
    </w:p>
    <w:p>
      <w:pPr>
        <w:ind w:left="900" w:right="64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have revised our revenue recognition policy to prohibit Company-initiated “pull-in” transactions. For fiscal 2017, “pull ins” will have no meaningful effect on our revenue.</w:t>
      </w:r>
    </w:p>
    <w:p>
      <w:pPr>
        <w:spacing w:after="0" w:line="50" w:lineRule="exact"/>
        <w:rPr>
          <w:rFonts w:ascii="Arial" w:cs="Arial" w:eastAsia="Arial" w:hAnsi="Arial"/>
          <w:sz w:val="18"/>
          <w:szCs w:val="18"/>
          <w:color w:val="auto"/>
        </w:rPr>
      </w:pPr>
    </w:p>
    <w:p>
      <w:pPr>
        <w:ind w:left="900" w:right="60" w:hanging="325"/>
        <w:spacing w:after="0" w:line="256"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As noted above, in the second and third quarters of fiscal 2017, we conducted a training program for our executive officers, vice presidents and associate vice presidents, led by our executive management team, to enhance awareness and understanding of the Company’s Code of Conduct and Ethics Policy and the importance of financial reporting integrity, and developed and implemented a similar program for finance, operations and sales personnel and others involved in the sales process. Training is ongoing.</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u w:val="single" w:color="auto"/>
          <w:color w:val="auto"/>
        </w:rPr>
        <w:t>Process to Identify Contingencies, Including Those Related to the Company’s Intellectual Property</w:t>
      </w:r>
    </w:p>
    <w:p>
      <w:pPr>
        <w:spacing w:after="0" w:line="90" w:lineRule="exact"/>
        <w:rPr>
          <w:sz w:val="20"/>
          <w:szCs w:val="20"/>
          <w:color w:val="auto"/>
        </w:rPr>
      </w:pPr>
    </w:p>
    <w:p>
      <w:pPr>
        <w:ind w:left="900" w:right="240" w:hanging="325"/>
        <w:spacing w:after="0" w:line="332"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Audit Committee directed the Company to hire a Chief Legal Officer, such position having the authority of an executive officer (as defined in SEC rules) and to be deemed as such. In May 2016, the Company hired a new Executive Vice President and Chief Legal Officer to fill this role.</w:t>
      </w:r>
    </w:p>
    <w:p>
      <w:pPr>
        <w:spacing w:after="0" w:line="4" w:lineRule="exact"/>
        <w:rPr>
          <w:rFonts w:ascii="Arial" w:cs="Arial" w:eastAsia="Arial" w:hAnsi="Arial"/>
          <w:sz w:val="16"/>
          <w:szCs w:val="16"/>
          <w:color w:val="auto"/>
        </w:rPr>
      </w:pPr>
    </w:p>
    <w:p>
      <w:pPr>
        <w:ind w:left="900" w:right="20" w:hanging="325"/>
        <w:spacing w:after="0" w:line="294" w:lineRule="auto"/>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Audit Committee directed the then Interim CFO, in coordination with the Chief Legal Officer, to undertake a comprehensive review of the procedures to be followed by the Company for establishing significant and judgmental reserves, including reserves for litigation and royalties. The Chief Legal Officer has assigned appropriate roles and responsibilities to Company personnel to improve the Company’s process for identifying litigation contingencies. As a result, a more comprehensive policy was established and has been adhered to. In addition, management will continue to report to the Audit Committee the methodologies used and basis of estimates for the establishment of significant and judgmental reserves.</w:t>
      </w:r>
    </w:p>
    <w:p>
      <w:pPr>
        <w:spacing w:after="0" w:line="34" w:lineRule="exact"/>
        <w:rPr>
          <w:rFonts w:ascii="Arial" w:cs="Arial" w:eastAsia="Arial" w:hAnsi="Arial"/>
          <w:sz w:val="16"/>
          <w:szCs w:val="16"/>
          <w:color w:val="auto"/>
        </w:rPr>
      </w:pPr>
    </w:p>
    <w:p>
      <w:pPr>
        <w:ind w:left="900" w:right="68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We have adopted an updated patent disclosure and assignment policy that includes augmented procedures for review of claims of individual ownership and enhanced processes with respect to patent disclosure and assignment.</w:t>
      </w:r>
    </w:p>
    <w:p>
      <w:pPr>
        <w:spacing w:after="0" w:line="132"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The Audit Committee directed management to develop a detailed plan and timetable for the completion of the implementation of the foregoing remedial measures and will monitor their implementation. In addition, under the direction of the Audit Committee, management continues to review and make necessary changes to the overall design of our internal control environment, as well as to our policies and procedures in order to improve the overall effectiveness of internal control over financial reporting.</w:t>
      </w:r>
    </w:p>
    <w:p>
      <w:pPr>
        <w:spacing w:after="0" w:line="13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268" w:lineRule="auto"/>
        <w:rPr>
          <w:sz w:val="20"/>
          <w:szCs w:val="20"/>
          <w:color w:val="auto"/>
        </w:rPr>
      </w:pPr>
      <w:r>
        <w:rPr>
          <w:rFonts w:ascii="Arial" w:cs="Arial" w:eastAsia="Arial" w:hAnsi="Arial"/>
          <w:sz w:val="18"/>
          <w:szCs w:val="18"/>
          <w:color w:val="auto"/>
        </w:rPr>
        <w:t>Aside from the above remediations, we reconstituted the memberships and chairmanships of the audit committee, the executive compensation committee and the nominating and governance committee in May 2016.</w:t>
      </w:r>
    </w:p>
    <w:p>
      <w:pPr>
        <w:spacing w:after="0" w:line="132"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We are committed to maintaining a strong internal control environment and believe that these remediation actions represent significant improvements in our controls. Additional remediation measures continue to be considered and will be implemented as appropriate. We will continue to assess the effectiveness of our remediation efforts in connection with our evaluations of internal control over financial reporting.</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 w:firstLine="456"/>
        <w:spacing w:after="0" w:line="332" w:lineRule="auto"/>
        <w:rPr>
          <w:sz w:val="20"/>
          <w:szCs w:val="20"/>
          <w:color w:val="auto"/>
        </w:rPr>
      </w:pPr>
      <w:r>
        <w:rPr>
          <w:rFonts w:ascii="Arial" w:cs="Arial" w:eastAsia="Arial" w:hAnsi="Arial"/>
          <w:sz w:val="16"/>
          <w:szCs w:val="16"/>
          <w:color w:val="auto"/>
        </w:rPr>
        <w:t>There were no changes in our internal control over financial reporting during the three months ended October 29, 2016 that have materially affected, or are reasonably likely to materially affect, our internal control over financial reporting other than those previously described.</w:t>
      </w:r>
    </w:p>
    <w:p>
      <w:pPr>
        <w:spacing w:after="0" w:line="16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Limitations on Effectiveness of Controls</w:t>
      </w:r>
    </w:p>
    <w:p>
      <w:pPr>
        <w:spacing w:after="0" w:line="96"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180" w:firstLine="456"/>
        <w:spacing w:after="0" w:line="294" w:lineRule="auto"/>
        <w:rPr>
          <w:sz w:val="20"/>
          <w:szCs w:val="20"/>
          <w:color w:val="auto"/>
        </w:rPr>
      </w:pPr>
      <w:r>
        <w:rPr>
          <w:rFonts w:ascii="Arial" w:cs="Arial" w:eastAsia="Arial" w:hAnsi="Arial"/>
          <w:sz w:val="16"/>
          <w:szCs w:val="16"/>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96"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right="58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successfully restructure our operations within our anticipated timeframe announced in November 2016 and with our anticipated savings;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459" w:right="25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right="540" w:hanging="325"/>
        <w:spacing w:after="0" w:line="332" w:lineRule="auto"/>
        <w:tabs>
          <w:tab w:leader="none" w:pos="90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our ability to attract and retain a highly skilled workforce, especially managerial, engineering, sales and marketing personnel.</w:t>
      </w:r>
    </w:p>
    <w:p>
      <w:pPr>
        <w:spacing w:after="0" w:line="17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Due to fluctuations in our quarterly results of operations and other factors, the price at which our common shares will trade is likely to continue to be highly volatile. From January 31, 2015 through October 29, 2016, our common shares traded as low as $7.40 and as high as $16.78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1" w:lineRule="exact"/>
        <w:rPr>
          <w:sz w:val="20"/>
          <w:szCs w:val="20"/>
          <w:color w:val="auto"/>
        </w:rPr>
      </w:pPr>
    </w:p>
    <w:p>
      <w:pPr>
        <w:ind w:right="240"/>
        <w:spacing w:after="0" w:line="357" w:lineRule="auto"/>
        <w:rPr>
          <w:sz w:val="20"/>
          <w:szCs w:val="20"/>
          <w:color w:val="auto"/>
        </w:rPr>
      </w:pPr>
      <w:r>
        <w:rPr>
          <w:rFonts w:ascii="Arial" w:cs="Arial" w:eastAsia="Arial" w:hAnsi="Arial"/>
          <w:sz w:val="15"/>
          <w:szCs w:val="15"/>
          <w:b w:val="1"/>
          <w:bCs w:val="1"/>
          <w:i w:val="1"/>
          <w:iCs w:val="1"/>
          <w:color w:val="auto"/>
        </w:rPr>
        <w:t>If we fail to appropriately scale our operations in response to changes in demand for our existing products or to the demand for new products requested by our customers, including efforts such as our recently announced restructuring, our business and profitability could be materially and adversely affected.</w:t>
      </w:r>
    </w:p>
    <w:p>
      <w:pPr>
        <w:ind w:right="60" w:firstLine="456"/>
        <w:spacing w:after="0" w:line="294"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For example, in November 2016, we announced a plan to restructure our operations to refocus our research and development, increase operational efficiency and improve profitability. We expect that the restructuring actions, which include discontinuing investment in specific research and development programs, streamlining engineering processes, and consolidating research and development sites, will eliminate approximately 900 positions worldwide. In addition, we plan to divest certain non-strategic businesses. These actions will begin immediately and are expected to be fully executed by the end of October 2017.</w:t>
      </w:r>
    </w:p>
    <w:p>
      <w:pPr>
        <w:spacing w:after="0" w:line="116"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Our ability to scale our workforce and operations in a sufficiently timely manner to respond effectively to changes in demand for our existing products, or to the demand for new products requested by our customers, is critical to our future success. While we expect to realize efficiencies from these actions, these activities might not produce the full efficiency and cost reduction benefits we expect. Further, such benefits might be realized later than expected, and the ongoing costs of implementing these measures might be greater than anticipated. If these measures are not successful or sustainable, we might undertake additional realignment and cost reduction efforts, which could result in future charges. In the event that we are unable to execute on our restructuring plan to the extent currently anticipated, our ability to meet competitive challenges or exploit key market opportunities could be materially and adversely affected.</w:t>
      </w:r>
    </w:p>
    <w:p>
      <w:pPr>
        <w:spacing w:after="0" w:line="201"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0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459" w:right="2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40" w:firstLine="456"/>
        <w:spacing w:after="0" w:line="284" w:lineRule="auto"/>
        <w:rPr>
          <w:sz w:val="20"/>
          <w:szCs w:val="20"/>
          <w:color w:val="auto"/>
        </w:rPr>
      </w:pPr>
      <w:r>
        <w:rPr>
          <w:rFonts w:ascii="Arial" w:cs="Arial" w:eastAsia="Arial" w:hAnsi="Arial"/>
          <w:sz w:val="16"/>
          <w:szCs w:val="16"/>
          <w:color w:val="auto"/>
        </w:rPr>
        <w:t>The semiconductor industry and specifically the data storage, networking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and commit to future roadmaps that have technical risks. Some of our competitors may be better situated to meet changing customer needs and secure design wins. As competition in the markets in which we operate continues to increase, our revenues and gross margins may decline as a result.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 As the technology inflections happen, our competitors may get ahead of us and impact our market share.</w:t>
      </w:r>
    </w:p>
    <w:p>
      <w:pPr>
        <w:spacing w:after="0" w:line="133" w:lineRule="exact"/>
        <w:rPr>
          <w:sz w:val="20"/>
          <w:szCs w:val="20"/>
          <w:color w:val="auto"/>
        </w:rPr>
      </w:pPr>
    </w:p>
    <w:p>
      <w:pPr>
        <w:ind w:right="320" w:firstLine="456"/>
        <w:spacing w:after="0" w:line="294" w:lineRule="auto"/>
        <w:rPr>
          <w:sz w:val="20"/>
          <w:szCs w:val="20"/>
          <w:color w:val="auto"/>
        </w:rPr>
      </w:pPr>
      <w:r>
        <w:rPr>
          <w:rFonts w:ascii="Arial" w:cs="Arial" w:eastAsia="Arial" w:hAnsi="Arial"/>
          <w:sz w:val="16"/>
          <w:szCs w:val="16"/>
          <w:color w:val="auto"/>
        </w:rPr>
        <w:t>In addition, the semiconductor industry has experienced increased consolidation over the past several years. For example, Avago Technologies Limited (which has renamed itself as Broadcom Limited (“Broadcom”) acquired Broadcom Corporation in February 2016 and LSI Corporation in May 2014, Intel acquired Altera Corporation in December 2015 and NXP Semiconductors acquired Freescale Semiconductor, Ltd. These transactions and other pending transactions may further consolidate competition in our industry. Consolidation among our competitors could lead to a changing competitive landscape, capabilities and market share, which could harm our results of operations and put us at a competitive disadvantage.</w:t>
      </w:r>
    </w:p>
    <w:p>
      <w:pPr>
        <w:spacing w:after="0" w:line="197" w:lineRule="exact"/>
        <w:rPr>
          <w:sz w:val="20"/>
          <w:szCs w:val="20"/>
          <w:color w:val="auto"/>
        </w:rPr>
      </w:pPr>
    </w:p>
    <w:p>
      <w:pPr>
        <w:ind w:right="56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The HDD industry is intensely competitive, and the technology inflections are happening rapidly. This industry has historically been cyclical, with periods of increased demand and rapid growth followed by periods of oversupply and subsequent contraction. These cycles may affect us because some of our largest customers are participants in this industry. For example, in fiscal 2016, our revenue was negatively affected by a meaningful decline in overall HDD unit demand.</w:t>
      </w:r>
    </w:p>
    <w:p>
      <w:pPr>
        <w:spacing w:after="0" w:line="107" w:lineRule="exact"/>
        <w:rPr>
          <w:sz w:val="20"/>
          <w:szCs w:val="20"/>
          <w:color w:val="auto"/>
        </w:rPr>
      </w:pPr>
    </w:p>
    <w:p>
      <w:pPr>
        <w:ind w:right="14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In addition, the HDD industry experienced consolidation in the past. For example, Western Digital completed the acquisition of Hitachi’s HDD unit in March 2012, Seagate Technology PLC (“Seagate”) completed the acquisition of Samsung’s HDD unit in December 2011 and Toshiba acquired the HDD operations of Fujitsu during fiscal 2010.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Furthermore, future changes in the nature of information storage products and personal computing devices could reduce demand for traditional HDDs. For example, products using alternative technologies, such as SSD and other storage technologies could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 Unlike in the HDD industry, SSD customers may develop their own controllers, which could pose a challenge to our market share in the SSD space. The product mix change from HDD to SSD may impact our future market share.</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459" w:right="25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4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32% and 31% of our net revenue for the nine months ended October 29, 2016 and October 31, 2015,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5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SSD business from Broadcom);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171"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213" w:lineRule="exact"/>
        <w:rPr>
          <w:sz w:val="20"/>
          <w:szCs w:val="20"/>
          <w:color w:val="auto"/>
        </w:rPr>
      </w:pPr>
    </w:p>
    <w:p>
      <w:pPr>
        <w:jc w:val="both"/>
        <w:ind w:right="4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or to stop selling our products or force us to redesign our products.</w:t>
      </w:r>
    </w:p>
    <w:p>
      <w:pPr>
        <w:spacing w:after="0" w:line="59"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(“Note 10”)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the settlement of a lawsuit with Carnegie Mellon University resulted in a payment by us of $750 million as described further in Note 10.</w:t>
      </w:r>
    </w:p>
    <w:p>
      <w:pPr>
        <w:spacing w:after="0" w:line="118"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2" w:lineRule="exact"/>
        <w:rPr>
          <w:sz w:val="20"/>
          <w:szCs w:val="20"/>
          <w:color w:val="auto"/>
        </w:rPr>
      </w:pPr>
    </w:p>
    <w:p>
      <w:pPr>
        <w:ind w:left="900" w:right="44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6"/>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damage to our reputation or relationship with third parties, which could materially and adversely affect our business, financial condition, results of operations, cash flows and our stock price.</w:t>
      </w:r>
    </w:p>
    <w:p>
      <w:pPr>
        <w:spacing w:after="0" w:line="194" w:lineRule="exact"/>
        <w:rPr>
          <w:sz w:val="20"/>
          <w:szCs w:val="20"/>
          <w:color w:val="auto"/>
        </w:rPr>
      </w:pPr>
    </w:p>
    <w:p>
      <w:pPr>
        <w:ind w:right="440"/>
        <w:spacing w:after="0" w:line="268" w:lineRule="auto"/>
        <w:rPr>
          <w:sz w:val="20"/>
          <w:szCs w:val="20"/>
          <w:color w:val="auto"/>
        </w:rPr>
      </w:pPr>
      <w:r>
        <w:rPr>
          <w:rFonts w:ascii="Arial" w:cs="Arial" w:eastAsia="Arial" w:hAnsi="Arial"/>
          <w:sz w:val="18"/>
          <w:szCs w:val="18"/>
          <w:b w:val="1"/>
          <w:bCs w:val="1"/>
          <w:i w:val="1"/>
          <w:iCs w:val="1"/>
          <w:color w:val="auto"/>
        </w:rPr>
        <w:t>We identified material weaknesses in our internal controls over financial reporting, and we may be unable to develop, implement and maintain effective internal controls in future periods.</w:t>
      </w:r>
    </w:p>
    <w:p>
      <w:pPr>
        <w:spacing w:after="0" w:line="51" w:lineRule="exact"/>
        <w:rPr>
          <w:sz w:val="20"/>
          <w:szCs w:val="20"/>
          <w:color w:val="auto"/>
        </w:rPr>
      </w:pPr>
    </w:p>
    <w:p>
      <w:pPr>
        <w:ind w:right="40" w:firstLine="456"/>
        <w:spacing w:after="0" w:line="308" w:lineRule="auto"/>
        <w:rPr>
          <w:sz w:val="20"/>
          <w:szCs w:val="20"/>
          <w:color w:val="auto"/>
        </w:rPr>
      </w:pPr>
      <w:r>
        <w:rPr>
          <w:rFonts w:ascii="Arial" w:cs="Arial" w:eastAsia="Arial" w:hAnsi="Arial"/>
          <w:sz w:val="15"/>
          <w:szCs w:val="15"/>
          <w:color w:val="auto"/>
        </w:rPr>
        <w:t>The Sarbanes-Oxley Act of 2002 and SEC rules require that management report annually on the effectiveness of our internal control over financial reporting and our disclosure controls and procedures. Among other things, management must conduct an assessment of our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October 29, 2016. The specific material weaknesses are described in Item 4 of this Quarterly Report on Form 10-Q. 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109"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9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51"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 As a result of the delay in filing of our periodic reports, we are not eligible to use a registration statement on Form S-3, and will not be eligible to use that form until we have timely filed all periodic reports required by the SEC for one year, which may make it more difficult, costly or time consuming for us to raise capital if we should choose to do so.</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459" w:right="25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456"/>
        <w:spacing w:after="0" w:line="256" w:lineRule="auto"/>
        <w:rPr>
          <w:sz w:val="20"/>
          <w:szCs w:val="20"/>
          <w:color w:val="auto"/>
        </w:rPr>
      </w:pPr>
      <w:r>
        <w:rPr>
          <w:rFonts w:ascii="Arial" w:cs="Arial" w:eastAsia="Arial" w:hAnsi="Arial"/>
          <w:sz w:val="18"/>
          <w:szCs w:val="18"/>
          <w:color w:val="auto"/>
        </w:rPr>
        <w:t xml:space="preserve">As a result of the matter reported above, we are exposed to greater risks associated with litigation, regulatory proceedings and government enforcement actions. In addition, securities class actions or other lawsuits have been filed against us, our directors and officers (see </w:t>
      </w:r>
      <w:r>
        <w:rPr>
          <w:rFonts w:ascii="Arial" w:cs="Arial" w:eastAsia="Arial" w:hAnsi="Arial"/>
          <w:sz w:val="18"/>
          <w:szCs w:val="18"/>
          <w:i w:val="1"/>
          <w:iCs w:val="1"/>
          <w:color w:val="auto"/>
        </w:rPr>
        <w:t>“We are subject to pending securities class</w:t>
      </w:r>
      <w:r>
        <w:rPr>
          <w:rFonts w:ascii="Arial" w:cs="Arial" w:eastAsia="Arial" w:hAnsi="Arial"/>
          <w:sz w:val="18"/>
          <w:szCs w:val="18"/>
          <w:color w:val="auto"/>
        </w:rPr>
        <w:t xml:space="preserve"> </w:t>
      </w:r>
      <w:r>
        <w:rPr>
          <w:rFonts w:ascii="Arial" w:cs="Arial" w:eastAsia="Arial" w:hAnsi="Arial"/>
          <w:sz w:val="18"/>
          <w:szCs w:val="18"/>
          <w:i w:val="1"/>
          <w:iCs w:val="1"/>
          <w:color w:val="auto"/>
        </w:rPr>
        <w:t xml:space="preserve">action and shareholder derivative legal proceedings” </w:t>
      </w:r>
      <w:r>
        <w:rPr>
          <w:rFonts w:ascii="Arial" w:cs="Arial" w:eastAsia="Arial" w:hAnsi="Arial"/>
          <w:sz w:val="18"/>
          <w:szCs w:val="18"/>
          <w:color w:val="auto"/>
        </w:rPr>
        <w:t>below). Any future such investigations or additional lawsuits may adversely affect our business, financial</w:t>
      </w:r>
      <w:r>
        <w:rPr>
          <w:rFonts w:ascii="Arial" w:cs="Arial" w:eastAsia="Arial" w:hAnsi="Arial"/>
          <w:sz w:val="18"/>
          <w:szCs w:val="18"/>
          <w:i w:val="1"/>
          <w:iCs w:val="1"/>
          <w:color w:val="auto"/>
        </w:rPr>
        <w:t xml:space="preserve"> </w:t>
      </w:r>
      <w:r>
        <w:rPr>
          <w:rFonts w:ascii="Arial" w:cs="Arial" w:eastAsia="Arial" w:hAnsi="Arial"/>
          <w:sz w:val="18"/>
          <w:szCs w:val="18"/>
          <w:color w:val="auto"/>
        </w:rPr>
        <w:t>condition, results of operations and cash flows.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pending securities class action and shareholder derivative legal proceedings.</w:t>
      </w:r>
    </w:p>
    <w:p>
      <w:pPr>
        <w:spacing w:after="0" w:line="90"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 No specific amounts of damages have been alleged in the class action lawsuits, which have now been consolidated into a single case.</w:t>
      </w:r>
    </w:p>
    <w:p>
      <w:pPr>
        <w:spacing w:after="0" w:line="107"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We will continue to incur legal fees in connection with this pending case, including expenses for the reimbursement of legal fees of present and former officers and directors under indemnification obligations. The expense of continuing to defend such litigation may be significant. We intend to defend this lawsuit vigorously, however there can be no assurance that we will be successful in any defense. If it is adversely decided, we may be liable for significant damages directly or under our indemnification obligations, which could adversely affect our business, results of operations and cash flows. Further, the amount of time that will be required to resolve this litigation is unpredictable and may divert management’s attention from the day-to-day operations of our business, which could adversely affect our business, results of operations and cash flows.</w:t>
      </w:r>
    </w:p>
    <w:p>
      <w:pPr>
        <w:spacing w:after="0" w:line="201"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51"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to not be entitled to indemnification, we may not be able to recover the amounts we previously advanced to them.</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addition, we have incurred significant expenses in connection with the Audit Committee’s independent investigation, the pending government investigations, and the shareholder litigation.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business, financial condition, results of operations or cash flows.</w:t>
      </w:r>
    </w:p>
    <w:p>
      <w:pPr>
        <w:spacing w:after="0" w:line="199" w:lineRule="exact"/>
        <w:rPr>
          <w:sz w:val="20"/>
          <w:szCs w:val="20"/>
          <w:color w:val="auto"/>
        </w:rPr>
      </w:pPr>
    </w:p>
    <w:p>
      <w:pPr>
        <w:jc w:val="both"/>
        <w:ind w:right="14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00"/>
          </w:cols>
          <w:pgMar w:left="240" w:top="459" w:right="25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6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experience difficulties in transitioning to smaller geometry process technologies or in achieving higher levels of design integration, which may result in reduced manufacturing yields, delays in product deliveries and increased expenses.” </w:t>
      </w:r>
      <w:r>
        <w:rPr>
          <w:rFonts w:ascii="Arial" w:cs="Arial" w:eastAsia="Arial" w:hAnsi="Arial"/>
          <w:sz w:val="16"/>
          <w:szCs w:val="16"/>
          <w:color w:val="auto"/>
        </w:rPr>
        <w:t>Moreover, if any of our third-party foundry suppliers are unable to secure necessary</w:t>
      </w:r>
      <w:r>
        <w:rPr>
          <w:rFonts w:ascii="Arial" w:cs="Arial" w:eastAsia="Arial" w:hAnsi="Arial"/>
          <w:sz w:val="16"/>
          <w:szCs w:val="16"/>
          <w:i w:val="1"/>
          <w:iCs w:val="1"/>
          <w:color w:val="auto"/>
        </w:rPr>
        <w:t xml:space="preserve"> </w:t>
      </w:r>
      <w:r>
        <w:rPr>
          <w:rFonts w:ascii="Arial" w:cs="Arial" w:eastAsia="Arial" w:hAnsi="Arial"/>
          <w:sz w:val="16"/>
          <w:szCs w:val="16"/>
          <w:color w:val="auto"/>
        </w:rPr>
        <w:t>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revenues, net income and cash flow.</w:t>
      </w:r>
    </w:p>
    <w:p>
      <w:pPr>
        <w:spacing w:after="0" w:line="11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The fabrication of integrated circuits is a complex and technically demanding process. Our technology is transitioning from planar to FINFET transistors which is a new technology.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“Costs related to defective products could have a material adverse effect on us.”</w:t>
      </w:r>
    </w:p>
    <w:p>
      <w:pPr>
        <w:spacing w:after="0" w:line="120" w:lineRule="exact"/>
        <w:rPr>
          <w:sz w:val="20"/>
          <w:szCs w:val="20"/>
          <w:color w:val="auto"/>
        </w:rPr>
      </w:pPr>
    </w:p>
    <w:p>
      <w:pPr>
        <w:ind w:right="10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 Cache (“FLC</w:t>
      </w:r>
      <w:r>
        <w:rPr>
          <w:rFonts w:ascii="Arial" w:cs="Arial" w:eastAsia="Arial" w:hAnsi="Arial"/>
          <w:sz w:val="10"/>
          <w:szCs w:val="10"/>
          <w:color w:val="auto"/>
        </w:rPr>
        <w:t>TM</w:t>
      </w:r>
      <w:r>
        <w:rPr>
          <w:rFonts w:ascii="Arial" w:cs="Arial" w:eastAsia="Arial" w:hAnsi="Arial"/>
          <w:sz w:val="16"/>
          <w:szCs w:val="16"/>
          <w:color w:val="auto"/>
        </w:rPr>
        <w:t>”) technology may be an important factor in the future growth of the company. If FLC technology fails to function in actual product development at the level required for market acceptance, or if our customers do not readily embrace the technology as quickly as we would anticipate, our future results may be impacted. No revenue was derived from FLC related products in fiscal 2016 and we anticipate no revenue in fiscal 2017 as these products are still in development. See also, “</w:t>
      </w:r>
      <w:r>
        <w:rPr>
          <w:rFonts w:ascii="Arial" w:cs="Arial" w:eastAsia="Arial" w:hAnsi="Arial"/>
          <w:sz w:val="16"/>
          <w:szCs w:val="16"/>
          <w:i w:val="1"/>
          <w:iCs w:val="1"/>
          <w:color w:val="auto"/>
        </w:rPr>
        <w:t>We may be unable to protect our</w:t>
      </w:r>
      <w:r>
        <w:rPr>
          <w:rFonts w:ascii="Arial" w:cs="Arial" w:eastAsia="Arial" w:hAnsi="Arial"/>
          <w:sz w:val="16"/>
          <w:szCs w:val="16"/>
          <w:color w:val="auto"/>
        </w:rPr>
        <w:t xml:space="preserve"> </w:t>
      </w:r>
      <w:r>
        <w:rPr>
          <w:rFonts w:ascii="Arial" w:cs="Arial" w:eastAsia="Arial" w:hAnsi="Arial"/>
          <w:sz w:val="16"/>
          <w:szCs w:val="16"/>
          <w:i w:val="1"/>
          <w:iCs w:val="1"/>
          <w:color w:val="auto"/>
        </w:rPr>
        <w:t>intellectual property, which would negatively affect our ability to compete.”</w:t>
      </w:r>
    </w:p>
    <w:p>
      <w:pPr>
        <w:spacing w:after="0" w:line="120"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we and our customers introduce new and enhanced products to the market, those products may not achieve market acceptance.</w:t>
      </w:r>
    </w:p>
    <w:p>
      <w:pPr>
        <w:spacing w:after="0" w:line="224"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18"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44"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A portion of our inventory is held by, and net revenues are derived from, sales through third-party logistics providers, whereby revenues are recognized when product is pulled from stock by the end customer. From time to time, our customers will take early delivery of product at the end of a fiscal quarter that was scheduled for delivery in the following fiscal quarter, which we internally refer to as “pull-ins” if the early delivery was requested by Marvell. Variation in timing of large orders and our ability to effectively manage required inventory levels may be impacted by such arrangements, including increased expenses associated with excess or obsolete inventory and volatility in timing of revenues recognized period to period. Our operating results under these arrangements may vary significantly from quarter to quarter based on fluctuations in demand and our ability to deliver on forecasted customer orders. Beginning in fiscal 2017, our policy is not to engage in pull-in transactions and we therefore do not expect them to have any meaningful impact on our net revenue in future periods.</w:t>
      </w:r>
    </w:p>
    <w:p>
      <w:pPr>
        <w:spacing w:after="0" w:line="199"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22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lengthy product development coupled with challenging macroeconomic conditions could adversely impact our results of operations.</w:t>
      </w:r>
    </w:p>
    <w:p>
      <w:pPr>
        <w:spacing w:after="0" w:line="224"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ensure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308" w:lineRule="auto"/>
        <w:rPr>
          <w:sz w:val="20"/>
          <w:szCs w:val="20"/>
          <w:color w:val="auto"/>
        </w:rPr>
      </w:pPr>
      <w:r>
        <w:rPr>
          <w:rFonts w:ascii="Arial" w:cs="Arial" w:eastAsia="Arial" w:hAnsi="Arial"/>
          <w:sz w:val="15"/>
          <w:szCs w:val="15"/>
          <w:color w:val="auto"/>
        </w:rPr>
        <w:t>We had approximately $2.0 billion of goodwill and $9.3 million of acquired intangible assets, net on our consolidated balance sheet as of October 29, 2016.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We have identified that our business operates as a single operating segment with two components (Storage, and Smart Networked Devices and Solutions),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09" w:lineRule="exact"/>
        <w:rPr>
          <w:sz w:val="20"/>
          <w:szCs w:val="20"/>
          <w:color w:val="auto"/>
        </w:rPr>
      </w:pPr>
    </w:p>
    <w:p>
      <w:pPr>
        <w:ind w:right="8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460"/>
        <w:spacing w:after="0" w:line="259"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qualified personnel, our ability to develop and successfully market our products could be harmed. We have undergone significant management changes which could affect our implementation of our business strategy.</w:t>
      </w:r>
    </w:p>
    <w:p>
      <w:pPr>
        <w:spacing w:after="0" w:line="59"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144"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color w:val="auto"/>
        </w:rPr>
        <w:t>In recent years, we have experienced significant senior management turnover, including the departure of our Chief Executive Officer, Sehat Sutardja, and our President, Weili Dai, as officers and employees of the Company, effective April 1, 2016, and the retirement of our former Chief Financial Officer in May 2015. Our board of directors recently appointed our new President and Chief Executive Officer, who assumed his duties as the Company’s principal executive officer immediately following the filing of our Quarterly Report on Form 10-Q for the second fiscal quarter of 2017, and our new Chief Financial Officer.</w:t>
      </w:r>
    </w:p>
    <w:p>
      <w:pPr>
        <w:spacing w:after="0" w:line="113"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marketplace for such key employees is very competitive and limited. Our growth may be adversely impacted if we are unable to attract and retain key employees. In addition, turnover of senior management can adversely impact our stock price, our results of operations and our client relationships and has made recruiting for future management positions more difficult. We have recently added a number of new senior officers in addition to our President and Chief Executive Officer, including our new Chief Financial Officer, our Executive Vice President, Marketing and Sales, our Executive Vice President and Chief Legal Officer, our Chief Operations Officer, our Senior Vice President of Finance and our Chief Accounting Officer and Controller. Although the individual members of our senior management team have significant experience, they previously have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199"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4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with operations in Asia represented approximately 94% of our net revenue in the nine months ended October 29, 2016 and 96% of our net revenue in each of fiscal 2015 and 2016.</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459" w:right="25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ensure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459" w:right="2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right="20" w:firstLine="456"/>
        <w:spacing w:after="0" w:line="285"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Our subsidiary in Switzerland also had tax incentives on revenues from research and design, and wafer supply trading activities, which expired at the end of fiscal 2016.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21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13" w:lineRule="exact"/>
        <w:rPr>
          <w:sz w:val="20"/>
          <w:szCs w:val="20"/>
          <w:color w:val="auto"/>
        </w:rPr>
      </w:pPr>
    </w:p>
    <w:p>
      <w:pPr>
        <w:jc w:val="both"/>
        <w:ind w:right="120" w:firstLine="456"/>
        <w:spacing w:after="0" w:line="298"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or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13" w:lineRule="exact"/>
        <w:rPr>
          <w:sz w:val="20"/>
          <w:szCs w:val="20"/>
          <w:color w:val="auto"/>
        </w:rPr>
      </w:pPr>
    </w:p>
    <w:p>
      <w:pPr>
        <w:ind w:right="120" w:firstLine="456"/>
        <w:spacing w:after="0" w:line="289"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2016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199"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and the failure of or security breaches of any critical information technology system may result in serious harm to our reputation, business, results of operations and/or financial condition.</w:t>
      </w:r>
    </w:p>
    <w:p>
      <w:pPr>
        <w:spacing w:after="0" w:line="59"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natural disasters, viruses, destructive or inadequate code, malware, power failures, cyber-attacks, and other events. We have implemented processes for systems under our control intended to mitigate risks, however, there can be no guarantee that they will be effective in mitigating those risks. Given the frequency of cyber attacks and resulting breaches reported by other businesses and governments, it is likely we will experience one or more breaches of some extent in the future.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former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2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118"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jc w:val="both"/>
        <w:ind w:right="520"/>
        <w:spacing w:after="0" w:line="370" w:lineRule="auto"/>
        <w:rPr>
          <w:sz w:val="20"/>
          <w:szCs w:val="20"/>
          <w:color w:val="auto"/>
        </w:rPr>
      </w:pPr>
      <w:r>
        <w:rPr>
          <w:rFonts w:ascii="Arial" w:cs="Arial" w:eastAsia="Arial" w:hAnsi="Arial"/>
          <w:sz w:val="15"/>
          <w:szCs w:val="15"/>
          <w:b w:val="1"/>
          <w:bCs w:val="1"/>
          <w:i w:val="1"/>
          <w:iCs w:val="1"/>
          <w:color w:val="auto"/>
        </w:rPr>
        <w:t>There can be no assurance that we will continue to declare cash dividends or effect share repurchases at all or in any particular amount, and statutory requirements under Bermuda Law, as well as ongoing litigation, may require us to defer payment of declared dividends or suspend share repurchases.</w:t>
      </w:r>
    </w:p>
    <w:p>
      <w:pPr>
        <w:spacing w:after="0" w:line="62" w:lineRule="exact"/>
        <w:rPr>
          <w:sz w:val="20"/>
          <w:szCs w:val="20"/>
          <w:color w:val="auto"/>
        </w:rPr>
      </w:pPr>
    </w:p>
    <w:p>
      <w:pPr>
        <w:ind w:right="140" w:firstLine="456"/>
        <w:spacing w:after="0" w:line="312" w:lineRule="auto"/>
        <w:rPr>
          <w:sz w:val="20"/>
          <w:szCs w:val="20"/>
          <w:color w:val="auto"/>
        </w:rPr>
      </w:pPr>
      <w:r>
        <w:rPr>
          <w:rFonts w:ascii="Arial" w:cs="Arial" w:eastAsia="Arial" w:hAnsi="Arial"/>
          <w:sz w:val="15"/>
          <w:szCs w:val="15"/>
          <w:color w:val="auto"/>
        </w:rPr>
        <w:t>In May 2012, we announced the declaration of our first quarterly cash dividend. In November 2017, we announced that our board of directors had authorized a $1 billion share repurchase program, and our intention to repurchase approximately $500 million worth of shares over the next 12 months.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at all or in any particular amounts. A reduction in, a delay of, or elimination of our dividend payments or share repurchases could have a negative effect on our share price.</w:t>
      </w:r>
    </w:p>
    <w:p>
      <w:pPr>
        <w:spacing w:after="0" w:line="186"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3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00"/>
          </w:cols>
          <w:pgMar w:left="240" w:top="459" w:right="25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4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0" w:lineRule="exact"/>
        <w:rPr>
          <w:rFonts w:ascii="Arial" w:cs="Arial" w:eastAsia="Arial" w:hAnsi="Arial"/>
          <w:sz w:val="18"/>
          <w:szCs w:val="18"/>
          <w:color w:val="auto"/>
        </w:rPr>
      </w:pPr>
    </w:p>
    <w:p>
      <w:pPr>
        <w:ind w:left="900" w:right="40" w:hanging="325"/>
        <w:spacing w:after="0" w:line="268" w:lineRule="auto"/>
        <w:tabs>
          <w:tab w:leader="none" w:pos="90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213"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 a benefit to our shareholders.</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459" w:right="2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October 29, 2016.</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share repurchases during the three months ended October 29, 2016 (in thousands, except per share data):</w:t>
      </w:r>
    </w:p>
    <w:p>
      <w:pPr>
        <w:spacing w:after="0" w:line="218"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68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180" w:type="dxa"/>
            <w:vAlign w:val="bottom"/>
          </w:tcPr>
          <w:p>
            <w:pPr>
              <w:spacing w:after="0"/>
              <w:rPr>
                <w:sz w:val="14"/>
                <w:szCs w:val="14"/>
                <w:color w:val="auto"/>
              </w:rPr>
            </w:pPr>
          </w:p>
        </w:tc>
        <w:tc>
          <w:tcPr>
            <w:tcW w:w="182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89"/>
              </w:rPr>
              <w:t>Approximate Dollar Value of</w:t>
            </w:r>
          </w:p>
        </w:tc>
        <w:tc>
          <w:tcPr>
            <w:tcW w:w="0" w:type="dxa"/>
            <w:vAlign w:val="bottom"/>
          </w:tcPr>
          <w:p>
            <w:pPr>
              <w:spacing w:after="0"/>
              <w:rPr>
                <w:sz w:val="1"/>
                <w:szCs w:val="1"/>
                <w:color w:val="auto"/>
              </w:rPr>
            </w:pPr>
          </w:p>
        </w:tc>
      </w:tr>
      <w:tr>
        <w:trPr>
          <w:trHeight w:val="149"/>
        </w:trPr>
        <w:tc>
          <w:tcPr>
            <w:tcW w:w="60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w:t>
            </w:r>
          </w:p>
        </w:tc>
        <w:tc>
          <w:tcPr>
            <w:tcW w:w="1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8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87"/>
              </w:rPr>
              <w:t>Shares that May Yet Be</w:t>
            </w:r>
          </w:p>
        </w:tc>
        <w:tc>
          <w:tcPr>
            <w:tcW w:w="0" w:type="dxa"/>
            <w:vAlign w:val="bottom"/>
          </w:tcPr>
          <w:p>
            <w:pPr>
              <w:spacing w:after="0"/>
              <w:rPr>
                <w:sz w:val="1"/>
                <w:szCs w:val="1"/>
                <w:color w:val="auto"/>
              </w:rPr>
            </w:pPr>
          </w:p>
        </w:tc>
      </w:tr>
      <w:tr>
        <w:trPr>
          <w:trHeight w:val="149"/>
        </w:trPr>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9"/>
              </w:rPr>
              <w:t>Period (1)</w:t>
            </w:r>
          </w:p>
        </w:tc>
        <w:tc>
          <w:tcPr>
            <w:tcW w:w="3980" w:type="dxa"/>
            <w:vAlign w:val="bottom"/>
            <w:vMerge w:val="restart"/>
          </w:tcPr>
          <w:p>
            <w:pPr>
              <w:spacing w:after="0"/>
              <w:rPr>
                <w:sz w:val="12"/>
                <w:szCs w:val="12"/>
                <w:color w:val="auto"/>
              </w:rPr>
            </w:pPr>
          </w:p>
        </w:tc>
        <w:tc>
          <w:tcPr>
            <w:tcW w:w="104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160" w:type="dxa"/>
            <w:vAlign w:val="bottom"/>
          </w:tcPr>
          <w:p>
            <w:pPr>
              <w:spacing w:after="0"/>
              <w:rPr>
                <w:sz w:val="12"/>
                <w:szCs w:val="12"/>
                <w:color w:val="auto"/>
              </w:rPr>
            </w:pPr>
          </w:p>
        </w:tc>
        <w:tc>
          <w:tcPr>
            <w:tcW w:w="104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Average Price</w:t>
            </w:r>
          </w:p>
        </w:tc>
        <w:tc>
          <w:tcPr>
            <w:tcW w:w="1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Publicly Announced Plans or</w:t>
            </w:r>
          </w:p>
        </w:tc>
        <w:tc>
          <w:tcPr>
            <w:tcW w:w="180" w:type="dxa"/>
            <w:vAlign w:val="bottom"/>
          </w:tcPr>
          <w:p>
            <w:pPr>
              <w:spacing w:after="0"/>
              <w:rPr>
                <w:sz w:val="12"/>
                <w:szCs w:val="12"/>
                <w:color w:val="auto"/>
              </w:rPr>
            </w:pPr>
          </w:p>
        </w:tc>
        <w:tc>
          <w:tcPr>
            <w:tcW w:w="18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w w:val="90"/>
              </w:rPr>
              <w:t>Purchased Under the Plans or</w:t>
            </w:r>
          </w:p>
        </w:tc>
        <w:tc>
          <w:tcPr>
            <w:tcW w:w="0" w:type="dxa"/>
            <w:vAlign w:val="bottom"/>
          </w:tcPr>
          <w:p>
            <w:pPr>
              <w:spacing w:after="0"/>
              <w:rPr>
                <w:sz w:val="1"/>
                <w:szCs w:val="1"/>
                <w:color w:val="auto"/>
              </w:rPr>
            </w:pPr>
          </w:p>
        </w:tc>
      </w:tr>
      <w:tr>
        <w:trPr>
          <w:trHeight w:val="168"/>
        </w:trPr>
        <w:tc>
          <w:tcPr>
            <w:tcW w:w="600" w:type="dxa"/>
            <w:vAlign w:val="bottom"/>
            <w:tcBorders>
              <w:bottom w:val="single" w:sz="8" w:color="auto"/>
            </w:tcBorders>
            <w:vMerge w:val="continue"/>
          </w:tcPr>
          <w:p>
            <w:pPr>
              <w:spacing w:after="0"/>
              <w:rPr>
                <w:sz w:val="14"/>
                <w:szCs w:val="14"/>
                <w:color w:val="auto"/>
              </w:rPr>
            </w:pPr>
          </w:p>
        </w:tc>
        <w:tc>
          <w:tcPr>
            <w:tcW w:w="3980" w:type="dxa"/>
            <w:vAlign w:val="bottom"/>
            <w:vMerge w:val="continue"/>
          </w:tcPr>
          <w:p>
            <w:pPr>
              <w:spacing w:after="0"/>
              <w:rPr>
                <w:sz w:val="14"/>
                <w:szCs w:val="14"/>
                <w:color w:val="auto"/>
              </w:rPr>
            </w:pPr>
          </w:p>
        </w:tc>
        <w:tc>
          <w:tcPr>
            <w:tcW w:w="1040" w:type="dxa"/>
            <w:vAlign w:val="bottom"/>
          </w:tcPr>
          <w:p>
            <w:pPr>
              <w:jc w:val="right"/>
              <w:spacing w:after="0" w:line="148" w:lineRule="exact"/>
              <w:rPr>
                <w:sz w:val="20"/>
                <w:szCs w:val="20"/>
                <w:color w:val="auto"/>
              </w:rPr>
            </w:pPr>
            <w:r>
              <w:rPr>
                <w:rFonts w:ascii="Arial" w:cs="Arial" w:eastAsia="Arial" w:hAnsi="Arial"/>
                <w:sz w:val="14"/>
                <w:szCs w:val="14"/>
                <w:b w:val="1"/>
                <w:bCs w:val="1"/>
                <w:color w:val="auto"/>
                <w:w w:val="81"/>
              </w:rPr>
              <w:t>Shares Purchased</w:t>
            </w:r>
          </w:p>
        </w:tc>
        <w:tc>
          <w:tcPr>
            <w:tcW w:w="160" w:type="dxa"/>
            <w:vAlign w:val="bottom"/>
          </w:tcPr>
          <w:p>
            <w:pPr>
              <w:spacing w:after="0"/>
              <w:rPr>
                <w:sz w:val="14"/>
                <w:szCs w:val="14"/>
                <w:color w:val="auto"/>
              </w:rPr>
            </w:pPr>
          </w:p>
        </w:tc>
        <w:tc>
          <w:tcPr>
            <w:tcW w:w="1040" w:type="dxa"/>
            <w:vAlign w:val="bottom"/>
            <w:gridSpan w:val="3"/>
          </w:tcPr>
          <w:p>
            <w:pPr>
              <w:ind w:left="20"/>
              <w:spacing w:after="0" w:line="148" w:lineRule="exact"/>
              <w:rPr>
                <w:sz w:val="20"/>
                <w:szCs w:val="20"/>
                <w:color w:val="auto"/>
              </w:rPr>
            </w:pPr>
            <w:r>
              <w:rPr>
                <w:rFonts w:ascii="Arial" w:cs="Arial" w:eastAsia="Arial" w:hAnsi="Arial"/>
                <w:sz w:val="14"/>
                <w:szCs w:val="14"/>
                <w:b w:val="1"/>
                <w:bCs w:val="1"/>
                <w:color w:val="auto"/>
              </w:rPr>
              <w:t>Paid per Share</w:t>
            </w:r>
          </w:p>
        </w:tc>
        <w:tc>
          <w:tcPr>
            <w:tcW w:w="168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Programs</w:t>
            </w:r>
          </w:p>
        </w:tc>
        <w:tc>
          <w:tcPr>
            <w:tcW w:w="1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8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7"/>
              </w:rPr>
              <w:t>Programs (2)</w:t>
            </w:r>
          </w:p>
        </w:tc>
        <w:tc>
          <w:tcPr>
            <w:tcW w:w="0" w:type="dxa"/>
            <w:vAlign w:val="bottom"/>
          </w:tcPr>
          <w:p>
            <w:pPr>
              <w:spacing w:after="0"/>
              <w:rPr>
                <w:sz w:val="1"/>
                <w:szCs w:val="1"/>
                <w:color w:val="auto"/>
              </w:rPr>
            </w:pPr>
          </w:p>
        </w:tc>
      </w:tr>
      <w:tr>
        <w:trPr>
          <w:trHeight w:val="203"/>
        </w:trPr>
        <w:tc>
          <w:tcPr>
            <w:tcW w:w="458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July 31– August 27, 2016</w:t>
            </w:r>
          </w:p>
        </w:tc>
        <w:tc>
          <w:tcPr>
            <w:tcW w:w="1040" w:type="dxa"/>
            <w:vAlign w:val="bottom"/>
            <w:tcBorders>
              <w:top w:val="single" w:sz="8" w:color="auto"/>
            </w:tcBorders>
            <w:shd w:val="clear" w:color="auto" w:fill="CCEEFF"/>
          </w:tcPr>
          <w:p>
            <w:pPr>
              <w:jc w:val="right"/>
              <w:ind w:right="19"/>
              <w:spacing w:after="0" w:line="203" w:lineRule="exact"/>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jc w:val="right"/>
              <w:ind w:right="12"/>
              <w:spacing w:after="0" w:line="203" w:lineRule="exact"/>
              <w:rPr>
                <w:sz w:val="20"/>
                <w:szCs w:val="20"/>
                <w:color w:val="auto"/>
              </w:rPr>
            </w:pPr>
            <w:r>
              <w:rPr>
                <w:rFonts w:ascii="Arial" w:cs="Arial" w:eastAsia="Arial" w:hAnsi="Arial"/>
                <w:sz w:val="18"/>
                <w:szCs w:val="18"/>
                <w:color w:val="auto"/>
              </w:rPr>
              <w:t>—</w:t>
            </w:r>
          </w:p>
        </w:tc>
        <w:tc>
          <w:tcPr>
            <w:tcW w:w="160" w:type="dxa"/>
            <w:vAlign w:val="bottom"/>
            <w:tcBorders>
              <w:top w:val="single" w:sz="8" w:color="CCEEFF"/>
            </w:tcBorders>
            <w:shd w:val="clear" w:color="auto" w:fill="CCEEFF"/>
          </w:tcPr>
          <w:p>
            <w:pPr>
              <w:spacing w:after="0"/>
              <w:rPr>
                <w:sz w:val="17"/>
                <w:szCs w:val="17"/>
                <w:color w:val="auto"/>
              </w:rPr>
            </w:pPr>
          </w:p>
        </w:tc>
        <w:tc>
          <w:tcPr>
            <w:tcW w:w="1680" w:type="dxa"/>
            <w:vAlign w:val="bottom"/>
            <w:tcBorders>
              <w:top w:val="single" w:sz="8" w:color="auto"/>
            </w:tcBorders>
            <w:shd w:val="clear" w:color="auto" w:fill="CCEEFF"/>
          </w:tcPr>
          <w:p>
            <w:pPr>
              <w:jc w:val="right"/>
              <w:ind w:right="2"/>
              <w:spacing w:after="0" w:line="203" w:lineRule="exact"/>
              <w:rPr>
                <w:sz w:val="20"/>
                <w:szCs w:val="20"/>
                <w:color w:val="auto"/>
              </w:rPr>
            </w:pPr>
            <w:r>
              <w:rPr>
                <w:rFonts w:ascii="Arial" w:cs="Arial" w:eastAsia="Arial" w:hAnsi="Arial"/>
                <w:sz w:val="18"/>
                <w:szCs w:val="18"/>
                <w:color w:val="auto"/>
              </w:rPr>
              <w:t>—</w:t>
            </w:r>
          </w:p>
        </w:tc>
        <w:tc>
          <w:tcPr>
            <w:tcW w:w="1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1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182,582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580" w:type="dxa"/>
            <w:vAlign w:val="bottom"/>
            <w:gridSpan w:val="2"/>
          </w:tcPr>
          <w:p>
            <w:pPr>
              <w:spacing w:after="0"/>
              <w:rPr>
                <w:sz w:val="20"/>
                <w:szCs w:val="20"/>
                <w:color w:val="auto"/>
              </w:rPr>
            </w:pPr>
            <w:r>
              <w:rPr>
                <w:rFonts w:ascii="Arial" w:cs="Arial" w:eastAsia="Arial" w:hAnsi="Arial"/>
                <w:sz w:val="18"/>
                <w:szCs w:val="18"/>
                <w:color w:val="auto"/>
              </w:rPr>
              <w:t>August 28 – September 24, 2016</w:t>
            </w:r>
          </w:p>
        </w:tc>
        <w:tc>
          <w:tcPr>
            <w:tcW w:w="1040" w:type="dxa"/>
            <w:vAlign w:val="bottom"/>
          </w:tcPr>
          <w:p>
            <w:pPr>
              <w:jc w:val="right"/>
              <w:spacing w:after="0"/>
              <w:rPr>
                <w:sz w:val="20"/>
                <w:szCs w:val="20"/>
                <w:color w:val="auto"/>
              </w:rPr>
            </w:pPr>
            <w:r>
              <w:rPr>
                <w:rFonts w:ascii="Arial" w:cs="Arial" w:eastAsia="Arial" w:hAnsi="Arial"/>
                <w:sz w:val="18"/>
                <w:szCs w:val="18"/>
                <w:color w:val="auto"/>
              </w:rPr>
              <w:t>747,017</w:t>
            </w:r>
          </w:p>
        </w:tc>
        <w:tc>
          <w:tcPr>
            <w:tcW w:w="4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12.72</w:t>
            </w:r>
          </w:p>
        </w:tc>
        <w:tc>
          <w:tcPr>
            <w:tcW w:w="1680" w:type="dxa"/>
            <w:vAlign w:val="bottom"/>
          </w:tcPr>
          <w:p>
            <w:pPr>
              <w:jc w:val="right"/>
              <w:spacing w:after="0"/>
              <w:rPr>
                <w:sz w:val="20"/>
                <w:szCs w:val="20"/>
                <w:color w:val="auto"/>
              </w:rPr>
            </w:pPr>
            <w:r>
              <w:rPr>
                <w:rFonts w:ascii="Arial" w:cs="Arial" w:eastAsia="Arial" w:hAnsi="Arial"/>
                <w:sz w:val="18"/>
                <w:szCs w:val="18"/>
                <w:color w:val="auto"/>
              </w:rPr>
              <w:t>747,017</w:t>
            </w:r>
          </w:p>
        </w:tc>
        <w:tc>
          <w:tcPr>
            <w:tcW w:w="3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1580" w:type="dxa"/>
            <w:vAlign w:val="bottom"/>
          </w:tcPr>
          <w:p>
            <w:pPr>
              <w:jc w:val="right"/>
              <w:spacing w:after="0"/>
              <w:rPr>
                <w:sz w:val="20"/>
                <w:szCs w:val="20"/>
                <w:color w:val="auto"/>
              </w:rPr>
            </w:pPr>
            <w:r>
              <w:rPr>
                <w:rFonts w:ascii="Arial" w:cs="Arial" w:eastAsia="Arial" w:hAnsi="Arial"/>
                <w:sz w:val="18"/>
                <w:szCs w:val="18"/>
                <w:color w:val="auto"/>
              </w:rPr>
              <w:t>173,074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September 25 – October 29, 2016</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3,614,376</w:t>
            </w:r>
          </w:p>
        </w:tc>
        <w:tc>
          <w:tcPr>
            <w:tcW w:w="44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13.00</w:t>
            </w:r>
          </w:p>
        </w:tc>
        <w:tc>
          <w:tcPr>
            <w:tcW w:w="16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3,614,376</w:t>
            </w:r>
          </w:p>
        </w:tc>
        <w:tc>
          <w:tcPr>
            <w:tcW w:w="32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w:t>
            </w:r>
          </w:p>
        </w:tc>
        <w:tc>
          <w:tcPr>
            <w:tcW w:w="1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126,051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80" w:type="dxa"/>
            <w:vAlign w:val="bottom"/>
            <w:gridSpan w:val="2"/>
          </w:tcPr>
          <w:p>
            <w:pPr>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4,361,393</w:t>
            </w:r>
          </w:p>
        </w:tc>
        <w:tc>
          <w:tcPr>
            <w:tcW w:w="440" w:type="dxa"/>
            <w:vAlign w:val="bottom"/>
            <w:gridSpan w:val="2"/>
          </w:tcPr>
          <w:p>
            <w:pPr>
              <w:ind w:left="160"/>
              <w:spacing w:after="0"/>
              <w:rPr>
                <w:sz w:val="20"/>
                <w:szCs w:val="20"/>
                <w:color w:val="auto"/>
              </w:rPr>
            </w:pPr>
            <w:r>
              <w:rPr>
                <w:rFonts w:ascii="Arial" w:cs="Arial" w:eastAsia="Arial" w:hAnsi="Arial"/>
                <w:sz w:val="18"/>
                <w:szCs w:val="18"/>
                <w:color w:val="auto"/>
              </w:rPr>
              <w:t>$</w:t>
            </w: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12.95</w:t>
            </w:r>
          </w:p>
        </w:tc>
        <w:tc>
          <w:tcPr>
            <w:tcW w:w="1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4,361,393</w:t>
            </w:r>
          </w:p>
        </w:tc>
        <w:tc>
          <w:tcPr>
            <w:tcW w:w="32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1580" w:type="dxa"/>
            <w:vAlign w:val="bottom"/>
          </w:tcPr>
          <w:p>
            <w:pPr>
              <w:jc w:val="right"/>
              <w:spacing w:after="0"/>
              <w:rPr>
                <w:sz w:val="20"/>
                <w:szCs w:val="20"/>
                <w:color w:val="auto"/>
              </w:rPr>
            </w:pPr>
            <w:r>
              <w:rPr>
                <w:rFonts w:ascii="Arial" w:cs="Arial" w:eastAsia="Arial" w:hAnsi="Arial"/>
                <w:sz w:val="18"/>
                <w:szCs w:val="18"/>
                <w:color w:val="auto"/>
              </w:rPr>
              <w:t>126,051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68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120" w:hanging="452"/>
        <w:spacing w:after="0" w:line="254"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October 29, 2016, are based on our fiscal accounting periods which follow a quarterly 4-4-5 week fiscal accounting period.</w:t>
      </w:r>
    </w:p>
    <w:p>
      <w:pPr>
        <w:ind w:left="460" w:right="40" w:hanging="452"/>
        <w:spacing w:after="0" w:line="290" w:lineRule="auto"/>
        <w:tabs>
          <w:tab w:leader="none" w:pos="460" w:val="left"/>
        </w:tabs>
        <w:numPr>
          <w:ilvl w:val="0"/>
          <w:numId w:val="19"/>
        </w:numPr>
        <w:rPr>
          <w:rFonts w:ascii="Arial" w:cs="Arial" w:eastAsia="Arial" w:hAnsi="Arial"/>
          <w:sz w:val="16"/>
          <w:szCs w:val="16"/>
          <w:color w:val="auto"/>
        </w:rPr>
      </w:pPr>
      <w:r>
        <w:rPr>
          <w:rFonts w:ascii="Arial" w:cs="Arial" w:eastAsia="Arial" w:hAnsi="Arial"/>
          <w:sz w:val="16"/>
          <w:szCs w:val="16"/>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27, 2016.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58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180" w:type="dxa"/>
            <w:vAlign w:val="bottom"/>
            <w:gridSpan w:val="2"/>
          </w:tcPr>
          <w:p>
            <w:pPr>
              <w:spacing w:after="0"/>
              <w:rPr>
                <w:sz w:val="20"/>
                <w:szCs w:val="20"/>
                <w:color w:val="auto"/>
              </w:rPr>
            </w:pPr>
            <w:r>
              <w:rPr>
                <w:rFonts w:ascii="Arial" w:cs="Arial" w:eastAsia="Arial" w:hAnsi="Arial"/>
                <w:sz w:val="14"/>
                <w:szCs w:val="14"/>
                <w:color w:val="auto"/>
              </w:rPr>
              <w:t>Incorporated by</w:t>
            </w:r>
          </w:p>
        </w:tc>
        <w:tc>
          <w:tcPr>
            <w:tcW w:w="1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640" w:type="dxa"/>
            <w:vAlign w:val="bottom"/>
            <w:vMerge w:val="restart"/>
          </w:tcPr>
          <w:p>
            <w:pPr>
              <w:spacing w:after="0"/>
              <w:rPr>
                <w:sz w:val="20"/>
                <w:szCs w:val="20"/>
                <w:color w:val="auto"/>
              </w:rPr>
            </w:pPr>
            <w:r>
              <w:rPr>
                <w:rFonts w:ascii="Arial" w:cs="Arial" w:eastAsia="Arial" w:hAnsi="Arial"/>
                <w:sz w:val="14"/>
                <w:szCs w:val="14"/>
                <w:color w:val="auto"/>
                <w:w w:val="91"/>
              </w:rPr>
              <w:t>Exhibit No.</w:t>
            </w:r>
          </w:p>
        </w:tc>
        <w:tc>
          <w:tcPr>
            <w:tcW w:w="320" w:type="dxa"/>
            <w:vAlign w:val="bottom"/>
          </w:tcPr>
          <w:p>
            <w:pPr>
              <w:spacing w:after="0"/>
              <w:rPr>
                <w:sz w:val="12"/>
                <w:szCs w:val="12"/>
                <w:color w:val="auto"/>
              </w:rPr>
            </w:pPr>
          </w:p>
        </w:tc>
        <w:tc>
          <w:tcPr>
            <w:tcW w:w="6140" w:type="dxa"/>
            <w:vAlign w:val="bottom"/>
            <w:gridSpan w:val="2"/>
            <w:vMerge w:val="restart"/>
          </w:tcPr>
          <w:p>
            <w:pPr>
              <w:ind w:left="2800"/>
              <w:spacing w:after="0"/>
              <w:rPr>
                <w:sz w:val="20"/>
                <w:szCs w:val="20"/>
                <w:color w:val="auto"/>
              </w:rPr>
            </w:pPr>
            <w:r>
              <w:rPr>
                <w:rFonts w:ascii="Arial" w:cs="Arial" w:eastAsia="Arial" w:hAnsi="Arial"/>
                <w:sz w:val="14"/>
                <w:szCs w:val="14"/>
                <w:color w:val="auto"/>
              </w:rPr>
              <w:t>Item</w:t>
            </w: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18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Reference from</w:t>
            </w:r>
          </w:p>
        </w:tc>
        <w:tc>
          <w:tcPr>
            <w:tcW w:w="1140" w:type="dxa"/>
            <w:vAlign w:val="bottom"/>
            <w:vMerge w:val="restart"/>
          </w:tcPr>
          <w:p>
            <w:pPr>
              <w:jc w:val="center"/>
              <w:spacing w:after="0"/>
              <w:rPr>
                <w:sz w:val="20"/>
                <w:szCs w:val="20"/>
                <w:color w:val="auto"/>
              </w:rPr>
            </w:pPr>
            <w:r>
              <w:rPr>
                <w:rFonts w:ascii="Arial" w:cs="Arial" w:eastAsia="Arial" w:hAnsi="Arial"/>
                <w:sz w:val="14"/>
                <w:szCs w:val="14"/>
                <w:color w:val="auto"/>
                <w:w w:val="89"/>
              </w:rPr>
              <w:t>Filed with SEC</w:t>
            </w: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40" w:type="dxa"/>
            <w:vAlign w:val="bottom"/>
            <w:vMerge w:val="continue"/>
          </w:tcPr>
          <w:p>
            <w:pPr>
              <w:spacing w:after="0"/>
              <w:rPr>
                <w:sz w:val="13"/>
                <w:szCs w:val="13"/>
                <w:color w:val="auto"/>
              </w:rPr>
            </w:pPr>
          </w:p>
        </w:tc>
        <w:tc>
          <w:tcPr>
            <w:tcW w:w="320" w:type="dxa"/>
            <w:vAlign w:val="bottom"/>
          </w:tcPr>
          <w:p>
            <w:pPr>
              <w:spacing w:after="0"/>
              <w:rPr>
                <w:sz w:val="13"/>
                <w:szCs w:val="13"/>
                <w:color w:val="auto"/>
              </w:rPr>
            </w:pPr>
          </w:p>
        </w:tc>
        <w:tc>
          <w:tcPr>
            <w:tcW w:w="6140" w:type="dxa"/>
            <w:vAlign w:val="bottom"/>
            <w:gridSpan w:val="2"/>
            <w:vMerge w:val="continue"/>
          </w:tcPr>
          <w:p>
            <w:pPr>
              <w:spacing w:after="0"/>
              <w:rPr>
                <w:sz w:val="13"/>
                <w:szCs w:val="13"/>
                <w:color w:val="auto"/>
              </w:rPr>
            </w:pPr>
          </w:p>
        </w:tc>
        <w:tc>
          <w:tcPr>
            <w:tcW w:w="740" w:type="dxa"/>
            <w:vAlign w:val="bottom"/>
            <w:gridSpan w:val="2"/>
          </w:tcPr>
          <w:p>
            <w:pPr>
              <w:jc w:val="right"/>
              <w:ind w:right="420"/>
              <w:spacing w:after="0" w:line="159" w:lineRule="exact"/>
              <w:rPr>
                <w:sz w:val="20"/>
                <w:szCs w:val="20"/>
                <w:color w:val="auto"/>
              </w:rPr>
            </w:pPr>
            <w:r>
              <w:rPr>
                <w:rFonts w:ascii="Arial" w:cs="Arial" w:eastAsia="Arial" w:hAnsi="Arial"/>
                <w:sz w:val="14"/>
                <w:szCs w:val="14"/>
                <w:color w:val="auto"/>
                <w:w w:val="91"/>
              </w:rPr>
              <w:t>Form</w:t>
            </w:r>
          </w:p>
        </w:tc>
        <w:tc>
          <w:tcPr>
            <w:tcW w:w="1240" w:type="dxa"/>
            <w:vAlign w:val="bottom"/>
            <w:gridSpan w:val="2"/>
          </w:tcPr>
          <w:p>
            <w:pPr>
              <w:ind w:left="80"/>
              <w:spacing w:after="0" w:line="159" w:lineRule="exact"/>
              <w:rPr>
                <w:sz w:val="20"/>
                <w:szCs w:val="20"/>
                <w:color w:val="auto"/>
              </w:rPr>
            </w:pPr>
            <w:r>
              <w:rPr>
                <w:rFonts w:ascii="Arial" w:cs="Arial" w:eastAsia="Arial" w:hAnsi="Arial"/>
                <w:sz w:val="14"/>
                <w:szCs w:val="14"/>
                <w:color w:val="auto"/>
              </w:rPr>
              <w:t>File Number</w:t>
            </w:r>
          </w:p>
        </w:tc>
        <w:tc>
          <w:tcPr>
            <w:tcW w:w="1180" w:type="dxa"/>
            <w:vAlign w:val="bottom"/>
            <w:gridSpan w:val="2"/>
          </w:tcPr>
          <w:p>
            <w:pPr>
              <w:spacing w:after="0" w:line="159" w:lineRule="exact"/>
              <w:rPr>
                <w:sz w:val="20"/>
                <w:szCs w:val="20"/>
                <w:color w:val="auto"/>
              </w:rPr>
            </w:pPr>
            <w:r>
              <w:rPr>
                <w:rFonts w:ascii="Arial" w:cs="Arial" w:eastAsia="Arial" w:hAnsi="Arial"/>
                <w:sz w:val="14"/>
                <w:szCs w:val="14"/>
                <w:color w:val="auto"/>
              </w:rPr>
              <w:t>Exhibit Number</w:t>
            </w: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Borders>
              <w:top w:val="single" w:sz="8" w:color="auto"/>
            </w:tcBorders>
          </w:tcPr>
          <w:p>
            <w:pPr>
              <w:jc w:val="right"/>
              <w:ind w:right="182"/>
              <w:spacing w:after="0"/>
              <w:rPr>
                <w:sz w:val="20"/>
                <w:szCs w:val="20"/>
                <w:color w:val="auto"/>
              </w:rPr>
            </w:pPr>
            <w:r>
              <w:rPr>
                <w:rFonts w:ascii="Arial" w:cs="Arial" w:eastAsia="Arial" w:hAnsi="Arial"/>
                <w:sz w:val="18"/>
                <w:szCs w:val="18"/>
                <w:color w:val="auto"/>
              </w:rPr>
              <w:t>3.1</w:t>
            </w:r>
          </w:p>
        </w:tc>
        <w:tc>
          <w:tcPr>
            <w:tcW w:w="320" w:type="dxa"/>
            <w:vAlign w:val="bottom"/>
          </w:tcPr>
          <w:p>
            <w:pPr>
              <w:spacing w:after="0"/>
              <w:rPr>
                <w:sz w:val="18"/>
                <w:szCs w:val="18"/>
                <w:color w:val="auto"/>
              </w:rPr>
            </w:pPr>
          </w:p>
        </w:tc>
        <w:tc>
          <w:tcPr>
            <w:tcW w:w="584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Memorandum of Association of Marvell Technology Group Ltd.</w:t>
            </w:r>
          </w:p>
        </w:tc>
        <w:tc>
          <w:tcPr>
            <w:tcW w:w="300" w:type="dxa"/>
            <w:vAlign w:val="bottom"/>
          </w:tcPr>
          <w:p>
            <w:pPr>
              <w:spacing w:after="0"/>
              <w:rPr>
                <w:sz w:val="18"/>
                <w:szCs w:val="18"/>
                <w:color w:val="auto"/>
              </w:rPr>
            </w:pPr>
          </w:p>
        </w:tc>
        <w:tc>
          <w:tcPr>
            <w:tcW w:w="3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S-1</w:t>
            </w:r>
          </w:p>
        </w:tc>
        <w:tc>
          <w:tcPr>
            <w:tcW w:w="400" w:type="dxa"/>
            <w:vAlign w:val="bottom"/>
          </w:tcPr>
          <w:p>
            <w:pPr>
              <w:spacing w:after="0"/>
              <w:rPr>
                <w:sz w:val="18"/>
                <w:szCs w:val="18"/>
                <w:color w:val="auto"/>
              </w:rPr>
            </w:pPr>
          </w:p>
        </w:tc>
        <w:tc>
          <w:tcPr>
            <w:tcW w:w="840" w:type="dxa"/>
            <w:vAlign w:val="bottom"/>
            <w:tcBorders>
              <w:top w:val="single" w:sz="8" w:color="auto"/>
            </w:tcBorders>
          </w:tcPr>
          <w:p>
            <w:pPr>
              <w:ind w:left="80"/>
              <w:spacing w:after="0"/>
              <w:rPr>
                <w:sz w:val="20"/>
                <w:szCs w:val="20"/>
                <w:color w:val="auto"/>
              </w:rPr>
            </w:pPr>
            <w:r>
              <w:rPr>
                <w:rFonts w:ascii="Arial" w:cs="Arial" w:eastAsia="Arial" w:hAnsi="Arial"/>
                <w:sz w:val="18"/>
                <w:szCs w:val="18"/>
                <w:color w:val="auto"/>
                <w:w w:val="85"/>
              </w:rPr>
              <w:t>333-33086</w:t>
            </w:r>
          </w:p>
        </w:tc>
        <w:tc>
          <w:tcPr>
            <w:tcW w:w="400" w:type="dxa"/>
            <w:vAlign w:val="bottom"/>
          </w:tcPr>
          <w:p>
            <w:pPr>
              <w:spacing w:after="0"/>
              <w:rPr>
                <w:sz w:val="18"/>
                <w:szCs w:val="18"/>
                <w:color w:val="auto"/>
              </w:rPr>
            </w:pPr>
          </w:p>
        </w:tc>
        <w:tc>
          <w:tcPr>
            <w:tcW w:w="88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18"/>
                <w:szCs w:val="18"/>
                <w:color w:val="auto"/>
              </w:rPr>
            </w:pPr>
          </w:p>
        </w:tc>
        <w:tc>
          <w:tcPr>
            <w:tcW w:w="11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7"/>
              </w:rPr>
              <w:t>3/23/2000</w:t>
            </w:r>
          </w:p>
        </w:tc>
        <w:tc>
          <w:tcPr>
            <w:tcW w:w="0" w:type="dxa"/>
            <w:vAlign w:val="bottom"/>
          </w:tcPr>
          <w:p>
            <w:pPr>
              <w:spacing w:after="0"/>
              <w:rPr>
                <w:sz w:val="1"/>
                <w:szCs w:val="1"/>
                <w:color w:val="auto"/>
              </w:rPr>
            </w:pPr>
          </w:p>
        </w:tc>
      </w:tr>
      <w:tr>
        <w:trPr>
          <w:trHeight w:val="316"/>
        </w:trPr>
        <w:tc>
          <w:tcPr>
            <w:tcW w:w="660" w:type="dxa"/>
            <w:vAlign w:val="bottom"/>
            <w:gridSpan w:val="2"/>
          </w:tcPr>
          <w:p>
            <w:pPr>
              <w:jc w:val="right"/>
              <w:ind w:right="182"/>
              <w:spacing w:after="0"/>
              <w:rPr>
                <w:sz w:val="20"/>
                <w:szCs w:val="20"/>
                <w:color w:val="auto"/>
              </w:rPr>
            </w:pPr>
            <w:r>
              <w:rPr>
                <w:rFonts w:ascii="Arial" w:cs="Arial" w:eastAsia="Arial" w:hAnsi="Arial"/>
                <w:sz w:val="18"/>
                <w:szCs w:val="18"/>
                <w:color w:val="auto"/>
              </w:rPr>
              <w:t>3.2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Fourth Amended and Restated Bye-Laws of Marvell Technology Group Ltd.</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6"/>
              </w:rPr>
              <w:t>11/10/2016</w:t>
            </w:r>
          </w:p>
        </w:tc>
        <w:tc>
          <w:tcPr>
            <w:tcW w:w="0" w:type="dxa"/>
            <w:vAlign w:val="bottom"/>
          </w:tcPr>
          <w:p>
            <w:pPr>
              <w:spacing w:after="0"/>
              <w:rPr>
                <w:sz w:val="1"/>
                <w:szCs w:val="1"/>
                <w:color w:val="auto"/>
              </w:rPr>
            </w:pPr>
          </w:p>
        </w:tc>
      </w:tr>
      <w:tr>
        <w:trPr>
          <w:trHeight w:val="324"/>
        </w:trPr>
        <w:tc>
          <w:tcPr>
            <w:tcW w:w="660" w:type="dxa"/>
            <w:vAlign w:val="bottom"/>
            <w:gridSpan w:val="2"/>
          </w:tcPr>
          <w:p>
            <w:pPr>
              <w:jc w:val="right"/>
              <w:ind w:right="182"/>
              <w:spacing w:after="0"/>
              <w:rPr>
                <w:sz w:val="20"/>
                <w:szCs w:val="20"/>
                <w:color w:val="auto"/>
              </w:rPr>
            </w:pPr>
            <w:r>
              <w:rPr>
                <w:rFonts w:ascii="Arial" w:cs="Arial" w:eastAsia="Arial" w:hAnsi="Arial"/>
                <w:sz w:val="18"/>
                <w:szCs w:val="18"/>
                <w:color w:val="auto"/>
              </w:rPr>
              <w:t>3.3</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Memorandum of Increase of Share Capital of Marvell Technology Group Ltd.</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7"/>
              </w:rPr>
              <w:t>3.1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8"/>
              </w:rPr>
              <w:t>7/6/2006</w:t>
            </w:r>
          </w:p>
        </w:tc>
        <w:tc>
          <w:tcPr>
            <w:tcW w:w="0" w:type="dxa"/>
            <w:vAlign w:val="bottom"/>
          </w:tcPr>
          <w:p>
            <w:pPr>
              <w:spacing w:after="0"/>
              <w:rPr>
                <w:sz w:val="1"/>
                <w:szCs w:val="1"/>
                <w:color w:val="auto"/>
              </w:rPr>
            </w:pPr>
          </w:p>
        </w:tc>
      </w:tr>
      <w:tr>
        <w:trPr>
          <w:trHeight w:val="324"/>
        </w:trPr>
        <w:tc>
          <w:tcPr>
            <w:tcW w:w="660" w:type="dxa"/>
            <w:vAlign w:val="bottom"/>
            <w:gridSpan w:val="2"/>
          </w:tcPr>
          <w:p>
            <w:pPr>
              <w:jc w:val="right"/>
              <w:ind w:right="82"/>
              <w:spacing w:after="0"/>
              <w:rPr>
                <w:sz w:val="20"/>
                <w:szCs w:val="20"/>
                <w:color w:val="auto"/>
              </w:rPr>
            </w:pPr>
            <w:r>
              <w:rPr>
                <w:rFonts w:ascii="Arial" w:cs="Arial" w:eastAsia="Arial" w:hAnsi="Arial"/>
                <w:sz w:val="18"/>
                <w:szCs w:val="18"/>
                <w:color w:val="auto"/>
              </w:rPr>
              <w:t>10.1#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Offer Letter between the Company and Jean Hu</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5"/>
              </w:rPr>
              <w:t>10.1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7"/>
              </w:rPr>
              <w:t>8/23/2016</w:t>
            </w:r>
          </w:p>
        </w:tc>
        <w:tc>
          <w:tcPr>
            <w:tcW w:w="0" w:type="dxa"/>
            <w:vAlign w:val="bottom"/>
          </w:tcPr>
          <w:p>
            <w:pPr>
              <w:spacing w:after="0"/>
              <w:rPr>
                <w:sz w:val="1"/>
                <w:szCs w:val="1"/>
                <w:color w:val="auto"/>
              </w:rPr>
            </w:pPr>
          </w:p>
        </w:tc>
      </w:tr>
      <w:tr>
        <w:trPr>
          <w:trHeight w:val="324"/>
        </w:trPr>
        <w:tc>
          <w:tcPr>
            <w:tcW w:w="660" w:type="dxa"/>
            <w:vAlign w:val="bottom"/>
            <w:gridSpan w:val="2"/>
          </w:tcPr>
          <w:p>
            <w:pPr>
              <w:jc w:val="right"/>
              <w:ind w:right="82"/>
              <w:spacing w:after="0"/>
              <w:rPr>
                <w:sz w:val="20"/>
                <w:szCs w:val="20"/>
                <w:color w:val="auto"/>
              </w:rPr>
            </w:pPr>
            <w:r>
              <w:rPr>
                <w:rFonts w:ascii="Arial" w:cs="Arial" w:eastAsia="Arial" w:hAnsi="Arial"/>
                <w:sz w:val="18"/>
                <w:szCs w:val="18"/>
                <w:color w:val="auto"/>
              </w:rPr>
              <w:t>10.2#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Offer Letter between the Company and David Caron</w:t>
            </w:r>
          </w:p>
        </w:tc>
        <w:tc>
          <w:tcPr>
            <w:tcW w:w="740" w:type="dxa"/>
            <w:vAlign w:val="bottom"/>
            <w:gridSpan w:val="2"/>
          </w:tcPr>
          <w:p>
            <w:pPr>
              <w:jc w:val="right"/>
              <w:ind w:right="400"/>
              <w:spacing w:after="0"/>
              <w:rPr>
                <w:sz w:val="20"/>
                <w:szCs w:val="20"/>
                <w:color w:val="auto"/>
              </w:rPr>
            </w:pPr>
            <w:r>
              <w:rPr>
                <w:rFonts w:ascii="Arial" w:cs="Arial" w:eastAsia="Arial" w:hAnsi="Arial"/>
                <w:sz w:val="18"/>
                <w:szCs w:val="18"/>
                <w:color w:val="auto"/>
              </w:rPr>
              <w:t>8-K</w:t>
            </w:r>
          </w:p>
        </w:tc>
        <w:tc>
          <w:tcPr>
            <w:tcW w:w="1240" w:type="dxa"/>
            <w:vAlign w:val="bottom"/>
            <w:gridSpan w:val="2"/>
          </w:tcPr>
          <w:p>
            <w:pPr>
              <w:ind w:left="80"/>
              <w:spacing w:after="0"/>
              <w:rPr>
                <w:sz w:val="20"/>
                <w:szCs w:val="20"/>
                <w:color w:val="auto"/>
              </w:rPr>
            </w:pPr>
            <w:r>
              <w:rPr>
                <w:rFonts w:ascii="Arial" w:cs="Arial" w:eastAsia="Arial" w:hAnsi="Arial"/>
                <w:sz w:val="18"/>
                <w:szCs w:val="18"/>
                <w:color w:val="auto"/>
              </w:rPr>
              <w:t>000-30877</w:t>
            </w:r>
          </w:p>
        </w:tc>
        <w:tc>
          <w:tcPr>
            <w:tcW w:w="880" w:type="dxa"/>
            <w:vAlign w:val="bottom"/>
          </w:tcPr>
          <w:p>
            <w:pPr>
              <w:jc w:val="center"/>
              <w:spacing w:after="0"/>
              <w:rPr>
                <w:sz w:val="20"/>
                <w:szCs w:val="20"/>
                <w:color w:val="auto"/>
              </w:rPr>
            </w:pPr>
            <w:r>
              <w:rPr>
                <w:rFonts w:ascii="Arial" w:cs="Arial" w:eastAsia="Arial" w:hAnsi="Arial"/>
                <w:sz w:val="18"/>
                <w:szCs w:val="18"/>
                <w:color w:val="auto"/>
                <w:w w:val="85"/>
              </w:rPr>
              <w:t>10.1</w:t>
            </w: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87"/>
              </w:rPr>
              <w:t>10/3/2016</w:t>
            </w:r>
          </w:p>
        </w:tc>
        <w:tc>
          <w:tcPr>
            <w:tcW w:w="0" w:type="dxa"/>
            <w:vAlign w:val="bottom"/>
          </w:tcPr>
          <w:p>
            <w:pPr>
              <w:spacing w:after="0"/>
              <w:rPr>
                <w:sz w:val="1"/>
                <w:szCs w:val="1"/>
                <w:color w:val="auto"/>
              </w:rPr>
            </w:pPr>
          </w:p>
        </w:tc>
      </w:tr>
      <w:tr>
        <w:trPr>
          <w:trHeight w:val="324"/>
        </w:trPr>
        <w:tc>
          <w:tcPr>
            <w:tcW w:w="660" w:type="dxa"/>
            <w:vAlign w:val="bottom"/>
            <w:gridSpan w:val="2"/>
          </w:tcPr>
          <w:p>
            <w:pPr>
              <w:jc w:val="right"/>
              <w:ind w:right="182"/>
              <w:spacing w:after="0"/>
              <w:rPr>
                <w:sz w:val="20"/>
                <w:szCs w:val="20"/>
                <w:color w:val="auto"/>
              </w:rPr>
            </w:pPr>
            <w:r>
              <w:rPr>
                <w:rFonts w:ascii="Arial" w:cs="Arial" w:eastAsia="Arial" w:hAnsi="Arial"/>
                <w:sz w:val="18"/>
                <w:szCs w:val="18"/>
                <w:color w:val="auto"/>
              </w:rPr>
              <w:t>31.1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Rule 13a-14(a)/15d-14(a) Certification of the Principal Executive Officer</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jc w:val="right"/>
              <w:ind w:right="182"/>
              <w:spacing w:after="0"/>
              <w:rPr>
                <w:sz w:val="20"/>
                <w:szCs w:val="20"/>
                <w:color w:val="auto"/>
              </w:rPr>
            </w:pPr>
            <w:r>
              <w:rPr>
                <w:rFonts w:ascii="Arial" w:cs="Arial" w:eastAsia="Arial" w:hAnsi="Arial"/>
                <w:sz w:val="18"/>
                <w:szCs w:val="18"/>
                <w:color w:val="auto"/>
              </w:rPr>
              <w:t>31.2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Rule 13a-14(a)/15d-14(a) Certification of the Principal Financial Officer</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18"/>
        </w:trPr>
        <w:tc>
          <w:tcPr>
            <w:tcW w:w="660" w:type="dxa"/>
            <w:vAlign w:val="bottom"/>
            <w:gridSpan w:val="2"/>
          </w:tcPr>
          <w:p>
            <w:pPr>
              <w:jc w:val="right"/>
              <w:ind w:right="82"/>
              <w:spacing w:after="0"/>
              <w:rPr>
                <w:sz w:val="20"/>
                <w:szCs w:val="20"/>
                <w:color w:val="auto"/>
              </w:rPr>
            </w:pPr>
            <w:r>
              <w:rPr>
                <w:rFonts w:ascii="Arial" w:cs="Arial" w:eastAsia="Arial" w:hAnsi="Arial"/>
                <w:sz w:val="18"/>
                <w:szCs w:val="18"/>
                <w:color w:val="auto"/>
              </w:rPr>
              <w:t>32.1*</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Certification Pursuant to 18 U.S.C. Section 1350, as Adopted Pursuant to</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w w:val="99"/>
              </w:rPr>
              <w:t>Section 906 of the Sarbanes-Oxley Act of 2002 for Principal Executive Officer</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18"/>
        </w:trPr>
        <w:tc>
          <w:tcPr>
            <w:tcW w:w="660" w:type="dxa"/>
            <w:vAlign w:val="bottom"/>
            <w:gridSpan w:val="2"/>
          </w:tcPr>
          <w:p>
            <w:pPr>
              <w:jc w:val="right"/>
              <w:ind w:right="82"/>
              <w:spacing w:after="0"/>
              <w:rPr>
                <w:sz w:val="20"/>
                <w:szCs w:val="20"/>
                <w:color w:val="auto"/>
              </w:rPr>
            </w:pPr>
            <w:r>
              <w:rPr>
                <w:rFonts w:ascii="Arial" w:cs="Arial" w:eastAsia="Arial" w:hAnsi="Arial"/>
                <w:sz w:val="18"/>
                <w:szCs w:val="18"/>
                <w:color w:val="auto"/>
              </w:rPr>
              <w:t>32.2*</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Certification Pursuant to 18 U.S.C. Section 1350, as Adopted Pursuant to</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Section 906 of the Sarbanes-Oxley Act of 2002 for Principal Financial Officer</w:t>
            </w:r>
          </w:p>
        </w:tc>
        <w:tc>
          <w:tcPr>
            <w:tcW w:w="3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8"/>
              </w:rPr>
              <w:t>101.INS</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Instance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87"/>
              </w:rPr>
              <w:t>101.SCH</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Schema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1"/>
              </w:rPr>
              <w:t>101.CAL</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Calculation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0"/>
              </w:rPr>
              <w:t>101.DEF</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Definition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92"/>
              </w:rPr>
              <w:t>101.LAB</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Label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24"/>
        </w:trPr>
        <w:tc>
          <w:tcPr>
            <w:tcW w:w="660" w:type="dxa"/>
            <w:vAlign w:val="bottom"/>
            <w:gridSpan w:val="2"/>
          </w:tcPr>
          <w:p>
            <w:pPr>
              <w:spacing w:after="0"/>
              <w:rPr>
                <w:sz w:val="20"/>
                <w:szCs w:val="20"/>
                <w:color w:val="auto"/>
              </w:rPr>
            </w:pPr>
            <w:r>
              <w:rPr>
                <w:rFonts w:ascii="Arial" w:cs="Arial" w:eastAsia="Arial" w:hAnsi="Arial"/>
                <w:sz w:val="18"/>
                <w:szCs w:val="18"/>
                <w:color w:val="auto"/>
                <w:w w:val="88"/>
              </w:rPr>
              <w:t>101.PRE</w:t>
            </w:r>
          </w:p>
        </w:tc>
        <w:tc>
          <w:tcPr>
            <w:tcW w:w="6460" w:type="dxa"/>
            <w:vAlign w:val="bottom"/>
            <w:gridSpan w:val="3"/>
          </w:tcPr>
          <w:p>
            <w:pPr>
              <w:ind w:left="320"/>
              <w:spacing w:after="0"/>
              <w:rPr>
                <w:sz w:val="20"/>
                <w:szCs w:val="20"/>
                <w:color w:val="auto"/>
              </w:rPr>
            </w:pPr>
            <w:r>
              <w:rPr>
                <w:rFonts w:ascii="Arial" w:cs="Arial" w:eastAsia="Arial" w:hAnsi="Arial"/>
                <w:sz w:val="18"/>
                <w:szCs w:val="18"/>
                <w:color w:val="auto"/>
              </w:rPr>
              <w:t>XBRL Taxonomy Extension Presentation Linkbase Document</w:t>
            </w: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18"/>
                <w:szCs w:val="18"/>
                <w:color w:val="auto"/>
                <w:w w:val="91"/>
              </w:rPr>
              <w:t>Filed herewith</w:t>
            </w: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160" w:type="dxa"/>
            <w:vAlign w:val="bottom"/>
            <w:gridSpan w:val="2"/>
          </w:tcPr>
          <w:p>
            <w:pPr>
              <w:jc w:val="right"/>
              <w:ind w:right="942"/>
              <w:spacing w:after="0"/>
              <w:rPr>
                <w:sz w:val="20"/>
                <w:szCs w:val="20"/>
                <w:color w:val="auto"/>
              </w:rPr>
            </w:pPr>
            <w:r>
              <w:rPr>
                <w:rFonts w:ascii="Arial" w:cs="Arial" w:eastAsia="Arial" w:hAnsi="Arial"/>
                <w:sz w:val="18"/>
                <w:szCs w:val="18"/>
                <w:color w:val="auto"/>
              </w:rPr>
              <w:t>55</w:t>
            </w:r>
          </w:p>
        </w:tc>
        <w:tc>
          <w:tcPr>
            <w:tcW w:w="3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hanging="452"/>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15" w:lineRule="exact"/>
        <w:rPr>
          <w:sz w:val="20"/>
          <w:szCs w:val="20"/>
          <w:color w:val="auto"/>
        </w:rPr>
      </w:pPr>
    </w:p>
    <w:p>
      <w:pPr>
        <w:jc w:val="both"/>
        <w:ind w:left="460" w:hanging="452"/>
        <w:spacing w:after="0" w:line="302" w:lineRule="auto"/>
        <w:tabs>
          <w:tab w:leader="none" w:pos="46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6" w:lineRule="exact"/>
        <w:rPr>
          <w:sz w:val="20"/>
          <w:szCs w:val="20"/>
          <w:color w:val="auto"/>
        </w:rPr>
      </w:pPr>
    </w:p>
    <w:p>
      <w:pPr>
        <w:jc w:val="center"/>
        <w:ind w:right="-4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240" w:top="459" w:right="65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9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900" w:val="left"/>
        </w:tabs>
        <w:rPr>
          <w:sz w:val="20"/>
          <w:szCs w:val="20"/>
          <w:color w:val="auto"/>
        </w:rPr>
      </w:pPr>
      <w:r>
        <w:rPr>
          <w:rFonts w:ascii="Arial" w:cs="Arial" w:eastAsia="Arial" w:hAnsi="Arial"/>
          <w:sz w:val="18"/>
          <w:szCs w:val="18"/>
          <w:color w:val="auto"/>
        </w:rPr>
        <w:t>Date: December 6, 2016</w:t>
      </w:r>
      <w:r>
        <w:rPr>
          <w:sz w:val="20"/>
          <w:szCs w:val="20"/>
          <w:color w:val="auto"/>
        </w:rPr>
        <w:tab/>
      </w:r>
      <w:r>
        <w:rPr>
          <w:rFonts w:ascii="Arial" w:cs="Arial" w:eastAsia="Arial" w:hAnsi="Arial"/>
          <w:sz w:val="16"/>
          <w:szCs w:val="16"/>
          <w:color w:val="auto"/>
        </w:rPr>
        <w:t>By:  /s/ JEAN HU</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400"/>
          </w:cols>
          <w:pgMar w:left="240" w:top="459" w:right="259" w:bottom="1440" w:gutter="0" w:footer="0" w:header="0"/>
        </w:sectPr>
      </w:pPr>
    </w:p>
    <w:bookmarkStart w:id="58" w:name="page59"/>
    <w:bookmarkEnd w:id="58"/>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131" w:lineRule="exact"/>
        <w:rPr>
          <w:sz w:val="20"/>
          <w:szCs w:val="20"/>
          <w:color w:val="auto"/>
        </w:rPr>
      </w:pPr>
    </w:p>
    <w:p>
      <w:pPr>
        <w:ind w:left="460" w:hanging="452"/>
        <w:spacing w:after="0"/>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22"/>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December 6, 2016</w:t>
      </w:r>
      <w:r>
        <w:rPr>
          <w:sz w:val="20"/>
          <w:szCs w:val="20"/>
          <w:color w:val="auto"/>
        </w:rPr>
        <w:tab/>
      </w:r>
      <w:r>
        <w:rPr>
          <w:rFonts w:ascii="Arial" w:cs="Arial" w:eastAsia="Arial" w:hAnsi="Arial"/>
          <w:sz w:val="17"/>
          <w:szCs w:val="17"/>
          <w:color w:val="auto"/>
        </w:rPr>
        <w:t>By:  /s/ MATTHEW J. MURPHY</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-130810</wp:posOffset>
            </wp:positionV>
            <wp:extent cx="32588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9" w:name="page60"/>
    <w:bookmarkEnd w:id="59"/>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131" w:lineRule="exact"/>
        <w:rPr>
          <w:sz w:val="20"/>
          <w:szCs w:val="20"/>
          <w:color w:val="auto"/>
        </w:rPr>
      </w:pPr>
    </w:p>
    <w:p>
      <w:pPr>
        <w:ind w:left="460" w:hanging="452"/>
        <w:spacing w:after="0"/>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jc w:val="both"/>
        <w:ind w:left="900" w:right="800" w:hanging="446"/>
        <w:spacing w:after="0" w:line="342" w:lineRule="auto"/>
        <w:tabs>
          <w:tab w:leader="none" w:pos="900" w:val="left"/>
        </w:tabs>
        <w:numPr>
          <w:ilvl w:val="1"/>
          <w:numId w:val="2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December 6, 2016</w:t>
      </w:r>
      <w:r>
        <w:rPr>
          <w:sz w:val="20"/>
          <w:szCs w:val="20"/>
          <w:color w:val="auto"/>
        </w:rPr>
        <w:tab/>
      </w:r>
      <w:r>
        <w:rPr>
          <w:rFonts w:ascii="Arial" w:cs="Arial" w:eastAsia="Arial" w:hAnsi="Arial"/>
          <w:sz w:val="17"/>
          <w:szCs w:val="17"/>
          <w:color w:val="auto"/>
        </w:rPr>
        <w:t>By:  /s/ JEAN HU</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-130810</wp:posOffset>
            </wp:positionV>
            <wp:extent cx="325882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60" w:name="page61"/>
    <w:bookmarkEnd w:id="60"/>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600" w:hanging="446"/>
        <w:spacing w:after="0" w:line="277" w:lineRule="auto"/>
        <w:tabs>
          <w:tab w:leader="none" w:pos="90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29,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4"/>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December 6, 2016</w:t>
      </w:r>
      <w:r>
        <w:rPr>
          <w:sz w:val="20"/>
          <w:szCs w:val="20"/>
          <w:color w:val="auto"/>
        </w:rPr>
        <w:tab/>
      </w:r>
      <w:r>
        <w:rPr>
          <w:rFonts w:ascii="Arial" w:cs="Arial" w:eastAsia="Arial" w:hAnsi="Arial"/>
          <w:sz w:val="17"/>
          <w:szCs w:val="17"/>
          <w:color w:val="auto"/>
        </w:rPr>
        <w:t>By:  /s/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2"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I, Jean Hu, the Chief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600" w:hanging="446"/>
        <w:spacing w:after="0" w:line="277" w:lineRule="auto"/>
        <w:tabs>
          <w:tab w:leader="none" w:pos="9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29, 2016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75"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December 6, 2016</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2"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352255A"/>
    <w:multiLevelType w:val="hybridMultilevel"/>
    <w:lvl w:ilvl="0">
      <w:lvlJc w:val="left"/>
      <w:lvlText w:val="☒"/>
      <w:numFmt w:val="bullet"/>
      <w:start w:val="1"/>
    </w:lvl>
  </w:abstractNum>
  <w:abstractNum w:abstractNumId="1">
    <w:nsid w:val="109CF92E"/>
    <w:multiLevelType w:val="hybridMultilevel"/>
    <w:lvl w:ilvl="0">
      <w:lvlJc w:val="left"/>
      <w:lvlText w:val="☐"/>
      <w:numFmt w:val="bullet"/>
      <w:start w:val="1"/>
    </w:lvl>
  </w:abstractNum>
  <w:abstractNum w:abstractNumId="2">
    <w:nsid w:val="DED7263"/>
    <w:multiLevelType w:val="hybridMultilevel"/>
    <w:lvl w:ilvl="0">
      <w:lvlJc w:val="left"/>
      <w:lvlText w:val="*"/>
      <w:numFmt w:val="bullet"/>
      <w:start w:val="1"/>
    </w:lvl>
  </w:abstractNum>
  <w:abstractNum w:abstractNumId="3">
    <w:nsid w:val="7FDCC233"/>
    <w:multiLevelType w:val="hybridMultilevel"/>
    <w:lvl w:ilvl="0">
      <w:lvlJc w:val="left"/>
      <w:lvlText w:val="•"/>
      <w:numFmt w:val="bullet"/>
      <w:start w:val="1"/>
    </w:lvl>
  </w:abstractNum>
  <w:abstractNum w:abstractNumId="4">
    <w:nsid w:val="1BEFD79F"/>
    <w:multiLevelType w:val="hybridMultilevel"/>
    <w:lvl w:ilvl="0">
      <w:lvlJc w:val="left"/>
      <w:lvlText w:val="*"/>
      <w:numFmt w:val="bullet"/>
      <w:start w:val="1"/>
    </w:lvl>
  </w:abstractNum>
  <w:abstractNum w:abstractNumId="5">
    <w:nsid w:val="41A7C4C9"/>
    <w:multiLevelType w:val="hybridMultilevel"/>
    <w:lvl w:ilvl="0">
      <w:lvlJc w:val="left"/>
      <w:lvlText w:val="**"/>
      <w:numFmt w:val="bullet"/>
      <w:start w:val="1"/>
    </w:lvl>
  </w:abstractNum>
  <w:abstractNum w:abstractNumId="6">
    <w:nsid w:val="6B68079A"/>
    <w:multiLevelType w:val="hybridMultilevel"/>
    <w:lvl w:ilvl="0">
      <w:lvlJc w:val="left"/>
      <w:lvlText w:val="(%1)"/>
      <w:numFmt w:val="lowerLetter"/>
      <w:start w:val="1"/>
    </w:lvl>
  </w:abstractNum>
  <w:abstractNum w:abstractNumId="7">
    <w:nsid w:val="4E6AFB66"/>
    <w:multiLevelType w:val="hybridMultilevel"/>
    <w:lvl w:ilvl="0">
      <w:lvlJc w:val="left"/>
      <w:lvlText w:val="•"/>
      <w:numFmt w:val="bullet"/>
      <w:start w:val="1"/>
    </w:lvl>
  </w:abstractNum>
  <w:abstractNum w:abstractNumId="8">
    <w:nsid w:val="25E45D32"/>
    <w:multiLevelType w:val="hybridMultilevel"/>
    <w:lvl w:ilvl="0">
      <w:lvlJc w:val="left"/>
      <w:lvlText w:val="•"/>
      <w:numFmt w:val="bullet"/>
      <w:start w:val="1"/>
    </w:lvl>
  </w:abstractNum>
  <w:abstractNum w:abstractNumId="9">
    <w:nsid w:val="519B500D"/>
    <w:multiLevelType w:val="hybridMultilevel"/>
    <w:lvl w:ilvl="0">
      <w:lvlJc w:val="left"/>
      <w:lvlText w:val="•"/>
      <w:numFmt w:val="bullet"/>
      <w:start w:val="1"/>
    </w:lvl>
  </w:abstractNum>
  <w:abstractNum w:abstractNumId="10">
    <w:nsid w:val="431BD7B7"/>
    <w:multiLevelType w:val="hybridMultilevel"/>
    <w:lvl w:ilvl="0">
      <w:lvlJc w:val="left"/>
      <w:lvlText w:val="•"/>
      <w:numFmt w:val="bullet"/>
      <w:start w:val="1"/>
    </w:lvl>
  </w:abstractNum>
  <w:abstractNum w:abstractNumId="11">
    <w:nsid w:val="3F2DBA31"/>
    <w:multiLevelType w:val="hybridMultilevel"/>
    <w:lvl w:ilvl="0">
      <w:lvlJc w:val="left"/>
      <w:lvlText w:val="•"/>
      <w:numFmt w:val="bullet"/>
      <w:start w:val="1"/>
    </w:lvl>
  </w:abstractNum>
  <w:abstractNum w:abstractNumId="12">
    <w:nsid w:val="7C83E458"/>
    <w:multiLevelType w:val="hybridMultilevel"/>
    <w:lvl w:ilvl="0">
      <w:lvlJc w:val="left"/>
      <w:lvlText w:val="•"/>
      <w:numFmt w:val="bullet"/>
      <w:start w:val="1"/>
    </w:lvl>
  </w:abstractNum>
  <w:abstractNum w:abstractNumId="13">
    <w:nsid w:val="257130A3"/>
    <w:multiLevelType w:val="hybridMultilevel"/>
    <w:lvl w:ilvl="0">
      <w:lvlJc w:val="left"/>
      <w:lvlText w:val="•"/>
      <w:numFmt w:val="bullet"/>
      <w:start w:val="1"/>
    </w:lvl>
  </w:abstractNum>
  <w:abstractNum w:abstractNumId="14">
    <w:nsid w:val="62BBD95A"/>
    <w:multiLevelType w:val="hybridMultilevel"/>
    <w:lvl w:ilvl="0">
      <w:lvlJc w:val="left"/>
      <w:lvlText w:val="•"/>
      <w:numFmt w:val="bullet"/>
      <w:start w:val="1"/>
    </w:lvl>
  </w:abstractNum>
  <w:abstractNum w:abstractNumId="15">
    <w:nsid w:val="436C6125"/>
    <w:multiLevelType w:val="hybridMultilevel"/>
    <w:lvl w:ilvl="0">
      <w:lvlJc w:val="left"/>
      <w:lvlText w:val="•"/>
      <w:numFmt w:val="bullet"/>
      <w:start w:val="1"/>
    </w:lvl>
  </w:abstractNum>
  <w:abstractNum w:abstractNumId="16">
    <w:nsid w:val="628C895D"/>
    <w:multiLevelType w:val="hybridMultilevel"/>
    <w:lvl w:ilvl="0">
      <w:lvlJc w:val="left"/>
      <w:lvlText w:val="•"/>
      <w:numFmt w:val="bullet"/>
      <w:start w:val="1"/>
    </w:lvl>
  </w:abstractNum>
  <w:abstractNum w:abstractNumId="17">
    <w:nsid w:val="333AB105"/>
    <w:multiLevelType w:val="hybridMultilevel"/>
    <w:lvl w:ilvl="0">
      <w:lvlJc w:val="left"/>
      <w:lvlText w:val="•"/>
      <w:numFmt w:val="bullet"/>
      <w:start w:val="1"/>
    </w:lvl>
  </w:abstractNum>
  <w:abstractNum w:abstractNumId="18">
    <w:nsid w:val="721DA317"/>
    <w:multiLevelType w:val="hybridMultilevel"/>
    <w:lvl w:ilvl="0">
      <w:lvlJc w:val="left"/>
      <w:lvlText w:val="(%1)"/>
      <w:numFmt w:val="decimal"/>
      <w:start w:val="1"/>
    </w:lvl>
  </w:abstractNum>
  <w:abstractNum w:abstractNumId="19">
    <w:nsid w:val="2443A858"/>
    <w:multiLevelType w:val="hybridMultilevel"/>
    <w:lvl w:ilvl="0">
      <w:lvlJc w:val="left"/>
      <w:lvlText w:val="#"/>
      <w:numFmt w:val="bullet"/>
      <w:start w:val="1"/>
    </w:lvl>
  </w:abstractNum>
  <w:abstractNum w:abstractNumId="20">
    <w:nsid w:val="2D1D5AE9"/>
    <w:multiLevelType w:val="hybridMultilevel"/>
    <w:lvl w:ilvl="0">
      <w:lvlJc w:val="left"/>
      <w:lvlText w:val="*"/>
      <w:numFmt w:val="bullet"/>
      <w:start w:val="1"/>
    </w:lvl>
  </w:abstractNum>
  <w:abstractNum w:abstractNumId="21">
    <w:nsid w:val="6763845E"/>
    <w:multiLevelType w:val="hybridMultilevel"/>
    <w:lvl w:ilvl="0">
      <w:lvlJc w:val="left"/>
      <w:lvlText w:val="%1."/>
      <w:numFmt w:val="decimal"/>
      <w:start w:val="1"/>
    </w:lvl>
    <w:lvl w:ilvl="1">
      <w:lvlJc w:val="left"/>
      <w:lvlText w:val="%2)"/>
      <w:numFmt w:val="lowerLetter"/>
      <w:start w:val="1"/>
    </w:lvl>
  </w:abstractNum>
  <w:abstractNum w:abstractNumId="22">
    <w:nsid w:val="75A2A8D4"/>
    <w:multiLevelType w:val="hybridMultilevel"/>
    <w:lvl w:ilvl="0">
      <w:lvlJc w:val="left"/>
      <w:lvlText w:val="%1."/>
      <w:numFmt w:val="decimal"/>
      <w:start w:val="1"/>
    </w:lvl>
    <w:lvl w:ilvl="1">
      <w:lvlJc w:val="left"/>
      <w:lvlText w:val="%2)"/>
      <w:numFmt w:val="lowerLetter"/>
      <w:start w:val="1"/>
    </w:lvl>
  </w:abstractNum>
  <w:abstractNum w:abstractNumId="23">
    <w:nsid w:val="8EDBDAB"/>
    <w:multiLevelType w:val="hybridMultilevel"/>
    <w:lvl w:ilvl="0">
      <w:lvlJc w:val="left"/>
      <w:lvlText w:val="(%1)"/>
      <w:numFmt w:val="lowerRoman"/>
      <w:start w:val="1"/>
    </w:lvl>
  </w:abstractNum>
  <w:abstractNum w:abstractNumId="24">
    <w:nsid w:val="79838CB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2019-12-29T08:30:07Z</dcterms:created>
  <dcterms:modified xsi:type="dcterms:W3CDTF">2019-12-29T08:30:07Z</dcterms:modified>
</cp:coreProperties>
</file>