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7"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250825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5"/>
          <w:szCs w:val="25"/>
          <w:b w:val="1"/>
          <w:bCs w:val="1"/>
          <w:color w:val="auto"/>
        </w:rPr>
        <w:t>CURRENT REPORT</w:t>
      </w:r>
    </w:p>
    <w:p>
      <w:pPr>
        <w:spacing w:after="0" w:line="223"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Pursuant to Section 13 or 15(d) of the Securities Exchange Act of 1934</w:t>
      </w:r>
    </w:p>
    <w:p>
      <w:pPr>
        <w:spacing w:after="0" w:line="206"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December 7,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236855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1"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2"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58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jc w:val="center"/>
        <w:ind w:right="2300"/>
        <w:spacing w:after="0"/>
        <w:rPr>
          <w:sz w:val="20"/>
          <w:szCs w:val="20"/>
          <w:color w:val="auto"/>
        </w:rPr>
      </w:pPr>
      <w:r>
        <w:rPr>
          <w:rFonts w:ascii="Times New Roman" w:cs="Times New Roman" w:eastAsia="Times New Roman" w:hAnsi="Times New Roman"/>
          <w:sz w:val="17"/>
          <w:szCs w:val="17"/>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12" w:lineRule="exact"/>
        <w:rPr>
          <w:sz w:val="24"/>
          <w:szCs w:val="24"/>
          <w:color w:val="auto"/>
        </w:rPr>
      </w:pPr>
    </w:p>
    <w:p>
      <w:pPr>
        <w:sectPr>
          <w:pgSz w:w="11900" w:h="16838" w:orient="portrait"/>
          <w:cols w:equalWidth="0" w:num="3">
            <w:col w:w="4820" w:space="720"/>
            <w:col w:w="2900" w:space="720"/>
            <w:col w:w="2220"/>
          </w:cols>
          <w:pgMar w:left="240" w:top="362" w:right="279" w:bottom="1440" w:gutter="0" w:footer="0" w:header="0"/>
          <w:type w:val="continuous"/>
        </w:sectPr>
      </w:pPr>
    </w:p>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p>
      <w:pPr>
        <w:jc w:val="center"/>
        <w:ind w:right="400"/>
        <w:spacing w:after="0"/>
        <w:rPr>
          <w:sz w:val="20"/>
          <w:szCs w:val="20"/>
          <w:color w:val="auto"/>
        </w:rPr>
      </w:pPr>
      <w:r>
        <w:rPr>
          <w:rFonts w:ascii="Times New Roman" w:cs="Times New Roman" w:eastAsia="Times New Roman" w:hAnsi="Times New Roman"/>
          <w:sz w:val="14"/>
          <w:szCs w:val="14"/>
          <w:b w:val="1"/>
          <w:bCs w:val="1"/>
          <w:color w:val="auto"/>
        </w:rPr>
        <w:t>incorporation)</w:t>
      </w:r>
    </w:p>
    <w:p>
      <w:pPr>
        <w:spacing w:after="0" w:line="20" w:lineRule="exact"/>
        <w:rPr>
          <w:sz w:val="24"/>
          <w:szCs w:val="24"/>
          <w:color w:val="auto"/>
        </w:rPr>
      </w:pPr>
      <w:r>
        <w:rPr>
          <w:sz w:val="24"/>
          <w:szCs w:val="24"/>
          <w:color w:val="auto"/>
        </w:rPr>
        <w:br w:type="column"/>
      </w:r>
    </w:p>
    <w:p>
      <w:pPr>
        <w:jc w:val="center"/>
        <w:ind w:right="1640"/>
        <w:spacing w:after="0"/>
        <w:rPr>
          <w:sz w:val="20"/>
          <w:szCs w:val="20"/>
          <w:color w:val="auto"/>
        </w:rPr>
      </w:pPr>
      <w:r>
        <w:rPr>
          <w:rFonts w:ascii="Times New Roman" w:cs="Times New Roman" w:eastAsia="Times New Roman" w:hAnsi="Times New Roman"/>
          <w:sz w:val="14"/>
          <w:szCs w:val="14"/>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280" w:space="720"/>
            <w:col w:w="3320" w:space="720"/>
            <w:col w:w="2340"/>
          </w:cols>
          <w:pgMar w:left="240" w:top="362" w:right="279" w:bottom="1440" w:gutter="0" w:footer="0" w:header="0"/>
          <w:type w:val="continuous"/>
        </w:sectPr>
      </w:pPr>
    </w:p>
    <w:p>
      <w:pPr>
        <w:spacing w:after="0" w:line="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18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18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25"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2" w:right="279" w:bottom="1440" w:gutter="0" w:footer="0" w:header="0"/>
          <w:type w:val="continuous"/>
        </w:sectPr>
      </w:pPr>
    </w:p>
    <w:p>
      <w:pPr>
        <w:spacing w:after="0" w:line="200" w:lineRule="exact"/>
        <w:rPr>
          <w:sz w:val="24"/>
          <w:szCs w:val="24"/>
          <w:color w:val="auto"/>
        </w:rPr>
      </w:pPr>
    </w:p>
    <w:p>
      <w:pPr>
        <w:spacing w:after="0" w:line="370"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67"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102870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146050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2" w:right="279" w:bottom="1440" w:gutter="0" w:footer="0" w:header="0"/>
          <w:type w:val="continuous"/>
        </w:sectPr>
      </w:pPr>
    </w:p>
    <w:bookmarkStart w:id="1" w:name="page2"/>
    <w:bookmarkEnd w:id="1"/>
    <w:p>
      <w:pPr>
        <w:ind w:left="1040" w:right="140" w:hanging="1025"/>
        <w:spacing w:after="0" w:line="286" w:lineRule="auto"/>
        <w:tabs>
          <w:tab w:leader="none" w:pos="102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Times New Roman" w:cs="Times New Roman" w:eastAsia="Times New Roman" w:hAnsi="Times New Roman"/>
          <w:sz w:val="18"/>
          <w:szCs w:val="18"/>
          <w:b w:val="1"/>
          <w:bCs w:val="1"/>
          <w:color w:val="auto"/>
        </w:rPr>
        <w:t>Departure of Directors or Certain Officers; Election of Directors; Appointment of Certain Officers; Compensatory Arrangements of Certain Officers.</w:t>
      </w:r>
    </w:p>
    <w:p>
      <w:pPr>
        <w:spacing w:after="0" w:line="51" w:lineRule="exact"/>
        <w:rPr>
          <w:sz w:val="20"/>
          <w:szCs w:val="20"/>
          <w:color w:val="auto"/>
        </w:rPr>
      </w:pPr>
    </w:p>
    <w:p>
      <w:pPr>
        <w:ind w:right="20" w:firstLine="456"/>
        <w:spacing w:after="0" w:line="282" w:lineRule="auto"/>
        <w:rPr>
          <w:sz w:val="20"/>
          <w:szCs w:val="20"/>
          <w:color w:val="auto"/>
        </w:rPr>
      </w:pPr>
      <w:r>
        <w:rPr>
          <w:rFonts w:ascii="Times New Roman" w:cs="Times New Roman" w:eastAsia="Times New Roman" w:hAnsi="Times New Roman"/>
          <w:sz w:val="18"/>
          <w:szCs w:val="18"/>
          <w:color w:val="auto"/>
        </w:rPr>
        <w:t>On December 7, 2016, the Board of Directors (the “Board”) of Marvell Technology Group Ltd. (the “Company”) appointed Tudor Brown to serve as a member of the Board, effective immediately. Mr. Brown was appointed for a term that extends until the 2017 annual meeting of the shareholders.</w:t>
      </w:r>
    </w:p>
    <w:p>
      <w:pPr>
        <w:spacing w:after="0" w:line="162" w:lineRule="exact"/>
        <w:rPr>
          <w:sz w:val="20"/>
          <w:szCs w:val="20"/>
          <w:color w:val="auto"/>
        </w:rPr>
      </w:pPr>
    </w:p>
    <w:p>
      <w:pPr>
        <w:ind w:firstLine="456"/>
        <w:spacing w:after="0" w:line="258" w:lineRule="auto"/>
        <w:rPr>
          <w:sz w:val="20"/>
          <w:szCs w:val="20"/>
          <w:color w:val="auto"/>
        </w:rPr>
      </w:pPr>
      <w:r>
        <w:rPr>
          <w:rFonts w:ascii="Times New Roman" w:cs="Times New Roman" w:eastAsia="Times New Roman" w:hAnsi="Times New Roman"/>
          <w:sz w:val="18"/>
          <w:szCs w:val="18"/>
          <w:color w:val="auto"/>
        </w:rPr>
        <w:t>Mr. Brown, 58, was one of the founding members and, until May 2012, President of ARM Holdings plc (“ARM”), a publicly-traded, semiconductor IP and software design company based in Cambridge, UK. Mr. Brown began his career at ARM over twenty years ago as a principal engineer and later assumed other roles, including Chief Technical Officer from 1997 through 2000, Chief Operating Officer from 2001 through 2008, and a member of the board of directors from 2001 through his retirement in May 2012. Mr. Brown currently serves on the board of directors of Lenovo Group, Semiconductor Manufacturing International Corporation and Tessera Technologies, Inc.</w:t>
      </w:r>
    </w:p>
    <w:p>
      <w:pPr>
        <w:spacing w:after="0" w:line="184" w:lineRule="exact"/>
        <w:rPr>
          <w:sz w:val="20"/>
          <w:szCs w:val="20"/>
          <w:color w:val="auto"/>
        </w:rPr>
      </w:pPr>
    </w:p>
    <w:p>
      <w:pPr>
        <w:ind w:right="180" w:firstLine="456"/>
        <w:spacing w:after="0" w:line="266" w:lineRule="auto"/>
        <w:rPr>
          <w:sz w:val="20"/>
          <w:szCs w:val="20"/>
          <w:color w:val="auto"/>
        </w:rPr>
      </w:pPr>
      <w:r>
        <w:rPr>
          <w:rFonts w:ascii="Times New Roman" w:cs="Times New Roman" w:eastAsia="Times New Roman" w:hAnsi="Times New Roman"/>
          <w:sz w:val="18"/>
          <w:szCs w:val="18"/>
          <w:color w:val="auto"/>
        </w:rPr>
        <w:t>Mr. Brown’s election to the Board was not pursuant to any arrangement or understanding between Mr. Brown and any third party. The Board has determined that Mr. Brown will qualify as “independent” under the guidelines promulgated by the Nasdaq Stock Market, Inc. and the applicable Securities and Exchange Commission rules.</w:t>
      </w:r>
    </w:p>
    <w:p>
      <w:pPr>
        <w:spacing w:after="0" w:line="176"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Mr. Brown has no direct or indirect material interest in any transaction required to be disclosed pursuant to Item 404(a) of Regulation S-K.</w:t>
      </w:r>
    </w:p>
    <w:p>
      <w:pPr>
        <w:spacing w:after="0" w:line="225" w:lineRule="exact"/>
        <w:rPr>
          <w:sz w:val="20"/>
          <w:szCs w:val="20"/>
          <w:color w:val="auto"/>
        </w:rPr>
      </w:pPr>
    </w:p>
    <w:p>
      <w:pPr>
        <w:ind w:firstLine="456"/>
        <w:spacing w:after="0" w:line="282" w:lineRule="auto"/>
        <w:rPr>
          <w:sz w:val="20"/>
          <w:szCs w:val="20"/>
          <w:color w:val="auto"/>
        </w:rPr>
      </w:pPr>
      <w:r>
        <w:rPr>
          <w:rFonts w:ascii="Times New Roman" w:cs="Times New Roman" w:eastAsia="Times New Roman" w:hAnsi="Times New Roman"/>
          <w:sz w:val="18"/>
          <w:szCs w:val="18"/>
          <w:color w:val="auto"/>
        </w:rPr>
        <w:t>On December 13, 2016, the Company issued a press release announcing Mr. Brown’s appointment to the Board. A copy of the press release is attached hereto as Exhibit 99.1 and is incorporated by reference herein.</w:t>
      </w:r>
    </w:p>
    <w:p>
      <w:pPr>
        <w:spacing w:after="0" w:line="306" w:lineRule="exact"/>
        <w:rPr>
          <w:sz w:val="20"/>
          <w:szCs w:val="20"/>
          <w:color w:val="auto"/>
        </w:rPr>
      </w:pPr>
    </w:p>
    <w:p>
      <w:pPr>
        <w:spacing w:after="0"/>
        <w:tabs>
          <w:tab w:leader="none" w:pos="102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Exhibits.</w:t>
      </w:r>
    </w:p>
    <w:p>
      <w:pPr>
        <w:spacing w:after="0" w:line="130" w:lineRule="exact"/>
        <w:rPr>
          <w:rFonts w:ascii="Times New Roman" w:cs="Times New Roman" w:eastAsia="Times New Roman" w:hAnsi="Times New Roman"/>
          <w:sz w:val="18"/>
          <w:szCs w:val="18"/>
          <w:color w:val="auto"/>
        </w:rPr>
      </w:pPr>
    </w:p>
    <w:p>
      <w:pPr>
        <w:ind w:left="92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99.1Press Release dated December 13, 2016</w:t>
      </w:r>
    </w:p>
    <w:p>
      <w:pPr>
        <w:sectPr>
          <w:pgSz w:w="11900" w:h="16838" w:orient="portrait"/>
          <w:cols w:equalWidth="0" w:num="1">
            <w:col w:w="11340"/>
          </w:cols>
          <w:pgMar w:left="240" w:top="266" w:right="319" w:bottom="1440" w:gutter="0" w:footer="0" w:header="0"/>
        </w:sectPr>
      </w:pPr>
    </w:p>
    <w:bookmarkStart w:id="2" w:name="page3"/>
    <w:bookmarkEnd w:id="2"/>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6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Dated: December 13, 2016</w:t>
      </w:r>
    </w:p>
    <w:p>
      <w:pPr>
        <w:spacing w:after="0" w:line="252"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By: /s/ Mitchell Gaynor</w:t>
      </w:r>
    </w:p>
    <w:p>
      <w:pPr>
        <w:spacing w:after="0" w:line="27"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i w:val="1"/>
          <w:iCs w:val="1"/>
          <w:color w:val="auto"/>
        </w:rPr>
        <w:t>EVP, Chief Legal Officer and Secretary</w:t>
      </w:r>
    </w:p>
    <w:p>
      <w:pPr>
        <w:sectPr>
          <w:pgSz w:w="11900" w:h="16838" w:orient="portrait"/>
          <w:cols w:equalWidth="0" w:num="1">
            <w:col w:w="11420"/>
          </w:cols>
          <w:pgMar w:left="240" w:top="266" w:right="239" w:bottom="1440" w:gutter="0" w:footer="0" w:header="0"/>
        </w:sectPr>
      </w:pPr>
    </w:p>
    <w:bookmarkStart w:id="3" w:name="page4"/>
    <w:bookmarkEnd w:id="3"/>
    <w:p>
      <w:pPr>
        <w:jc w:val="right"/>
        <w:ind w:right="379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0"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720" w:type="dxa"/>
            <w:vAlign w:val="bottom"/>
          </w:tcPr>
          <w:p>
            <w:pPr>
              <w:ind w:left="20"/>
              <w:spacing w:after="0"/>
              <w:rPr>
                <w:sz w:val="20"/>
                <w:szCs w:val="20"/>
                <w:color w:val="auto"/>
              </w:rPr>
            </w:pPr>
            <w:r>
              <w:rPr>
                <w:rFonts w:ascii="Times New Roman" w:cs="Times New Roman" w:eastAsia="Times New Roman" w:hAnsi="Times New Roman"/>
                <w:sz w:val="14"/>
                <w:szCs w:val="14"/>
                <w:b w:val="1"/>
                <w:bCs w:val="1"/>
                <w:color w:val="auto"/>
                <w:w w:val="99"/>
              </w:rPr>
              <w:t>Exhibit No.</w:t>
            </w:r>
          </w:p>
        </w:tc>
        <w:tc>
          <w:tcPr>
            <w:tcW w:w="3660" w:type="dxa"/>
            <w:vAlign w:val="bottom"/>
            <w:gridSpan w:val="3"/>
          </w:tcPr>
          <w:p>
            <w:pPr>
              <w:ind w:left="780"/>
              <w:spacing w:after="0"/>
              <w:rPr>
                <w:sz w:val="20"/>
                <w:szCs w:val="20"/>
                <w:color w:val="auto"/>
              </w:rPr>
            </w:pPr>
            <w:r>
              <w:rPr>
                <w:rFonts w:ascii="Times New Roman" w:cs="Times New Roman" w:eastAsia="Times New Roman" w:hAnsi="Times New Roman"/>
                <w:sz w:val="14"/>
                <w:szCs w:val="14"/>
                <w:b w:val="1"/>
                <w:bCs w:val="1"/>
                <w:color w:val="auto"/>
              </w:rPr>
              <w:t>Description</w:t>
            </w:r>
          </w:p>
        </w:tc>
      </w:tr>
      <w:tr>
        <w:trPr>
          <w:trHeight w:val="20"/>
        </w:trPr>
        <w:tc>
          <w:tcPr>
            <w:tcW w:w="72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318"/>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99.1</w:t>
            </w:r>
          </w:p>
        </w:tc>
        <w:tc>
          <w:tcPr>
            <w:tcW w:w="3660" w:type="dxa"/>
            <w:vAlign w:val="bottom"/>
            <w:gridSpan w:val="3"/>
          </w:tcPr>
          <w:p>
            <w:pPr>
              <w:ind w:left="780"/>
              <w:spacing w:after="0"/>
              <w:rPr>
                <w:sz w:val="20"/>
                <w:szCs w:val="20"/>
                <w:color w:val="auto"/>
              </w:rPr>
            </w:pPr>
            <w:r>
              <w:rPr>
                <w:rFonts w:ascii="Times New Roman" w:cs="Times New Roman" w:eastAsia="Times New Roman" w:hAnsi="Times New Roman"/>
                <w:sz w:val="18"/>
                <w:szCs w:val="18"/>
                <w:color w:val="auto"/>
                <w:w w:val="99"/>
              </w:rPr>
              <w:t>Press Release dated December 13, 2016</w:t>
            </w:r>
          </w:p>
        </w:tc>
      </w:tr>
    </w:tbl>
    <w:p>
      <w:pPr>
        <w:sectPr>
          <w:pgSz w:w="11900" w:h="16838" w:orient="portrait"/>
          <w:cols w:equalWidth="0" w:num="1">
            <w:col w:w="10219"/>
          </w:cols>
          <w:pgMar w:left="240" w:top="266" w:right="1440" w:bottom="1440" w:gutter="0" w:footer="0" w:header="0"/>
        </w:sectPr>
      </w:pPr>
    </w:p>
    <w:bookmarkStart w:id="4" w:name="page5"/>
    <w:bookmarkEnd w:id="4"/>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174625</wp:posOffset>
            </wp:positionV>
            <wp:extent cx="2195195" cy="16319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195195" cy="1631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Announces the Appointment of</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Tudor Brown to Board of Directors</w:t>
      </w:r>
    </w:p>
    <w:p>
      <w:pPr>
        <w:spacing w:after="0" w:line="203" w:lineRule="exact"/>
        <w:rPr>
          <w:sz w:val="20"/>
          <w:szCs w:val="20"/>
          <w:color w:val="auto"/>
        </w:rPr>
      </w:pPr>
    </w:p>
    <w:p>
      <w:pPr>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Santa Clara, Calif. (Dec. 13, 2016) </w:t>
      </w:r>
      <w:r>
        <w:rPr>
          <w:rFonts w:ascii="Times New Roman" w:cs="Times New Roman" w:eastAsia="Times New Roman" w:hAnsi="Times New Roman"/>
          <w:sz w:val="18"/>
          <w:szCs w:val="18"/>
          <w:color w:val="auto"/>
        </w:rPr>
        <w:t>— Marvell Technology Group Ltd. (NASDAQ: MRVL), a leader in storage, networking, and connectivity semiconductor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solutions, today announced the appointment of Mr. Tudor Brown, MBE, to its Board of Directors.</w:t>
      </w:r>
    </w:p>
    <w:p>
      <w:pPr>
        <w:spacing w:after="0" w:line="159"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“Tudor is a proven veteran of the semiconductor industry with both operational experience and deep technical insight,” said Matt Murphy, Marvell’s President and Chief Executive Officer. “I look forward to working closely with him as we continue to innovate, serve our customers and deliver value to our shareholders.”</w:t>
      </w:r>
    </w:p>
    <w:p>
      <w:pPr>
        <w:spacing w:after="0" w:line="176"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Mr. Brown currently serves on the boards of the Lenovo Group, Tessera Technologies and the Semiconductor Manufacturing International Corporation. Previously, Mr. Brown was one of the founding members of ARM Holdings PLC, a wholly owned subsidiary of the Softbank Group. During his tenure, he served in a range of leadership roles, including Executive VP of Global Development, Chief Technical Officer, Chief Operating Officer and President, and was a member of their board of directors. He also served on the Boards of P2i and ANT Software. Mr. Brown, who earned an MA in Electrical Sciences from Cambridge University, has been honored both as a Fellow of the Institution of Engineering and Technology and as a Fellow of the Royal Academy of Engineering.</w:t>
      </w:r>
    </w:p>
    <w:p>
      <w:pPr>
        <w:spacing w:after="0" w:line="2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Marvell first revolutionized the digital storage industry by moving information at speeds never thought possible. Today, that same breakthrough innovation remains at the heart of the company’s storage, network infrastructure, and wireless connectivity solutions. With leading intellectual property and deep system-level knowledge, Marvell’s semiconductor solutions</w:t>
      </w:r>
    </w:p>
    <w:p>
      <w:pPr>
        <w:sectPr>
          <w:pgSz w:w="11900" w:h="16838" w:orient="portrait"/>
          <w:cols w:equalWidth="0" w:num="1">
            <w:col w:w="11420"/>
          </w:cols>
          <w:pgMar w:left="240" w:top="117" w:right="23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continue to transform the enterprise, cloud, automotive, industrial, and consumer markets. To learn more, visit: </w:t>
      </w:r>
      <w:r>
        <w:rPr>
          <w:rFonts w:ascii="Times New Roman" w:cs="Times New Roman" w:eastAsia="Times New Roman" w:hAnsi="Times New Roman"/>
          <w:sz w:val="17"/>
          <w:szCs w:val="17"/>
          <w:u w:val="single" w:color="auto"/>
          <w:color w:val="auto"/>
        </w:rPr>
        <w:t>www.marvell.com</w:t>
      </w:r>
      <w:r>
        <w:rPr>
          <w:rFonts w:ascii="Times New Roman" w:cs="Times New Roman" w:eastAsia="Times New Roman" w:hAnsi="Times New Roman"/>
          <w:sz w:val="17"/>
          <w:szCs w:val="17"/>
          <w:color w:val="auto"/>
        </w:rPr>
        <w:t>.</w:t>
      </w:r>
    </w:p>
    <w:p>
      <w:pPr>
        <w:spacing w:after="0" w:line="233" w:lineRule="exact"/>
        <w:rPr>
          <w:sz w:val="20"/>
          <w:szCs w:val="20"/>
          <w:color w:val="auto"/>
        </w:rPr>
      </w:pPr>
    </w:p>
    <w:p>
      <w:pPr>
        <w:jc w:val="center"/>
        <w:ind w:right="-1220"/>
        <w:spacing w:after="0"/>
        <w:rPr>
          <w:sz w:val="20"/>
          <w:szCs w:val="20"/>
          <w:color w:val="auto"/>
        </w:rPr>
      </w:pPr>
      <w:r>
        <w:rPr>
          <w:rFonts w:ascii="Times New Roman" w:cs="Times New Roman" w:eastAsia="Times New Roman" w:hAnsi="Times New Roman"/>
          <w:sz w:val="18"/>
          <w:szCs w:val="18"/>
          <w:b w:val="1"/>
          <w:bCs w:val="1"/>
          <w:color w:val="auto"/>
        </w:rPr>
        <w:t>###</w:t>
      </w:r>
    </w:p>
    <w:p>
      <w:pPr>
        <w:spacing w:after="0" w:line="225" w:lineRule="exact"/>
        <w:rPr>
          <w:sz w:val="20"/>
          <w:szCs w:val="20"/>
          <w:color w:val="auto"/>
        </w:rPr>
      </w:pPr>
    </w:p>
    <w:p>
      <w:pPr>
        <w:ind w:left="2440"/>
        <w:spacing w:after="0"/>
        <w:rPr>
          <w:sz w:val="20"/>
          <w:szCs w:val="20"/>
          <w:color w:val="auto"/>
        </w:rPr>
      </w:pPr>
      <w:r>
        <w:rPr>
          <w:rFonts w:ascii="Times New Roman" w:cs="Times New Roman" w:eastAsia="Times New Roman" w:hAnsi="Times New Roman"/>
          <w:sz w:val="18"/>
          <w:szCs w:val="18"/>
          <w:b w:val="1"/>
          <w:bCs w:val="1"/>
          <w:i w:val="1"/>
          <w:iCs w:val="1"/>
          <w:color w:val="auto"/>
        </w:rPr>
        <w:t>Marvell</w:t>
      </w:r>
      <w:r>
        <w:rPr>
          <w:rFonts w:ascii="Times New Roman" w:cs="Times New Roman" w:eastAsia="Times New Roman" w:hAnsi="Times New Roman"/>
          <w:sz w:val="15"/>
          <w:szCs w:val="15"/>
          <w:b w:val="1"/>
          <w:bCs w:val="1"/>
          <w:i w:val="1"/>
          <w:iCs w:val="1"/>
          <w:color w:val="auto"/>
        </w:rPr>
        <w:t>®</w:t>
      </w:r>
      <w:r>
        <w:rPr>
          <w:rFonts w:ascii="Times New Roman" w:cs="Times New Roman" w:eastAsia="Times New Roman" w:hAnsi="Times New Roman"/>
          <w:sz w:val="18"/>
          <w:szCs w:val="18"/>
          <w:b w:val="1"/>
          <w:bCs w:val="1"/>
          <w:i w:val="1"/>
          <w:iCs w:val="1"/>
          <w:color w:val="auto"/>
        </w:rPr>
        <w:t xml:space="preserve"> and the Marvell logo are registered trademarks of Marvell and/or its affiliates.</w:t>
      </w:r>
    </w:p>
    <w:p>
      <w:pPr>
        <w:sectPr>
          <w:pgSz w:w="11900" w:h="16838" w:orient="portrait"/>
          <w:cols w:equalWidth="0" w:num="1">
            <w:col w:w="10219"/>
          </w:cols>
          <w:pgMar w:left="240" w:top="270" w:right="1440" w:bottom="1440" w:gutter="0" w:footer="0" w:header="0"/>
        </w:sectPr>
      </w:pP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Marvell Media Relations</w:t>
      </w:r>
    </w:p>
    <w:p>
      <w:pPr>
        <w:spacing w:after="0" w:line="13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Kristin Hehir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Senior Manager, Public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408-222-8744</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kristinh@marvell.com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Hanna Kang</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Senior Manager, Public Relations</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408-222-3780</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hhkang@marvell.com</w:t>
      </w:r>
    </w:p>
    <w:sectPr>
      <w:pgSz w:w="11900" w:h="16838" w:orient="portrait"/>
      <w:cols w:equalWidth="0" w:num="2">
        <w:col w:w="5340" w:space="720"/>
        <w:col w:w="4159"/>
      </w:cols>
      <w:pgMar w:left="240" w:top="270"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2019-12-06T21:59:33Z</dcterms:created>
  <dcterms:modified xsi:type="dcterms:W3CDTF">2019-12-06T21:59:33Z</dcterms:modified>
</cp:coreProperties>
</file>