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October 3,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right="46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October 3, 2016, Marvell Technology Group Ltd. (the “Company”) announced that David Caron has been appointed Senior Vice President, Chief</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Accounting Officer and Corporate Controller, effective immediately. He will serve as the Company’s principal accounting officer. For the past five years,</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Mr. Caron, 56, served as Vice President, Corporate Controller and principal accounting officer at Maxim Integrated. The Company’s press release announcing</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Mr. Caron’s appointment is attached as Exhibit 99.1 to this Current Report on Form 8-K and is incorporated by reference herein.</w:t>
      </w:r>
    </w:p>
    <w:p>
      <w:pPr>
        <w:spacing w:after="0" w:line="21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Mr. Caron has no direct or indirect material interest in any transaction required to be disclosed pursuant to Item 404(a) of Regulation S-K.</w:t>
      </w:r>
    </w:p>
    <w:p>
      <w:pPr>
        <w:spacing w:after="0" w:line="225"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In connection with his appointment, the Company entered into a letter agreement with Mr. Caron (the “Offer Letter”) that established his compensation, as summarized below.</w:t>
      </w:r>
    </w:p>
    <w:p>
      <w:pPr>
        <w:spacing w:after="0" w:line="17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i w:val="1"/>
          <w:iCs w:val="1"/>
          <w:color w:val="auto"/>
        </w:rPr>
        <w:t>Salary; Annual Incentive Bonus; Sign-on Bonus</w:t>
      </w:r>
      <w:r>
        <w:rPr>
          <w:rFonts w:ascii="Arial" w:cs="Arial" w:eastAsia="Arial" w:hAnsi="Arial"/>
          <w:sz w:val="18"/>
          <w:szCs w:val="18"/>
          <w:color w:val="auto"/>
        </w:rPr>
        <w:t>. Mr. Caron’s annual base salary will be $375,000, and he will be eligible to participate in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Company’s Performance Rewards Program with a target annual incentive bonus of 50% of his annual base salary. Mr. Caron will be paid a sign-on bonus of $200,000 which is subject to repayment and other conditions in the event of his resignation within twelve months of his date of employment or his termination for Cause, as further described in the Offer Letter.</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7"/>
          <w:szCs w:val="17"/>
          <w:i w:val="1"/>
          <w:iCs w:val="1"/>
          <w:color w:val="auto"/>
        </w:rPr>
        <w:t>Equity Awards</w:t>
      </w:r>
      <w:r>
        <w:rPr>
          <w:rFonts w:ascii="Arial" w:cs="Arial" w:eastAsia="Arial" w:hAnsi="Arial"/>
          <w:sz w:val="17"/>
          <w:szCs w:val="17"/>
          <w:color w:val="auto"/>
        </w:rPr>
        <w:t>. Mr. Caron will receive grants of restricted stock units (“RSUs”) for the number of shares of Marvell common stock, as follows:</w:t>
      </w:r>
    </w:p>
    <w:p>
      <w:pPr>
        <w:spacing w:after="0" w:line="264" w:lineRule="exact"/>
        <w:rPr>
          <w:sz w:val="20"/>
          <w:szCs w:val="20"/>
          <w:color w:val="auto"/>
        </w:rPr>
      </w:pPr>
    </w:p>
    <w:p>
      <w:pPr>
        <w:ind w:left="900" w:right="100" w:hanging="446"/>
        <w:spacing w:after="0" w:line="342" w:lineRule="auto"/>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RSUs for the number of shares of common stock equal to $225,200 shall vest over three (3) years at the rate of 33% after the first anniversary of the vesting start date, 33% after the second anniversary of the vesting start date and 34% after the third anniversary of the vesting start date.</w:t>
      </w:r>
    </w:p>
    <w:p>
      <w:pPr>
        <w:spacing w:after="0" w:line="150" w:lineRule="exact"/>
        <w:rPr>
          <w:rFonts w:ascii="Arial" w:cs="Arial" w:eastAsia="Arial" w:hAnsi="Arial"/>
          <w:sz w:val="16"/>
          <w:szCs w:val="16"/>
          <w:color w:val="auto"/>
        </w:rPr>
      </w:pPr>
    </w:p>
    <w:p>
      <w:pPr>
        <w:ind w:left="900" w:right="160" w:hanging="446"/>
        <w:spacing w:after="0" w:line="312" w:lineRule="auto"/>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RSUs for the number of shares of common stock (at the target achievement level) equal to $168,900 shall vest based on the relative total shareholder return of Marvell’s stock as compared to the total shareholder return of comparable companies of the Philadelphia Semiconductor Sector Index over a three-year performance period measured from August 11, 2016 through fiscal 2019, as further described in the Offer Letter.</w:t>
      </w:r>
    </w:p>
    <w:p>
      <w:pPr>
        <w:spacing w:after="0" w:line="173" w:lineRule="exact"/>
        <w:rPr>
          <w:rFonts w:ascii="Arial" w:cs="Arial" w:eastAsia="Arial" w:hAnsi="Arial"/>
          <w:sz w:val="16"/>
          <w:szCs w:val="16"/>
          <w:color w:val="auto"/>
        </w:rPr>
      </w:pPr>
    </w:p>
    <w:p>
      <w:pPr>
        <w:ind w:left="900" w:right="320" w:hanging="446"/>
        <w:spacing w:after="0" w:line="277"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RSUs for the number of shares of common stock equal to $168,900 shall vest based on the achievement of operating performance metrics for fiscal years 2017 and 2018, as further described in the Offer Letter.</w:t>
      </w:r>
    </w:p>
    <w:p>
      <w:pPr>
        <w:spacing w:after="0" w:line="170" w:lineRule="exact"/>
        <w:rPr>
          <w:sz w:val="20"/>
          <w:szCs w:val="20"/>
          <w:color w:val="auto"/>
        </w:rPr>
      </w:pPr>
    </w:p>
    <w:p>
      <w:pPr>
        <w:ind w:right="240" w:firstLine="456"/>
        <w:spacing w:after="0" w:line="277" w:lineRule="auto"/>
        <w:rPr>
          <w:sz w:val="20"/>
          <w:szCs w:val="20"/>
          <w:color w:val="auto"/>
        </w:rPr>
      </w:pPr>
      <w:r>
        <w:rPr>
          <w:rFonts w:ascii="Arial" w:cs="Arial" w:eastAsia="Arial" w:hAnsi="Arial"/>
          <w:sz w:val="18"/>
          <w:szCs w:val="18"/>
          <w:i w:val="1"/>
          <w:iCs w:val="1"/>
          <w:color w:val="auto"/>
        </w:rPr>
        <w:t>Buy-Out Awards</w:t>
      </w:r>
      <w:r>
        <w:rPr>
          <w:rFonts w:ascii="Arial" w:cs="Arial" w:eastAsia="Arial" w:hAnsi="Arial"/>
          <w:sz w:val="18"/>
          <w:szCs w:val="18"/>
          <w:color w:val="auto"/>
        </w:rPr>
        <w:t>. In addition to the grants of RSUs set forth above, Mr. Caron will be granted the following equity awards in acknowledgment of his</w:t>
      </w:r>
      <w:r>
        <w:rPr>
          <w:rFonts w:ascii="Arial" w:cs="Arial" w:eastAsia="Arial" w:hAnsi="Arial"/>
          <w:sz w:val="18"/>
          <w:szCs w:val="18"/>
          <w:i w:val="1"/>
          <w:iCs w:val="1"/>
          <w:color w:val="auto"/>
        </w:rPr>
        <w:t xml:space="preserve"> </w:t>
      </w:r>
      <w:r>
        <w:rPr>
          <w:rFonts w:ascii="Arial" w:cs="Arial" w:eastAsia="Arial" w:hAnsi="Arial"/>
          <w:sz w:val="18"/>
          <w:szCs w:val="18"/>
          <w:color w:val="auto"/>
        </w:rPr>
        <w:t>existing unvested equity position that was forfeited upon termination of his prior employment:</w:t>
      </w:r>
    </w:p>
    <w:p>
      <w:pPr>
        <w:spacing w:after="0" w:line="197" w:lineRule="exact"/>
        <w:rPr>
          <w:sz w:val="20"/>
          <w:szCs w:val="20"/>
          <w:color w:val="auto"/>
        </w:rPr>
      </w:pPr>
    </w:p>
    <w:p>
      <w:pPr>
        <w:ind w:left="900" w:right="100" w:hanging="446"/>
        <w:spacing w:after="0" w:line="259"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RSUs for the number of shares of common stock equal to $250,000 shall vest over three (3) years at the rate of 33% after the first anniversary of the vesting start date, 33% after the second anniversary of the vesting start date and 34% after the third anniversary of the vesting start date. The RSUs will vest in full in the event the Company terminates Mr. Caron’s employment without Cause (as defined in the Offer Letter) within two years of his date of employment.</w:t>
      </w:r>
    </w:p>
    <w:p>
      <w:pPr>
        <w:spacing w:after="0" w:line="213" w:lineRule="exact"/>
        <w:rPr>
          <w:rFonts w:ascii="Arial" w:cs="Arial" w:eastAsia="Arial" w:hAnsi="Arial"/>
          <w:sz w:val="18"/>
          <w:szCs w:val="18"/>
          <w:color w:val="auto"/>
        </w:rPr>
      </w:pPr>
    </w:p>
    <w:p>
      <w:pPr>
        <w:ind w:left="900" w:hanging="446"/>
        <w:spacing w:after="0" w:line="302" w:lineRule="auto"/>
        <w:tabs>
          <w:tab w:leader="none" w:pos="900" w:val="left"/>
        </w:tabs>
        <w:numPr>
          <w:ilvl w:val="0"/>
          <w:numId w:val="3"/>
        </w:numPr>
        <w:rPr>
          <w:rFonts w:ascii="Arial" w:cs="Arial" w:eastAsia="Arial" w:hAnsi="Arial"/>
          <w:sz w:val="16"/>
          <w:szCs w:val="16"/>
          <w:color w:val="auto"/>
        </w:rPr>
      </w:pPr>
      <w:r>
        <w:rPr>
          <w:rFonts w:ascii="Arial" w:cs="Arial" w:eastAsia="Arial" w:hAnsi="Arial"/>
          <w:sz w:val="16"/>
          <w:szCs w:val="16"/>
          <w:color w:val="auto"/>
        </w:rPr>
        <w:t>RSUs for the number of shares of common stock equal to $250,000 shall vest based on the relative total shareholder return of Marvell’s stock as compared to the total shareholder return of comparable companies of the Philadelphia Semiconductor Sector Index over a three-year performance period, as further described in the Offer Letter. The RSUs vest in whole or in part as further described in the Offer Letter, in the event the Company terminates Mr. Caron’s employment without Cause (as defined in the Offer Letter) within two years of his date of employment.</w:t>
      </w:r>
    </w:p>
    <w:p>
      <w:pPr>
        <w:sectPr>
          <w:pgSz w:w="11900" w:h="16838" w:orient="portrait"/>
          <w:cols w:equalWidth="0" w:num="1">
            <w:col w:w="11400"/>
          </w:cols>
          <w:pgMar w:left="240" w:top="270" w:right="259" w:bottom="1440" w:gutter="0" w:footer="0" w:header="0"/>
        </w:sectPr>
      </w:pPr>
    </w:p>
    <w:bookmarkStart w:id="2" w:name="page3"/>
    <w:bookmarkEnd w:id="2"/>
    <w:p>
      <w:pPr>
        <w:ind w:firstLine="456"/>
        <w:spacing w:after="0" w:line="277" w:lineRule="auto"/>
        <w:rPr>
          <w:sz w:val="20"/>
          <w:szCs w:val="20"/>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Change in Control. </w:t>
      </w:r>
      <w:r>
        <w:rPr>
          <w:rFonts w:ascii="Arial" w:cs="Arial" w:eastAsia="Arial" w:hAnsi="Arial"/>
          <w:sz w:val="18"/>
          <w:szCs w:val="18"/>
          <w:color w:val="auto"/>
        </w:rPr>
        <w:t>Mr. Caron will be designated a “Tier 3” participant in the Company’s Change in Control Severance Plan (“CIC Plan”) in the form</w:t>
      </w:r>
      <w:r>
        <w:rPr>
          <w:rFonts w:ascii="Arial" w:cs="Arial" w:eastAsia="Arial" w:hAnsi="Arial"/>
          <w:sz w:val="18"/>
          <w:szCs w:val="18"/>
          <w:i w:val="1"/>
          <w:iCs w:val="1"/>
          <w:color w:val="auto"/>
        </w:rPr>
        <w:t xml:space="preserve"> </w:t>
      </w:r>
      <w:r>
        <w:rPr>
          <w:rFonts w:ascii="Arial" w:cs="Arial" w:eastAsia="Arial" w:hAnsi="Arial"/>
          <w:sz w:val="18"/>
          <w:szCs w:val="18"/>
          <w:color w:val="auto"/>
        </w:rPr>
        <w:t>attached as Exhibit 10.2 to the Company’s Current Report on Form 8-K filed with the SEC on June 20, 2016.</w:t>
      </w:r>
    </w:p>
    <w:p>
      <w:pPr>
        <w:spacing w:after="0" w:line="170" w:lineRule="exact"/>
        <w:rPr>
          <w:sz w:val="20"/>
          <w:szCs w:val="20"/>
          <w:color w:val="auto"/>
        </w:rPr>
      </w:pPr>
    </w:p>
    <w:p>
      <w:pPr>
        <w:ind w:right="340" w:firstLine="456"/>
        <w:spacing w:after="0" w:line="277" w:lineRule="auto"/>
        <w:rPr>
          <w:sz w:val="20"/>
          <w:szCs w:val="20"/>
          <w:color w:val="auto"/>
        </w:rPr>
      </w:pPr>
      <w:r>
        <w:rPr>
          <w:rFonts w:ascii="Arial" w:cs="Arial" w:eastAsia="Arial" w:hAnsi="Arial"/>
          <w:sz w:val="18"/>
          <w:szCs w:val="18"/>
          <w:color w:val="auto"/>
        </w:rPr>
        <w:t>The foregoing description of the Offer Letter is qualified in its entirety by reference to the full text of the Offer Letter filed as Exhibit 10.1 to this Current Report on Form 8-K and incorporated herein by reference.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56" w:lineRule="exact"/>
        <w:rPr>
          <w:sz w:val="20"/>
          <w:szCs w:val="20"/>
          <w:color w:val="auto"/>
        </w:rPr>
      </w:pPr>
    </w:p>
    <w:p>
      <w:pPr>
        <w:ind w:left="460" w:hanging="452"/>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Exhibits.</w:t>
      </w:r>
    </w:p>
    <w:p>
      <w:pPr>
        <w:spacing w:after="0" w:line="360"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Offer Letter between the Company and David Caron</w:t>
      </w:r>
    </w:p>
    <w:p>
      <w:pPr>
        <w:spacing w:after="0" w:line="117"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October 3, 2016</w:t>
      </w:r>
    </w:p>
    <w:p>
      <w:pPr>
        <w:sectPr>
          <w:pgSz w:w="11900" w:h="16838" w:orient="portrait"/>
          <w:cols w:equalWidth="0" w:num="1">
            <w:col w:w="11240"/>
          </w:cols>
          <w:pgMar w:left="240" w:top="274" w:right="41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October 3,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Gaynor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EVP, Chief Legal Officer and Secretary</w:t>
      </w:r>
    </w:p>
    <w:p>
      <w:pPr>
        <w:sectPr>
          <w:pgSz w:w="11900" w:h="16838" w:orient="portrait"/>
          <w:cols w:equalWidth="0" w:num="1">
            <w:col w:w="11420"/>
          </w:cols>
          <w:pgMar w:left="240" w:top="270" w:right="239"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34"/>
        </w:trPr>
        <w:tc>
          <w:tcPr>
            <w:tcW w:w="7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4220" w:type="dxa"/>
            <w:vAlign w:val="bottom"/>
          </w:tcPr>
          <w:p>
            <w:pPr>
              <w:ind w:left="282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392"/>
        </w:trPr>
        <w:tc>
          <w:tcPr>
            <w:tcW w:w="720" w:type="dxa"/>
            <w:vAlign w:val="bottom"/>
          </w:tcPr>
          <w:p>
            <w:pPr>
              <w:jc w:val="center"/>
              <w:spacing w:after="0"/>
              <w:rPr>
                <w:sz w:val="20"/>
                <w:szCs w:val="20"/>
                <w:color w:val="auto"/>
              </w:rPr>
            </w:pPr>
            <w:r>
              <w:rPr>
                <w:rFonts w:ascii="Arial" w:cs="Arial" w:eastAsia="Arial" w:hAnsi="Arial"/>
                <w:sz w:val="14"/>
                <w:szCs w:val="14"/>
                <w:b w:val="1"/>
                <w:bCs w:val="1"/>
                <w:color w:val="auto"/>
                <w:w w:val="95"/>
              </w:rPr>
              <w:t>Exhibit No.</w:t>
            </w:r>
          </w:p>
        </w:tc>
        <w:tc>
          <w:tcPr>
            <w:tcW w:w="5700" w:type="dxa"/>
            <w:vAlign w:val="bottom"/>
            <w:gridSpan w:val="3"/>
          </w:tcPr>
          <w:p>
            <w:pPr>
              <w:ind w:left="78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20"/>
        </w:trPr>
        <w:tc>
          <w:tcPr>
            <w:tcW w:w="720" w:type="dxa"/>
            <w:vAlign w:val="bottom"/>
            <w:shd w:val="clear" w:color="auto" w:fill="000000"/>
          </w:tcPr>
          <w:p>
            <w:pPr>
              <w:spacing w:after="0" w:line="20" w:lineRule="exact"/>
              <w:rPr>
                <w:sz w:val="1"/>
                <w:szCs w:val="1"/>
                <w:color w:val="auto"/>
              </w:rPr>
            </w:pPr>
          </w:p>
        </w:tc>
        <w:tc>
          <w:tcPr>
            <w:tcW w:w="780" w:type="dxa"/>
            <w:vAlign w:val="bottom"/>
            <w:vMerge w:val="restart"/>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5"/>
        </w:trPr>
        <w:tc>
          <w:tcPr>
            <w:tcW w:w="720" w:type="dxa"/>
            <w:vAlign w:val="bottom"/>
          </w:tcPr>
          <w:p>
            <w:pPr>
              <w:jc w:val="center"/>
              <w:spacing w:after="0" w:line="195" w:lineRule="exact"/>
              <w:rPr>
                <w:sz w:val="20"/>
                <w:szCs w:val="20"/>
                <w:color w:val="auto"/>
              </w:rPr>
            </w:pPr>
            <w:r>
              <w:rPr>
                <w:rFonts w:ascii="Arial" w:cs="Arial" w:eastAsia="Arial" w:hAnsi="Arial"/>
                <w:sz w:val="18"/>
                <w:szCs w:val="18"/>
                <w:color w:val="auto"/>
                <w:w w:val="91"/>
              </w:rPr>
              <w:t>10.1</w:t>
            </w:r>
          </w:p>
        </w:tc>
        <w:tc>
          <w:tcPr>
            <w:tcW w:w="780" w:type="dxa"/>
            <w:vAlign w:val="bottom"/>
            <w:vMerge w:val="continue"/>
          </w:tcPr>
          <w:p>
            <w:pPr>
              <w:spacing w:after="0"/>
              <w:rPr>
                <w:sz w:val="16"/>
                <w:szCs w:val="16"/>
                <w:color w:val="auto"/>
              </w:rPr>
            </w:pPr>
          </w:p>
        </w:tc>
        <w:tc>
          <w:tcPr>
            <w:tcW w:w="4920" w:type="dxa"/>
            <w:vAlign w:val="bottom"/>
            <w:gridSpan w:val="2"/>
          </w:tcPr>
          <w:p>
            <w:pPr>
              <w:spacing w:after="0" w:line="195" w:lineRule="exact"/>
              <w:rPr>
                <w:sz w:val="20"/>
                <w:szCs w:val="20"/>
                <w:color w:val="auto"/>
              </w:rPr>
            </w:pPr>
            <w:r>
              <w:rPr>
                <w:rFonts w:ascii="Arial" w:cs="Arial" w:eastAsia="Arial" w:hAnsi="Arial"/>
                <w:sz w:val="18"/>
                <w:szCs w:val="18"/>
                <w:color w:val="auto"/>
              </w:rPr>
              <w:t>Offer Letter between the Company and David Caron</w:t>
            </w:r>
          </w:p>
        </w:tc>
        <w:tc>
          <w:tcPr>
            <w:tcW w:w="0" w:type="dxa"/>
            <w:vAlign w:val="bottom"/>
          </w:tcPr>
          <w:p>
            <w:pPr>
              <w:spacing w:after="0"/>
              <w:rPr>
                <w:sz w:val="1"/>
                <w:szCs w:val="1"/>
                <w:color w:val="auto"/>
              </w:rPr>
            </w:pPr>
          </w:p>
        </w:tc>
      </w:tr>
      <w:tr>
        <w:trPr>
          <w:trHeight w:val="230"/>
        </w:trPr>
        <w:tc>
          <w:tcPr>
            <w:tcW w:w="720" w:type="dxa"/>
            <w:vAlign w:val="bottom"/>
          </w:tcPr>
          <w:p>
            <w:pPr>
              <w:jc w:val="center"/>
              <w:spacing w:after="0"/>
              <w:rPr>
                <w:sz w:val="20"/>
                <w:szCs w:val="20"/>
                <w:color w:val="auto"/>
              </w:rPr>
            </w:pPr>
            <w:r>
              <w:rPr>
                <w:rFonts w:ascii="Arial" w:cs="Arial" w:eastAsia="Arial" w:hAnsi="Arial"/>
                <w:sz w:val="18"/>
                <w:szCs w:val="18"/>
                <w:color w:val="auto"/>
                <w:w w:val="91"/>
              </w:rPr>
              <w:t>99.1</w:t>
            </w:r>
          </w:p>
        </w:tc>
        <w:tc>
          <w:tcPr>
            <w:tcW w:w="5700" w:type="dxa"/>
            <w:vAlign w:val="bottom"/>
            <w:gridSpan w:val="3"/>
          </w:tcPr>
          <w:p>
            <w:pPr>
              <w:ind w:left="780"/>
              <w:spacing w:after="0"/>
              <w:rPr>
                <w:sz w:val="20"/>
                <w:szCs w:val="20"/>
                <w:color w:val="auto"/>
              </w:rPr>
            </w:pPr>
            <w:r>
              <w:rPr>
                <w:rFonts w:ascii="Arial" w:cs="Arial" w:eastAsia="Arial" w:hAnsi="Arial"/>
                <w:sz w:val="18"/>
                <w:szCs w:val="18"/>
                <w:color w:val="auto"/>
              </w:rPr>
              <w:t>Press Release dated October 3, 2016</w:t>
            </w: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219"/>
          </w:cols>
          <w:pgMar w:left="240" w:top="270" w:right="1440"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10.1</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Dave Caron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[address]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Dear Dave,</w:t>
      </w:r>
    </w:p>
    <w:p>
      <w:pPr>
        <w:spacing w:after="0" w:line="225"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It is our pleasure to offer you the position of Senior Vice President, Corporate Controller and Chief Accounting Officer with Marvell Semiconductor, Inc. (the “Company”), a subsidiary of Marvell Technology Group Ltd. (“Marvell”). You will report to the Chief Financial Officer and will be considered the Company’s “principal accounting officer” for purposes of both Securities and Exchange Commission (“SEC”) reporting purposes and compliance with Section 16 under the Securities Exchange Act.</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Base Salary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Your salary will be $375,000.00 US Dollars (USD) per year.</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Annual Incentive Bonus</w:t>
      </w:r>
    </w:p>
    <w:p>
      <w:pPr>
        <w:spacing w:after="0" w:line="121" w:lineRule="exact"/>
        <w:rPr>
          <w:sz w:val="20"/>
          <w:szCs w:val="20"/>
          <w:color w:val="auto"/>
        </w:rPr>
      </w:pPr>
    </w:p>
    <w:p>
      <w:pPr>
        <w:ind w:right="380"/>
        <w:spacing w:after="0" w:line="259" w:lineRule="auto"/>
        <w:rPr>
          <w:sz w:val="20"/>
          <w:szCs w:val="20"/>
          <w:color w:val="auto"/>
        </w:rPr>
      </w:pPr>
      <w:r>
        <w:rPr>
          <w:rFonts w:ascii="Arial" w:cs="Arial" w:eastAsia="Arial" w:hAnsi="Arial"/>
          <w:sz w:val="18"/>
          <w:szCs w:val="18"/>
          <w:color w:val="auto"/>
        </w:rPr>
        <w:t>You will be eligible to participate in the Company’s Performance Rewards Program (“PRP”) with a target bonus of 50% of your current base salary. The amount of your actual PRP bonus payment will be determined by the Company at its sole discretion based on a combination of Company, business unit/group, and individual performance, and will be pro-rated according to your date of hire, pursuant to the PRP policy. You must be an active Company employee at the time of the bonus payout to be eligible for payment.</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Equity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You will be recommended to the Executive Compensation Committee (the “ECC”) for the following new-hire grants:</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b w:val="1"/>
          <w:bCs w:val="1"/>
          <w:u w:val="single" w:color="auto"/>
          <w:color w:val="auto"/>
        </w:rPr>
        <w:t>Time Based RSU Award (TBRSU)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 Marvell equal to: ($225,200 / Share Price)</w:t>
      </w:r>
    </w:p>
    <w:p>
      <w:pPr>
        <w:spacing w:after="0" w:line="121" w:lineRule="exact"/>
        <w:rPr>
          <w:sz w:val="20"/>
          <w:szCs w:val="20"/>
          <w:color w:val="auto"/>
        </w:rPr>
      </w:pPr>
    </w:p>
    <w:p>
      <w:pPr>
        <w:ind w:left="460" w:right="20"/>
        <w:spacing w:after="0" w:line="264" w:lineRule="auto"/>
        <w:rPr>
          <w:sz w:val="20"/>
          <w:szCs w:val="20"/>
          <w:color w:val="auto"/>
        </w:rPr>
      </w:pPr>
      <w:r>
        <w:rPr>
          <w:rFonts w:ascii="Arial" w:cs="Arial" w:eastAsia="Arial" w:hAnsi="Arial"/>
          <w:sz w:val="18"/>
          <w:szCs w:val="18"/>
          <w:color w:val="auto"/>
        </w:rPr>
        <w:t>The TBRSU shall vest over three (3) years at the rate of 33% after the first anniversary of the vesting start date, 33% after the second anniversary of the vesting start date and 34% after the third anniversary of the vesting start date, provided that you continue to serve as a service provider through the applicable vesting date.</w:t>
      </w:r>
    </w:p>
    <w:p>
      <w:pPr>
        <w:spacing w:after="0" w:line="69" w:lineRule="exact"/>
        <w:rPr>
          <w:sz w:val="20"/>
          <w:szCs w:val="20"/>
          <w:color w:val="auto"/>
        </w:rPr>
      </w:pPr>
    </w:p>
    <w:p>
      <w:pPr>
        <w:ind w:left="460" w:right="40"/>
        <w:spacing w:after="0" w:line="282" w:lineRule="auto"/>
        <w:rPr>
          <w:sz w:val="20"/>
          <w:szCs w:val="20"/>
          <w:color w:val="auto"/>
        </w:rPr>
      </w:pPr>
      <w:r>
        <w:rPr>
          <w:rFonts w:ascii="Arial" w:cs="Arial" w:eastAsia="Arial" w:hAnsi="Arial"/>
          <w:sz w:val="18"/>
          <w:szCs w:val="18"/>
          <w:b w:val="1"/>
          <w:bCs w:val="1"/>
          <w:u w:val="single" w:color="auto"/>
          <w:color w:val="auto"/>
        </w:rPr>
        <w:t>Performance Based RSU Award based on Total Shareholder Return (TSRRSU)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 Marvell equal</w:t>
      </w:r>
      <w:r>
        <w:rPr>
          <w:rFonts w:ascii="Arial" w:cs="Arial" w:eastAsia="Arial" w:hAnsi="Arial"/>
          <w:sz w:val="18"/>
          <w:szCs w:val="18"/>
          <w:b w:val="1"/>
          <w:bCs w:val="1"/>
          <w:color w:val="auto"/>
        </w:rPr>
        <w:t xml:space="preserve"> </w:t>
      </w:r>
      <w:r>
        <w:rPr>
          <w:rFonts w:ascii="Arial" w:cs="Arial" w:eastAsia="Arial" w:hAnsi="Arial"/>
          <w:sz w:val="18"/>
          <w:szCs w:val="18"/>
          <w:color w:val="auto"/>
        </w:rPr>
        <w:t>to: ($168,900 / Share Price)</w:t>
      </w:r>
    </w:p>
    <w:p>
      <w:pPr>
        <w:spacing w:after="0" w:line="58" w:lineRule="exact"/>
        <w:rPr>
          <w:sz w:val="20"/>
          <w:szCs w:val="20"/>
          <w:color w:val="auto"/>
        </w:rPr>
      </w:pPr>
    </w:p>
    <w:p>
      <w:pPr>
        <w:ind w:left="460" w:right="200"/>
        <w:spacing w:after="0" w:line="277" w:lineRule="auto"/>
        <w:rPr>
          <w:sz w:val="20"/>
          <w:szCs w:val="20"/>
          <w:color w:val="auto"/>
        </w:rPr>
      </w:pPr>
      <w:r>
        <w:rPr>
          <w:rFonts w:ascii="Arial" w:cs="Arial" w:eastAsia="Arial" w:hAnsi="Arial"/>
          <w:sz w:val="18"/>
          <w:szCs w:val="18"/>
          <w:color w:val="auto"/>
        </w:rPr>
        <w:t>The TSRRSU shall vest on the third anniversary of the vesting start date based on achievement of performance objectives relating to the relative total shareholder return of Marvell’s stock as compared to the total shareholder return of comparable companies of</w:t>
      </w:r>
    </w:p>
    <w:p>
      <w:pPr>
        <w:sectPr>
          <w:pgSz w:w="11900" w:h="16838" w:orient="portrait"/>
          <w:cols w:equalWidth="0" w:num="1">
            <w:col w:w="11420"/>
          </w:cols>
          <w:pgMar w:left="240" w:top="121" w:right="239" w:bottom="1440" w:gutter="0" w:footer="0" w:header="0"/>
        </w:sectPr>
      </w:pPr>
    </w:p>
    <w:bookmarkStart w:id="6" w:name="page7"/>
    <w:bookmarkEnd w:id="6"/>
    <w:p>
      <w:pPr>
        <w:ind w:left="46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Philadelphia Semiconductor Sector Index over the performance period measured from the First Current Date (as defined below) through the end of fiscal year 2019, provided that you continue to serve as a service provider through the third anniversary of the vesting start date. The specific performance objectives, comparable companies, payout formula (under which the number of shares that could vest under the TSRRSU can range from zero to 150% of the target number, with zero payout if Marvell’s TSR is below the 25</w:t>
      </w:r>
      <w:r>
        <w:rPr>
          <w:rFonts w:ascii="Arial" w:cs="Arial" w:eastAsia="Arial" w:hAnsi="Arial"/>
          <w:sz w:val="15"/>
          <w:szCs w:val="15"/>
          <w:color w:val="auto"/>
        </w:rPr>
        <w:t>th</w:t>
      </w:r>
      <w:r>
        <w:rPr>
          <w:rFonts w:ascii="Arial" w:cs="Arial" w:eastAsia="Arial" w:hAnsi="Arial"/>
          <w:sz w:val="18"/>
          <w:szCs w:val="18"/>
          <w:color w:val="auto"/>
        </w:rPr>
        <w:t xml:space="preserve"> percentile of comparable companies, 50% payout if TSR is at the 25</w:t>
      </w:r>
      <w:r>
        <w:rPr>
          <w:rFonts w:ascii="Arial" w:cs="Arial" w:eastAsia="Arial" w:hAnsi="Arial"/>
          <w:sz w:val="15"/>
          <w:szCs w:val="15"/>
          <w:color w:val="auto"/>
        </w:rPr>
        <w:t>th</w:t>
      </w:r>
      <w:r>
        <w:rPr>
          <w:rFonts w:ascii="Arial" w:cs="Arial" w:eastAsia="Arial" w:hAnsi="Arial"/>
          <w:sz w:val="18"/>
          <w:szCs w:val="18"/>
          <w:color w:val="auto"/>
        </w:rPr>
        <w:t xml:space="preserve"> percentile, 100% payout if TSR is at the 50</w:t>
      </w:r>
      <w:r>
        <w:rPr>
          <w:rFonts w:ascii="Arial" w:cs="Arial" w:eastAsia="Arial" w:hAnsi="Arial"/>
          <w:sz w:val="15"/>
          <w:szCs w:val="15"/>
          <w:color w:val="auto"/>
        </w:rPr>
        <w:t>th</w:t>
      </w:r>
      <w:r>
        <w:rPr>
          <w:rFonts w:ascii="Arial" w:cs="Arial" w:eastAsia="Arial" w:hAnsi="Arial"/>
          <w:sz w:val="18"/>
          <w:szCs w:val="18"/>
          <w:color w:val="auto"/>
        </w:rPr>
        <w:t xml:space="preserve"> percentile, and 150% payout if TSR is at or above the 75</w:t>
      </w:r>
      <w:r>
        <w:rPr>
          <w:rFonts w:ascii="Arial" w:cs="Arial" w:eastAsia="Arial" w:hAnsi="Arial"/>
          <w:sz w:val="15"/>
          <w:szCs w:val="15"/>
          <w:color w:val="auto"/>
        </w:rPr>
        <w:t>th</w:t>
      </w:r>
      <w:r>
        <w:rPr>
          <w:rFonts w:ascii="Arial" w:cs="Arial" w:eastAsia="Arial" w:hAnsi="Arial"/>
          <w:sz w:val="18"/>
          <w:szCs w:val="18"/>
          <w:color w:val="auto"/>
        </w:rPr>
        <w:t xml:space="preserve"> percentile, with straight line interpolation of the payout percentages for TSR between the 25</w:t>
      </w:r>
      <w:r>
        <w:rPr>
          <w:rFonts w:ascii="Arial" w:cs="Arial" w:eastAsia="Arial" w:hAnsi="Arial"/>
          <w:sz w:val="15"/>
          <w:szCs w:val="15"/>
          <w:color w:val="auto"/>
        </w:rPr>
        <w:t>th</w:t>
      </w:r>
      <w:r>
        <w:rPr>
          <w:rFonts w:ascii="Arial" w:cs="Arial" w:eastAsia="Arial" w:hAnsi="Arial"/>
          <w:sz w:val="18"/>
          <w:szCs w:val="18"/>
          <w:color w:val="auto"/>
        </w:rPr>
        <w:t xml:space="preserve"> and 75</w:t>
      </w:r>
      <w:r>
        <w:rPr>
          <w:rFonts w:ascii="Arial" w:cs="Arial" w:eastAsia="Arial" w:hAnsi="Arial"/>
          <w:sz w:val="15"/>
          <w:szCs w:val="15"/>
          <w:color w:val="auto"/>
        </w:rPr>
        <w:t>th</w:t>
      </w:r>
      <w:r>
        <w:rPr>
          <w:rFonts w:ascii="Arial" w:cs="Arial" w:eastAsia="Arial" w:hAnsi="Arial"/>
          <w:sz w:val="18"/>
          <w:szCs w:val="18"/>
          <w:color w:val="auto"/>
        </w:rPr>
        <w:t xml:space="preserve"> percentiles) and other terms for the TSRRSU will be established by the ECC at the time of grant.</w:t>
      </w:r>
    </w:p>
    <w:p>
      <w:pPr>
        <w:spacing w:after="0" w:line="77" w:lineRule="exact"/>
        <w:rPr>
          <w:sz w:val="20"/>
          <w:szCs w:val="20"/>
          <w:color w:val="auto"/>
        </w:rPr>
      </w:pPr>
    </w:p>
    <w:p>
      <w:pPr>
        <w:ind w:left="460" w:right="480"/>
        <w:spacing w:after="0" w:line="282" w:lineRule="auto"/>
        <w:rPr>
          <w:sz w:val="20"/>
          <w:szCs w:val="20"/>
          <w:color w:val="auto"/>
        </w:rPr>
      </w:pPr>
      <w:r>
        <w:rPr>
          <w:rFonts w:ascii="Arial" w:cs="Arial" w:eastAsia="Arial" w:hAnsi="Arial"/>
          <w:sz w:val="18"/>
          <w:szCs w:val="18"/>
          <w:b w:val="1"/>
          <w:bCs w:val="1"/>
          <w:u w:val="single" w:color="auto"/>
          <w:color w:val="auto"/>
        </w:rPr>
        <w:t>Performance Based RSU Award based on Operating Performance Metrics (OPMRSU)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w:t>
      </w:r>
      <w:r>
        <w:rPr>
          <w:rFonts w:ascii="Arial" w:cs="Arial" w:eastAsia="Arial" w:hAnsi="Arial"/>
          <w:sz w:val="18"/>
          <w:szCs w:val="18"/>
          <w:b w:val="1"/>
          <w:bCs w:val="1"/>
          <w:color w:val="auto"/>
        </w:rPr>
        <w:t xml:space="preserve"> </w:t>
      </w:r>
      <w:r>
        <w:rPr>
          <w:rFonts w:ascii="Arial" w:cs="Arial" w:eastAsia="Arial" w:hAnsi="Arial"/>
          <w:sz w:val="18"/>
          <w:szCs w:val="18"/>
          <w:color w:val="auto"/>
        </w:rPr>
        <w:t>Marvell equal to: ($168,900 / Share Price)</w:t>
      </w:r>
    </w:p>
    <w:p>
      <w:pPr>
        <w:spacing w:after="0" w:line="58" w:lineRule="exact"/>
        <w:rPr>
          <w:sz w:val="20"/>
          <w:szCs w:val="20"/>
          <w:color w:val="auto"/>
        </w:rPr>
      </w:pPr>
    </w:p>
    <w:p>
      <w:pPr>
        <w:ind w:left="460" w:right="80"/>
        <w:spacing w:after="0" w:line="257" w:lineRule="auto"/>
        <w:rPr>
          <w:sz w:val="20"/>
          <w:szCs w:val="20"/>
          <w:color w:val="auto"/>
        </w:rPr>
      </w:pPr>
      <w:r>
        <w:rPr>
          <w:rFonts w:ascii="Arial" w:cs="Arial" w:eastAsia="Arial" w:hAnsi="Arial"/>
          <w:sz w:val="18"/>
          <w:szCs w:val="18"/>
          <w:color w:val="auto"/>
        </w:rPr>
        <w:t>The OPMRSU shall vest based on the achievement of operating performance metrics for fiscal years 2017 and 2018. The performance period, metrics and relative weightings (as well as the maximum number of shares that could vest under the OPMRSU if performance exceeds the target achievement level) will be established by the ECC at the time of grant and will be measured as of the end of fiscal year 2018. Any shares, if any, deemed to have been earned upon the successful achievement of such metrics will vest 100% on the third anniversary of the vesting start date, provided that you continue to serve as a service provider through such vesting date.</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Equity Buy-Out Awards</w:t>
      </w:r>
    </w:p>
    <w:p>
      <w:pPr>
        <w:spacing w:after="0" w:line="12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In acknowledgement of your existing unvested equity position that will be forfeited upon termination of your current employment, you will be recommended to the ECC for the following additional grants:</w:t>
      </w:r>
    </w:p>
    <w:p>
      <w:pPr>
        <w:spacing w:after="0" w:line="58" w:lineRule="exact"/>
        <w:rPr>
          <w:sz w:val="20"/>
          <w:szCs w:val="20"/>
          <w:color w:val="auto"/>
        </w:rPr>
      </w:pPr>
    </w:p>
    <w:p>
      <w:pPr>
        <w:ind w:left="460"/>
        <w:spacing w:after="0"/>
        <w:rPr>
          <w:sz w:val="20"/>
          <w:szCs w:val="20"/>
          <w:color w:val="auto"/>
        </w:rPr>
      </w:pPr>
      <w:r>
        <w:rPr>
          <w:rFonts w:ascii="Arial" w:cs="Arial" w:eastAsia="Arial" w:hAnsi="Arial"/>
          <w:sz w:val="18"/>
          <w:szCs w:val="18"/>
          <w:b w:val="1"/>
          <w:bCs w:val="1"/>
          <w:u w:val="single" w:color="auto"/>
          <w:color w:val="auto"/>
        </w:rPr>
        <w:t>Hire-On RSU Award (HORSU)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 Marvell equal to: ($250,000 / Share Price)</w:t>
      </w:r>
    </w:p>
    <w:p>
      <w:pPr>
        <w:spacing w:after="0" w:line="121" w:lineRule="exact"/>
        <w:rPr>
          <w:sz w:val="20"/>
          <w:szCs w:val="20"/>
          <w:color w:val="auto"/>
        </w:rPr>
      </w:pPr>
    </w:p>
    <w:p>
      <w:pPr>
        <w:ind w:left="460"/>
        <w:spacing w:after="0" w:line="255" w:lineRule="auto"/>
        <w:rPr>
          <w:sz w:val="20"/>
          <w:szCs w:val="20"/>
          <w:color w:val="auto"/>
        </w:rPr>
      </w:pPr>
      <w:r>
        <w:rPr>
          <w:rFonts w:ascii="Arial" w:cs="Arial" w:eastAsia="Arial" w:hAnsi="Arial"/>
          <w:sz w:val="18"/>
          <w:szCs w:val="18"/>
          <w:color w:val="auto"/>
        </w:rPr>
        <w:t>The HORSU shall vest over three (3) years at the rate of 33% on the first anniversary of your start date, 33% on the second anniversary of your start date and 34% on the third anniversary of your start date, provided that you continue to serve as a service provider through the applicable vesting date. However, if we terminate your employment without Cause (as defined below) within two years of your commencement of employment, the unvested portion of this award will vest in full on the date your employment with the Company terminates, provided that you execute and do not revoke a separation agreement and complete a release of claims in a form provided by the Company (the “Release”), which Release has become effective within 60 days following your employment termination date.</w:t>
      </w:r>
    </w:p>
    <w:p>
      <w:pPr>
        <w:sectPr>
          <w:pgSz w:w="11900" w:h="16838" w:orient="portrait"/>
          <w:cols w:equalWidth="0" w:num="1">
            <w:col w:w="11360"/>
          </w:cols>
          <w:pgMar w:left="240" w:top="274" w:right="299" w:bottom="1440" w:gutter="0" w:footer="0" w:header="0"/>
        </w:sectPr>
      </w:pPr>
    </w:p>
    <w:bookmarkStart w:id="7" w:name="page8"/>
    <w:bookmarkEnd w:id="7"/>
    <w:p>
      <w:pPr>
        <w:ind w:left="460"/>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Hire-On PSU Award (HOPSU)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 Marvell equal to: ($250,000 / Share Price)</w:t>
      </w:r>
    </w:p>
    <w:p>
      <w:pPr>
        <w:spacing w:after="0" w:line="121" w:lineRule="exact"/>
        <w:rPr>
          <w:sz w:val="20"/>
          <w:szCs w:val="20"/>
          <w:color w:val="auto"/>
        </w:rPr>
      </w:pPr>
    </w:p>
    <w:p>
      <w:pPr>
        <w:ind w:left="460" w:right="180"/>
        <w:spacing w:after="0" w:line="290" w:lineRule="auto"/>
        <w:rPr>
          <w:sz w:val="20"/>
          <w:szCs w:val="20"/>
          <w:color w:val="auto"/>
        </w:rPr>
      </w:pPr>
      <w:r>
        <w:rPr>
          <w:rFonts w:ascii="Arial" w:cs="Arial" w:eastAsia="Arial" w:hAnsi="Arial"/>
          <w:sz w:val="16"/>
          <w:szCs w:val="16"/>
          <w:color w:val="auto"/>
        </w:rPr>
        <w:t>The HOPSU shall vest on the third anniversary of the vesting start date based on achievement of performance objectives relating to the relative total shareholder return of Marvell’s stock as compared to the total shareholder return of comparable companies of the Philadelphia Semiconductor Sector Index over the performance period measured from the First Current Date (as defined below) through the end of fiscal year 2019, provided that you continue to serve as a service provider through the third anniversary of the vesting start date. The specific performance objectives, comparable companies, payout formula (under which the number of shares that could vest under the HOPSU can range from zero to 150% of the target number, with zero payout if Marvell’s TSR is below the 25</w:t>
      </w:r>
      <w:r>
        <w:rPr>
          <w:rFonts w:ascii="Arial" w:cs="Arial" w:eastAsia="Arial" w:hAnsi="Arial"/>
          <w:sz w:val="13"/>
          <w:szCs w:val="13"/>
          <w:color w:val="auto"/>
        </w:rPr>
        <w:t>th</w:t>
      </w:r>
      <w:r>
        <w:rPr>
          <w:rFonts w:ascii="Arial" w:cs="Arial" w:eastAsia="Arial" w:hAnsi="Arial"/>
          <w:sz w:val="16"/>
          <w:szCs w:val="16"/>
          <w:color w:val="auto"/>
        </w:rPr>
        <w:t xml:space="preserve"> percentile of comparable companies, 50% payout if TSR is at the 25</w:t>
      </w:r>
      <w:r>
        <w:rPr>
          <w:rFonts w:ascii="Arial" w:cs="Arial" w:eastAsia="Arial" w:hAnsi="Arial"/>
          <w:sz w:val="13"/>
          <w:szCs w:val="13"/>
          <w:color w:val="auto"/>
        </w:rPr>
        <w:t>th</w:t>
      </w:r>
      <w:r>
        <w:rPr>
          <w:rFonts w:ascii="Arial" w:cs="Arial" w:eastAsia="Arial" w:hAnsi="Arial"/>
          <w:sz w:val="16"/>
          <w:szCs w:val="16"/>
          <w:color w:val="auto"/>
        </w:rPr>
        <w:t xml:space="preserve"> percentile, 100% payout if TSR is at the 50</w:t>
      </w:r>
      <w:r>
        <w:rPr>
          <w:rFonts w:ascii="Arial" w:cs="Arial" w:eastAsia="Arial" w:hAnsi="Arial"/>
          <w:sz w:val="13"/>
          <w:szCs w:val="13"/>
          <w:color w:val="auto"/>
        </w:rPr>
        <w:t>th</w:t>
      </w:r>
      <w:r>
        <w:rPr>
          <w:rFonts w:ascii="Arial" w:cs="Arial" w:eastAsia="Arial" w:hAnsi="Arial"/>
          <w:sz w:val="16"/>
          <w:szCs w:val="16"/>
          <w:color w:val="auto"/>
        </w:rPr>
        <w:t xml:space="preserve"> percentile, and 150% payout if TSR is at or above the 75</w:t>
      </w:r>
      <w:r>
        <w:rPr>
          <w:rFonts w:ascii="Arial" w:cs="Arial" w:eastAsia="Arial" w:hAnsi="Arial"/>
          <w:sz w:val="13"/>
          <w:szCs w:val="13"/>
          <w:color w:val="auto"/>
        </w:rPr>
        <w:t>th</w:t>
      </w:r>
      <w:r>
        <w:rPr>
          <w:rFonts w:ascii="Arial" w:cs="Arial" w:eastAsia="Arial" w:hAnsi="Arial"/>
          <w:sz w:val="16"/>
          <w:szCs w:val="16"/>
          <w:color w:val="auto"/>
        </w:rPr>
        <w:t xml:space="preserve"> percentile, with straight line interpolation of the payout percentages for TSR between the 25</w:t>
      </w:r>
      <w:r>
        <w:rPr>
          <w:rFonts w:ascii="Arial" w:cs="Arial" w:eastAsia="Arial" w:hAnsi="Arial"/>
          <w:sz w:val="13"/>
          <w:szCs w:val="13"/>
          <w:color w:val="auto"/>
        </w:rPr>
        <w:t>th</w:t>
      </w:r>
      <w:r>
        <w:rPr>
          <w:rFonts w:ascii="Arial" w:cs="Arial" w:eastAsia="Arial" w:hAnsi="Arial"/>
          <w:sz w:val="16"/>
          <w:szCs w:val="16"/>
          <w:color w:val="auto"/>
        </w:rPr>
        <w:t xml:space="preserve"> and 75</w:t>
      </w:r>
      <w:r>
        <w:rPr>
          <w:rFonts w:ascii="Arial" w:cs="Arial" w:eastAsia="Arial" w:hAnsi="Arial"/>
          <w:sz w:val="13"/>
          <w:szCs w:val="13"/>
          <w:color w:val="auto"/>
        </w:rPr>
        <w:t>th</w:t>
      </w:r>
      <w:r>
        <w:rPr>
          <w:rFonts w:ascii="Arial" w:cs="Arial" w:eastAsia="Arial" w:hAnsi="Arial"/>
          <w:sz w:val="16"/>
          <w:szCs w:val="16"/>
          <w:color w:val="auto"/>
        </w:rPr>
        <w:t xml:space="preserve"> percentiles) and other terms for the HOPSU will be established by the ECC at the time of grant.</w:t>
      </w:r>
    </w:p>
    <w:p>
      <w:pPr>
        <w:spacing w:after="0" w:line="58" w:lineRule="exact"/>
        <w:rPr>
          <w:sz w:val="20"/>
          <w:szCs w:val="20"/>
          <w:color w:val="auto"/>
        </w:rPr>
      </w:pPr>
    </w:p>
    <w:p>
      <w:pPr>
        <w:ind w:left="460" w:right="180"/>
        <w:spacing w:after="0" w:line="257" w:lineRule="auto"/>
        <w:rPr>
          <w:sz w:val="20"/>
          <w:szCs w:val="20"/>
          <w:color w:val="auto"/>
        </w:rPr>
      </w:pPr>
      <w:r>
        <w:rPr>
          <w:rFonts w:ascii="Arial" w:cs="Arial" w:eastAsia="Arial" w:hAnsi="Arial"/>
          <w:sz w:val="18"/>
          <w:szCs w:val="18"/>
          <w:color w:val="auto"/>
        </w:rPr>
        <w:t>If we terminate your employment without Cause (as defined below) within two years of your commencement of employment, (i) the performance measurement period will be deemed to end on the date five (5) business days before your employment termination date, (ii) the achievement of the performance metrics will be calculated by the ECC with respect to such shortened measurement period, and (iii) the number of shares that would vest based on such calculations will vest effective upon your termination date, provided that you execute and do not revoke a Release. Any remaining unvested portion of the HOPSU will be forfeited and terminate.</w:t>
      </w:r>
    </w:p>
    <w:p>
      <w:pPr>
        <w:spacing w:after="0" w:line="188" w:lineRule="exact"/>
        <w:rPr>
          <w:sz w:val="20"/>
          <w:szCs w:val="20"/>
          <w:color w:val="auto"/>
        </w:rPr>
      </w:pPr>
    </w:p>
    <w:p>
      <w:pPr>
        <w:ind w:right="280"/>
        <w:spacing w:after="0" w:line="288" w:lineRule="auto"/>
        <w:rPr>
          <w:sz w:val="20"/>
          <w:szCs w:val="20"/>
          <w:color w:val="auto"/>
        </w:rPr>
      </w:pPr>
      <w:r>
        <w:rPr>
          <w:rFonts w:ascii="Arial" w:cs="Arial" w:eastAsia="Arial" w:hAnsi="Arial"/>
          <w:sz w:val="16"/>
          <w:szCs w:val="16"/>
          <w:color w:val="auto"/>
        </w:rPr>
        <w:t>For purposes of this letter agreement only, “Cause” is defined as: (a) an act of dishonesty in connection with your job responsibilities; (b) conviction of, or plea of nolo contendere to, a felony or any crime involving fraud or embezzlement; (c) gross misconduct; (d) unauthorized use or disclosure of any proprietary information or trade secrets of the Company, Marvell or any other party to whom the Company or Marvell owe an obligation of nondisclosure;</w:t>
      </w:r>
    </w:p>
    <w:p>
      <w:pPr>
        <w:jc w:val="both"/>
        <w:ind w:right="460" w:firstLine="8"/>
        <w:spacing w:after="0" w:line="302" w:lineRule="auto"/>
        <w:tabs>
          <w:tab w:leader="none" w:pos="245" w:val="left"/>
        </w:tabs>
        <w:numPr>
          <w:ilvl w:val="0"/>
          <w:numId w:val="5"/>
        </w:numPr>
        <w:rPr>
          <w:rFonts w:ascii="Arial" w:cs="Arial" w:eastAsia="Arial" w:hAnsi="Arial"/>
          <w:sz w:val="16"/>
          <w:szCs w:val="16"/>
          <w:color w:val="auto"/>
        </w:rPr>
      </w:pPr>
      <w:r>
        <w:rPr>
          <w:rFonts w:ascii="Arial" w:cs="Arial" w:eastAsia="Arial" w:hAnsi="Arial"/>
          <w:sz w:val="16"/>
          <w:szCs w:val="16"/>
          <w:color w:val="auto"/>
        </w:rPr>
        <w:t>willful breach of any obligations under any written agreement or covenant with the Company or Marvell; (f) failure to cooperate in good faith with a governmental or internal investigation of the Company, Marvell or their directors, officers or employees, if the Company or Marvell has requested your cooperation; or (g) failure to cure performance deficiencies within 10 days after receipt of notice of such deficiencies from the Company.</w:t>
      </w:r>
    </w:p>
    <w:p>
      <w:pPr>
        <w:spacing w:after="0" w:line="155"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For purposes of the equity awards described above, “Share Price” shall mean the closing price of the common shares of Marvell (NASDAQ: MRVL) on the NASDAQ Stock Market on (x) the date that is one (1) full trading day after the first date following the date of this offer letter on which Marvell has filed all required periodic reports with the Securities and Exchange Commission, such that Marvell is “current” with its financial reporting, or (y) the date that the awards are approved by the ECC (but no later than 30 days after the “First Current Date” as defined below), whichever is later. The date that Marvell becomes “current” with its financial reporting is referred to as the “First Current Date”.</w:t>
      </w:r>
    </w:p>
    <w:p>
      <w:pPr>
        <w:sectPr>
          <w:pgSz w:w="11900" w:h="16838" w:orient="portrait"/>
          <w:cols w:equalWidth="0" w:num="1">
            <w:col w:w="11420"/>
          </w:cols>
          <w:pgMar w:left="240" w:top="270" w:right="239" w:bottom="1440" w:gutter="0" w:footer="0" w:header="0"/>
        </w:sectPr>
      </w:pPr>
    </w:p>
    <w:bookmarkStart w:id="8" w:name="page9"/>
    <w:bookmarkEnd w:id="8"/>
    <w:p>
      <w:pPr>
        <w:ind w:right="4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 purposes of the equity awards described above, the vesting start date shall be the 15th of the month coincident with or next following the date on which you begin employment with the Company (i.e., individuals hired after the 15th of the month will have a vesting start date of the 15th of the following month).</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Marvell’s Current Ability to Grant Equity</w:t>
      </w:r>
    </w:p>
    <w:p>
      <w:pPr>
        <w:spacing w:after="0" w:line="12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All Marvell equity awards are subject to final review and approval by the ECC and all applicable securities law restrictions. Please note that, as of the time of this offer, Marvell has not timely filed certain required periodic reports with the SEC. Therefore, Marvell cannot grant any of the equity awards set forth in this offer letter until such time as it has completed all necessary filings. In addition, all of the proposed equity awards set forth herein will be subject to your return to us of completed, signed Stock Unit Agreements.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Sign-On Bonus</w:t>
      </w:r>
    </w:p>
    <w:p>
      <w:pPr>
        <w:spacing w:after="0" w:line="121" w:lineRule="exact"/>
        <w:rPr>
          <w:sz w:val="20"/>
          <w:szCs w:val="20"/>
          <w:color w:val="auto"/>
        </w:rPr>
      </w:pPr>
    </w:p>
    <w:p>
      <w:pPr>
        <w:spacing w:after="0"/>
        <w:rPr>
          <w:sz w:val="20"/>
          <w:szCs w:val="20"/>
          <w:color w:val="auto"/>
        </w:rPr>
      </w:pPr>
      <w:r>
        <w:rPr>
          <w:rFonts w:ascii="Arial" w:cs="Arial" w:eastAsia="Arial" w:hAnsi="Arial"/>
          <w:sz w:val="17"/>
          <w:szCs w:val="17"/>
          <w:color w:val="auto"/>
        </w:rPr>
        <w:t>Because you may be leaving your current employer before receiving your FY2016 bonus, we are providing you with a sign-on bonus in the amount of</w:t>
      </w:r>
    </w:p>
    <w:p>
      <w:pPr>
        <w:spacing w:after="0" w:line="35" w:lineRule="exact"/>
        <w:rPr>
          <w:sz w:val="20"/>
          <w:szCs w:val="20"/>
          <w:color w:val="auto"/>
        </w:rPr>
      </w:pPr>
    </w:p>
    <w:p>
      <w:pPr>
        <w:ind w:right="60"/>
        <w:spacing w:after="0" w:line="261" w:lineRule="auto"/>
        <w:rPr>
          <w:sz w:val="20"/>
          <w:szCs w:val="20"/>
          <w:color w:val="auto"/>
        </w:rPr>
      </w:pPr>
      <w:r>
        <w:rPr>
          <w:rFonts w:ascii="Arial" w:cs="Arial" w:eastAsia="Arial" w:hAnsi="Arial"/>
          <w:sz w:val="18"/>
          <w:szCs w:val="18"/>
          <w:color w:val="auto"/>
        </w:rPr>
        <w:t>$200,000 US Dollars (USD), less applicable withholding. Your sign-on bonus is subject to repayment to us within ninety (90) days of your resignation date if you resign within twelve (12) months of the start date of your employment.</w:t>
      </w:r>
    </w:p>
    <w:p>
      <w:pPr>
        <w:spacing w:after="0" w:line="184"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In the event that within twelve (12) months of the start date of your employment you are terminated for “Cause” (as defined above), you agree to repay us a pro rata portion of the sign-on bonus (net of withholding taxes deducted from the payment of such amount to you to the extent the Company can recover them from the applicable tax authorities) based on the number of days remaining in the twelve-month period commencing on the start date of your employment at the time of your employment termination. Such repayment shall be made within 90 days of such termination of employment. Accordingly, your sign-on bonus will be deemed earned for California labor purposes in daily increments during the twelve (12) months after your start date.</w:t>
      </w:r>
    </w:p>
    <w:p>
      <w:pPr>
        <w:spacing w:after="0" w:line="26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Change-in-Control</w:t>
      </w:r>
    </w:p>
    <w:p>
      <w:pPr>
        <w:spacing w:after="0" w:line="121"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You will be eligible to participate in the Marvell Change in Control and Severance Plan (“CIC Plan”), subject to the terms and conditions of the CIC Plan and the form of agreement attached hereto as Appendix A.</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Other Terms</w:t>
      </w:r>
    </w:p>
    <w:p>
      <w:pPr>
        <w:spacing w:after="0" w:line="121" w:lineRule="exact"/>
        <w:rPr>
          <w:sz w:val="20"/>
          <w:szCs w:val="20"/>
          <w:color w:val="auto"/>
        </w:rPr>
      </w:pPr>
    </w:p>
    <w:p>
      <w:pPr>
        <w:ind w:right="140"/>
        <w:spacing w:after="0" w:line="276" w:lineRule="auto"/>
        <w:rPr>
          <w:sz w:val="20"/>
          <w:szCs w:val="20"/>
          <w:color w:val="auto"/>
        </w:rPr>
      </w:pPr>
      <w:r>
        <w:rPr>
          <w:rFonts w:ascii="Arial" w:cs="Arial" w:eastAsia="Arial" w:hAnsi="Arial"/>
          <w:sz w:val="17"/>
          <w:szCs w:val="17"/>
          <w:color w:val="auto"/>
        </w:rPr>
        <w:t>Your employment with the Company is at the mutual consent of you, the employee, and the Company, the employer. Your employment with the Company is at will, meaning that either you or the Company may terminate the employment relationship at any time, with or without cause. The at-will nature of your employment may only be changed by a written agreement signed by the CEO. During your employment, you will be subject to and agree to abide by and acknowledge all employment policies the Company has or adopts from time to time including, but not limited to, the Company New Hire Employee Agreement, which contains Confidential Information and Invention Assignment and Arbitration Agreements.</w:t>
      </w:r>
    </w:p>
    <w:p>
      <w:pPr>
        <w:sectPr>
          <w:pgSz w:w="11900" w:h="16838" w:orient="portrait"/>
          <w:cols w:equalWidth="0" w:num="1">
            <w:col w:w="11420"/>
          </w:cols>
          <w:pgMar w:left="240" w:top="274" w:right="239" w:bottom="1440" w:gutter="0" w:footer="0" w:header="0"/>
        </w:sectPr>
      </w:pPr>
    </w:p>
    <w:bookmarkStart w:id="9" w:name="page10"/>
    <w:bookmarkEnd w:id="9"/>
    <w:p>
      <w:pPr>
        <w:ind w:right="8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accordance with the Immigration Reform and Control Act of 1986, it will be necessary for you to submit documents to Human Resources evidencing both your employment authorization and identity within three (3) business days of your date of hire. Acceptable documents include, but are not limited to:</w:t>
      </w:r>
    </w:p>
    <w:p>
      <w:pPr>
        <w:spacing w:after="0" w:line="29" w:lineRule="exact"/>
        <w:rPr>
          <w:sz w:val="20"/>
          <w:szCs w:val="20"/>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 valid driver’s license and social security card, or</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 current passport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Please note your offer is contingent upon:</w:t>
      </w:r>
    </w:p>
    <w:p>
      <w:pPr>
        <w:spacing w:after="0" w:line="131"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Successful completion of a routine background investigation and reference checks;</w:t>
      </w:r>
    </w:p>
    <w:p>
      <w:pPr>
        <w:spacing w:after="0" w:line="130" w:lineRule="exact"/>
        <w:rPr>
          <w:rFonts w:ascii="Arial" w:cs="Arial" w:eastAsia="Arial" w:hAnsi="Arial"/>
          <w:sz w:val="18"/>
          <w:szCs w:val="18"/>
          <w:color w:val="auto"/>
        </w:rPr>
      </w:pPr>
    </w:p>
    <w:p>
      <w:pPr>
        <w:ind w:left="900" w:right="440" w:hanging="325"/>
        <w:spacing w:after="0" w:line="277"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Company’s receipt from you of a signed New Hire Employee Agreement, which contains the Company’s Confidential Information and Invention Assignment Agreement and Arbitration Agreement; and</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Completion of visa, license requirements, and government restricted party screening requirements, if applicable.</w:t>
      </w:r>
    </w:p>
    <w:p>
      <w:pPr>
        <w:spacing w:after="0" w:line="225" w:lineRule="exact"/>
        <w:rPr>
          <w:sz w:val="20"/>
          <w:szCs w:val="20"/>
          <w:color w:val="auto"/>
        </w:rPr>
      </w:pPr>
    </w:p>
    <w:p>
      <w:pPr>
        <w:jc w:val="both"/>
        <w:ind w:right="360"/>
        <w:spacing w:after="0" w:line="264" w:lineRule="auto"/>
        <w:rPr>
          <w:sz w:val="20"/>
          <w:szCs w:val="20"/>
          <w:color w:val="auto"/>
        </w:rPr>
      </w:pPr>
      <w:r>
        <w:rPr>
          <w:rFonts w:ascii="Arial" w:cs="Arial" w:eastAsia="Arial" w:hAnsi="Arial"/>
          <w:sz w:val="18"/>
          <w:szCs w:val="18"/>
          <w:color w:val="auto"/>
        </w:rPr>
        <w:t>Marvell Semiconductor, Inc. is an exciting company whose mission is to be the leading provider of high performance and high value-added mixed-signal integrated circuits for the computer, storage, communications and multimedia markets. We look forward to your acceptance as we believe you will be an important addition to our team in achieving our near and long term objectives.</w:t>
      </w:r>
    </w:p>
    <w:p>
      <w:pPr>
        <w:spacing w:after="0" w:line="18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This letter (if accepted) and the New Hire Employee Agreement, which contains the Company’s Arbitration Agreement and Confidential Information and Invention Assignment Agreement, constitute the entire agreement between you and the Company regarding the terms of your employment, and supersede any prior representations or agreements, whether written or oral, concerning the terms of your employment. This letter may not be modified or amended except by a signed written agreement from the Company.</w:t>
      </w:r>
    </w:p>
    <w:p>
      <w:pPr>
        <w:spacing w:after="0" w:line="187" w:lineRule="exact"/>
        <w:rPr>
          <w:sz w:val="20"/>
          <w:szCs w:val="20"/>
          <w:color w:val="auto"/>
        </w:rPr>
      </w:pPr>
    </w:p>
    <w:p>
      <w:pPr>
        <w:spacing w:after="0"/>
        <w:rPr>
          <w:sz w:val="20"/>
          <w:szCs w:val="20"/>
          <w:color w:val="auto"/>
        </w:rPr>
      </w:pPr>
      <w:r>
        <w:rPr>
          <w:rFonts w:ascii="Arial" w:cs="Arial" w:eastAsia="Arial" w:hAnsi="Arial"/>
          <w:sz w:val="17"/>
          <w:szCs w:val="17"/>
          <w:color w:val="auto"/>
        </w:rPr>
        <w:t>To accept this offer, please sign below and return the letter to me. Before submitting your response please print a copy of this letter for your records.</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Mitchell Gaynor</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Mitchell Gaynor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EVP, Chief Legal Officer and Secretary</w:t>
      </w:r>
    </w:p>
    <w:p>
      <w:pPr>
        <w:sectPr>
          <w:pgSz w:w="11900" w:h="16838" w:orient="portrait"/>
          <w:cols w:equalWidth="0" w:num="1">
            <w:col w:w="11400"/>
          </w:cols>
          <w:pgMar w:left="240" w:top="274" w:right="259" w:bottom="1440" w:gutter="0" w:footer="0" w:header="0"/>
        </w:sectPr>
      </w:pPr>
    </w:p>
    <w:bookmarkStart w:id="10" w:name="page11"/>
    <w:bookmarkEnd w:id="10"/>
    <w:tbl>
      <w:tblPr>
        <w:tblLayout w:type="fixed"/>
        <w:tblInd w:w="0" w:type="dxa"/>
        <w:tblCellMar>
          <w:top w:w="0" w:type="dxa"/>
          <w:left w:w="0" w:type="dxa"/>
          <w:bottom w:w="0" w:type="dxa"/>
          <w:right w:w="0" w:type="dxa"/>
        </w:tblCellMar>
      </w:tblPr>
      <w:tr>
        <w:trPr>
          <w:trHeight w:val="230"/>
        </w:trPr>
        <w:tc>
          <w:tcPr>
            <w:tcW w:w="4000" w:type="dxa"/>
            <w:vAlign w:val="bottom"/>
          </w:tcPr>
          <w:p>
            <w:pPr>
              <w:spacing w:after="0"/>
              <w:rPr>
                <w:sz w:val="20"/>
                <w:szCs w:val="20"/>
                <w:color w:val="auto"/>
              </w:rPr>
            </w:pPr>
            <w:r>
              <w:rPr>
                <w:rFonts w:ascii="Arial" w:cs="Arial" w:eastAsia="Arial" w:hAnsi="Arial"/>
                <w:sz w:val="18"/>
                <w:szCs w:val="18"/>
                <w:color w:val="auto"/>
              </w:rPr>
              <w:t>Accepted By:</w:t>
            </w:r>
          </w:p>
        </w:tc>
        <w:tc>
          <w:tcPr>
            <w:tcW w:w="460" w:type="dxa"/>
            <w:vAlign w:val="bottom"/>
          </w:tcPr>
          <w:p>
            <w:pPr>
              <w:spacing w:after="0"/>
              <w:rPr>
                <w:sz w:val="20"/>
                <w:szCs w:val="20"/>
                <w:color w:val="auto"/>
              </w:rPr>
            </w:pPr>
          </w:p>
        </w:tc>
        <w:tc>
          <w:tcPr>
            <w:tcW w:w="332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3180" w:type="dxa"/>
            <w:vAlign w:val="bottom"/>
          </w:tcPr>
          <w:p>
            <w:pPr>
              <w:spacing w:after="0"/>
              <w:rPr>
                <w:sz w:val="20"/>
                <w:szCs w:val="20"/>
                <w:color w:val="auto"/>
              </w:rPr>
            </w:pPr>
          </w:p>
        </w:tc>
      </w:tr>
      <w:tr>
        <w:trPr>
          <w:trHeight w:val="459"/>
        </w:trPr>
        <w:tc>
          <w:tcPr>
            <w:tcW w:w="4000" w:type="dxa"/>
            <w:vAlign w:val="bottom"/>
          </w:tcPr>
          <w:p>
            <w:pPr>
              <w:spacing w:after="0"/>
              <w:rPr>
                <w:sz w:val="20"/>
                <w:szCs w:val="20"/>
                <w:color w:val="auto"/>
              </w:rPr>
            </w:pPr>
            <w:r>
              <w:rPr>
                <w:rFonts w:ascii="Arial" w:cs="Arial" w:eastAsia="Arial" w:hAnsi="Arial"/>
                <w:sz w:val="18"/>
                <w:szCs w:val="18"/>
                <w:color w:val="auto"/>
              </w:rPr>
              <w:t>/s/ Dave Caron</w:t>
            </w:r>
          </w:p>
        </w:tc>
        <w:tc>
          <w:tcPr>
            <w:tcW w:w="3780" w:type="dxa"/>
            <w:vAlign w:val="bottom"/>
            <w:gridSpan w:val="2"/>
          </w:tcPr>
          <w:p>
            <w:pPr>
              <w:ind w:left="460"/>
              <w:spacing w:after="0"/>
              <w:rPr>
                <w:sz w:val="20"/>
                <w:szCs w:val="20"/>
                <w:color w:val="auto"/>
              </w:rPr>
            </w:pPr>
            <w:r>
              <w:rPr>
                <w:rFonts w:ascii="Arial" w:cs="Arial" w:eastAsia="Arial" w:hAnsi="Arial"/>
                <w:sz w:val="18"/>
                <w:szCs w:val="18"/>
                <w:color w:val="auto"/>
              </w:rPr>
              <w:t>8/26/16</w:t>
            </w:r>
          </w:p>
        </w:tc>
        <w:tc>
          <w:tcPr>
            <w:tcW w:w="460" w:type="dxa"/>
            <w:vAlign w:val="bottom"/>
          </w:tcPr>
          <w:p>
            <w:pPr>
              <w:spacing w:after="0"/>
              <w:rPr>
                <w:sz w:val="24"/>
                <w:szCs w:val="24"/>
                <w:color w:val="auto"/>
              </w:rPr>
            </w:pPr>
          </w:p>
        </w:tc>
        <w:tc>
          <w:tcPr>
            <w:tcW w:w="3180" w:type="dxa"/>
            <w:vAlign w:val="bottom"/>
          </w:tcPr>
          <w:p>
            <w:pPr>
              <w:spacing w:after="0"/>
              <w:rPr>
                <w:sz w:val="20"/>
                <w:szCs w:val="20"/>
                <w:color w:val="auto"/>
              </w:rPr>
            </w:pPr>
            <w:r>
              <w:rPr>
                <w:rFonts w:ascii="Arial" w:cs="Arial" w:eastAsia="Arial" w:hAnsi="Arial"/>
                <w:sz w:val="18"/>
                <w:szCs w:val="18"/>
                <w:color w:val="auto"/>
              </w:rPr>
              <w:t>Between 9/26/16 –10/10/16</w:t>
            </w:r>
          </w:p>
        </w:tc>
      </w:tr>
      <w:tr>
        <w:trPr>
          <w:trHeight w:val="224"/>
        </w:trPr>
        <w:tc>
          <w:tcPr>
            <w:tcW w:w="400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Dave Caron</w:t>
            </w:r>
          </w:p>
        </w:tc>
        <w:tc>
          <w:tcPr>
            <w:tcW w:w="460" w:type="dxa"/>
            <w:vAlign w:val="bottom"/>
          </w:tcPr>
          <w:p>
            <w:pPr>
              <w:spacing w:after="0"/>
              <w:rPr>
                <w:sz w:val="19"/>
                <w:szCs w:val="19"/>
                <w:color w:val="auto"/>
              </w:rPr>
            </w:pPr>
          </w:p>
        </w:tc>
        <w:tc>
          <w:tcPr>
            <w:tcW w:w="332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Date Signed</w:t>
            </w:r>
          </w:p>
        </w:tc>
        <w:tc>
          <w:tcPr>
            <w:tcW w:w="460" w:type="dxa"/>
            <w:vAlign w:val="bottom"/>
          </w:tcPr>
          <w:p>
            <w:pPr>
              <w:spacing w:after="0"/>
              <w:rPr>
                <w:sz w:val="19"/>
                <w:szCs w:val="19"/>
                <w:color w:val="auto"/>
              </w:rPr>
            </w:pPr>
          </w:p>
        </w:tc>
        <w:tc>
          <w:tcPr>
            <w:tcW w:w="31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Start Date</w:t>
            </w:r>
          </w:p>
        </w:tc>
      </w:tr>
    </w:tbl>
    <w:p>
      <w:pPr>
        <w:spacing w:after="0"/>
        <w:rPr>
          <w:sz w:val="20"/>
          <w:szCs w:val="20"/>
          <w:color w:val="auto"/>
        </w:rPr>
        <w:sectPr>
          <w:pgSz w:w="11900" w:h="16838" w:orient="portrait"/>
          <w:cols w:equalWidth="0" w:num="1">
            <w:col w:w="11420"/>
          </w:cols>
          <w:pgMar w:left="240" w:top="274" w:right="23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11" w:name="page12"/>
    <w:bookmarkEnd w:id="11"/>
    <w:p>
      <w:pPr>
        <w:jc w:val="center"/>
        <w:ind w:right="-19"/>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A</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 Change in Control and Severance Plan</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Participation Agreement</w:t>
      </w:r>
    </w:p>
    <w:p>
      <w:pPr>
        <w:spacing w:after="0" w:line="207" w:lineRule="exact"/>
        <w:rPr>
          <w:sz w:val="20"/>
          <w:szCs w:val="20"/>
          <w:color w:val="auto"/>
        </w:rPr>
      </w:pPr>
    </w:p>
    <w:p>
      <w:pPr>
        <w:ind w:right="260"/>
        <w:spacing w:after="0" w:line="282" w:lineRule="auto"/>
        <w:rPr>
          <w:sz w:val="20"/>
          <w:szCs w:val="20"/>
          <w:color w:val="auto"/>
        </w:rPr>
      </w:pPr>
      <w:r>
        <w:rPr>
          <w:rFonts w:ascii="Arial" w:cs="Arial" w:eastAsia="Arial" w:hAnsi="Arial"/>
          <w:sz w:val="18"/>
          <w:szCs w:val="18"/>
          <w:color w:val="auto"/>
        </w:rPr>
        <w:t>Marvell Technology Group Ltd. (the “</w:t>
      </w:r>
      <w:r>
        <w:rPr>
          <w:rFonts w:ascii="Arial" w:cs="Arial" w:eastAsia="Arial" w:hAnsi="Arial"/>
          <w:sz w:val="18"/>
          <w:szCs w:val="18"/>
          <w:b w:val="1"/>
          <w:bCs w:val="1"/>
          <w:color w:val="auto"/>
        </w:rPr>
        <w:t>Company</w:t>
      </w:r>
      <w:r>
        <w:rPr>
          <w:rFonts w:ascii="Arial" w:cs="Arial" w:eastAsia="Arial" w:hAnsi="Arial"/>
          <w:sz w:val="18"/>
          <w:szCs w:val="18"/>
          <w:color w:val="auto"/>
        </w:rPr>
        <w:t>”) is pleased to inform you that you have been selected to participate in the Company’s Change in Control and Severance Plan (the “</w:t>
      </w:r>
      <w:r>
        <w:rPr>
          <w:rFonts w:ascii="Arial" w:cs="Arial" w:eastAsia="Arial" w:hAnsi="Arial"/>
          <w:sz w:val="18"/>
          <w:szCs w:val="18"/>
          <w:b w:val="1"/>
          <w:bCs w:val="1"/>
          <w:color w:val="auto"/>
        </w:rPr>
        <w:t>Plan</w:t>
      </w:r>
      <w:r>
        <w:rPr>
          <w:rFonts w:ascii="Arial" w:cs="Arial" w:eastAsia="Arial" w:hAnsi="Arial"/>
          <w:sz w:val="18"/>
          <w:szCs w:val="18"/>
          <w:color w:val="auto"/>
        </w:rPr>
        <w:t>”) as a Participant.</w:t>
      </w:r>
    </w:p>
    <w:p>
      <w:pPr>
        <w:spacing w:after="0" w:line="166"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70" w:lineRule="exact"/>
        <w:rPr>
          <w:sz w:val="20"/>
          <w:szCs w:val="20"/>
          <w:color w:val="auto"/>
        </w:rPr>
      </w:pPr>
    </w:p>
    <w:p>
      <w:pPr>
        <w:spacing w:after="0"/>
        <w:rPr>
          <w:sz w:val="20"/>
          <w:szCs w:val="20"/>
          <w:color w:val="auto"/>
        </w:rPr>
      </w:pPr>
      <w:r>
        <w:rPr>
          <w:rFonts w:ascii="Arial" w:cs="Arial" w:eastAsia="Arial" w:hAnsi="Arial"/>
          <w:sz w:val="16"/>
          <w:szCs w:val="16"/>
          <w:color w:val="auto"/>
        </w:rPr>
        <w:t>In order to actually become a participant in the Plan, you must complete and sign this Participation Agreement and return it to [NAME] no later than [DATE].</w:t>
      </w:r>
    </w:p>
    <w:p>
      <w:pPr>
        <w:spacing w:after="0" w:line="248" w:lineRule="exact"/>
        <w:rPr>
          <w:sz w:val="20"/>
          <w:szCs w:val="20"/>
          <w:color w:val="auto"/>
        </w:rPr>
      </w:pPr>
    </w:p>
    <w:p>
      <w:pPr>
        <w:ind w:right="520"/>
        <w:spacing w:after="0" w:line="264" w:lineRule="auto"/>
        <w:rPr>
          <w:sz w:val="20"/>
          <w:szCs w:val="20"/>
          <w:color w:val="auto"/>
        </w:rPr>
      </w:pPr>
      <w:r>
        <w:rPr>
          <w:rFonts w:ascii="Arial" w:cs="Arial" w:eastAsia="Arial" w:hAnsi="Arial"/>
          <w:sz w:val="18"/>
          <w:szCs w:val="18"/>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81"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77" w:lineRule="exact"/>
        <w:rPr>
          <w:sz w:val="20"/>
          <w:szCs w:val="20"/>
          <w:color w:val="auto"/>
        </w:rPr>
      </w:pPr>
    </w:p>
    <w:p>
      <w:pPr>
        <w:ind w:left="640" w:hanging="176"/>
        <w:spacing w:after="0"/>
        <w:tabs>
          <w:tab w:leader="none" w:pos="64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Cash Severance Benefits.</w:t>
      </w:r>
    </w:p>
    <w:p>
      <w:pPr>
        <w:spacing w:after="0" w:line="229" w:lineRule="exact"/>
        <w:rPr>
          <w:rFonts w:ascii="Arial" w:cs="Arial" w:eastAsia="Arial" w:hAnsi="Arial"/>
          <w:sz w:val="18"/>
          <w:szCs w:val="18"/>
          <w:color w:val="auto"/>
        </w:rPr>
      </w:pPr>
    </w:p>
    <w:p>
      <w:pPr>
        <w:ind w:firstLine="921"/>
        <w:spacing w:after="0" w:line="259" w:lineRule="auto"/>
        <w:tabs>
          <w:tab w:leader="none" w:pos="1083" w:val="left"/>
        </w:tabs>
        <w:numPr>
          <w:ilvl w:val="1"/>
          <w:numId w:val="8"/>
        </w:numPr>
        <w:rPr>
          <w:rFonts w:ascii="Arial" w:cs="Arial" w:eastAsia="Arial" w:hAnsi="Arial"/>
          <w:sz w:val="18"/>
          <w:szCs w:val="18"/>
          <w:color w:val="auto"/>
        </w:rPr>
      </w:pPr>
      <w:r>
        <w:rPr>
          <w:rFonts w:ascii="Arial" w:cs="Arial" w:eastAsia="Arial" w:hAnsi="Arial"/>
          <w:sz w:val="18"/>
          <w:szCs w:val="18"/>
          <w:i w:val="1"/>
          <w:iCs w:val="1"/>
          <w:color w:val="auto"/>
        </w:rPr>
        <w:t>Base Salary</w:t>
      </w:r>
      <w:r>
        <w:rPr>
          <w:rFonts w:ascii="Arial" w:cs="Arial" w:eastAsia="Arial" w:hAnsi="Arial"/>
          <w:sz w:val="18"/>
          <w:szCs w:val="18"/>
          <w:color w:val="auto"/>
        </w:rPr>
        <w:t>. A lump-sum payment (less applicable withholding taxes) equal to 12 months of your annual base salary as in effect immediately</w:t>
      </w:r>
      <w:r>
        <w:rPr>
          <w:rFonts w:ascii="Arial" w:cs="Arial" w:eastAsia="Arial" w:hAnsi="Arial"/>
          <w:sz w:val="18"/>
          <w:szCs w:val="18"/>
          <w:i w:val="1"/>
          <w:iCs w:val="1"/>
          <w:color w:val="auto"/>
        </w:rPr>
        <w:t xml:space="preserve"> </w:t>
      </w:r>
      <w:r>
        <w:rPr>
          <w:rFonts w:ascii="Arial" w:cs="Arial" w:eastAsia="Arial" w:hAnsi="Arial"/>
          <w:sz w:val="18"/>
          <w:szCs w:val="18"/>
          <w:color w:val="auto"/>
        </w:rPr>
        <w:t>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86" w:lineRule="exact"/>
        <w:rPr>
          <w:rFonts w:ascii="Arial" w:cs="Arial" w:eastAsia="Arial" w:hAnsi="Arial"/>
          <w:sz w:val="18"/>
          <w:szCs w:val="18"/>
          <w:color w:val="auto"/>
        </w:rPr>
      </w:pPr>
    </w:p>
    <w:p>
      <w:pPr>
        <w:ind w:right="20" w:firstLine="921"/>
        <w:spacing w:after="0" w:line="277" w:lineRule="auto"/>
        <w:tabs>
          <w:tab w:leader="none" w:pos="1093" w:val="left"/>
        </w:tabs>
        <w:numPr>
          <w:ilvl w:val="1"/>
          <w:numId w:val="8"/>
        </w:numPr>
        <w:rPr>
          <w:rFonts w:ascii="Arial" w:cs="Arial" w:eastAsia="Arial" w:hAnsi="Arial"/>
          <w:sz w:val="18"/>
          <w:szCs w:val="18"/>
          <w:color w:val="auto"/>
        </w:rPr>
      </w:pPr>
      <w:r>
        <w:rPr>
          <w:rFonts w:ascii="Arial" w:cs="Arial" w:eastAsia="Arial" w:hAnsi="Arial"/>
          <w:sz w:val="18"/>
          <w:szCs w:val="18"/>
          <w:i w:val="1"/>
          <w:iCs w:val="1"/>
          <w:color w:val="auto"/>
        </w:rPr>
        <w:t>Bonus</w:t>
      </w:r>
      <w:r>
        <w:rPr>
          <w:rFonts w:ascii="Arial" w:cs="Arial" w:eastAsia="Arial" w:hAnsi="Arial"/>
          <w:sz w:val="18"/>
          <w:szCs w:val="18"/>
          <w:color w:val="auto"/>
        </w:rPr>
        <w:t>. A lump-sum payment equal to 100% of your annual target bonus for the fiscal year in which your Involuntary Termination occurs or, if</w:t>
      </w:r>
      <w:r>
        <w:rPr>
          <w:rFonts w:ascii="Arial" w:cs="Arial" w:eastAsia="Arial" w:hAnsi="Arial"/>
          <w:sz w:val="18"/>
          <w:szCs w:val="18"/>
          <w:i w:val="1"/>
          <w:iCs w:val="1"/>
          <w:color w:val="auto"/>
        </w:rPr>
        <w:t xml:space="preserve"> </w:t>
      </w:r>
      <w:r>
        <w:rPr>
          <w:rFonts w:ascii="Arial" w:cs="Arial" w:eastAsia="Arial" w:hAnsi="Arial"/>
          <w:sz w:val="18"/>
          <w:szCs w:val="18"/>
          <w:color w:val="auto"/>
        </w:rPr>
        <w:t>greater, your annual target bonus in effect immediately prior to the Change in Control.</w:t>
      </w:r>
    </w:p>
    <w:p>
      <w:pPr>
        <w:spacing w:after="0" w:line="170" w:lineRule="exact"/>
        <w:rPr>
          <w:rFonts w:ascii="Arial" w:cs="Arial" w:eastAsia="Arial" w:hAnsi="Arial"/>
          <w:sz w:val="18"/>
          <w:szCs w:val="18"/>
          <w:color w:val="auto"/>
        </w:rPr>
      </w:pPr>
    </w:p>
    <w:p>
      <w:pPr>
        <w:ind w:left="1100" w:hanging="179"/>
        <w:spacing w:after="0"/>
        <w:tabs>
          <w:tab w:leader="none" w:pos="1100" w:val="left"/>
        </w:tabs>
        <w:numPr>
          <w:ilvl w:val="1"/>
          <w:numId w:val="8"/>
        </w:numPr>
        <w:rPr>
          <w:rFonts w:ascii="Arial" w:cs="Arial" w:eastAsia="Arial" w:hAnsi="Arial"/>
          <w:sz w:val="17"/>
          <w:szCs w:val="17"/>
          <w:color w:val="auto"/>
        </w:rPr>
      </w:pPr>
      <w:r>
        <w:rPr>
          <w:rFonts w:ascii="Arial" w:cs="Arial" w:eastAsia="Arial" w:hAnsi="Arial"/>
          <w:sz w:val="17"/>
          <w:szCs w:val="17"/>
          <w:i w:val="1"/>
          <w:iCs w:val="1"/>
          <w:color w:val="auto"/>
        </w:rPr>
        <w:t>Pro-Rata Bonus</w:t>
      </w:r>
      <w:r>
        <w:rPr>
          <w:rFonts w:ascii="Arial" w:cs="Arial" w:eastAsia="Arial" w:hAnsi="Arial"/>
          <w:sz w:val="17"/>
          <w:szCs w:val="17"/>
          <w:color w:val="auto"/>
        </w:rPr>
        <w:t>. A lump-sum payment equal to your annual target bonus for the fiscal year in which your Involuntary Termination occurs,</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pro-rated for the number of full months employed during the fiscal year.</w:t>
      </w:r>
    </w:p>
    <w:p>
      <w:pPr>
        <w:spacing w:after="0" w:line="207" w:lineRule="exact"/>
        <w:rPr>
          <w:sz w:val="20"/>
          <w:szCs w:val="20"/>
          <w:color w:val="auto"/>
        </w:rPr>
      </w:pPr>
    </w:p>
    <w:p>
      <w:pPr>
        <w:ind w:right="80" w:firstLine="464"/>
        <w:spacing w:after="0" w:line="289" w:lineRule="auto"/>
        <w:tabs>
          <w:tab w:leader="none" w:pos="636" w:val="left"/>
        </w:tabs>
        <w:numPr>
          <w:ilvl w:val="0"/>
          <w:numId w:val="9"/>
        </w:numPr>
        <w:rPr>
          <w:rFonts w:ascii="Arial" w:cs="Arial" w:eastAsia="Arial" w:hAnsi="Arial"/>
          <w:sz w:val="16"/>
          <w:szCs w:val="16"/>
          <w:color w:val="auto"/>
        </w:rPr>
      </w:pPr>
      <w:r>
        <w:rPr>
          <w:rFonts w:ascii="Arial" w:cs="Arial" w:eastAsia="Arial" w:hAnsi="Arial"/>
          <w:sz w:val="16"/>
          <w:szCs w:val="16"/>
          <w:b w:val="1"/>
          <w:bCs w:val="1"/>
          <w:color w:val="auto"/>
        </w:rPr>
        <w:t>Equity Award Vesting Acceleration</w:t>
      </w:r>
      <w:r>
        <w:rPr>
          <w:rFonts w:ascii="Arial" w:cs="Arial" w:eastAsia="Arial" w:hAnsi="Arial"/>
          <w:sz w:val="16"/>
          <w:szCs w:val="16"/>
          <w:color w:val="auto"/>
        </w:rPr>
        <w:t>. 100% of your then-outstanding and unvested Equity Awards will become vested in full. If, however, an</w:t>
      </w:r>
      <w:r>
        <w:rPr>
          <w:rFonts w:ascii="Arial" w:cs="Arial" w:eastAsia="Arial" w:hAnsi="Arial"/>
          <w:sz w:val="16"/>
          <w:szCs w:val="16"/>
          <w:b w:val="1"/>
          <w:bCs w:val="1"/>
          <w:color w:val="auto"/>
        </w:rPr>
        <w:t xml:space="preserve"> </w:t>
      </w:r>
      <w:r>
        <w:rPr>
          <w:rFonts w:ascii="Arial" w:cs="Arial" w:eastAsia="Arial" w:hAnsi="Arial"/>
          <w:sz w:val="16"/>
          <w:szCs w:val="16"/>
          <w:color w:val="auto"/>
        </w:rPr>
        <w:t>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ectPr>
          <w:pgSz w:w="11900" w:h="16838" w:orient="portrait"/>
          <w:cols w:equalWidth="0" w:num="1">
            <w:col w:w="11400"/>
          </w:cols>
          <w:pgMar w:left="240" w:top="270" w:right="259" w:bottom="1440" w:gutter="0" w:footer="0" w:header="0"/>
        </w:sectPr>
      </w:pPr>
    </w:p>
    <w:bookmarkStart w:id="12" w:name="page13"/>
    <w:bookmarkEnd w:id="12"/>
    <w:p>
      <w:pPr>
        <w:ind w:right="280" w:firstLine="464"/>
        <w:spacing w:after="0" w:line="261" w:lineRule="auto"/>
        <w:tabs>
          <w:tab w:leader="none" w:pos="636"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Continued Medical Benefits</w:t>
      </w:r>
      <w:r>
        <w:rPr>
          <w:rFonts w:ascii="Arial" w:cs="Arial" w:eastAsia="Arial" w:hAnsi="Arial"/>
          <w:sz w:val="18"/>
          <w:szCs w:val="18"/>
          <w:color w:val="auto"/>
        </w:rPr>
        <w:t>. Your reimbursement of continued health coverage under COBRA or taxable monthly payment in lieu of</w:t>
      </w:r>
      <w:r>
        <w:rPr>
          <w:rFonts w:ascii="Arial" w:cs="Arial" w:eastAsia="Arial" w:hAnsi="Arial"/>
          <w:sz w:val="18"/>
          <w:szCs w:val="18"/>
          <w:b w:val="1"/>
          <w:bCs w:val="1"/>
          <w:color w:val="auto"/>
        </w:rPr>
        <w:t xml:space="preserve"> </w:t>
      </w:r>
      <w:r>
        <w:rPr>
          <w:rFonts w:ascii="Arial" w:cs="Arial" w:eastAsia="Arial" w:hAnsi="Arial"/>
          <w:sz w:val="18"/>
          <w:szCs w:val="18"/>
          <w:color w:val="auto"/>
        </w:rPr>
        <w:t>reimbursement, as applicable, and as described in Section 5.3 of the Plan will be provided for a period of 12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84" w:lineRule="exact"/>
        <w:rPr>
          <w:sz w:val="20"/>
          <w:szCs w:val="20"/>
          <w:color w:val="auto"/>
        </w:rPr>
      </w:pPr>
    </w:p>
    <w:p>
      <w:pPr>
        <w:ind w:right="220" w:firstLine="913"/>
        <w:spacing w:after="0" w:line="277" w:lineRule="auto"/>
        <w:rPr>
          <w:sz w:val="20"/>
          <w:szCs w:val="20"/>
          <w:color w:val="auto"/>
        </w:rPr>
      </w:pPr>
      <w:r>
        <w:rPr>
          <w:rFonts w:ascii="Arial" w:cs="Arial" w:eastAsia="Arial" w:hAnsi="Arial"/>
          <w:sz w:val="18"/>
          <w:szCs w:val="18"/>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70" w:lineRule="exact"/>
        <w:rPr>
          <w:sz w:val="20"/>
          <w:szCs w:val="20"/>
          <w:color w:val="auto"/>
        </w:rPr>
      </w:pPr>
    </w:p>
    <w:p>
      <w:pPr>
        <w:jc w:val="both"/>
        <w:ind w:right="320" w:firstLine="913"/>
        <w:spacing w:after="0" w:line="279" w:lineRule="auto"/>
        <w:rPr>
          <w:sz w:val="20"/>
          <w:szCs w:val="20"/>
          <w:color w:val="auto"/>
        </w:rPr>
      </w:pPr>
      <w:r>
        <w:rPr>
          <w:rFonts w:ascii="Arial" w:cs="Arial" w:eastAsia="Arial" w:hAnsi="Arial"/>
          <w:sz w:val="17"/>
          <w:szCs w:val="17"/>
          <w:color w:val="auto"/>
        </w:rPr>
        <w:t>By your signature below, you and the Company agree that your participation in the Plan is governed by this Participation Agreement and the provisions of the Plan. Your signature below confirms that: (1) you have received a copy of the Change in Control and Severance Plan and Summary Plan Description; (2) you have carefully read this Participation Agreement and the Change in Control and Severance Plan and Summary Plan Description; and (3) decisions and determinations by the Administrator under the Plan will be final and binding on you and your successors.</w:t>
      </w:r>
    </w:p>
    <w:p>
      <w:pPr>
        <w:spacing w:after="0" w:line="194"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72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460" w:type="dxa"/>
            <w:vAlign w:val="bottom"/>
          </w:tcPr>
          <w:p>
            <w:pPr>
              <w:spacing w:after="0"/>
              <w:rPr>
                <w:sz w:val="20"/>
                <w:szCs w:val="20"/>
                <w:color w:val="auto"/>
              </w:rPr>
            </w:pPr>
          </w:p>
        </w:tc>
        <w:tc>
          <w:tcPr>
            <w:tcW w:w="5240" w:type="dxa"/>
            <w:vAlign w:val="bottom"/>
          </w:tcPr>
          <w:p>
            <w:pPr>
              <w:spacing w:after="0"/>
              <w:rPr>
                <w:sz w:val="20"/>
                <w:szCs w:val="20"/>
                <w:color w:val="auto"/>
              </w:rPr>
            </w:pPr>
            <w:r>
              <w:rPr>
                <w:rFonts w:ascii="Arial" w:cs="Arial" w:eastAsia="Arial" w:hAnsi="Arial"/>
                <w:sz w:val="18"/>
                <w:szCs w:val="18"/>
                <w:b w:val="1"/>
                <w:bCs w:val="1"/>
                <w:color w:val="auto"/>
              </w:rPr>
              <w:t>PARTICIPANT</w:t>
            </w:r>
          </w:p>
        </w:tc>
      </w:tr>
      <w:tr>
        <w:trPr>
          <w:trHeight w:val="432"/>
        </w:trPr>
        <w:tc>
          <w:tcPr>
            <w:tcW w:w="5720" w:type="dxa"/>
            <w:vAlign w:val="bottom"/>
            <w:tcBorders>
              <w:bottom w:val="single" w:sz="8" w:color="auto"/>
            </w:tcBorders>
          </w:tcPr>
          <w:p>
            <w:pPr>
              <w:spacing w:after="0"/>
              <w:rPr>
                <w:sz w:val="24"/>
                <w:szCs w:val="24"/>
                <w:color w:val="auto"/>
              </w:rPr>
            </w:pPr>
          </w:p>
        </w:tc>
        <w:tc>
          <w:tcPr>
            <w:tcW w:w="460" w:type="dxa"/>
            <w:vAlign w:val="bottom"/>
          </w:tcPr>
          <w:p>
            <w:pPr>
              <w:spacing w:after="0"/>
              <w:rPr>
                <w:sz w:val="24"/>
                <w:szCs w:val="24"/>
                <w:color w:val="auto"/>
              </w:rPr>
            </w:pPr>
          </w:p>
        </w:tc>
        <w:tc>
          <w:tcPr>
            <w:tcW w:w="5240" w:type="dxa"/>
            <w:vAlign w:val="bottom"/>
            <w:tcBorders>
              <w:bottom w:val="single" w:sz="8" w:color="auto"/>
            </w:tcBorders>
          </w:tcPr>
          <w:p>
            <w:pPr>
              <w:spacing w:after="0"/>
              <w:rPr>
                <w:sz w:val="24"/>
                <w:szCs w:val="24"/>
                <w:color w:val="auto"/>
              </w:rPr>
            </w:pPr>
          </w:p>
        </w:tc>
      </w:tr>
      <w:tr>
        <w:trPr>
          <w:trHeight w:val="224"/>
        </w:trPr>
        <w:tc>
          <w:tcPr>
            <w:tcW w:w="5720" w:type="dxa"/>
            <w:vAlign w:val="bottom"/>
          </w:tcPr>
          <w:p>
            <w:pPr>
              <w:spacing w:after="0"/>
              <w:rPr>
                <w:sz w:val="20"/>
                <w:szCs w:val="20"/>
                <w:color w:val="auto"/>
              </w:rPr>
            </w:pPr>
            <w:r>
              <w:rPr>
                <w:rFonts w:ascii="Arial" w:cs="Arial" w:eastAsia="Arial" w:hAnsi="Arial"/>
                <w:sz w:val="18"/>
                <w:szCs w:val="18"/>
                <w:color w:val="auto"/>
              </w:rPr>
              <w:t>Signature</w:t>
            </w:r>
          </w:p>
        </w:tc>
        <w:tc>
          <w:tcPr>
            <w:tcW w:w="460" w:type="dxa"/>
            <w:vAlign w:val="bottom"/>
          </w:tcPr>
          <w:p>
            <w:pPr>
              <w:spacing w:after="0"/>
              <w:rPr>
                <w:sz w:val="19"/>
                <w:szCs w:val="19"/>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Signature</w:t>
            </w:r>
          </w:p>
        </w:tc>
      </w:tr>
      <w:tr>
        <w:trPr>
          <w:trHeight w:val="431"/>
        </w:trPr>
        <w:tc>
          <w:tcPr>
            <w:tcW w:w="5720" w:type="dxa"/>
            <w:vAlign w:val="bottom"/>
            <w:tcBorders>
              <w:bottom w:val="single" w:sz="8" w:color="auto"/>
            </w:tcBorders>
          </w:tcPr>
          <w:p>
            <w:pPr>
              <w:spacing w:after="0"/>
              <w:rPr>
                <w:sz w:val="24"/>
                <w:szCs w:val="24"/>
                <w:color w:val="auto"/>
              </w:rPr>
            </w:pPr>
          </w:p>
        </w:tc>
        <w:tc>
          <w:tcPr>
            <w:tcW w:w="460" w:type="dxa"/>
            <w:vAlign w:val="bottom"/>
          </w:tcPr>
          <w:p>
            <w:pPr>
              <w:spacing w:after="0"/>
              <w:rPr>
                <w:sz w:val="24"/>
                <w:szCs w:val="24"/>
                <w:color w:val="auto"/>
              </w:rPr>
            </w:pPr>
          </w:p>
        </w:tc>
        <w:tc>
          <w:tcPr>
            <w:tcW w:w="5240" w:type="dxa"/>
            <w:vAlign w:val="bottom"/>
            <w:tcBorders>
              <w:bottom w:val="single" w:sz="8" w:color="auto"/>
            </w:tcBorders>
          </w:tcPr>
          <w:p>
            <w:pPr>
              <w:spacing w:after="0"/>
              <w:rPr>
                <w:sz w:val="24"/>
                <w:szCs w:val="24"/>
                <w:color w:val="auto"/>
              </w:rPr>
            </w:pPr>
          </w:p>
        </w:tc>
      </w:tr>
      <w:tr>
        <w:trPr>
          <w:trHeight w:val="224"/>
        </w:trPr>
        <w:tc>
          <w:tcPr>
            <w:tcW w:w="5720" w:type="dxa"/>
            <w:vAlign w:val="bottom"/>
          </w:tcPr>
          <w:p>
            <w:pPr>
              <w:spacing w:after="0"/>
              <w:rPr>
                <w:sz w:val="20"/>
                <w:szCs w:val="20"/>
                <w:color w:val="auto"/>
              </w:rPr>
            </w:pPr>
            <w:r>
              <w:rPr>
                <w:rFonts w:ascii="Arial" w:cs="Arial" w:eastAsia="Arial" w:hAnsi="Arial"/>
                <w:sz w:val="18"/>
                <w:szCs w:val="18"/>
                <w:color w:val="auto"/>
              </w:rPr>
              <w:t>Name</w:t>
            </w:r>
          </w:p>
        </w:tc>
        <w:tc>
          <w:tcPr>
            <w:tcW w:w="460" w:type="dxa"/>
            <w:vAlign w:val="bottom"/>
          </w:tcPr>
          <w:p>
            <w:pPr>
              <w:spacing w:after="0"/>
              <w:rPr>
                <w:sz w:val="19"/>
                <w:szCs w:val="19"/>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Date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273685</wp:posOffset>
            </wp:positionV>
            <wp:extent cx="362775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3627755" cy="8890"/>
                    </a:xfrm>
                    <a:prstGeom prst="rect">
                      <a:avLst/>
                    </a:prstGeom>
                    <a:noFill/>
                  </pic:spPr>
                </pic:pic>
              </a:graphicData>
            </a:graphic>
          </wp:anchor>
        </w:drawing>
      </w: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Title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Attachment: Marvell Technology Group Ltd. Change in Control and Severance Plan and Summary Plan Description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[Signature Page to the Participation Agreement]</w:t>
      </w:r>
    </w:p>
    <w:p>
      <w:pPr>
        <w:sectPr>
          <w:pgSz w:w="11900" w:h="16838" w:orient="portrait"/>
          <w:cols w:equalWidth="0" w:num="1">
            <w:col w:w="11420"/>
          </w:cols>
          <w:pgMar w:left="240" w:top="270" w:right="239" w:bottom="1440" w:gutter="0" w:footer="0" w:header="0"/>
        </w:sectPr>
      </w:pPr>
    </w:p>
    <w:bookmarkStart w:id="13" w:name="page14"/>
    <w:bookmarkEnd w:id="1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5347970</wp:posOffset>
            </wp:positionH>
            <wp:positionV relativeFrom="paragraph">
              <wp:posOffset>172085</wp:posOffset>
            </wp:positionV>
            <wp:extent cx="1903730" cy="28321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903730" cy="28321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John Spencer Ahn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408-222-7544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johnahn@marvell.com</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Appointment of</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Dave Caron, Corporate Controller and Chief Accounting Officer</w:t>
      </w:r>
    </w:p>
    <w:p>
      <w:pPr>
        <w:spacing w:after="0" w:line="207" w:lineRule="exact"/>
        <w:rPr>
          <w:sz w:val="20"/>
          <w:szCs w:val="20"/>
          <w:color w:val="auto"/>
        </w:rPr>
      </w:pPr>
    </w:p>
    <w:p>
      <w:pPr>
        <w:ind w:right="120"/>
        <w:spacing w:after="0" w:line="314" w:lineRule="auto"/>
        <w:rPr>
          <w:sz w:val="20"/>
          <w:szCs w:val="20"/>
          <w:color w:val="auto"/>
        </w:rPr>
      </w:pPr>
      <w:r>
        <w:rPr>
          <w:rFonts w:ascii="Arial" w:cs="Arial" w:eastAsia="Arial" w:hAnsi="Arial"/>
          <w:sz w:val="16"/>
          <w:szCs w:val="16"/>
          <w:b w:val="1"/>
          <w:bCs w:val="1"/>
          <w:color w:val="auto"/>
        </w:rPr>
        <w:t xml:space="preserve">Santa Clara, Calif. (Oct. 3, 2016) </w:t>
      </w:r>
      <w:r>
        <w:rPr>
          <w:rFonts w:ascii="Arial" w:cs="Arial" w:eastAsia="Arial" w:hAnsi="Arial"/>
          <w:sz w:val="16"/>
          <w:szCs w:val="16"/>
          <w:color w:val="auto"/>
        </w:rPr>
        <w:t>— Marvell (NASDAQ:MRVL), a world leader in storage, cloud infrastructure, Internet of Things (IoT), connectivity and</w:t>
      </w:r>
      <w:r>
        <w:rPr>
          <w:rFonts w:ascii="Arial" w:cs="Arial" w:eastAsia="Arial" w:hAnsi="Arial"/>
          <w:sz w:val="16"/>
          <w:szCs w:val="16"/>
          <w:b w:val="1"/>
          <w:bCs w:val="1"/>
          <w:color w:val="auto"/>
        </w:rPr>
        <w:t xml:space="preserve"> </w:t>
      </w:r>
      <w:r>
        <w:rPr>
          <w:rFonts w:ascii="Arial" w:cs="Arial" w:eastAsia="Arial" w:hAnsi="Arial"/>
          <w:sz w:val="16"/>
          <w:szCs w:val="16"/>
          <w:color w:val="auto"/>
        </w:rPr>
        <w:t>multimedia semiconductor solutions, today announced the appointment of Mr. Dave Caron as Corporate Controller and Chief Accounting Officer, effective today. In this role, Mr. Caron will be responsible for managing all the corporate accounting and financial reporting functions across the organization.</w:t>
      </w:r>
    </w:p>
    <w:p>
      <w:pPr>
        <w:spacing w:after="0" w:line="146"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color w:val="auto"/>
        </w:rPr>
        <w:t>“Dave is an experienced finance and accounting executive with a proven track record in the semiconductor industry,” said Jean Hu, Chief Financial Officer, Marvell Technology Group. “I want to welcome Dave to the team and I look forward to his steady leadership as we return the company to profitable growth.”</w:t>
      </w:r>
    </w:p>
    <w:p>
      <w:pPr>
        <w:spacing w:after="0" w:line="124" w:lineRule="exact"/>
        <w:rPr>
          <w:sz w:val="20"/>
          <w:szCs w:val="20"/>
          <w:color w:val="auto"/>
        </w:rPr>
      </w:pPr>
    </w:p>
    <w:p>
      <w:pPr>
        <w:jc w:val="both"/>
        <w:ind w:right="100"/>
        <w:spacing w:after="0" w:line="312" w:lineRule="auto"/>
        <w:rPr>
          <w:sz w:val="20"/>
          <w:szCs w:val="20"/>
          <w:color w:val="auto"/>
        </w:rPr>
      </w:pPr>
      <w:r>
        <w:rPr>
          <w:rFonts w:ascii="Arial" w:cs="Arial" w:eastAsia="Arial" w:hAnsi="Arial"/>
          <w:sz w:val="16"/>
          <w:szCs w:val="16"/>
          <w:color w:val="auto"/>
        </w:rPr>
        <w:t>Most recently, Mr. Caron was the Corporate Controller and Principal Accounting Officer at Maxim Integrated. In this role, he was responsible for overseeing all facets of accounting including General Ledger, External/Technical Accounting, Accounts Receivable, Stock Administration, Payroll, Fixed Assets, Credit and Collections, as well as Accounts Payable. Prior to Maxim, Mr. Caron held finance leadership positions at Read-Rite Corporation and Ernst &amp; Young.</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Mr. Caron earned a Bachelor of Science in Business Administration from San Jose State University and is a Certified Public Accountant.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86" w:lineRule="auto"/>
        <w:rPr>
          <w:sz w:val="20"/>
          <w:szCs w:val="20"/>
          <w:color w:val="auto"/>
        </w:rPr>
      </w:pPr>
      <w:r>
        <w:rPr>
          <w:rFonts w:ascii="Arial" w:cs="Arial" w:eastAsia="Arial" w:hAnsi="Arial"/>
          <w:sz w:val="17"/>
          <w:szCs w:val="17"/>
          <w:color w:val="auto"/>
        </w:rPr>
        <w:t>Marvell (NASDAQ: MRVL) is a global leader in providing complete silicon solutions. From storage to cloud infrastructure, Internet of Things (IoT), connectivity and multimedia, Marvell’s diverse product portfolio aligns complete platform designs with industry-leading performance, security, reliability and efficiency. At the core of the world’s most powerful consumer, network and enterprise systems, Marvell empowers partners and their</w:t>
      </w:r>
    </w:p>
    <w:p>
      <w:pPr>
        <w:sectPr>
          <w:pgSz w:w="11900" w:h="16838" w:orient="portrait"/>
          <w:cols w:equalWidth="0" w:num="1">
            <w:col w:w="11420"/>
          </w:cols>
          <w:pgMar w:left="240" w:top="121" w:right="239" w:bottom="1440" w:gutter="0" w:footer="0" w:header="0"/>
        </w:sectPr>
      </w:pPr>
    </w:p>
    <w:bookmarkStart w:id="14" w:name="page15"/>
    <w:bookmarkEnd w:id="14"/>
    <w:p>
      <w:pPr>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customers to always stand at the forefront of innovation, performance and mass appeal. By providing people around the world with mobility and ease of access to services, adding value to their social, personal and work lives, Marvell is committed to enhancing the human experience.</w:t>
      </w:r>
    </w:p>
    <w:p>
      <w:pPr>
        <w:spacing w:after="0" w:line="147" w:lineRule="exact"/>
        <w:rPr>
          <w:sz w:val="20"/>
          <w:szCs w:val="20"/>
          <w:color w:val="auto"/>
        </w:rPr>
      </w:pPr>
    </w:p>
    <w:p>
      <w:pPr>
        <w:ind w:right="960"/>
        <w:spacing w:after="0" w:line="277" w:lineRule="auto"/>
        <w:rPr>
          <w:sz w:val="20"/>
          <w:szCs w:val="20"/>
          <w:color w:val="auto"/>
        </w:rPr>
      </w:pPr>
      <w:r>
        <w:rPr>
          <w:rFonts w:ascii="Arial" w:cs="Arial" w:eastAsia="Arial" w:hAnsi="Arial"/>
          <w:sz w:val="18"/>
          <w:szCs w:val="18"/>
          <w:color w:val="auto"/>
        </w:rPr>
        <w:t xml:space="preserve">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70" w:lineRule="exact"/>
        <w:rPr>
          <w:sz w:val="20"/>
          <w:szCs w:val="20"/>
          <w:color w:val="auto"/>
        </w:rPr>
      </w:pPr>
    </w:p>
    <w:p>
      <w:pPr>
        <w:jc w:val="center"/>
        <w:ind w:right="-459"/>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jc w:val="center"/>
        <w:ind w:right="-459"/>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jc w:val="center"/>
        <w:ind w:right="-459"/>
        <w:spacing w:after="0"/>
        <w:rPr>
          <w:sz w:val="20"/>
          <w:szCs w:val="20"/>
          <w:color w:val="auto"/>
        </w:rPr>
      </w:pPr>
      <w:r>
        <w:rPr>
          <w:rFonts w:ascii="Arial" w:cs="Arial" w:eastAsia="Arial" w:hAnsi="Arial"/>
          <w:sz w:val="18"/>
          <w:szCs w:val="18"/>
          <w:color w:val="auto"/>
        </w:rPr>
        <w:t>2</w:t>
      </w:r>
    </w:p>
    <w:sectPr>
      <w:pgSz w:w="11900" w:h="16838" w:orient="portrait"/>
      <w:cols w:equalWidth="0" w:num="1">
        <w:col w:w="10980"/>
      </w:cols>
      <w:pgMar w:left="240" w:top="274" w:right="6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1."/>
      <w:numFmt w:val="decimal"/>
      <w:start w:val="1"/>
    </w:lvl>
  </w:abstractNum>
  <w:abstractNum w:abstractNumId="2">
    <w:nsid w:val="2EB141F2"/>
    <w:multiLevelType w:val="hybridMultilevel"/>
    <w:lvl w:ilvl="0">
      <w:lvlJc w:val="left"/>
      <w:lvlText w:val="%1."/>
      <w:numFmt w:val="decimal"/>
      <w:start w:val="1"/>
    </w:lvl>
  </w:abstractNum>
  <w:abstractNum w:abstractNumId="3">
    <w:nsid w:val="41B71EFB"/>
    <w:multiLevelType w:val="hybridMultilevel"/>
    <w:lvl w:ilvl="0">
      <w:lvlJc w:val="left"/>
      <w:lvlText w:val="(%1)"/>
      <w:numFmt w:val="lowerLetter"/>
      <w:start w:val="4"/>
    </w:lvl>
  </w:abstractNum>
  <w:abstractNum w:abstractNumId="4">
    <w:nsid w:val="79E2A9E3"/>
    <w:multiLevelType w:val="hybridMultilevel"/>
    <w:lvl w:ilvl="0">
      <w:lvlJc w:val="left"/>
      <w:lvlText w:val="(%1)"/>
      <w:numFmt w:val="lowerLetter"/>
      <w:start w:val="5"/>
    </w:lvl>
  </w:abstractNum>
  <w:abstractNum w:abstractNumId="5">
    <w:nsid w:val="7545E146"/>
    <w:multiLevelType w:val="hybridMultilevel"/>
    <w:lvl w:ilvl="0">
      <w:lvlJc w:val="left"/>
      <w:lvlText w:val="•"/>
      <w:numFmt w:val="bullet"/>
      <w:start w:val="1"/>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1."/>
      <w:numFmt w:val="decimal"/>
      <w:start w:val="1"/>
    </w:lvl>
    <w:lvl w:ilvl="1">
      <w:lvlJc w:val="left"/>
      <w:lvlText w:val="%2."/>
      <w:numFmt w:val="lowerLetter"/>
      <w:start w:val="1"/>
    </w:lvl>
  </w:abstractNum>
  <w:abstractNum w:abstractNumId="8">
    <w:nsid w:val="12200854"/>
    <w:multiLevelType w:val="hybridMultilevel"/>
    <w:lvl w:ilvl="0">
      <w:lvlJc w:val="left"/>
      <w:lvlText w:val="%1."/>
      <w:numFmt w:val="decimal"/>
      <w:start w:val="2"/>
    </w:lvl>
  </w:abstractNum>
  <w:abstractNum w:abstractNumId="9">
    <w:nsid w:val="4DB127F8"/>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jpeg"/><Relationship Id="rId31" Type="http://schemas.openxmlformats.org/officeDocument/2006/relationships/image" Target="media/image2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2019-12-06T21:15:38Z</dcterms:created>
  <dcterms:modified xsi:type="dcterms:W3CDTF">2019-12-06T21:15:38Z</dcterms:modified>
</cp:coreProperties>
</file>