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Pursuant to Section 13 or 15(d)</w:t>
      </w:r>
    </w:p>
    <w:p>
      <w:pPr>
        <w:jc w:val="center"/>
        <w:ind w:right="-11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Report (Date of earliest event reported): November 8,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11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140"/>
          </w:cols>
          <w:pgMar w:left="240" w:top="368" w:right="35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260"/>
          </w:cols>
          <w:pgMar w:left="240" w:top="368" w:right="359" w:bottom="1440" w:gutter="0" w:footer="0" w:header="0"/>
          <w:type w:val="continuous"/>
        </w:sectPr>
      </w:pPr>
    </w:p>
    <w:p>
      <w:pPr>
        <w:spacing w:after="0" w:line="6"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00"/>
          </w:cols>
          <w:pgMar w:left="240" w:top="368" w:right="359" w:bottom="1440" w:gutter="0" w:footer="0" w:header="0"/>
          <w:type w:val="continuous"/>
        </w:sectPr>
      </w:pPr>
    </w:p>
    <w:bookmarkStart w:id="1" w:name="page2"/>
    <w:bookmarkEnd w:id="1"/>
    <w:p>
      <w:pPr>
        <w:ind w:left="1140" w:hanging="1133"/>
        <w:spacing w:after="0" w:line="282"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58" w:lineRule="exact"/>
        <w:rPr>
          <w:sz w:val="20"/>
          <w:szCs w:val="20"/>
          <w:color w:val="auto"/>
        </w:rPr>
      </w:pPr>
    </w:p>
    <w:p>
      <w:pPr>
        <w:ind w:right="100"/>
        <w:spacing w:after="0" w:line="302" w:lineRule="auto"/>
        <w:rPr>
          <w:sz w:val="20"/>
          <w:szCs w:val="20"/>
          <w:color w:val="auto"/>
        </w:rPr>
      </w:pPr>
      <w:r>
        <w:rPr>
          <w:rFonts w:ascii="Arial" w:cs="Arial" w:eastAsia="Arial" w:hAnsi="Arial"/>
          <w:sz w:val="16"/>
          <w:szCs w:val="16"/>
          <w:color w:val="auto"/>
        </w:rPr>
        <w:t>At the Annual General Meeting of Shareholders of Marvell Technology Group Ltd., a Bermuda exempted company (the “Company”) held on November 8, 2016 (the “Annual Meeting”), shareholders whose shares were present either in person or by proxy voted upon the election of ten directors to the Board of Directors. The Bye-laws of the Company provide, as required by Bermuda law, that a director nominee must receive the vote of a majority of the shares present either in person or by proxy in order to be elected as a director. If a majority vote is not obtained, the director nominee is not elected to the board.</w:t>
      </w:r>
    </w:p>
    <w:p>
      <w:pPr>
        <w:spacing w:after="0" w:line="154"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Following the Annual General Meeting, the results of which are set forth below in Item 5.07, the terms of directors Sehat Sutardja, Weili Dai, Juergen Groemer, John Kassakian and Arturo Krueger expired. Richard Hill, Chairman of the Board, expressed on behalf of the Company and its Board of Directors his appreciation for their many contributions and years of service to Marvell.</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00"/>
          </w:cols>
          <w:pgMar w:left="240" w:top="270" w:right="359" w:bottom="1440" w:gutter="0" w:footer="0" w:header="0"/>
        </w:sectPr>
      </w:pPr>
    </w:p>
    <w:bookmarkStart w:id="2" w:name="page3"/>
    <w:bookmarkEnd w:id="2"/>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At the Annual Meeting held on November 8, 2016, shareholders voted on the matters as set forth below. Each issued common share was entitled to one vote on the proposals voted on at the meeting.</w:t>
      </w:r>
    </w:p>
    <w:p>
      <w:pPr>
        <w:spacing w:after="0" w:line="193" w:lineRule="exact"/>
        <w:rPr>
          <w:sz w:val="20"/>
          <w:szCs w:val="20"/>
          <w:color w:val="auto"/>
        </w:rPr>
      </w:pPr>
    </w:p>
    <w:p>
      <w:pPr>
        <w:ind w:left="460" w:right="420" w:hanging="452"/>
        <w:spacing w:after="0" w:line="282" w:lineRule="auto"/>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b w:val="1"/>
          <w:bCs w:val="1"/>
          <w:color w:val="auto"/>
        </w:rPr>
        <w:t>Seven of the ten nominees for election to the Board were elected, each for a term for a period beginning from their election until the 2017 annual general meeting of shareholders, based upon the following votes:</w:t>
      </w:r>
    </w:p>
    <w:p>
      <w:pPr>
        <w:spacing w:after="0" w:line="176"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59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960" w:type="dxa"/>
            <w:vAlign w:val="bottom"/>
            <w:gridSpan w:val="2"/>
          </w:tcPr>
          <w:p>
            <w:pPr>
              <w:ind w:left="60"/>
              <w:spacing w:after="0"/>
              <w:rPr>
                <w:sz w:val="20"/>
                <w:szCs w:val="20"/>
                <w:color w:val="auto"/>
              </w:rPr>
            </w:pPr>
            <w:r>
              <w:rPr>
                <w:rFonts w:ascii="Arial" w:cs="Arial" w:eastAsia="Arial" w:hAnsi="Arial"/>
                <w:sz w:val="14"/>
                <w:szCs w:val="14"/>
                <w:color w:val="auto"/>
              </w:rPr>
              <w:t>Broker Non-</w:t>
            </w:r>
          </w:p>
        </w:tc>
      </w:tr>
      <w:tr>
        <w:trPr>
          <w:trHeight w:val="167"/>
        </w:trPr>
        <w:tc>
          <w:tcPr>
            <w:tcW w:w="5940" w:type="dxa"/>
            <w:vAlign w:val="bottom"/>
          </w:tcPr>
          <w:p>
            <w:pPr>
              <w:spacing w:after="0"/>
              <w:rPr>
                <w:sz w:val="14"/>
                <w:szCs w:val="14"/>
                <w:color w:val="auto"/>
              </w:rPr>
            </w:pPr>
          </w:p>
        </w:tc>
        <w:tc>
          <w:tcPr>
            <w:tcW w:w="126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1260" w:type="dxa"/>
            <w:vAlign w:val="bottom"/>
            <w:gridSpan w:val="2"/>
          </w:tcPr>
          <w:p>
            <w:pPr>
              <w:jc w:val="right"/>
              <w:ind w:right="560"/>
              <w:spacing w:after="0"/>
              <w:rPr>
                <w:sz w:val="20"/>
                <w:szCs w:val="20"/>
                <w:color w:val="auto"/>
              </w:rPr>
            </w:pPr>
            <w:r>
              <w:rPr>
                <w:rFonts w:ascii="Arial" w:cs="Arial" w:eastAsia="Arial" w:hAnsi="Arial"/>
                <w:sz w:val="14"/>
                <w:szCs w:val="14"/>
                <w:color w:val="auto"/>
              </w:rPr>
              <w:t>Against</w:t>
            </w:r>
          </w:p>
        </w:tc>
        <w:tc>
          <w:tcPr>
            <w:tcW w:w="1080" w:type="dxa"/>
            <w:vAlign w:val="bottom"/>
            <w:gridSpan w:val="2"/>
          </w:tcPr>
          <w:p>
            <w:pPr>
              <w:jc w:val="right"/>
              <w:ind w:right="460"/>
              <w:spacing w:after="0"/>
              <w:rPr>
                <w:sz w:val="20"/>
                <w:szCs w:val="20"/>
                <w:color w:val="auto"/>
              </w:rPr>
            </w:pPr>
            <w:r>
              <w:rPr>
                <w:rFonts w:ascii="Arial" w:cs="Arial" w:eastAsia="Arial" w:hAnsi="Arial"/>
                <w:sz w:val="14"/>
                <w:szCs w:val="14"/>
                <w:color w:val="auto"/>
              </w:rPr>
              <w:t>Abstain</w:t>
            </w:r>
          </w:p>
        </w:tc>
        <w:tc>
          <w:tcPr>
            <w:tcW w:w="960" w:type="dxa"/>
            <w:vAlign w:val="bottom"/>
            <w:gridSpan w:val="2"/>
          </w:tcPr>
          <w:p>
            <w:pPr>
              <w:ind w:left="280"/>
              <w:spacing w:after="0"/>
              <w:rPr>
                <w:sz w:val="20"/>
                <w:szCs w:val="20"/>
                <w:color w:val="auto"/>
              </w:rPr>
            </w:pPr>
            <w:r>
              <w:rPr>
                <w:rFonts w:ascii="Arial" w:cs="Arial" w:eastAsia="Arial" w:hAnsi="Arial"/>
                <w:sz w:val="14"/>
                <w:szCs w:val="14"/>
                <w:color w:val="auto"/>
              </w:rPr>
              <w:t>Votes</w:t>
            </w:r>
          </w:p>
        </w:tc>
      </w:tr>
      <w:tr>
        <w:trPr>
          <w:trHeight w:val="210"/>
        </w:trPr>
        <w:tc>
          <w:tcPr>
            <w:tcW w:w="59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96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7"/>
              </w:rPr>
              <w:t>338,270,297</w:t>
            </w:r>
          </w:p>
        </w:tc>
        <w:tc>
          <w:tcPr>
            <w:tcW w:w="30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39,796,267</w:t>
            </w:r>
          </w:p>
        </w:tc>
        <w:tc>
          <w:tcPr>
            <w:tcW w:w="300" w:type="dxa"/>
            <w:vAlign w:val="bottom"/>
            <w:tcBorders>
              <w:top w:val="single" w:sz="8" w:color="CCEEFF"/>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3,562,413</w:t>
            </w:r>
          </w:p>
        </w:tc>
        <w:tc>
          <w:tcPr>
            <w:tcW w:w="3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ind w:left="60"/>
              <w:spacing w:after="0"/>
              <w:rPr>
                <w:sz w:val="20"/>
                <w:szCs w:val="20"/>
                <w:color w:val="auto"/>
              </w:rPr>
            </w:pPr>
            <w:r>
              <w:rPr>
                <w:rFonts w:ascii="Arial" w:cs="Arial" w:eastAsia="Arial" w:hAnsi="Arial"/>
                <w:sz w:val="18"/>
                <w:szCs w:val="18"/>
                <w:color w:val="auto"/>
                <w:w w:val="86"/>
              </w:rPr>
              <w:t>68,088,806</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Matthew J. Murphy</w:t>
            </w:r>
          </w:p>
        </w:tc>
        <w:tc>
          <w:tcPr>
            <w:tcW w:w="1260" w:type="dxa"/>
            <w:vAlign w:val="bottom"/>
            <w:gridSpan w:val="2"/>
          </w:tcPr>
          <w:p>
            <w:pPr>
              <w:ind w:left="60"/>
              <w:spacing w:after="0"/>
              <w:rPr>
                <w:sz w:val="20"/>
                <w:szCs w:val="20"/>
                <w:color w:val="auto"/>
              </w:rPr>
            </w:pPr>
            <w:r>
              <w:rPr>
                <w:rFonts w:ascii="Arial" w:cs="Arial" w:eastAsia="Arial" w:hAnsi="Arial"/>
                <w:sz w:val="18"/>
                <w:szCs w:val="18"/>
                <w:color w:val="auto"/>
              </w:rPr>
              <w:t>379,964,573</w:t>
            </w:r>
          </w:p>
        </w:tc>
        <w:tc>
          <w:tcPr>
            <w:tcW w:w="1260" w:type="dxa"/>
            <w:vAlign w:val="bottom"/>
            <w:gridSpan w:val="2"/>
          </w:tcPr>
          <w:p>
            <w:pPr>
              <w:jc w:val="right"/>
              <w:ind w:right="300"/>
              <w:spacing w:after="0"/>
              <w:rPr>
                <w:sz w:val="20"/>
                <w:szCs w:val="20"/>
                <w:color w:val="auto"/>
              </w:rPr>
            </w:pPr>
            <w:r>
              <w:rPr>
                <w:rFonts w:ascii="Arial" w:cs="Arial" w:eastAsia="Arial" w:hAnsi="Arial"/>
                <w:sz w:val="18"/>
                <w:szCs w:val="18"/>
                <w:color w:val="auto"/>
              </w:rPr>
              <w:t>1,449,443</w:t>
            </w: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214,916</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68,088,806</w:t>
            </w: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Peter A. Feld</w:t>
            </w:r>
          </w:p>
        </w:tc>
        <w:tc>
          <w:tcPr>
            <w:tcW w:w="12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247,966,028</w:t>
            </w:r>
          </w:p>
        </w:tc>
        <w:tc>
          <w:tcPr>
            <w:tcW w:w="12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2,607,504</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183,932</w:t>
            </w:r>
          </w:p>
        </w:tc>
        <w:tc>
          <w:tcPr>
            <w:tcW w:w="9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7"/>
              </w:rPr>
              <w:t>48,093,714</w:t>
            </w: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Juergen Gromer, Ph.D.</w:t>
            </w:r>
          </w:p>
        </w:tc>
        <w:tc>
          <w:tcPr>
            <w:tcW w:w="1260" w:type="dxa"/>
            <w:vAlign w:val="bottom"/>
            <w:gridSpan w:val="2"/>
          </w:tcPr>
          <w:p>
            <w:pPr>
              <w:ind w:left="60"/>
              <w:spacing w:after="0"/>
              <w:rPr>
                <w:sz w:val="20"/>
                <w:szCs w:val="20"/>
                <w:color w:val="auto"/>
              </w:rPr>
            </w:pPr>
            <w:r>
              <w:rPr>
                <w:rFonts w:ascii="Arial" w:cs="Arial" w:eastAsia="Arial" w:hAnsi="Arial"/>
                <w:sz w:val="18"/>
                <w:szCs w:val="18"/>
                <w:color w:val="auto"/>
              </w:rPr>
              <w:t>160,009,471</w:t>
            </w:r>
          </w:p>
        </w:tc>
        <w:tc>
          <w:tcPr>
            <w:tcW w:w="126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221,413,371</w:t>
            </w: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206,135</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68,088,806</w:t>
            </w: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John G. Kassakian, Sc.D.</w:t>
            </w:r>
          </w:p>
        </w:tc>
        <w:tc>
          <w:tcPr>
            <w:tcW w:w="12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160,043,464</w:t>
            </w:r>
          </w:p>
        </w:tc>
        <w:tc>
          <w:tcPr>
            <w:tcW w:w="12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3"/>
              </w:rPr>
              <w:t>221,370,078</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215,435</w:t>
            </w:r>
          </w:p>
        </w:tc>
        <w:tc>
          <w:tcPr>
            <w:tcW w:w="9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7"/>
              </w:rPr>
              <w:t>68,088,806</w:t>
            </w: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Oleg Khaykin</w:t>
            </w:r>
          </w:p>
        </w:tc>
        <w:tc>
          <w:tcPr>
            <w:tcW w:w="1260" w:type="dxa"/>
            <w:vAlign w:val="bottom"/>
            <w:gridSpan w:val="2"/>
          </w:tcPr>
          <w:p>
            <w:pPr>
              <w:ind w:left="60"/>
              <w:spacing w:after="0"/>
              <w:rPr>
                <w:sz w:val="20"/>
                <w:szCs w:val="20"/>
                <w:color w:val="auto"/>
              </w:rPr>
            </w:pPr>
            <w:r>
              <w:rPr>
                <w:rFonts w:ascii="Arial" w:cs="Arial" w:eastAsia="Arial" w:hAnsi="Arial"/>
                <w:sz w:val="18"/>
                <w:szCs w:val="18"/>
                <w:color w:val="auto"/>
              </w:rPr>
              <w:t>356,202,524</w:t>
            </w:r>
          </w:p>
        </w:tc>
        <w:tc>
          <w:tcPr>
            <w:tcW w:w="1260" w:type="dxa"/>
            <w:vAlign w:val="bottom"/>
            <w:gridSpan w:val="2"/>
          </w:tcPr>
          <w:p>
            <w:pPr>
              <w:jc w:val="right"/>
              <w:ind w:right="300"/>
              <w:spacing w:after="0"/>
              <w:rPr>
                <w:sz w:val="20"/>
                <w:szCs w:val="20"/>
                <w:color w:val="auto"/>
              </w:rPr>
            </w:pPr>
            <w:r>
              <w:rPr>
                <w:rFonts w:ascii="Arial" w:cs="Arial" w:eastAsia="Arial" w:hAnsi="Arial"/>
                <w:sz w:val="18"/>
                <w:szCs w:val="18"/>
                <w:color w:val="auto"/>
              </w:rPr>
              <w:t>25,225,399</w:t>
            </w: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201,054</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68,088,806</w:t>
            </w: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Arturo Krueger</w:t>
            </w:r>
          </w:p>
        </w:tc>
        <w:tc>
          <w:tcPr>
            <w:tcW w:w="12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176,676,994</w:t>
            </w:r>
          </w:p>
        </w:tc>
        <w:tc>
          <w:tcPr>
            <w:tcW w:w="12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3"/>
              </w:rPr>
              <w:t>204,727,919</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224,064</w:t>
            </w:r>
          </w:p>
        </w:tc>
        <w:tc>
          <w:tcPr>
            <w:tcW w:w="9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7"/>
              </w:rPr>
              <w:t>68,088,806</w:t>
            </w:r>
          </w:p>
        </w:tc>
      </w:tr>
      <w:tr>
        <w:trPr>
          <w:trHeight w:val="216"/>
        </w:trPr>
        <w:tc>
          <w:tcPr>
            <w:tcW w:w="5940" w:type="dxa"/>
            <w:vAlign w:val="bottom"/>
          </w:tcPr>
          <w:p>
            <w:pPr>
              <w:spacing w:after="0"/>
              <w:rPr>
                <w:sz w:val="20"/>
                <w:szCs w:val="20"/>
                <w:color w:val="auto"/>
              </w:rPr>
            </w:pPr>
            <w:r>
              <w:rPr>
                <w:rFonts w:ascii="Arial" w:cs="Arial" w:eastAsia="Arial" w:hAnsi="Arial"/>
                <w:sz w:val="18"/>
                <w:szCs w:val="18"/>
                <w:color w:val="auto"/>
              </w:rPr>
              <w:t>Michael Strachan</w:t>
            </w:r>
          </w:p>
        </w:tc>
        <w:tc>
          <w:tcPr>
            <w:tcW w:w="1260" w:type="dxa"/>
            <w:vAlign w:val="bottom"/>
            <w:gridSpan w:val="2"/>
          </w:tcPr>
          <w:p>
            <w:pPr>
              <w:ind w:left="60"/>
              <w:spacing w:after="0"/>
              <w:rPr>
                <w:sz w:val="20"/>
                <w:szCs w:val="20"/>
                <w:color w:val="auto"/>
              </w:rPr>
            </w:pPr>
            <w:r>
              <w:rPr>
                <w:rFonts w:ascii="Arial" w:cs="Arial" w:eastAsia="Arial" w:hAnsi="Arial"/>
                <w:sz w:val="18"/>
                <w:szCs w:val="18"/>
                <w:color w:val="auto"/>
              </w:rPr>
              <w:t>358,538,059</w:t>
            </w:r>
          </w:p>
        </w:tc>
        <w:tc>
          <w:tcPr>
            <w:tcW w:w="1260" w:type="dxa"/>
            <w:vAlign w:val="bottom"/>
            <w:gridSpan w:val="2"/>
          </w:tcPr>
          <w:p>
            <w:pPr>
              <w:jc w:val="right"/>
              <w:ind w:right="300"/>
              <w:spacing w:after="0"/>
              <w:rPr>
                <w:sz w:val="20"/>
                <w:szCs w:val="20"/>
                <w:color w:val="auto"/>
              </w:rPr>
            </w:pPr>
            <w:r>
              <w:rPr>
                <w:rFonts w:ascii="Arial" w:cs="Arial" w:eastAsia="Arial" w:hAnsi="Arial"/>
                <w:sz w:val="18"/>
                <w:szCs w:val="18"/>
                <w:color w:val="auto"/>
              </w:rPr>
              <w:t>22,860,983</w:t>
            </w: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229,935</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68,088,806</w:t>
            </w:r>
          </w:p>
        </w:tc>
      </w:tr>
      <w:tr>
        <w:trPr>
          <w:trHeight w:val="216"/>
        </w:trPr>
        <w:tc>
          <w:tcPr>
            <w:tcW w:w="5940" w:type="dxa"/>
            <w:vAlign w:val="bottom"/>
            <w:shd w:val="clear" w:color="auto" w:fill="CCEEFF"/>
          </w:tcPr>
          <w:p>
            <w:pPr>
              <w:spacing w:after="0"/>
              <w:rPr>
                <w:sz w:val="20"/>
                <w:szCs w:val="20"/>
                <w:color w:val="auto"/>
              </w:rPr>
            </w:pPr>
            <w:r>
              <w:rPr>
                <w:rFonts w:ascii="Arial" w:cs="Arial" w:eastAsia="Arial" w:hAnsi="Arial"/>
                <w:sz w:val="18"/>
                <w:szCs w:val="18"/>
                <w:color w:val="auto"/>
              </w:rPr>
              <w:t>Robert E. Switz</w:t>
            </w:r>
          </w:p>
        </w:tc>
        <w:tc>
          <w:tcPr>
            <w:tcW w:w="12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358,499,587</w:t>
            </w:r>
          </w:p>
        </w:tc>
        <w:tc>
          <w:tcPr>
            <w:tcW w:w="12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22,896,072</w:t>
            </w:r>
          </w:p>
        </w:tc>
        <w:tc>
          <w:tcPr>
            <w:tcW w:w="10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233,318</w:t>
            </w:r>
          </w:p>
        </w:tc>
        <w:tc>
          <w:tcPr>
            <w:tcW w:w="96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w w:val="97"/>
              </w:rPr>
              <w:t>68,088,806</w:t>
            </w:r>
          </w:p>
        </w:tc>
      </w:tr>
      <w:tr>
        <w:trPr>
          <w:trHeight w:val="230"/>
        </w:trPr>
        <w:tc>
          <w:tcPr>
            <w:tcW w:w="5940" w:type="dxa"/>
            <w:vAlign w:val="bottom"/>
          </w:tcPr>
          <w:p>
            <w:pPr>
              <w:spacing w:after="0"/>
              <w:rPr>
                <w:sz w:val="20"/>
                <w:szCs w:val="20"/>
                <w:color w:val="auto"/>
              </w:rPr>
            </w:pPr>
            <w:r>
              <w:rPr>
                <w:rFonts w:ascii="Arial" w:cs="Arial" w:eastAsia="Arial" w:hAnsi="Arial"/>
                <w:sz w:val="18"/>
                <w:szCs w:val="18"/>
                <w:color w:val="auto"/>
              </w:rPr>
              <w:t>Randhir Thakur, Ph.D.</w:t>
            </w:r>
          </w:p>
        </w:tc>
        <w:tc>
          <w:tcPr>
            <w:tcW w:w="1260" w:type="dxa"/>
            <w:vAlign w:val="bottom"/>
            <w:gridSpan w:val="2"/>
          </w:tcPr>
          <w:p>
            <w:pPr>
              <w:ind w:left="60"/>
              <w:spacing w:after="0"/>
              <w:rPr>
                <w:sz w:val="20"/>
                <w:szCs w:val="20"/>
                <w:color w:val="auto"/>
              </w:rPr>
            </w:pPr>
            <w:r>
              <w:rPr>
                <w:rFonts w:ascii="Arial" w:cs="Arial" w:eastAsia="Arial" w:hAnsi="Arial"/>
                <w:sz w:val="18"/>
                <w:szCs w:val="18"/>
                <w:color w:val="auto"/>
              </w:rPr>
              <w:t>242,971,235</w:t>
            </w:r>
          </w:p>
        </w:tc>
        <w:tc>
          <w:tcPr>
            <w:tcW w:w="1260" w:type="dxa"/>
            <w:vAlign w:val="bottom"/>
            <w:gridSpan w:val="2"/>
          </w:tcPr>
          <w:p>
            <w:pPr>
              <w:jc w:val="right"/>
              <w:ind w:right="300"/>
              <w:spacing w:after="0"/>
              <w:rPr>
                <w:sz w:val="20"/>
                <w:szCs w:val="20"/>
                <w:color w:val="auto"/>
              </w:rPr>
            </w:pPr>
            <w:r>
              <w:rPr>
                <w:rFonts w:ascii="Arial" w:cs="Arial" w:eastAsia="Arial" w:hAnsi="Arial"/>
                <w:sz w:val="18"/>
                <w:szCs w:val="18"/>
                <w:color w:val="auto"/>
                <w:w w:val="93"/>
              </w:rPr>
              <w:t>138,401,918</w:t>
            </w:r>
          </w:p>
        </w:tc>
        <w:tc>
          <w:tcPr>
            <w:tcW w:w="1080" w:type="dxa"/>
            <w:vAlign w:val="bottom"/>
            <w:gridSpan w:val="2"/>
          </w:tcPr>
          <w:p>
            <w:pPr>
              <w:jc w:val="right"/>
              <w:ind w:right="300"/>
              <w:spacing w:after="0"/>
              <w:rPr>
                <w:sz w:val="20"/>
                <w:szCs w:val="20"/>
                <w:color w:val="auto"/>
              </w:rPr>
            </w:pPr>
            <w:r>
              <w:rPr>
                <w:rFonts w:ascii="Arial" w:cs="Arial" w:eastAsia="Arial" w:hAnsi="Arial"/>
                <w:sz w:val="18"/>
                <w:szCs w:val="18"/>
                <w:color w:val="auto"/>
              </w:rPr>
              <w:t>255,824</w:t>
            </w:r>
          </w:p>
        </w:tc>
        <w:tc>
          <w:tcPr>
            <w:tcW w:w="960" w:type="dxa"/>
            <w:vAlign w:val="bottom"/>
            <w:gridSpan w:val="2"/>
          </w:tcPr>
          <w:p>
            <w:pPr>
              <w:ind w:left="60"/>
              <w:spacing w:after="0"/>
              <w:rPr>
                <w:sz w:val="20"/>
                <w:szCs w:val="20"/>
                <w:color w:val="auto"/>
              </w:rPr>
            </w:pPr>
            <w:r>
              <w:rPr>
                <w:rFonts w:ascii="Arial" w:cs="Arial" w:eastAsia="Arial" w:hAnsi="Arial"/>
                <w:sz w:val="18"/>
                <w:szCs w:val="18"/>
                <w:color w:val="auto"/>
                <w:w w:val="97"/>
              </w:rPr>
              <w:t>68,088,806</w:t>
            </w:r>
          </w:p>
        </w:tc>
      </w:tr>
    </w:tbl>
    <w:p>
      <w:pPr>
        <w:spacing w:after="0" w:line="187"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With respect to the election of each director, an “abstain” vote had the same effect as an “against” vote. Please see Item 5.02 above for additional information regarding director nominees who did not receive sufficient votes to be elected to the Board.</w:t>
      </w:r>
    </w:p>
    <w:p>
      <w:pPr>
        <w:spacing w:after="0" w:line="193" w:lineRule="exact"/>
        <w:rPr>
          <w:sz w:val="20"/>
          <w:szCs w:val="20"/>
          <w:color w:val="auto"/>
        </w:rPr>
      </w:pPr>
    </w:p>
    <w:p>
      <w:pPr>
        <w:ind w:left="460" w:right="120" w:hanging="452"/>
        <w:spacing w:after="0" w:line="282"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The proposal to approve, on an advisory and non-binding basis, the compensation of the Company’s named executive officers, was approved based upon the following votes:</w:t>
      </w:r>
    </w:p>
    <w:p>
      <w:pPr>
        <w:spacing w:after="0" w:line="188" w:lineRule="exact"/>
        <w:rPr>
          <w:sz w:val="20"/>
          <w:szCs w:val="20"/>
          <w:color w:val="auto"/>
        </w:rPr>
      </w:pPr>
    </w:p>
    <w:tbl>
      <w:tblPr>
        <w:tblLayout w:type="fixed"/>
        <w:tblInd w:w="820" w:type="dxa"/>
        <w:tblCellMar>
          <w:top w:w="0" w:type="dxa"/>
          <w:left w:w="0" w:type="dxa"/>
          <w:bottom w:w="0" w:type="dxa"/>
          <w:right w:w="0" w:type="dxa"/>
        </w:tblCellMar>
      </w:tblPr>
      <w:tr>
        <w:trPr>
          <w:trHeight w:val="167"/>
        </w:trPr>
        <w:tc>
          <w:tcPr>
            <w:tcW w:w="302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2920" w:type="dxa"/>
            <w:vAlign w:val="bottom"/>
            <w:gridSpan w:val="2"/>
          </w:tcPr>
          <w:p>
            <w:pPr>
              <w:ind w:left="200"/>
              <w:spacing w:after="0"/>
              <w:rPr>
                <w:sz w:val="20"/>
                <w:szCs w:val="20"/>
                <w:color w:val="auto"/>
              </w:rPr>
            </w:pPr>
            <w:r>
              <w:rPr>
                <w:rFonts w:ascii="Arial" w:cs="Arial" w:eastAsia="Arial" w:hAnsi="Arial"/>
                <w:sz w:val="14"/>
                <w:szCs w:val="14"/>
                <w:color w:val="auto"/>
              </w:rPr>
              <w:t>Against</w:t>
            </w:r>
          </w:p>
        </w:tc>
        <w:tc>
          <w:tcPr>
            <w:tcW w:w="640" w:type="dxa"/>
            <w:vAlign w:val="bottom"/>
          </w:tcPr>
          <w:p>
            <w:pPr>
              <w:jc w:val="right"/>
              <w:ind w:right="19"/>
              <w:spacing w:after="0"/>
              <w:rPr>
                <w:sz w:val="20"/>
                <w:szCs w:val="20"/>
                <w:color w:val="auto"/>
              </w:rPr>
            </w:pPr>
            <w:r>
              <w:rPr>
                <w:rFonts w:ascii="Arial" w:cs="Arial" w:eastAsia="Arial" w:hAnsi="Arial"/>
                <w:sz w:val="14"/>
                <w:szCs w:val="14"/>
                <w:color w:val="auto"/>
              </w:rPr>
              <w:t>Abstain</w:t>
            </w:r>
          </w:p>
        </w:tc>
        <w:tc>
          <w:tcPr>
            <w:tcW w:w="3220" w:type="dxa"/>
            <w:vAlign w:val="bottom"/>
            <w:gridSpan w:val="3"/>
          </w:tcPr>
          <w:p>
            <w:pPr>
              <w:ind w:left="2080"/>
              <w:spacing w:after="0"/>
              <w:rPr>
                <w:sz w:val="20"/>
                <w:szCs w:val="20"/>
                <w:color w:val="auto"/>
              </w:rPr>
            </w:pPr>
            <w:r>
              <w:rPr>
                <w:rFonts w:ascii="Arial" w:cs="Arial" w:eastAsia="Arial" w:hAnsi="Arial"/>
                <w:sz w:val="14"/>
                <w:szCs w:val="14"/>
                <w:color w:val="auto"/>
              </w:rPr>
              <w:t>Broker Non-Votes</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338,552,039</w:t>
            </w:r>
          </w:p>
        </w:tc>
        <w:tc>
          <w:tcPr>
            <w:tcW w:w="206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42,781,128</w:t>
            </w:r>
          </w:p>
        </w:tc>
        <w:tc>
          <w:tcPr>
            <w:tcW w:w="20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295,810</w:t>
            </w:r>
          </w:p>
        </w:tc>
        <w:tc>
          <w:tcPr>
            <w:tcW w:w="208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68,088,806</w:t>
            </w:r>
          </w:p>
        </w:tc>
        <w:tc>
          <w:tcPr>
            <w:tcW w:w="100" w:type="dxa"/>
            <w:vAlign w:val="bottom"/>
            <w:tcBorders>
              <w:top w:val="single" w:sz="8" w:color="CCEEFF"/>
            </w:tcBorders>
            <w:shd w:val="clear" w:color="auto" w:fill="CCEEFF"/>
          </w:tcPr>
          <w:p>
            <w:pPr>
              <w:spacing w:after="0"/>
              <w:rPr>
                <w:sz w:val="18"/>
                <w:szCs w:val="18"/>
                <w:color w:val="auto"/>
              </w:rPr>
            </w:pPr>
          </w:p>
        </w:tc>
      </w:tr>
    </w:tbl>
    <w:p>
      <w:pPr>
        <w:spacing w:after="0" w:line="225" w:lineRule="exact"/>
        <w:rPr>
          <w:sz w:val="20"/>
          <w:szCs w:val="20"/>
          <w:color w:val="auto"/>
        </w:rPr>
      </w:pPr>
    </w:p>
    <w:p>
      <w:pPr>
        <w:jc w:val="both"/>
        <w:ind w:left="460" w:right="560" w:hanging="452"/>
        <w:spacing w:after="0" w:line="314"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b w:val="1"/>
          <w:bCs w:val="1"/>
          <w:color w:val="auto"/>
        </w:rPr>
        <w:t>The proposal to re-appoint Deloitte &amp; Touche LLP as the Company’s auditors and independent registered public accounting firm, and authorize the audit committee, acting on behalf of the Board, to fix the remuneration of the auditors and independent registered public accounting firm, in both cases for the Company’s fiscal year ending January 28, 2017, was approved based upon the following votes:</w:t>
      </w:r>
    </w:p>
    <w:p>
      <w:pPr>
        <w:spacing w:after="0" w:line="169" w:lineRule="exact"/>
        <w:rPr>
          <w:sz w:val="20"/>
          <w:szCs w:val="20"/>
          <w:color w:val="auto"/>
        </w:rPr>
      </w:pPr>
    </w:p>
    <w:tbl>
      <w:tblPr>
        <w:tblLayout w:type="fixed"/>
        <w:tblInd w:w="820" w:type="dxa"/>
        <w:tblCellMar>
          <w:top w:w="0" w:type="dxa"/>
          <w:left w:w="0" w:type="dxa"/>
          <w:bottom w:w="0" w:type="dxa"/>
          <w:right w:w="0" w:type="dxa"/>
        </w:tblCellMar>
      </w:tblPr>
      <w:tr>
        <w:trPr>
          <w:trHeight w:val="167"/>
        </w:trPr>
        <w:tc>
          <w:tcPr>
            <w:tcW w:w="452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4220" w:type="dxa"/>
            <w:vAlign w:val="bottom"/>
            <w:gridSpan w:val="2"/>
          </w:tcPr>
          <w:p>
            <w:pPr>
              <w:ind w:left="100"/>
              <w:spacing w:after="0"/>
              <w:rPr>
                <w:sz w:val="20"/>
                <w:szCs w:val="20"/>
                <w:color w:val="auto"/>
              </w:rPr>
            </w:pPr>
            <w:r>
              <w:rPr>
                <w:rFonts w:ascii="Arial" w:cs="Arial" w:eastAsia="Arial" w:hAnsi="Arial"/>
                <w:sz w:val="14"/>
                <w:szCs w:val="14"/>
                <w:color w:val="auto"/>
              </w:rPr>
              <w:t>Against</w:t>
            </w:r>
          </w:p>
        </w:tc>
        <w:tc>
          <w:tcPr>
            <w:tcW w:w="106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Abstain</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383,929,636</w:t>
            </w:r>
          </w:p>
        </w:tc>
        <w:tc>
          <w:tcPr>
            <w:tcW w:w="35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247,351</w:t>
            </w:r>
          </w:p>
        </w:tc>
        <w:tc>
          <w:tcPr>
            <w:tcW w:w="356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5"/>
              </w:rPr>
              <w:t>65,540,796</w:t>
            </w:r>
          </w:p>
        </w:tc>
        <w:tc>
          <w:tcPr>
            <w:tcW w:w="100" w:type="dxa"/>
            <w:vAlign w:val="bottom"/>
            <w:tcBorders>
              <w:top w:val="single" w:sz="8" w:color="CCEEFF"/>
            </w:tcBorders>
            <w:shd w:val="clear" w:color="auto" w:fill="CCEEFF"/>
          </w:tcPr>
          <w:p>
            <w:pPr>
              <w:spacing w:after="0"/>
              <w:rPr>
                <w:sz w:val="18"/>
                <w:szCs w:val="18"/>
                <w:color w:val="auto"/>
              </w:rPr>
            </w:pPr>
          </w:p>
        </w:tc>
      </w:tr>
    </w:tbl>
    <w:p>
      <w:pPr>
        <w:spacing w:after="0" w:line="225" w:lineRule="exact"/>
        <w:rPr>
          <w:sz w:val="20"/>
          <w:szCs w:val="20"/>
          <w:color w:val="auto"/>
        </w:rPr>
      </w:pPr>
    </w:p>
    <w:p>
      <w:pPr>
        <w:ind w:left="460" w:hanging="452"/>
        <w:spacing w:after="0"/>
        <w:tabs>
          <w:tab w:leader="none" w:pos="460" w:val="left"/>
        </w:tabs>
        <w:numPr>
          <w:ilvl w:val="0"/>
          <w:numId w:val="5"/>
        </w:numPr>
        <w:rPr>
          <w:rFonts w:ascii="Arial" w:cs="Arial" w:eastAsia="Arial" w:hAnsi="Arial"/>
          <w:sz w:val="17"/>
          <w:szCs w:val="17"/>
          <w:color w:val="auto"/>
        </w:rPr>
      </w:pPr>
      <w:r>
        <w:rPr>
          <w:rFonts w:ascii="Arial" w:cs="Arial" w:eastAsia="Arial" w:hAnsi="Arial"/>
          <w:sz w:val="17"/>
          <w:szCs w:val="17"/>
          <w:b w:val="1"/>
          <w:bCs w:val="1"/>
          <w:color w:val="auto"/>
        </w:rPr>
        <w:t>The proposal to amend the Company’s existing Bye-laws to implement proxy access, was approved based upon the following votes:</w:t>
      </w:r>
    </w:p>
    <w:p>
      <w:pPr>
        <w:spacing w:after="0" w:line="263" w:lineRule="exact"/>
        <w:rPr>
          <w:sz w:val="20"/>
          <w:szCs w:val="20"/>
          <w:color w:val="auto"/>
        </w:rPr>
      </w:pPr>
    </w:p>
    <w:tbl>
      <w:tblPr>
        <w:tblLayout w:type="fixed"/>
        <w:tblInd w:w="820" w:type="dxa"/>
        <w:tblCellMar>
          <w:top w:w="0" w:type="dxa"/>
          <w:left w:w="0" w:type="dxa"/>
          <w:bottom w:w="0" w:type="dxa"/>
          <w:right w:w="0" w:type="dxa"/>
        </w:tblCellMar>
      </w:tblPr>
      <w:tr>
        <w:trPr>
          <w:trHeight w:val="167"/>
        </w:trPr>
        <w:tc>
          <w:tcPr>
            <w:tcW w:w="294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2860" w:type="dxa"/>
            <w:vAlign w:val="bottom"/>
            <w:gridSpan w:val="2"/>
          </w:tcPr>
          <w:p>
            <w:pPr>
              <w:ind w:left="200"/>
              <w:spacing w:after="0"/>
              <w:rPr>
                <w:sz w:val="20"/>
                <w:szCs w:val="20"/>
                <w:color w:val="auto"/>
              </w:rPr>
            </w:pPr>
            <w:r>
              <w:rPr>
                <w:rFonts w:ascii="Arial" w:cs="Arial" w:eastAsia="Arial" w:hAnsi="Arial"/>
                <w:sz w:val="14"/>
                <w:szCs w:val="14"/>
                <w:color w:val="auto"/>
              </w:rPr>
              <w:t>Against</w:t>
            </w:r>
          </w:p>
        </w:tc>
        <w:tc>
          <w:tcPr>
            <w:tcW w:w="860" w:type="dxa"/>
            <w:vAlign w:val="bottom"/>
          </w:tcPr>
          <w:p>
            <w:pPr>
              <w:jc w:val="right"/>
              <w:ind w:right="139"/>
              <w:spacing w:after="0"/>
              <w:rPr>
                <w:sz w:val="20"/>
                <w:szCs w:val="20"/>
                <w:color w:val="auto"/>
              </w:rPr>
            </w:pPr>
            <w:r>
              <w:rPr>
                <w:rFonts w:ascii="Arial" w:cs="Arial" w:eastAsia="Arial" w:hAnsi="Arial"/>
                <w:sz w:val="14"/>
                <w:szCs w:val="14"/>
                <w:color w:val="auto"/>
              </w:rPr>
              <w:t>Abstain</w:t>
            </w:r>
          </w:p>
        </w:tc>
        <w:tc>
          <w:tcPr>
            <w:tcW w:w="3140" w:type="dxa"/>
            <w:vAlign w:val="bottom"/>
            <w:gridSpan w:val="3"/>
          </w:tcPr>
          <w:p>
            <w:pPr>
              <w:ind w:left="2000"/>
              <w:spacing w:after="0"/>
              <w:rPr>
                <w:sz w:val="20"/>
                <w:szCs w:val="20"/>
                <w:color w:val="auto"/>
              </w:rPr>
            </w:pPr>
            <w:r>
              <w:rPr>
                <w:rFonts w:ascii="Arial" w:cs="Arial" w:eastAsia="Arial" w:hAnsi="Arial"/>
                <w:sz w:val="14"/>
                <w:szCs w:val="14"/>
                <w:color w:val="auto"/>
              </w:rPr>
              <w:t>Broker Non-Votes</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274,796,167</w:t>
            </w:r>
          </w:p>
        </w:tc>
        <w:tc>
          <w:tcPr>
            <w:tcW w:w="198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41,340,431</w:t>
            </w:r>
          </w:p>
        </w:tc>
        <w:tc>
          <w:tcPr>
            <w:tcW w:w="20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65,492,379</w:t>
            </w:r>
          </w:p>
        </w:tc>
        <w:tc>
          <w:tcPr>
            <w:tcW w:w="200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68,088,806</w:t>
            </w:r>
          </w:p>
        </w:tc>
        <w:tc>
          <w:tcPr>
            <w:tcW w:w="100" w:type="dxa"/>
            <w:vAlign w:val="bottom"/>
            <w:tcBorders>
              <w:top w:val="single" w:sz="8" w:color="CCEEFF"/>
            </w:tcBorders>
            <w:shd w:val="clear" w:color="auto" w:fill="CCEEFF"/>
          </w:tcPr>
          <w:p>
            <w:pPr>
              <w:spacing w:after="0"/>
              <w:rPr>
                <w:sz w:val="18"/>
                <w:szCs w:val="18"/>
                <w:color w:val="auto"/>
              </w:rPr>
            </w:pPr>
          </w:p>
        </w:tc>
      </w:tr>
    </w:tbl>
    <w:p>
      <w:pPr>
        <w:spacing w:after="0" w:line="225" w:lineRule="exact"/>
        <w:rPr>
          <w:sz w:val="20"/>
          <w:szCs w:val="20"/>
          <w:color w:val="auto"/>
        </w:rPr>
      </w:pPr>
    </w:p>
    <w:p>
      <w:pPr>
        <w:ind w:left="460" w:hanging="452"/>
        <w:spacing w:after="0" w:line="282" w:lineRule="auto"/>
        <w:tabs>
          <w:tab w:leader="none" w:pos="460" w:val="left"/>
        </w:tabs>
        <w:numPr>
          <w:ilvl w:val="0"/>
          <w:numId w:val="6"/>
        </w:numPr>
        <w:rPr>
          <w:rFonts w:ascii="Arial" w:cs="Arial" w:eastAsia="Arial" w:hAnsi="Arial"/>
          <w:sz w:val="18"/>
          <w:szCs w:val="18"/>
          <w:color w:val="auto"/>
        </w:rPr>
      </w:pPr>
      <w:r>
        <w:rPr>
          <w:rFonts w:ascii="Arial" w:cs="Arial" w:eastAsia="Arial" w:hAnsi="Arial"/>
          <w:sz w:val="18"/>
          <w:szCs w:val="18"/>
          <w:b w:val="1"/>
          <w:bCs w:val="1"/>
          <w:color w:val="auto"/>
        </w:rPr>
        <w:t>The proposal to amend the Company’s existing Bye-laws to amend procedures for advance notice of director nominations and other proposals at general meetings of shareholders, was approved based upon the following votes:</w:t>
      </w:r>
    </w:p>
    <w:p>
      <w:pPr>
        <w:spacing w:after="0" w:line="188" w:lineRule="exact"/>
        <w:rPr>
          <w:sz w:val="20"/>
          <w:szCs w:val="20"/>
          <w:color w:val="auto"/>
        </w:rPr>
      </w:pPr>
    </w:p>
    <w:tbl>
      <w:tblPr>
        <w:tblLayout w:type="fixed"/>
        <w:tblInd w:w="820" w:type="dxa"/>
        <w:tblCellMar>
          <w:top w:w="0" w:type="dxa"/>
          <w:left w:w="0" w:type="dxa"/>
          <w:bottom w:w="0" w:type="dxa"/>
          <w:right w:w="0" w:type="dxa"/>
        </w:tblCellMar>
      </w:tblPr>
      <w:tr>
        <w:trPr>
          <w:trHeight w:val="167"/>
        </w:trPr>
        <w:tc>
          <w:tcPr>
            <w:tcW w:w="296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2800" w:type="dxa"/>
            <w:vAlign w:val="bottom"/>
            <w:gridSpan w:val="2"/>
          </w:tcPr>
          <w:p>
            <w:pPr>
              <w:ind w:left="180"/>
              <w:spacing w:after="0"/>
              <w:rPr>
                <w:sz w:val="20"/>
                <w:szCs w:val="20"/>
                <w:color w:val="auto"/>
              </w:rPr>
            </w:pPr>
            <w:r>
              <w:rPr>
                <w:rFonts w:ascii="Arial" w:cs="Arial" w:eastAsia="Arial" w:hAnsi="Arial"/>
                <w:sz w:val="14"/>
                <w:szCs w:val="14"/>
                <w:color w:val="auto"/>
              </w:rPr>
              <w:t>Against</w:t>
            </w:r>
          </w:p>
        </w:tc>
        <w:tc>
          <w:tcPr>
            <w:tcW w:w="860" w:type="dxa"/>
            <w:vAlign w:val="bottom"/>
          </w:tcPr>
          <w:p>
            <w:pPr>
              <w:jc w:val="right"/>
              <w:ind w:right="119"/>
              <w:spacing w:after="0"/>
              <w:rPr>
                <w:sz w:val="20"/>
                <w:szCs w:val="20"/>
                <w:color w:val="auto"/>
              </w:rPr>
            </w:pPr>
            <w:r>
              <w:rPr>
                <w:rFonts w:ascii="Arial" w:cs="Arial" w:eastAsia="Arial" w:hAnsi="Arial"/>
                <w:sz w:val="14"/>
                <w:szCs w:val="14"/>
                <w:color w:val="auto"/>
              </w:rPr>
              <w:t>Abstain</w:t>
            </w:r>
          </w:p>
        </w:tc>
        <w:tc>
          <w:tcPr>
            <w:tcW w:w="3180" w:type="dxa"/>
            <w:vAlign w:val="bottom"/>
            <w:gridSpan w:val="3"/>
          </w:tcPr>
          <w:p>
            <w:pPr>
              <w:ind w:left="2040"/>
              <w:spacing w:after="0"/>
              <w:rPr>
                <w:sz w:val="20"/>
                <w:szCs w:val="20"/>
                <w:color w:val="auto"/>
              </w:rPr>
            </w:pPr>
            <w:r>
              <w:rPr>
                <w:rFonts w:ascii="Arial" w:cs="Arial" w:eastAsia="Arial" w:hAnsi="Arial"/>
                <w:sz w:val="14"/>
                <w:szCs w:val="14"/>
                <w:color w:val="auto"/>
              </w:rPr>
              <w:t>Broker Non-Votes</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311,879,282</w:t>
            </w:r>
          </w:p>
        </w:tc>
        <w:tc>
          <w:tcPr>
            <w:tcW w:w="20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4,296,102</w:t>
            </w:r>
          </w:p>
        </w:tc>
        <w:tc>
          <w:tcPr>
            <w:tcW w:w="20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65,453,593</w:t>
            </w:r>
          </w:p>
        </w:tc>
        <w:tc>
          <w:tcPr>
            <w:tcW w:w="204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68,088,806</w:t>
            </w:r>
          </w:p>
        </w:tc>
        <w:tc>
          <w:tcPr>
            <w:tcW w:w="100" w:type="dxa"/>
            <w:vAlign w:val="bottom"/>
            <w:tcBorders>
              <w:top w:val="single" w:sz="8" w:color="CCEEFF"/>
            </w:tcBorders>
            <w:shd w:val="clear" w:color="auto" w:fill="CCEEFF"/>
          </w:tcPr>
          <w:p>
            <w:pPr>
              <w:spacing w:after="0"/>
              <w:rPr>
                <w:sz w:val="18"/>
                <w:szCs w:val="18"/>
                <w:color w:val="auto"/>
              </w:rPr>
            </w:pPr>
          </w:p>
        </w:tc>
      </w:tr>
    </w:tbl>
    <w:p>
      <w:pPr>
        <w:spacing w:after="0" w:line="225" w:lineRule="exact"/>
        <w:rPr>
          <w:sz w:val="20"/>
          <w:szCs w:val="20"/>
          <w:color w:val="auto"/>
        </w:rPr>
      </w:pPr>
    </w:p>
    <w:p>
      <w:pPr>
        <w:ind w:left="460" w:right="320" w:hanging="452"/>
        <w:spacing w:after="0" w:line="282" w:lineRule="auto"/>
        <w:tabs>
          <w:tab w:leader="none" w:pos="460" w:val="left"/>
        </w:tabs>
        <w:numPr>
          <w:ilvl w:val="0"/>
          <w:numId w:val="7"/>
        </w:numPr>
        <w:rPr>
          <w:rFonts w:ascii="Arial" w:cs="Arial" w:eastAsia="Arial" w:hAnsi="Arial"/>
          <w:sz w:val="18"/>
          <w:szCs w:val="18"/>
          <w:color w:val="auto"/>
        </w:rPr>
      </w:pPr>
      <w:r>
        <w:rPr>
          <w:rFonts w:ascii="Arial" w:cs="Arial" w:eastAsia="Arial" w:hAnsi="Arial"/>
          <w:sz w:val="18"/>
          <w:szCs w:val="18"/>
          <w:b w:val="1"/>
          <w:bCs w:val="1"/>
          <w:color w:val="auto"/>
        </w:rPr>
        <w:t>The proposal to amend the Company’s existing Bye-laws to allow a majority vote of shareholders to amend the Company’s Bye-laws in all instances, was approved based upon the following votes:</w:t>
      </w:r>
    </w:p>
    <w:p>
      <w:pPr>
        <w:spacing w:after="0" w:line="188" w:lineRule="exact"/>
        <w:rPr>
          <w:sz w:val="20"/>
          <w:szCs w:val="20"/>
          <w:color w:val="auto"/>
        </w:rPr>
      </w:pPr>
    </w:p>
    <w:tbl>
      <w:tblPr>
        <w:tblLayout w:type="fixed"/>
        <w:tblInd w:w="820" w:type="dxa"/>
        <w:tblCellMar>
          <w:top w:w="0" w:type="dxa"/>
          <w:left w:w="0" w:type="dxa"/>
          <w:bottom w:w="0" w:type="dxa"/>
          <w:right w:w="0" w:type="dxa"/>
        </w:tblCellMar>
      </w:tblPr>
      <w:tr>
        <w:trPr>
          <w:trHeight w:val="167"/>
        </w:trPr>
        <w:tc>
          <w:tcPr>
            <w:tcW w:w="296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800" w:type="dxa"/>
            <w:vAlign w:val="bottom"/>
          </w:tcPr>
          <w:p>
            <w:pPr>
              <w:jc w:val="right"/>
              <w:ind w:right="99"/>
              <w:spacing w:after="0"/>
              <w:rPr>
                <w:sz w:val="20"/>
                <w:szCs w:val="20"/>
                <w:color w:val="auto"/>
              </w:rPr>
            </w:pPr>
            <w:r>
              <w:rPr>
                <w:rFonts w:ascii="Arial" w:cs="Arial" w:eastAsia="Arial" w:hAnsi="Arial"/>
                <w:sz w:val="14"/>
                <w:szCs w:val="14"/>
                <w:color w:val="auto"/>
              </w:rPr>
              <w:t>Against</w:t>
            </w:r>
          </w:p>
        </w:tc>
        <w:tc>
          <w:tcPr>
            <w:tcW w:w="2000" w:type="dxa"/>
            <w:vAlign w:val="bottom"/>
          </w:tcPr>
          <w:p>
            <w:pPr>
              <w:spacing w:after="0"/>
              <w:rPr>
                <w:sz w:val="14"/>
                <w:szCs w:val="14"/>
                <w:color w:val="auto"/>
              </w:rPr>
            </w:pPr>
          </w:p>
        </w:tc>
        <w:tc>
          <w:tcPr>
            <w:tcW w:w="860" w:type="dxa"/>
            <w:vAlign w:val="bottom"/>
          </w:tcPr>
          <w:p>
            <w:pPr>
              <w:jc w:val="right"/>
              <w:ind w:right="119"/>
              <w:spacing w:after="0"/>
              <w:rPr>
                <w:sz w:val="20"/>
                <w:szCs w:val="20"/>
                <w:color w:val="auto"/>
              </w:rPr>
            </w:pPr>
            <w:r>
              <w:rPr>
                <w:rFonts w:ascii="Arial" w:cs="Arial" w:eastAsia="Arial" w:hAnsi="Arial"/>
                <w:sz w:val="14"/>
                <w:szCs w:val="14"/>
                <w:color w:val="auto"/>
              </w:rPr>
              <w:t>Abstain</w:t>
            </w:r>
          </w:p>
        </w:tc>
        <w:tc>
          <w:tcPr>
            <w:tcW w:w="3180" w:type="dxa"/>
            <w:vAlign w:val="bottom"/>
            <w:gridSpan w:val="3"/>
          </w:tcPr>
          <w:p>
            <w:pPr>
              <w:ind w:left="2040"/>
              <w:spacing w:after="0"/>
              <w:rPr>
                <w:sz w:val="20"/>
                <w:szCs w:val="20"/>
                <w:color w:val="auto"/>
              </w:rPr>
            </w:pPr>
            <w:r>
              <w:rPr>
                <w:rFonts w:ascii="Arial" w:cs="Arial" w:eastAsia="Arial" w:hAnsi="Arial"/>
                <w:sz w:val="14"/>
                <w:szCs w:val="14"/>
                <w:color w:val="auto"/>
              </w:rPr>
              <w:t>Broker Non-Votes</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314,921,295</w:t>
            </w:r>
          </w:p>
        </w:tc>
        <w:tc>
          <w:tcPr>
            <w:tcW w:w="20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1,274,634</w:t>
            </w:r>
          </w:p>
        </w:tc>
        <w:tc>
          <w:tcPr>
            <w:tcW w:w="20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63,433,048</w:t>
            </w:r>
          </w:p>
        </w:tc>
        <w:tc>
          <w:tcPr>
            <w:tcW w:w="204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68,088,806</w:t>
            </w:r>
          </w:p>
        </w:tc>
        <w:tc>
          <w:tcPr>
            <w:tcW w:w="100" w:type="dxa"/>
            <w:vAlign w:val="bottom"/>
            <w:tcBorders>
              <w:top w:val="single" w:sz="8" w:color="CCEEFF"/>
            </w:tcBorders>
            <w:shd w:val="clear" w:color="auto" w:fill="CCEEFF"/>
          </w:tcPr>
          <w:p>
            <w:pPr>
              <w:spacing w:after="0"/>
              <w:rPr>
                <w:sz w:val="18"/>
                <w:szCs w:val="18"/>
                <w:color w:val="auto"/>
              </w:rPr>
            </w:pPr>
          </w:p>
        </w:tc>
      </w:tr>
      <w:tr>
        <w:trPr>
          <w:trHeight w:val="365"/>
        </w:trPr>
        <w:tc>
          <w:tcPr>
            <w:tcW w:w="960" w:type="dxa"/>
            <w:vAlign w:val="bottom"/>
          </w:tcPr>
          <w:p>
            <w:pPr>
              <w:spacing w:after="0"/>
              <w:rPr>
                <w:sz w:val="24"/>
                <w:szCs w:val="24"/>
                <w:color w:val="auto"/>
              </w:rPr>
            </w:pPr>
          </w:p>
        </w:tc>
        <w:tc>
          <w:tcPr>
            <w:tcW w:w="20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00" w:type="dxa"/>
            <w:vAlign w:val="bottom"/>
          </w:tcPr>
          <w:p>
            <w:pPr>
              <w:jc w:val="right"/>
              <w:ind w:right="730"/>
              <w:spacing w:after="0"/>
              <w:rPr>
                <w:sz w:val="20"/>
                <w:szCs w:val="20"/>
                <w:color w:val="auto"/>
              </w:rPr>
            </w:pPr>
            <w:r>
              <w:rPr>
                <w:rFonts w:ascii="Arial" w:cs="Arial" w:eastAsia="Arial" w:hAnsi="Arial"/>
                <w:sz w:val="18"/>
                <w:szCs w:val="18"/>
                <w:color w:val="auto"/>
              </w:rPr>
              <w:t>3</w:t>
            </w:r>
          </w:p>
        </w:tc>
        <w:tc>
          <w:tcPr>
            <w:tcW w:w="86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ectPr>
          <w:pgSz w:w="11900" w:h="16838" w:orient="portrait"/>
          <w:cols w:equalWidth="0" w:num="1">
            <w:col w:w="11340"/>
          </w:cols>
          <w:pgMar w:left="240" w:top="270" w:right="319" w:bottom="1440" w:gutter="0" w:footer="0" w:header="0"/>
        </w:sectPr>
      </w:pPr>
    </w:p>
    <w:bookmarkStart w:id="3" w:name="page4"/>
    <w:bookmarkEnd w:id="3"/>
    <w:p>
      <w:pPr>
        <w:ind w:left="452" w:right="300" w:hanging="452"/>
        <w:spacing w:after="0" w:line="282" w:lineRule="auto"/>
        <w:tabs>
          <w:tab w:leader="none" w:pos="452" w:val="left"/>
        </w:tabs>
        <w:numPr>
          <w:ilvl w:val="0"/>
          <w:numId w:val="8"/>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proposal to amend the Company’s existing Bye-laws to allow a majority vote of shareholders to approve a business combination, was approved based upon the following votes:</w:t>
      </w:r>
    </w:p>
    <w:p>
      <w:pPr>
        <w:spacing w:after="0" w:line="188" w:lineRule="exact"/>
        <w:rPr>
          <w:sz w:val="20"/>
          <w:szCs w:val="20"/>
          <w:color w:val="auto"/>
        </w:rPr>
      </w:pPr>
    </w:p>
    <w:tbl>
      <w:tblPr>
        <w:tblLayout w:type="fixed"/>
        <w:tblInd w:w="812" w:type="dxa"/>
        <w:tblCellMar>
          <w:top w:w="0" w:type="dxa"/>
          <w:left w:w="0" w:type="dxa"/>
          <w:bottom w:w="0" w:type="dxa"/>
          <w:right w:w="0" w:type="dxa"/>
        </w:tblCellMar>
      </w:tblPr>
      <w:tr>
        <w:trPr>
          <w:trHeight w:val="167"/>
        </w:trPr>
        <w:tc>
          <w:tcPr>
            <w:tcW w:w="296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2800" w:type="dxa"/>
            <w:vAlign w:val="bottom"/>
            <w:gridSpan w:val="2"/>
          </w:tcPr>
          <w:p>
            <w:pPr>
              <w:ind w:left="180"/>
              <w:spacing w:after="0"/>
              <w:rPr>
                <w:sz w:val="20"/>
                <w:szCs w:val="20"/>
                <w:color w:val="auto"/>
              </w:rPr>
            </w:pPr>
            <w:r>
              <w:rPr>
                <w:rFonts w:ascii="Arial" w:cs="Arial" w:eastAsia="Arial" w:hAnsi="Arial"/>
                <w:sz w:val="14"/>
                <w:szCs w:val="14"/>
                <w:color w:val="auto"/>
              </w:rPr>
              <w:t>Against</w:t>
            </w:r>
          </w:p>
        </w:tc>
        <w:tc>
          <w:tcPr>
            <w:tcW w:w="860" w:type="dxa"/>
            <w:vAlign w:val="bottom"/>
          </w:tcPr>
          <w:p>
            <w:pPr>
              <w:jc w:val="right"/>
              <w:ind w:right="119"/>
              <w:spacing w:after="0"/>
              <w:rPr>
                <w:sz w:val="20"/>
                <w:szCs w:val="20"/>
                <w:color w:val="auto"/>
              </w:rPr>
            </w:pPr>
            <w:r>
              <w:rPr>
                <w:rFonts w:ascii="Arial" w:cs="Arial" w:eastAsia="Arial" w:hAnsi="Arial"/>
                <w:sz w:val="14"/>
                <w:szCs w:val="14"/>
                <w:color w:val="auto"/>
              </w:rPr>
              <w:t>Abstain</w:t>
            </w:r>
          </w:p>
        </w:tc>
        <w:tc>
          <w:tcPr>
            <w:tcW w:w="3180" w:type="dxa"/>
            <w:vAlign w:val="bottom"/>
            <w:gridSpan w:val="3"/>
          </w:tcPr>
          <w:p>
            <w:pPr>
              <w:ind w:left="2040"/>
              <w:spacing w:after="0"/>
              <w:rPr>
                <w:sz w:val="20"/>
                <w:szCs w:val="20"/>
                <w:color w:val="auto"/>
              </w:rPr>
            </w:pPr>
            <w:r>
              <w:rPr>
                <w:rFonts w:ascii="Arial" w:cs="Arial" w:eastAsia="Arial" w:hAnsi="Arial"/>
                <w:sz w:val="14"/>
                <w:szCs w:val="14"/>
                <w:color w:val="auto"/>
              </w:rPr>
              <w:t>Broker Non-Votes</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314,326,981</w:t>
            </w:r>
          </w:p>
        </w:tc>
        <w:tc>
          <w:tcPr>
            <w:tcW w:w="20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1,876,345</w:t>
            </w:r>
          </w:p>
        </w:tc>
        <w:tc>
          <w:tcPr>
            <w:tcW w:w="20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65,425,651</w:t>
            </w:r>
          </w:p>
        </w:tc>
        <w:tc>
          <w:tcPr>
            <w:tcW w:w="204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68,088,806</w:t>
            </w:r>
          </w:p>
        </w:tc>
        <w:tc>
          <w:tcPr>
            <w:tcW w:w="100" w:type="dxa"/>
            <w:vAlign w:val="bottom"/>
            <w:tcBorders>
              <w:top w:val="single" w:sz="8" w:color="CCEEFF"/>
            </w:tcBorders>
            <w:shd w:val="clear" w:color="auto" w:fill="CCEEFF"/>
          </w:tcPr>
          <w:p>
            <w:pPr>
              <w:spacing w:after="0"/>
              <w:rPr>
                <w:sz w:val="18"/>
                <w:szCs w:val="18"/>
                <w:color w:val="auto"/>
              </w:rPr>
            </w:pPr>
          </w:p>
        </w:tc>
      </w:tr>
    </w:tbl>
    <w:p>
      <w:pPr>
        <w:spacing w:after="0" w:line="225" w:lineRule="exact"/>
        <w:rPr>
          <w:sz w:val="20"/>
          <w:szCs w:val="20"/>
          <w:color w:val="auto"/>
        </w:rPr>
      </w:pPr>
    </w:p>
    <w:p>
      <w:pPr>
        <w:ind w:left="452" w:hanging="452"/>
        <w:spacing w:after="0" w:line="266" w:lineRule="auto"/>
        <w:tabs>
          <w:tab w:leader="none" w:pos="452" w:val="left"/>
        </w:tabs>
        <w:numPr>
          <w:ilvl w:val="0"/>
          <w:numId w:val="9"/>
        </w:numPr>
        <w:rPr>
          <w:rFonts w:ascii="Arial" w:cs="Arial" w:eastAsia="Arial" w:hAnsi="Arial"/>
          <w:sz w:val="18"/>
          <w:szCs w:val="18"/>
          <w:color w:val="auto"/>
        </w:rPr>
      </w:pPr>
      <w:r>
        <w:rPr>
          <w:rFonts w:ascii="Arial" w:cs="Arial" w:eastAsia="Arial" w:hAnsi="Arial"/>
          <w:sz w:val="18"/>
          <w:szCs w:val="18"/>
          <w:b w:val="1"/>
          <w:bCs w:val="1"/>
          <w:color w:val="auto"/>
        </w:rPr>
        <w:t>The proposal to amend the Company’s existing Bye-laws to expressly permit the Board of Directors to adopt a shareholder rights plan with a term of less than 12 months or that is submitted for a vote of shareholders not more than 12 months following adoption of the plan, was approved based upon the following votes:</w:t>
      </w:r>
    </w:p>
    <w:p>
      <w:pPr>
        <w:spacing w:after="0" w:line="203" w:lineRule="exact"/>
        <w:rPr>
          <w:sz w:val="20"/>
          <w:szCs w:val="20"/>
          <w:color w:val="auto"/>
        </w:rPr>
      </w:pPr>
    </w:p>
    <w:tbl>
      <w:tblPr>
        <w:tblLayout w:type="fixed"/>
        <w:tblInd w:w="812" w:type="dxa"/>
        <w:tblCellMar>
          <w:top w:w="0" w:type="dxa"/>
          <w:left w:w="0" w:type="dxa"/>
          <w:bottom w:w="0" w:type="dxa"/>
          <w:right w:w="0" w:type="dxa"/>
        </w:tblCellMar>
      </w:tblPr>
      <w:tr>
        <w:trPr>
          <w:trHeight w:val="167"/>
        </w:trPr>
        <w:tc>
          <w:tcPr>
            <w:tcW w:w="294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2860" w:type="dxa"/>
            <w:vAlign w:val="bottom"/>
            <w:gridSpan w:val="2"/>
          </w:tcPr>
          <w:p>
            <w:pPr>
              <w:ind w:left="200"/>
              <w:spacing w:after="0"/>
              <w:rPr>
                <w:sz w:val="20"/>
                <w:szCs w:val="20"/>
                <w:color w:val="auto"/>
              </w:rPr>
            </w:pPr>
            <w:r>
              <w:rPr>
                <w:rFonts w:ascii="Arial" w:cs="Arial" w:eastAsia="Arial" w:hAnsi="Arial"/>
                <w:sz w:val="14"/>
                <w:szCs w:val="14"/>
                <w:color w:val="auto"/>
              </w:rPr>
              <w:t>Against</w:t>
            </w:r>
          </w:p>
        </w:tc>
        <w:tc>
          <w:tcPr>
            <w:tcW w:w="860" w:type="dxa"/>
            <w:vAlign w:val="bottom"/>
          </w:tcPr>
          <w:p>
            <w:pPr>
              <w:jc w:val="right"/>
              <w:ind w:right="139"/>
              <w:spacing w:after="0"/>
              <w:rPr>
                <w:sz w:val="20"/>
                <w:szCs w:val="20"/>
                <w:color w:val="auto"/>
              </w:rPr>
            </w:pPr>
            <w:r>
              <w:rPr>
                <w:rFonts w:ascii="Arial" w:cs="Arial" w:eastAsia="Arial" w:hAnsi="Arial"/>
                <w:sz w:val="14"/>
                <w:szCs w:val="14"/>
                <w:color w:val="auto"/>
              </w:rPr>
              <w:t>Abstain</w:t>
            </w:r>
          </w:p>
        </w:tc>
        <w:tc>
          <w:tcPr>
            <w:tcW w:w="3140" w:type="dxa"/>
            <w:vAlign w:val="bottom"/>
            <w:gridSpan w:val="3"/>
          </w:tcPr>
          <w:p>
            <w:pPr>
              <w:ind w:left="2000"/>
              <w:spacing w:after="0"/>
              <w:rPr>
                <w:sz w:val="20"/>
                <w:szCs w:val="20"/>
                <w:color w:val="auto"/>
              </w:rPr>
            </w:pPr>
            <w:r>
              <w:rPr>
                <w:rFonts w:ascii="Arial" w:cs="Arial" w:eastAsia="Arial" w:hAnsi="Arial"/>
                <w:sz w:val="14"/>
                <w:szCs w:val="14"/>
                <w:color w:val="auto"/>
              </w:rPr>
              <w:t>Broker Non-Votes</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288,377,866</w:t>
            </w:r>
          </w:p>
        </w:tc>
        <w:tc>
          <w:tcPr>
            <w:tcW w:w="198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27,779,037</w:t>
            </w:r>
          </w:p>
        </w:tc>
        <w:tc>
          <w:tcPr>
            <w:tcW w:w="20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65,472,074</w:t>
            </w:r>
          </w:p>
        </w:tc>
        <w:tc>
          <w:tcPr>
            <w:tcW w:w="200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68,088,806</w:t>
            </w:r>
          </w:p>
        </w:tc>
        <w:tc>
          <w:tcPr>
            <w:tcW w:w="100" w:type="dxa"/>
            <w:vAlign w:val="bottom"/>
            <w:tcBorders>
              <w:top w:val="single" w:sz="8" w:color="CCEEFF"/>
            </w:tcBorders>
            <w:shd w:val="clear" w:color="auto" w:fill="CCEEFF"/>
          </w:tcPr>
          <w:p>
            <w:pPr>
              <w:spacing w:after="0"/>
              <w:rPr>
                <w:sz w:val="18"/>
                <w:szCs w:val="18"/>
                <w:color w:val="auto"/>
              </w:rPr>
            </w:pPr>
          </w:p>
        </w:tc>
      </w:tr>
    </w:tbl>
    <w:p>
      <w:pPr>
        <w:spacing w:after="0" w:line="225" w:lineRule="exact"/>
        <w:rPr>
          <w:sz w:val="20"/>
          <w:szCs w:val="20"/>
          <w:color w:val="auto"/>
        </w:rPr>
      </w:pPr>
    </w:p>
    <w:p>
      <w:pPr>
        <w:ind w:left="452" w:right="200" w:hanging="452"/>
        <w:spacing w:after="0" w:line="347" w:lineRule="auto"/>
        <w:tabs>
          <w:tab w:leader="none" w:pos="452" w:val="left"/>
        </w:tabs>
        <w:numPr>
          <w:ilvl w:val="0"/>
          <w:numId w:val="10"/>
        </w:numPr>
        <w:rPr>
          <w:rFonts w:ascii="Arial" w:cs="Arial" w:eastAsia="Arial" w:hAnsi="Arial"/>
          <w:sz w:val="16"/>
          <w:szCs w:val="16"/>
          <w:color w:val="auto"/>
        </w:rPr>
      </w:pPr>
      <w:r>
        <w:rPr>
          <w:rFonts w:ascii="Arial" w:cs="Arial" w:eastAsia="Arial" w:hAnsi="Arial"/>
          <w:sz w:val="16"/>
          <w:szCs w:val="16"/>
          <w:b w:val="1"/>
          <w:bCs w:val="1"/>
          <w:color w:val="auto"/>
        </w:rPr>
        <w:t>The proposal to amend the Company’s existing Bye-laws to allow shareholders to remove a director with or without cause upon a majority vote and eliminate the limit on the number of directors that can be removed at one time, was approved based upon the following votes:</w:t>
      </w:r>
    </w:p>
    <w:p>
      <w:pPr>
        <w:spacing w:after="0" w:line="143" w:lineRule="exact"/>
        <w:rPr>
          <w:sz w:val="20"/>
          <w:szCs w:val="20"/>
          <w:color w:val="auto"/>
        </w:rPr>
      </w:pPr>
    </w:p>
    <w:tbl>
      <w:tblPr>
        <w:tblLayout w:type="fixed"/>
        <w:tblInd w:w="812" w:type="dxa"/>
        <w:tblCellMar>
          <w:top w:w="0" w:type="dxa"/>
          <w:left w:w="0" w:type="dxa"/>
          <w:bottom w:w="0" w:type="dxa"/>
          <w:right w:w="0" w:type="dxa"/>
        </w:tblCellMar>
      </w:tblPr>
      <w:tr>
        <w:trPr>
          <w:trHeight w:val="167"/>
        </w:trPr>
        <w:tc>
          <w:tcPr>
            <w:tcW w:w="450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4340" w:type="dxa"/>
            <w:vAlign w:val="bottom"/>
            <w:gridSpan w:val="2"/>
          </w:tcPr>
          <w:p>
            <w:pPr>
              <w:ind w:left="180"/>
              <w:spacing w:after="0"/>
              <w:rPr>
                <w:sz w:val="20"/>
                <w:szCs w:val="20"/>
                <w:color w:val="auto"/>
              </w:rPr>
            </w:pPr>
            <w:r>
              <w:rPr>
                <w:rFonts w:ascii="Arial" w:cs="Arial" w:eastAsia="Arial" w:hAnsi="Arial"/>
                <w:sz w:val="14"/>
                <w:szCs w:val="14"/>
                <w:color w:val="auto"/>
              </w:rPr>
              <w:t>Against</w:t>
            </w:r>
          </w:p>
        </w:tc>
        <w:tc>
          <w:tcPr>
            <w:tcW w:w="960" w:type="dxa"/>
            <w:vAlign w:val="bottom"/>
            <w:gridSpan w:val="2"/>
          </w:tcPr>
          <w:p>
            <w:pPr>
              <w:ind w:left="200"/>
              <w:spacing w:after="0"/>
              <w:rPr>
                <w:sz w:val="20"/>
                <w:szCs w:val="20"/>
                <w:color w:val="auto"/>
              </w:rPr>
            </w:pPr>
            <w:r>
              <w:rPr>
                <w:rFonts w:ascii="Arial" w:cs="Arial" w:eastAsia="Arial" w:hAnsi="Arial"/>
                <w:sz w:val="14"/>
                <w:szCs w:val="14"/>
                <w:color w:val="auto"/>
              </w:rPr>
              <w:t>Abstain</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380,394,595</w:t>
            </w:r>
          </w:p>
        </w:tc>
        <w:tc>
          <w:tcPr>
            <w:tcW w:w="354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2,836,702</w:t>
            </w:r>
          </w:p>
        </w:tc>
        <w:tc>
          <w:tcPr>
            <w:tcW w:w="354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66,486,486</w:t>
            </w:r>
          </w:p>
        </w:tc>
        <w:tc>
          <w:tcPr>
            <w:tcW w:w="100" w:type="dxa"/>
            <w:vAlign w:val="bottom"/>
            <w:tcBorders>
              <w:top w:val="single" w:sz="8" w:color="CCEEFF"/>
            </w:tcBorders>
            <w:shd w:val="clear" w:color="auto" w:fill="CCEEFF"/>
          </w:tcPr>
          <w:p>
            <w:pPr>
              <w:spacing w:after="0"/>
              <w:rPr>
                <w:sz w:val="18"/>
                <w:szCs w:val="18"/>
                <w:color w:val="auto"/>
              </w:rPr>
            </w:pPr>
          </w:p>
        </w:tc>
      </w:tr>
    </w:tbl>
    <w:p>
      <w:pPr>
        <w:spacing w:after="0" w:line="225" w:lineRule="exact"/>
        <w:rPr>
          <w:sz w:val="20"/>
          <w:szCs w:val="20"/>
          <w:color w:val="auto"/>
        </w:rPr>
      </w:pPr>
    </w:p>
    <w:p>
      <w:pPr>
        <w:ind w:left="452" w:right="320" w:hanging="452"/>
        <w:spacing w:after="0" w:line="282" w:lineRule="auto"/>
        <w:tabs>
          <w:tab w:leader="none" w:pos="452" w:val="left"/>
        </w:tabs>
        <w:numPr>
          <w:ilvl w:val="0"/>
          <w:numId w:val="11"/>
        </w:numPr>
        <w:rPr>
          <w:rFonts w:ascii="Arial" w:cs="Arial" w:eastAsia="Arial" w:hAnsi="Arial"/>
          <w:sz w:val="18"/>
          <w:szCs w:val="18"/>
          <w:color w:val="auto"/>
        </w:rPr>
      </w:pPr>
      <w:r>
        <w:rPr>
          <w:rFonts w:ascii="Arial" w:cs="Arial" w:eastAsia="Arial" w:hAnsi="Arial"/>
          <w:sz w:val="18"/>
          <w:szCs w:val="18"/>
          <w:b w:val="1"/>
          <w:bCs w:val="1"/>
          <w:color w:val="auto"/>
        </w:rPr>
        <w:t>The proposal to amend the Company’s existing Bye-laws to provide for plurality voting in a contested election of directors, was approved based upon the following votes:</w:t>
      </w:r>
    </w:p>
    <w:p>
      <w:pPr>
        <w:spacing w:after="0" w:line="188" w:lineRule="exact"/>
        <w:rPr>
          <w:sz w:val="20"/>
          <w:szCs w:val="20"/>
          <w:color w:val="auto"/>
        </w:rPr>
      </w:pPr>
    </w:p>
    <w:tbl>
      <w:tblPr>
        <w:tblLayout w:type="fixed"/>
        <w:tblInd w:w="812" w:type="dxa"/>
        <w:tblCellMar>
          <w:top w:w="0" w:type="dxa"/>
          <w:left w:w="0" w:type="dxa"/>
          <w:bottom w:w="0" w:type="dxa"/>
          <w:right w:w="0" w:type="dxa"/>
        </w:tblCellMar>
      </w:tblPr>
      <w:tr>
        <w:trPr>
          <w:trHeight w:val="167"/>
        </w:trPr>
        <w:tc>
          <w:tcPr>
            <w:tcW w:w="2960" w:type="dxa"/>
            <w:vAlign w:val="bottom"/>
            <w:gridSpan w:val="2"/>
          </w:tcPr>
          <w:p>
            <w:pPr>
              <w:ind w:left="380"/>
              <w:spacing w:after="0"/>
              <w:rPr>
                <w:sz w:val="20"/>
                <w:szCs w:val="20"/>
                <w:color w:val="auto"/>
              </w:rPr>
            </w:pPr>
            <w:r>
              <w:rPr>
                <w:rFonts w:ascii="Arial" w:cs="Arial" w:eastAsia="Arial" w:hAnsi="Arial"/>
                <w:sz w:val="14"/>
                <w:szCs w:val="14"/>
                <w:color w:val="auto"/>
              </w:rPr>
              <w:t>For</w:t>
            </w:r>
          </w:p>
        </w:tc>
        <w:tc>
          <w:tcPr>
            <w:tcW w:w="800" w:type="dxa"/>
            <w:vAlign w:val="bottom"/>
          </w:tcPr>
          <w:p>
            <w:pPr>
              <w:jc w:val="right"/>
              <w:ind w:right="99"/>
              <w:spacing w:after="0"/>
              <w:rPr>
                <w:sz w:val="20"/>
                <w:szCs w:val="20"/>
                <w:color w:val="auto"/>
              </w:rPr>
            </w:pPr>
            <w:r>
              <w:rPr>
                <w:rFonts w:ascii="Arial" w:cs="Arial" w:eastAsia="Arial" w:hAnsi="Arial"/>
                <w:sz w:val="14"/>
                <w:szCs w:val="14"/>
                <w:color w:val="auto"/>
              </w:rPr>
              <w:t>Against</w:t>
            </w:r>
          </w:p>
        </w:tc>
        <w:tc>
          <w:tcPr>
            <w:tcW w:w="2000" w:type="dxa"/>
            <w:vAlign w:val="bottom"/>
          </w:tcPr>
          <w:p>
            <w:pPr>
              <w:spacing w:after="0"/>
              <w:rPr>
                <w:sz w:val="14"/>
                <w:szCs w:val="14"/>
                <w:color w:val="auto"/>
              </w:rPr>
            </w:pPr>
          </w:p>
        </w:tc>
        <w:tc>
          <w:tcPr>
            <w:tcW w:w="860" w:type="dxa"/>
            <w:vAlign w:val="bottom"/>
          </w:tcPr>
          <w:p>
            <w:pPr>
              <w:jc w:val="right"/>
              <w:ind w:right="119"/>
              <w:spacing w:after="0"/>
              <w:rPr>
                <w:sz w:val="20"/>
                <w:szCs w:val="20"/>
                <w:color w:val="auto"/>
              </w:rPr>
            </w:pPr>
            <w:r>
              <w:rPr>
                <w:rFonts w:ascii="Arial" w:cs="Arial" w:eastAsia="Arial" w:hAnsi="Arial"/>
                <w:sz w:val="14"/>
                <w:szCs w:val="14"/>
                <w:color w:val="auto"/>
              </w:rPr>
              <w:t>Abstain</w:t>
            </w:r>
          </w:p>
        </w:tc>
        <w:tc>
          <w:tcPr>
            <w:tcW w:w="3180" w:type="dxa"/>
            <w:vAlign w:val="bottom"/>
            <w:gridSpan w:val="3"/>
          </w:tcPr>
          <w:p>
            <w:pPr>
              <w:ind w:left="2040"/>
              <w:spacing w:after="0"/>
              <w:rPr>
                <w:sz w:val="20"/>
                <w:szCs w:val="20"/>
                <w:color w:val="auto"/>
              </w:rPr>
            </w:pPr>
            <w:r>
              <w:rPr>
                <w:rFonts w:ascii="Arial" w:cs="Arial" w:eastAsia="Arial" w:hAnsi="Arial"/>
                <w:sz w:val="14"/>
                <w:szCs w:val="14"/>
                <w:color w:val="auto"/>
              </w:rPr>
              <w:t>Broker Non-Votes</w:t>
            </w:r>
          </w:p>
        </w:tc>
      </w:tr>
      <w:tr>
        <w:trPr>
          <w:trHeight w:val="210"/>
        </w:trPr>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310,015,151</w:t>
            </w:r>
          </w:p>
        </w:tc>
        <w:tc>
          <w:tcPr>
            <w:tcW w:w="20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4"/>
              </w:rPr>
              <w:t>6,134,543</w:t>
            </w:r>
          </w:p>
        </w:tc>
        <w:tc>
          <w:tcPr>
            <w:tcW w:w="20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65,479,283</w:t>
            </w:r>
          </w:p>
        </w:tc>
        <w:tc>
          <w:tcPr>
            <w:tcW w:w="2040" w:type="dxa"/>
            <w:vAlign w:val="bottom"/>
            <w:tcBorders>
              <w:top w:val="single" w:sz="8" w:color="CCEEFF"/>
            </w:tcBorders>
            <w:shd w:val="clear" w:color="auto" w:fill="CCEEFF"/>
          </w:tcPr>
          <w:p>
            <w:pPr>
              <w:spacing w:after="0"/>
              <w:rPr>
                <w:sz w:val="18"/>
                <w:szCs w:val="18"/>
                <w:color w:val="auto"/>
              </w:rPr>
            </w:pPr>
          </w:p>
        </w:tc>
        <w:tc>
          <w:tcPr>
            <w:tcW w:w="10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68,088,806</w:t>
            </w:r>
          </w:p>
        </w:tc>
        <w:tc>
          <w:tcPr>
            <w:tcW w:w="100" w:type="dxa"/>
            <w:vAlign w:val="bottom"/>
            <w:tcBorders>
              <w:top w:val="single" w:sz="8" w:color="CCEEFF"/>
            </w:tcBorders>
            <w:shd w:val="clear" w:color="auto" w:fill="CCEEFF"/>
          </w:tcPr>
          <w:p>
            <w:pPr>
              <w:spacing w:after="0"/>
              <w:rPr>
                <w:sz w:val="18"/>
                <w:szCs w:val="18"/>
                <w:color w:val="auto"/>
              </w:rPr>
            </w:pPr>
          </w:p>
        </w:tc>
      </w:tr>
      <w:tr>
        <w:trPr>
          <w:trHeight w:val="365"/>
        </w:trPr>
        <w:tc>
          <w:tcPr>
            <w:tcW w:w="960" w:type="dxa"/>
            <w:vAlign w:val="bottom"/>
          </w:tcPr>
          <w:p>
            <w:pPr>
              <w:spacing w:after="0"/>
              <w:rPr>
                <w:sz w:val="24"/>
                <w:szCs w:val="24"/>
                <w:color w:val="auto"/>
              </w:rPr>
            </w:pPr>
          </w:p>
        </w:tc>
        <w:tc>
          <w:tcPr>
            <w:tcW w:w="20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00" w:type="dxa"/>
            <w:vAlign w:val="bottom"/>
          </w:tcPr>
          <w:p>
            <w:pPr>
              <w:jc w:val="right"/>
              <w:ind w:right="730"/>
              <w:spacing w:after="0"/>
              <w:rPr>
                <w:sz w:val="20"/>
                <w:szCs w:val="20"/>
                <w:color w:val="auto"/>
              </w:rPr>
            </w:pPr>
            <w:r>
              <w:rPr>
                <w:rFonts w:ascii="Arial" w:cs="Arial" w:eastAsia="Arial" w:hAnsi="Arial"/>
                <w:sz w:val="18"/>
                <w:szCs w:val="18"/>
                <w:color w:val="auto"/>
              </w:rPr>
              <w:t>4</w:t>
            </w:r>
          </w:p>
        </w:tc>
        <w:tc>
          <w:tcPr>
            <w:tcW w:w="86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r>
    </w:tbl>
    <w:p>
      <w:pPr>
        <w:sectPr>
          <w:pgSz w:w="11900" w:h="16838" w:orient="portrait"/>
          <w:cols w:equalWidth="0" w:num="1">
            <w:col w:w="11252"/>
          </w:cols>
          <w:pgMar w:left="248" w:top="270" w:right="39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9, 2016</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1720" w:val="left"/>
          <w:tab w:leader="none" w:pos="2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5"/>
          <w:szCs w:val="15"/>
          <w:color w:val="auto"/>
        </w:rPr>
        <w:t>Jean Hu</w:t>
      </w:r>
    </w:p>
    <w:p>
      <w:pPr>
        <w:spacing w:after="0" w:line="2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210820</wp:posOffset>
            </wp:positionH>
            <wp:positionV relativeFrom="paragraph">
              <wp:posOffset>-130810</wp:posOffset>
            </wp:positionV>
            <wp:extent cx="269303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1."/>
      <w:numFmt w:val="decimal"/>
      <w:start w:val="1"/>
    </w:lvl>
  </w:abstractNum>
  <w:abstractNum w:abstractNumId="2">
    <w:nsid w:val="41B71EFB"/>
    <w:multiLevelType w:val="hybridMultilevel"/>
    <w:lvl w:ilvl="0">
      <w:lvlJc w:val="left"/>
      <w:lvlText w:val="%1."/>
      <w:numFmt w:val="decimal"/>
      <w:start w:val="2"/>
    </w:lvl>
  </w:abstractNum>
  <w:abstractNum w:abstractNumId="3">
    <w:nsid w:val="79E2A9E3"/>
    <w:multiLevelType w:val="hybridMultilevel"/>
    <w:lvl w:ilvl="0">
      <w:lvlJc w:val="left"/>
      <w:lvlText w:val="%1."/>
      <w:numFmt w:val="decimal"/>
      <w:start w:val="3"/>
    </w:lvl>
  </w:abstractNum>
  <w:abstractNum w:abstractNumId="4">
    <w:nsid w:val="7545E146"/>
    <w:multiLevelType w:val="hybridMultilevel"/>
    <w:lvl w:ilvl="0">
      <w:lvlJc w:val="left"/>
      <w:lvlText w:val="%1."/>
      <w:numFmt w:val="decimal"/>
      <w:start w:val="4"/>
    </w:lvl>
  </w:abstractNum>
  <w:abstractNum w:abstractNumId="5">
    <w:nsid w:val="515F007C"/>
    <w:multiLevelType w:val="hybridMultilevel"/>
    <w:lvl w:ilvl="0">
      <w:lvlJc w:val="left"/>
      <w:lvlText w:val="%1."/>
      <w:numFmt w:val="decimal"/>
      <w:start w:val="5"/>
    </w:lvl>
  </w:abstractNum>
  <w:abstractNum w:abstractNumId="6">
    <w:nsid w:val="5BD062C2"/>
    <w:multiLevelType w:val="hybridMultilevel"/>
    <w:lvl w:ilvl="0">
      <w:lvlJc w:val="left"/>
      <w:lvlText w:val="%1."/>
      <w:numFmt w:val="decimal"/>
      <w:start w:val="6"/>
    </w:lvl>
  </w:abstractNum>
  <w:abstractNum w:abstractNumId="7">
    <w:nsid w:val="12200854"/>
    <w:multiLevelType w:val="hybridMultilevel"/>
    <w:lvl w:ilvl="0">
      <w:lvlJc w:val="left"/>
      <w:lvlText w:val="%1."/>
      <w:numFmt w:val="decimal"/>
      <w:start w:val="7"/>
    </w:lvl>
  </w:abstractNum>
  <w:abstractNum w:abstractNumId="8">
    <w:nsid w:val="4DB127F8"/>
    <w:multiLevelType w:val="hybridMultilevel"/>
    <w:lvl w:ilvl="0">
      <w:lvlJc w:val="left"/>
      <w:lvlText w:val="%1."/>
      <w:numFmt w:val="decimal"/>
      <w:start w:val="8"/>
    </w:lvl>
  </w:abstractNum>
  <w:abstractNum w:abstractNumId="9">
    <w:nsid w:val="216231B"/>
    <w:multiLevelType w:val="hybridMultilevel"/>
    <w:lvl w:ilvl="0">
      <w:lvlJc w:val="left"/>
      <w:lvlText w:val="%1."/>
      <w:numFmt w:val="decimal"/>
      <w:start w:val="9"/>
    </w:lvl>
  </w:abstractNum>
  <w:abstractNum w:abstractNumId="10">
    <w:nsid w:val="1F16E9E8"/>
    <w:multiLevelType w:val="hybridMultilevel"/>
    <w:lvl w:ilvl="0">
      <w:lvlJc w:val="left"/>
      <w:lvlText w:val="%1."/>
      <w:numFmt w:val="decimal"/>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2019-12-06T21:32:21Z</dcterms:created>
  <dcterms:modified xsi:type="dcterms:W3CDTF">2019-12-06T21:32:21Z</dcterms:modified>
</cp:coreProperties>
</file>