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7"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39"/>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07"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259080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89"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25"/>
          <w:szCs w:val="25"/>
          <w:b w:val="1"/>
          <w:bCs w:val="1"/>
          <w:color w:val="auto"/>
        </w:rPr>
        <w:t>CURRENT REPORT</w:t>
      </w:r>
    </w:p>
    <w:p>
      <w:pPr>
        <w:spacing w:after="0" w:line="35"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22"/>
          <w:szCs w:val="22"/>
          <w:b w:val="1"/>
          <w:bCs w:val="1"/>
          <w:color w:val="auto"/>
        </w:rPr>
        <w:t>Pursuant to Section 13 or 15(d) of the Securities Exchange Act of 1934</w:t>
      </w:r>
    </w:p>
    <w:p>
      <w:pPr>
        <w:spacing w:after="0" w:line="178"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October 31,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236855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42"/>
          <w:szCs w:val="42"/>
          <w:b w:val="1"/>
          <w:bCs w:val="1"/>
          <w:color w:val="auto"/>
        </w:rPr>
        <w:t>MARVELL TECHNOLOGY GROUP LTD.</w:t>
      </w:r>
    </w:p>
    <w:p>
      <w:pPr>
        <w:spacing w:after="0" w:line="70"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ectPr>
          <w:pgSz w:w="11900" w:h="16838" w:orient="portrait"/>
          <w:cols w:equalWidth="0" w:num="1">
            <w:col w:w="11380"/>
          </w:cols>
          <w:pgMar w:left="240" w:top="511" w:right="279" w:bottom="1440" w:gutter="0" w:footer="0" w:header="0"/>
        </w:sectPr>
      </w:pPr>
    </w:p>
    <w:p>
      <w:pPr>
        <w:spacing w:after="0" w:line="228" w:lineRule="exact"/>
        <w:rPr>
          <w:sz w:val="24"/>
          <w:szCs w:val="24"/>
          <w:color w:val="auto"/>
        </w:rPr>
      </w:pPr>
    </w:p>
    <w:p>
      <w:pPr>
        <w:ind w:left="158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0" w:lineRule="exact"/>
        <w:rPr>
          <w:sz w:val="24"/>
          <w:szCs w:val="24"/>
          <w:color w:val="auto"/>
        </w:rPr>
      </w:pPr>
      <w:r>
        <w:rPr>
          <w:sz w:val="24"/>
          <w:szCs w:val="24"/>
          <w:color w:val="auto"/>
        </w:rPr>
        <w:br w:type="column"/>
      </w:r>
    </w:p>
    <w:p>
      <w:pPr>
        <w:spacing w:after="0" w:line="208" w:lineRule="exact"/>
        <w:rPr>
          <w:sz w:val="24"/>
          <w:szCs w:val="24"/>
          <w:color w:val="auto"/>
        </w:rPr>
      </w:pPr>
    </w:p>
    <w:p>
      <w:pPr>
        <w:jc w:val="center"/>
        <w:ind w:right="2200"/>
        <w:spacing w:after="0"/>
        <w:rPr>
          <w:sz w:val="20"/>
          <w:szCs w:val="20"/>
          <w:color w:val="auto"/>
        </w:rPr>
      </w:pPr>
      <w:r>
        <w:rPr>
          <w:rFonts w:ascii="Times New Roman" w:cs="Times New Roman" w:eastAsia="Times New Roman" w:hAnsi="Times New Roman"/>
          <w:sz w:val="17"/>
          <w:szCs w:val="17"/>
          <w:b w:val="1"/>
          <w:bCs w:val="1"/>
          <w:color w:val="auto"/>
        </w:rPr>
        <w:t>000-30877</w:t>
      </w:r>
    </w:p>
    <w:p>
      <w:pPr>
        <w:spacing w:after="0" w:line="20" w:lineRule="exact"/>
        <w:rPr>
          <w:sz w:val="24"/>
          <w:szCs w:val="24"/>
          <w:color w:val="auto"/>
        </w:rPr>
      </w:pPr>
      <w:r>
        <w:rPr>
          <w:sz w:val="24"/>
          <w:szCs w:val="24"/>
          <w:color w:val="auto"/>
        </w:rPr>
        <w:br w:type="column"/>
      </w:r>
    </w:p>
    <w:p>
      <w:pPr>
        <w:spacing w:after="0" w:line="208"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77-0481679</w:t>
      </w:r>
    </w:p>
    <w:p>
      <w:pPr>
        <w:spacing w:after="0" w:line="12" w:lineRule="exact"/>
        <w:rPr>
          <w:sz w:val="24"/>
          <w:szCs w:val="24"/>
          <w:color w:val="auto"/>
        </w:rPr>
      </w:pPr>
    </w:p>
    <w:p>
      <w:pPr>
        <w:sectPr>
          <w:pgSz w:w="11900" w:h="16838" w:orient="portrait"/>
          <w:cols w:equalWidth="0" w:num="3">
            <w:col w:w="4740" w:space="720"/>
            <w:col w:w="2980" w:space="720"/>
            <w:col w:w="2220"/>
          </w:cols>
          <w:pgMar w:left="240" w:top="511" w:right="279" w:bottom="1440" w:gutter="0" w:footer="0" w:header="0"/>
          <w:type w:val="continuous"/>
        </w:sectPr>
      </w:pPr>
    </w:p>
    <w:p>
      <w:pPr>
        <w:jc w:val="center"/>
        <w:ind w:right="400"/>
        <w:spacing w:after="0"/>
        <w:rPr>
          <w:sz w:val="20"/>
          <w:szCs w:val="20"/>
          <w:color w:val="auto"/>
        </w:rPr>
      </w:pPr>
      <w:r>
        <w:rPr>
          <w:rFonts w:ascii="Times New Roman" w:cs="Times New Roman" w:eastAsia="Times New Roman" w:hAnsi="Times New Roman"/>
          <w:sz w:val="14"/>
          <w:szCs w:val="14"/>
          <w:b w:val="1"/>
          <w:bCs w:val="1"/>
          <w:color w:val="auto"/>
        </w:rPr>
        <w:t>(State or other jurisdiction of</w:t>
      </w:r>
    </w:p>
    <w:p>
      <w:pPr>
        <w:jc w:val="center"/>
        <w:ind w:right="400"/>
        <w:spacing w:after="0"/>
        <w:rPr>
          <w:sz w:val="20"/>
          <w:szCs w:val="20"/>
          <w:color w:val="auto"/>
        </w:rPr>
      </w:pPr>
      <w:r>
        <w:rPr>
          <w:rFonts w:ascii="Times New Roman" w:cs="Times New Roman" w:eastAsia="Times New Roman" w:hAnsi="Times New Roman"/>
          <w:sz w:val="14"/>
          <w:szCs w:val="14"/>
          <w:b w:val="1"/>
          <w:bCs w:val="1"/>
          <w:color w:val="auto"/>
        </w:rPr>
        <w:t>incorporation)</w:t>
      </w:r>
    </w:p>
    <w:p>
      <w:pPr>
        <w:spacing w:after="0" w:line="20" w:lineRule="exact"/>
        <w:rPr>
          <w:sz w:val="24"/>
          <w:szCs w:val="24"/>
          <w:color w:val="auto"/>
        </w:rPr>
      </w:pPr>
      <w:r>
        <w:rPr>
          <w:sz w:val="24"/>
          <w:szCs w:val="24"/>
          <w:color w:val="auto"/>
        </w:rPr>
        <w:br w:type="column"/>
      </w:r>
    </w:p>
    <w:p>
      <w:pPr>
        <w:jc w:val="center"/>
        <w:ind w:right="1640"/>
        <w:spacing w:after="0"/>
        <w:rPr>
          <w:sz w:val="20"/>
          <w:szCs w:val="20"/>
          <w:color w:val="auto"/>
        </w:rPr>
      </w:pPr>
      <w:r>
        <w:rPr>
          <w:rFonts w:ascii="Times New Roman" w:cs="Times New Roman" w:eastAsia="Times New Roman" w:hAnsi="Times New Roman"/>
          <w:sz w:val="14"/>
          <w:szCs w:val="14"/>
          <w:b w:val="1"/>
          <w:bCs w:val="1"/>
          <w:color w:val="auto"/>
        </w:rPr>
        <w:t>(Commission 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Times New Roman" w:cs="Times New Roman" w:eastAsia="Times New Roman" w:hAnsi="Times New Roman"/>
          <w:sz w:val="14"/>
          <w:szCs w:val="14"/>
          <w:b w:val="1"/>
          <w:bCs w:val="1"/>
          <w:color w:val="auto"/>
        </w:rPr>
        <w:t>(I.R.S. Employer</w:t>
      </w:r>
    </w:p>
    <w:p>
      <w:pPr>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200" w:lineRule="exact"/>
        <w:rPr>
          <w:sz w:val="24"/>
          <w:szCs w:val="24"/>
          <w:color w:val="auto"/>
        </w:rPr>
      </w:pPr>
    </w:p>
    <w:p>
      <w:pPr>
        <w:sectPr>
          <w:pgSz w:w="11900" w:h="16838" w:orient="portrait"/>
          <w:cols w:equalWidth="0" w:num="3">
            <w:col w:w="4280" w:space="720"/>
            <w:col w:w="3320" w:space="720"/>
            <w:col w:w="2340"/>
          </w:cols>
          <w:pgMar w:left="240" w:top="511" w:right="279" w:bottom="1440" w:gutter="0" w:footer="0" w:header="0"/>
          <w:type w:val="continuous"/>
        </w:sectPr>
      </w:pPr>
    </w:p>
    <w:p>
      <w:pPr>
        <w:spacing w:after="0" w:line="2"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p>
      <w:pPr>
        <w:spacing w:after="0" w:line="188"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25"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4"/>
          <w:szCs w:val="14"/>
          <w:b w:val="1"/>
          <w:bCs w:val="1"/>
          <w:color w:val="auto"/>
        </w:rPr>
        <w:t>(Registrant’s telephone number, including area code)</w:t>
      </w:r>
    </w:p>
    <w:p>
      <w:pPr>
        <w:spacing w:after="0" w:line="188"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N/A</w:t>
      </w:r>
    </w:p>
    <w:p>
      <w:pPr>
        <w:spacing w:after="0" w:line="25"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511" w:right="279" w:bottom="1440" w:gutter="0" w:footer="0" w:header="0"/>
          <w:type w:val="continuous"/>
        </w:sectPr>
      </w:pPr>
    </w:p>
    <w:p>
      <w:pPr>
        <w:spacing w:after="0" w:line="200" w:lineRule="exact"/>
        <w:rPr>
          <w:sz w:val="24"/>
          <w:szCs w:val="24"/>
          <w:color w:val="auto"/>
        </w:rPr>
      </w:pPr>
    </w:p>
    <w:p>
      <w:pPr>
        <w:spacing w:after="0" w:line="357" w:lineRule="exact"/>
        <w:rPr>
          <w:sz w:val="24"/>
          <w:szCs w:val="24"/>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67"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180340</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223520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511" w:right="279" w:bottom="1440" w:gutter="0" w:footer="0" w:header="0"/>
          <w:type w:val="continuous"/>
        </w:sectPr>
      </w:pPr>
    </w:p>
    <w:bookmarkStart w:id="1" w:name="page2"/>
    <w:bookmarkEnd w:id="1"/>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2.05 Costs Associated with Exit or Disposal Activities.</w:t>
      </w:r>
    </w:p>
    <w:p>
      <w:pPr>
        <w:spacing w:after="0" w:line="121" w:lineRule="exact"/>
        <w:rPr>
          <w:sz w:val="20"/>
          <w:szCs w:val="20"/>
          <w:color w:val="auto"/>
        </w:rPr>
      </w:pPr>
    </w:p>
    <w:p>
      <w:pPr>
        <w:ind w:right="40"/>
        <w:spacing w:after="0" w:line="258" w:lineRule="auto"/>
        <w:rPr>
          <w:sz w:val="20"/>
          <w:szCs w:val="20"/>
          <w:color w:val="auto"/>
        </w:rPr>
      </w:pPr>
      <w:r>
        <w:rPr>
          <w:rFonts w:ascii="Times New Roman" w:cs="Times New Roman" w:eastAsia="Times New Roman" w:hAnsi="Times New Roman"/>
          <w:sz w:val="18"/>
          <w:szCs w:val="18"/>
          <w:color w:val="auto"/>
        </w:rPr>
        <w:t>On October 31, 2016, the Board of Directors of Marvell Technology Group Ltd. (the “Company”) approved a plan to restructure the Company’s operations to refocus its research and development activities, including discontinuing investment in specific research and development programs and consolidating certain research and development sites, which will eliminate approximately 900 positions worldwide. The Company also plans to divest certain non-strategic businesses. On November 2, 2016, the Company issued a press release announcing the restructuring. The full text of the press release is attached as Exhibit 99.1 to this Report and is incorporated by reference herein.</w:t>
      </w:r>
    </w:p>
    <w:p>
      <w:pPr>
        <w:spacing w:after="0" w:line="184" w:lineRule="exact"/>
        <w:rPr>
          <w:sz w:val="20"/>
          <w:szCs w:val="20"/>
          <w:color w:val="auto"/>
        </w:rPr>
      </w:pPr>
    </w:p>
    <w:p>
      <w:pPr>
        <w:ind w:right="260"/>
        <w:spacing w:after="0" w:line="266" w:lineRule="auto"/>
        <w:rPr>
          <w:sz w:val="20"/>
          <w:szCs w:val="20"/>
          <w:color w:val="auto"/>
        </w:rPr>
      </w:pPr>
      <w:r>
        <w:rPr>
          <w:rFonts w:ascii="Times New Roman" w:cs="Times New Roman" w:eastAsia="Times New Roman" w:hAnsi="Times New Roman"/>
          <w:sz w:val="18"/>
          <w:szCs w:val="18"/>
          <w:color w:val="auto"/>
        </w:rPr>
        <w:t>The restructuring will begin immediately and the Company expects the major activities to take place through the end of October 2017. As a result, the Company expects to incur charges of approximately $90 million to $110 million over the next four fiscal quarters, including cash charges of $35 million to $50 million. Restructuring and restructuring-related charges include an estimate of severance, asset impairment, lease termination fees and other costs.</w:t>
      </w:r>
    </w:p>
    <w:p>
      <w:pPr>
        <w:spacing w:after="0" w:line="176" w:lineRule="exact"/>
        <w:rPr>
          <w:sz w:val="20"/>
          <w:szCs w:val="20"/>
          <w:color w:val="auto"/>
        </w:rPr>
      </w:pPr>
    </w:p>
    <w:p>
      <w:pPr>
        <w:ind w:right="100"/>
        <w:spacing w:after="0" w:line="254" w:lineRule="auto"/>
        <w:rPr>
          <w:sz w:val="20"/>
          <w:szCs w:val="20"/>
          <w:color w:val="auto"/>
        </w:rPr>
      </w:pPr>
      <w:r>
        <w:rPr>
          <w:rFonts w:ascii="Times New Roman" w:cs="Times New Roman" w:eastAsia="Times New Roman" w:hAnsi="Times New Roman"/>
          <w:sz w:val="18"/>
          <w:szCs w:val="18"/>
          <w:color w:val="auto"/>
        </w:rPr>
        <w:t>This filing contains forward-looking statements within the meaning of the federal securities laws that involve risks and uncertainties, including those relating to the implementation of the proposed restructuring; expected reduction in headcount; expected reduction in operating expenses, including legal and accounting costs; expected increase in operating efficiency, increase in profitability and divestment of non-strategic businesses. Words such as “anticipates,” “expects,” “intends,” “plans,” “projects,” “believes,” “seeks,” “estimates,” “can,” “may,” “will,” “would” and similar expressions identify such forward-looking statements. These statements are not guarantees of results and should not be considered an indication of future activity or future performance. Actual events or results may differ materially from those described in the press release due to a number of risks and uncertainties, including, but not limited to: Marvell’s ability to implement the proposed restructuring in a timely manner; the amount and timing of anticipated charges associated with the restructuring; Marvell’s ability to increase its operational efficiency and decrease its operating expenses to the anticipated level; its ability to divest certain non-strategic businesses within the anticipated timeframes and with the anticipated cost savings; the effect of litigation or regulatory activities, including the previously disclosed investigation by the United States Securities and Exchange Commission (“SEC”).</w:t>
      </w:r>
    </w:p>
    <w:p>
      <w:pPr>
        <w:spacing w:after="0" w:line="186" w:lineRule="exact"/>
        <w:rPr>
          <w:sz w:val="20"/>
          <w:szCs w:val="20"/>
          <w:color w:val="auto"/>
        </w:rPr>
      </w:pPr>
    </w:p>
    <w:p>
      <w:pPr>
        <w:jc w:val="both"/>
        <w:ind w:right="60"/>
        <w:spacing w:after="0" w:line="266" w:lineRule="auto"/>
        <w:rPr>
          <w:sz w:val="20"/>
          <w:szCs w:val="20"/>
          <w:color w:val="auto"/>
        </w:rPr>
      </w:pPr>
      <w:r>
        <w:rPr>
          <w:rFonts w:ascii="Times New Roman" w:cs="Times New Roman" w:eastAsia="Times New Roman" w:hAnsi="Times New Roman"/>
          <w:sz w:val="18"/>
          <w:szCs w:val="18"/>
          <w:color w:val="auto"/>
        </w:rPr>
        <w:t>For other factors that could cause Marvell’s results to vary from expectations, please see the risk factors identified in Marvell’s Quarterly Report on Form 10-Q for the fiscal quarter ended July 30, 2016 as filed with the SEC on September 8, 2016, and other factors detailed from time to time in Marvell’s filings with the SEC. Marvell undertakes no obligation to revise or update publicly any forward-looking statements.</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7.01 Regulation FD Disclosure</w:t>
      </w:r>
    </w:p>
    <w:p>
      <w:pPr>
        <w:spacing w:after="0" w:line="121"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On November 2, 2016, the Company issued a press release announcing its plan to restructure its operations. The Company expects that the restructuring actions, which include discontinuing investment in specific research and development programs and consolidating certain research and development sites, will eliminate approximately 900 positions worldwide. The restructuring actions are expected to lower the Company’s annual operating expenses to a range of $820 million to $840 million from a current annual rate of $1.08 billion, based on the first half of fiscal 2017 on an annualized basis. In addition, the Company plans to divest non-strategic businesses with approximately $60 million in operating expenses and $100 million in revenue, based on the first half of fiscal 2017 on an annualized basis.</w:t>
      </w:r>
    </w:p>
    <w:p>
      <w:pPr>
        <w:spacing w:after="0" w:line="188" w:lineRule="exact"/>
        <w:rPr>
          <w:sz w:val="20"/>
          <w:szCs w:val="20"/>
          <w:color w:val="auto"/>
        </w:rPr>
      </w:pPr>
    </w:p>
    <w:p>
      <w:pPr>
        <w:ind w:right="180"/>
        <w:spacing w:after="0" w:line="256" w:lineRule="auto"/>
        <w:rPr>
          <w:sz w:val="20"/>
          <w:szCs w:val="20"/>
          <w:color w:val="auto"/>
        </w:rPr>
      </w:pPr>
      <w:r>
        <w:rPr>
          <w:rFonts w:ascii="Times New Roman" w:cs="Times New Roman" w:eastAsia="Times New Roman" w:hAnsi="Times New Roman"/>
          <w:sz w:val="18"/>
          <w:szCs w:val="18"/>
          <w:color w:val="auto"/>
        </w:rPr>
        <w:t>The information in Item 7.01 of this Current Report, including the portion of the press release related to the restructuring actions, the estimated annual operating expenses, and estimated operating expenses and revenues related to the divestiture of non-strategic businesses as set forth in the accompanying Exhibit 99.1, is being furnished and shall not be deemed “filed” for the purposes of Section 18 of the Securities Exchange Act of 1934, as amended (the “Exchange Act”), or otherwise subject to the liabilities of Section 18. The information in Item 7.01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ectPr>
          <w:pgSz w:w="11900" w:h="16838" w:orient="portrait"/>
          <w:cols w:equalWidth="0" w:num="1">
            <w:col w:w="11420"/>
          </w:cols>
          <w:pgMar w:left="240" w:top="266" w:right="239" w:bottom="1440" w:gutter="0" w:footer="0" w:header="0"/>
        </w:sectPr>
      </w:pPr>
    </w:p>
    <w:bookmarkStart w:id="2" w:name="page3"/>
    <w:bookmarkEnd w:id="2"/>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9.01 Financial Statements and Exhibits.</w:t>
      </w:r>
    </w:p>
    <w:p>
      <w:pPr>
        <w:spacing w:after="0" w:line="121"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(d) Exhibits.</w:t>
      </w:r>
    </w:p>
    <w:p>
      <w:pPr>
        <w:spacing w:after="0" w:line="252" w:lineRule="exact"/>
        <w:rPr>
          <w:sz w:val="20"/>
          <w:szCs w:val="20"/>
          <w:color w:val="auto"/>
        </w:rPr>
      </w:pPr>
    </w:p>
    <w:p>
      <w:pPr>
        <w:jc w:val="right"/>
        <w:ind w:right="5719"/>
        <w:spacing w:after="0"/>
        <w:tabs>
          <w:tab w:leader="none" w:pos="2780" w:val="left"/>
        </w:tabs>
        <w:rPr>
          <w:sz w:val="20"/>
          <w:szCs w:val="20"/>
          <w:color w:val="auto"/>
        </w:rPr>
      </w:pPr>
      <w:r>
        <w:rPr>
          <w:rFonts w:ascii="Times New Roman" w:cs="Times New Roman" w:eastAsia="Times New Roman" w:hAnsi="Times New Roman"/>
          <w:sz w:val="18"/>
          <w:szCs w:val="18"/>
          <w:color w:val="auto"/>
        </w:rPr>
        <w:t>99.1</w:t>
      </w:r>
      <w:r>
        <w:rPr>
          <w:sz w:val="20"/>
          <w:szCs w:val="20"/>
          <w:color w:val="auto"/>
        </w:rPr>
        <w:tab/>
      </w:r>
      <w:r>
        <w:rPr>
          <w:rFonts w:ascii="Times New Roman" w:cs="Times New Roman" w:eastAsia="Times New Roman" w:hAnsi="Times New Roman"/>
          <w:sz w:val="18"/>
          <w:szCs w:val="18"/>
          <w:color w:val="auto"/>
        </w:rPr>
        <w:t>Press release dated November 2, 2016.</w:t>
      </w:r>
    </w:p>
    <w:p>
      <w:pPr>
        <w:sectPr>
          <w:pgSz w:w="11900" w:h="16838" w:orient="portrait"/>
          <w:cols w:equalWidth="0" w:num="1">
            <w:col w:w="10219"/>
          </w:cols>
          <w:pgMar w:left="240" w:top="266" w:right="1440" w:bottom="1440" w:gutter="0" w:footer="0" w:header="0"/>
        </w:sectPr>
      </w:pPr>
    </w:p>
    <w:bookmarkStart w:id="3" w:name="page4"/>
    <w:bookmarkEnd w:id="3"/>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62"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Dated: November 2, 2016</w:t>
      </w:r>
    </w:p>
    <w:p>
      <w:pPr>
        <w:spacing w:after="0" w:line="252"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8"/>
          <w:szCs w:val="18"/>
          <w:color w:val="auto"/>
        </w:rPr>
        <w:t>By: /s/ Mitchell Gaynor</w:t>
      </w:r>
    </w:p>
    <w:p>
      <w:pPr>
        <w:spacing w:after="0" w:line="27" w:lineRule="exact"/>
        <w:rPr>
          <w:sz w:val="20"/>
          <w:szCs w:val="20"/>
          <w:color w:val="auto"/>
        </w:rPr>
      </w:pPr>
    </w:p>
    <w:p>
      <w:pPr>
        <w:ind w:left="7240"/>
        <w:spacing w:after="0"/>
        <w:rPr>
          <w:sz w:val="20"/>
          <w:szCs w:val="20"/>
          <w:color w:val="auto"/>
        </w:rPr>
      </w:pPr>
      <w:r>
        <w:rPr>
          <w:rFonts w:ascii="Times New Roman" w:cs="Times New Roman" w:eastAsia="Times New Roman" w:hAnsi="Times New Roman"/>
          <w:sz w:val="18"/>
          <w:szCs w:val="18"/>
          <w:color w:val="auto"/>
        </w:rPr>
        <w:t>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Times New Roman" w:cs="Times New Roman" w:eastAsia="Times New Roman" w:hAnsi="Times New Roman"/>
          <w:sz w:val="18"/>
          <w:szCs w:val="18"/>
          <w:i w:val="1"/>
          <w:iCs w:val="1"/>
          <w:color w:val="auto"/>
        </w:rPr>
        <w:t>EVP, Chief Legal Officer and Secretary</w:t>
      </w:r>
    </w:p>
    <w:p>
      <w:pPr>
        <w:sectPr>
          <w:pgSz w:w="11900" w:h="16838" w:orient="portrait"/>
          <w:cols w:equalWidth="0" w:num="1">
            <w:col w:w="11420"/>
          </w:cols>
          <w:pgMar w:left="240" w:top="266" w:right="239" w:bottom="1440" w:gutter="0" w:footer="0" w:header="0"/>
        </w:sectPr>
      </w:pPr>
    </w:p>
    <w:bookmarkStart w:id="4" w:name="page5"/>
    <w:bookmarkEnd w:id="4"/>
    <w:p>
      <w:pPr>
        <w:jc w:val="right"/>
        <w:ind w:right="379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50"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720" w:type="dxa"/>
            <w:vAlign w:val="bottom"/>
          </w:tcPr>
          <w:p>
            <w:pPr>
              <w:spacing w:after="0"/>
              <w:rPr>
                <w:sz w:val="20"/>
                <w:szCs w:val="20"/>
                <w:color w:val="auto"/>
              </w:rPr>
            </w:pPr>
            <w:r>
              <w:rPr>
                <w:rFonts w:ascii="Times New Roman" w:cs="Times New Roman" w:eastAsia="Times New Roman" w:hAnsi="Times New Roman"/>
                <w:sz w:val="14"/>
                <w:szCs w:val="14"/>
                <w:b w:val="1"/>
                <w:bCs w:val="1"/>
                <w:color w:val="auto"/>
              </w:rPr>
              <w:t>Exhibit No.</w:t>
            </w:r>
          </w:p>
        </w:tc>
        <w:tc>
          <w:tcPr>
            <w:tcW w:w="380" w:type="dxa"/>
            <w:vAlign w:val="bottom"/>
          </w:tcPr>
          <w:p>
            <w:pPr>
              <w:spacing w:after="0"/>
              <w:rPr>
                <w:sz w:val="15"/>
                <w:szCs w:val="15"/>
                <w:color w:val="auto"/>
              </w:rPr>
            </w:pPr>
          </w:p>
        </w:tc>
        <w:tc>
          <w:tcPr>
            <w:tcW w:w="3200" w:type="dxa"/>
            <w:vAlign w:val="bottom"/>
            <w:gridSpan w:val="3"/>
          </w:tcPr>
          <w:p>
            <w:pPr>
              <w:ind w:left="400"/>
              <w:spacing w:after="0"/>
              <w:rPr>
                <w:sz w:val="20"/>
                <w:szCs w:val="20"/>
                <w:color w:val="auto"/>
              </w:rPr>
            </w:pPr>
            <w:r>
              <w:rPr>
                <w:rFonts w:ascii="Times New Roman" w:cs="Times New Roman" w:eastAsia="Times New Roman" w:hAnsi="Times New Roman"/>
                <w:sz w:val="14"/>
                <w:szCs w:val="14"/>
                <w:b w:val="1"/>
                <w:bCs w:val="1"/>
                <w:color w:val="auto"/>
              </w:rPr>
              <w:t>Description</w:t>
            </w:r>
          </w:p>
        </w:tc>
      </w:tr>
      <w:tr>
        <w:trPr>
          <w:trHeight w:val="20"/>
        </w:trPr>
        <w:tc>
          <w:tcPr>
            <w:tcW w:w="72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318"/>
        </w:trPr>
        <w:tc>
          <w:tcPr>
            <w:tcW w:w="720" w:type="dxa"/>
            <w:vAlign w:val="bottom"/>
          </w:tcPr>
          <w:p>
            <w:pPr>
              <w:spacing w:after="0"/>
              <w:rPr>
                <w:sz w:val="20"/>
                <w:szCs w:val="20"/>
                <w:color w:val="auto"/>
              </w:rPr>
            </w:pPr>
            <w:r>
              <w:rPr>
                <w:rFonts w:ascii="Times New Roman" w:cs="Times New Roman" w:eastAsia="Times New Roman" w:hAnsi="Times New Roman"/>
                <w:sz w:val="18"/>
                <w:szCs w:val="18"/>
                <w:color w:val="auto"/>
              </w:rPr>
              <w:t>99.1</w:t>
            </w:r>
          </w:p>
        </w:tc>
        <w:tc>
          <w:tcPr>
            <w:tcW w:w="380" w:type="dxa"/>
            <w:vAlign w:val="bottom"/>
          </w:tcPr>
          <w:p>
            <w:pPr>
              <w:spacing w:after="0"/>
              <w:rPr>
                <w:sz w:val="24"/>
                <w:szCs w:val="24"/>
                <w:color w:val="auto"/>
              </w:rPr>
            </w:pPr>
          </w:p>
        </w:tc>
        <w:tc>
          <w:tcPr>
            <w:tcW w:w="3200" w:type="dxa"/>
            <w:vAlign w:val="bottom"/>
            <w:gridSpan w:val="3"/>
          </w:tcPr>
          <w:p>
            <w:pPr>
              <w:ind w:left="400"/>
              <w:spacing w:after="0"/>
              <w:rPr>
                <w:sz w:val="20"/>
                <w:szCs w:val="20"/>
                <w:color w:val="auto"/>
              </w:rPr>
            </w:pPr>
            <w:r>
              <w:rPr>
                <w:rFonts w:ascii="Times New Roman" w:cs="Times New Roman" w:eastAsia="Times New Roman" w:hAnsi="Times New Roman"/>
                <w:sz w:val="18"/>
                <w:szCs w:val="18"/>
                <w:color w:val="auto"/>
                <w:w w:val="98"/>
              </w:rPr>
              <w:t>Press Release dated November 2, 2016</w:t>
            </w:r>
          </w:p>
        </w:tc>
      </w:tr>
    </w:tbl>
    <w:p>
      <w:pPr>
        <w:sectPr>
          <w:pgSz w:w="11900" w:h="16838" w:orient="portrait"/>
          <w:cols w:equalWidth="0" w:num="1">
            <w:col w:w="10219"/>
          </w:cols>
          <w:pgMar w:left="240" w:top="266" w:right="1440" w:bottom="1440" w:gutter="0" w:footer="0" w:header="0"/>
        </w:sectPr>
      </w:pPr>
    </w:p>
    <w:bookmarkStart w:id="5" w:name="page6"/>
    <w:bookmarkEnd w:id="5"/>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5459095</wp:posOffset>
            </wp:positionH>
            <wp:positionV relativeFrom="paragraph">
              <wp:posOffset>174625</wp:posOffset>
            </wp:positionV>
            <wp:extent cx="1792605" cy="13716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 further information, contact:</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John Spencer Ahn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Investor Relations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408-222-7544</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johnahn@marvell.com</w:t>
      </w:r>
    </w:p>
    <w:p>
      <w:pPr>
        <w:spacing w:after="0" w:line="20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 Announces Restructuring Actions to Drive Growth and Improve Profitability</w:t>
      </w:r>
    </w:p>
    <w:p>
      <w:pPr>
        <w:spacing w:after="0" w:line="225" w:lineRule="exact"/>
        <w:rPr>
          <w:sz w:val="20"/>
          <w:szCs w:val="20"/>
          <w:color w:val="auto"/>
        </w:rPr>
      </w:pPr>
    </w:p>
    <w:p>
      <w:pPr>
        <w:ind w:right="100"/>
        <w:spacing w:after="0" w:line="262" w:lineRule="auto"/>
        <w:rPr>
          <w:sz w:val="20"/>
          <w:szCs w:val="20"/>
          <w:color w:val="auto"/>
        </w:rPr>
      </w:pPr>
      <w:r>
        <w:rPr>
          <w:rFonts w:ascii="Times New Roman" w:cs="Times New Roman" w:eastAsia="Times New Roman" w:hAnsi="Times New Roman"/>
          <w:sz w:val="18"/>
          <w:szCs w:val="18"/>
          <w:b w:val="1"/>
          <w:bCs w:val="1"/>
          <w:color w:val="auto"/>
        </w:rPr>
        <w:t xml:space="preserve">Santa Clara, Calif. (November 2, 2016) </w:t>
      </w:r>
      <w:r>
        <w:rPr>
          <w:rFonts w:ascii="Times New Roman" w:cs="Times New Roman" w:eastAsia="Times New Roman" w:hAnsi="Times New Roman"/>
          <w:sz w:val="18"/>
          <w:szCs w:val="18"/>
          <w:color w:val="auto"/>
        </w:rPr>
        <w:t>— Marvell Technology Group Ltd. (NASDAQ: MRVL), a leader in storage, networking, and connectivity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semiconductor solutions, today announced restructuring actions intended to refocus its research and development (R&amp;D), increase operational efficiency and improve profitability. These actions are expected to be fully implemented by the end of October 2017 to lower annual operating expenses from a current annualized run rate of $1.08 billion to the $820-840 million range.</w:t>
      </w:r>
    </w:p>
    <w:p>
      <w:pPr>
        <w:spacing w:after="0" w:line="181" w:lineRule="exact"/>
        <w:rPr>
          <w:sz w:val="20"/>
          <w:szCs w:val="20"/>
          <w:color w:val="auto"/>
        </w:rPr>
      </w:pPr>
    </w:p>
    <w:p>
      <w:pPr>
        <w:jc w:val="both"/>
        <w:ind w:right="380"/>
        <w:spacing w:after="0" w:line="266" w:lineRule="auto"/>
        <w:rPr>
          <w:sz w:val="20"/>
          <w:szCs w:val="20"/>
          <w:color w:val="auto"/>
        </w:rPr>
      </w:pPr>
      <w:r>
        <w:rPr>
          <w:rFonts w:ascii="Times New Roman" w:cs="Times New Roman" w:eastAsia="Times New Roman" w:hAnsi="Times New Roman"/>
          <w:sz w:val="18"/>
          <w:szCs w:val="18"/>
          <w:color w:val="auto"/>
        </w:rPr>
        <w:t>Matt Murphy, Marvell’s President and Chief Executive Officer, explained, “The single biggest factor limiting the potential of the Cloud and utilization of billions of connected devices is the bandwidth of today’s technology. By focusing on our strengths in storing, moving, and accessing data at high speeds, Marvell is well-positioned to enable the technology of tomorrow.”</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Marvell is pursuing two initiatives to achieve this focus:</w:t>
      </w:r>
    </w:p>
    <w:p>
      <w:pPr>
        <w:spacing w:after="0" w:line="131" w:lineRule="exact"/>
        <w:rPr>
          <w:sz w:val="20"/>
          <w:szCs w:val="20"/>
          <w:color w:val="auto"/>
        </w:rPr>
      </w:pPr>
    </w:p>
    <w:p>
      <w:pPr>
        <w:ind w:left="900" w:right="240" w:hanging="325"/>
        <w:spacing w:after="0" w:line="266" w:lineRule="auto"/>
        <w:tabs>
          <w:tab w:leader="none" w:pos="90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Discontinuing specific R&amp;D programs, streamlining engineering processes, and consolidating R&amp;D sites for greater efficiency, which will eliminate approximately 900 positions worldwide. The Company also expects a significant reduction in legal and accounting costs. Altogether, these changes are expected to lower annual operating expenses by $180-200 million.</w:t>
      </w:r>
    </w:p>
    <w:p>
      <w:pPr>
        <w:spacing w:after="0" w:line="81" w:lineRule="exact"/>
        <w:rPr>
          <w:rFonts w:ascii="Times New Roman" w:cs="Times New Roman" w:eastAsia="Times New Roman" w:hAnsi="Times New Roman"/>
          <w:sz w:val="18"/>
          <w:szCs w:val="18"/>
          <w:color w:val="auto"/>
        </w:rPr>
      </w:pPr>
    </w:p>
    <w:p>
      <w:pPr>
        <w:ind w:left="900" w:right="420" w:hanging="325"/>
        <w:spacing w:after="0" w:line="282" w:lineRule="auto"/>
        <w:tabs>
          <w:tab w:leader="none" w:pos="90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addition, the Company plans to divest non-strategic businesses with approximately $60 million in operating expenses and $100 million in revenue, based on a first half of fiscal 2017 annualized run rate.</w:t>
      </w:r>
    </w:p>
    <w:p>
      <w:pPr>
        <w:spacing w:after="0" w:line="16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 a result of these actions, the Company expects to incur charges of $90-110 million over the next four quarters, including cash charges of $35-50 million.</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Restructuring and restructuring-related charges include an estimate of severance, asset impairment, lease termination fees, and other costs.</w:t>
      </w:r>
    </w:p>
    <w:p>
      <w:pPr>
        <w:sectPr>
          <w:pgSz w:w="11900" w:h="16838" w:orient="portrait"/>
          <w:cols w:equalWidth="0" w:num="1">
            <w:col w:w="11420"/>
          </w:cols>
          <w:pgMar w:left="240" w:top="117" w:right="239" w:bottom="1440" w:gutter="0" w:footer="0" w:header="0"/>
        </w:sectPr>
      </w:pPr>
    </w:p>
    <w:bookmarkStart w:id="6" w:name="page7"/>
    <w:bookmarkEnd w:id="6"/>
    <w:p>
      <w:pPr>
        <w:ind w:right="56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“These are difficult but necessary changes,” Murphy said. “I’m confident these actions will yield a greater return on our R&amp;D investments, deliver the innovation our customers need, and generate the value our shareholders expect.”</w:t>
      </w:r>
    </w:p>
    <w:p>
      <w:pPr>
        <w:spacing w:after="0" w:line="162" w:lineRule="exact"/>
        <w:rPr>
          <w:sz w:val="20"/>
          <w:szCs w:val="20"/>
          <w:color w:val="auto"/>
        </w:rPr>
      </w:pPr>
    </w:p>
    <w:p>
      <w:pPr>
        <w:jc w:val="both"/>
        <w:ind w:right="100"/>
        <w:spacing w:after="0" w:line="266" w:lineRule="auto"/>
        <w:rPr>
          <w:sz w:val="20"/>
          <w:szCs w:val="20"/>
          <w:color w:val="auto"/>
        </w:rPr>
      </w:pPr>
      <w:r>
        <w:rPr>
          <w:rFonts w:ascii="Times New Roman" w:cs="Times New Roman" w:eastAsia="Times New Roman" w:hAnsi="Times New Roman"/>
          <w:sz w:val="18"/>
          <w:szCs w:val="18"/>
          <w:color w:val="auto"/>
        </w:rPr>
        <w:t>Marvell does not plan to hold a conference call with investors and analysts in association with this press release. The Company will discuss the restructuring and cost reduction plan in more detail during its next quarterly earnings conference call, which is scheduled following the release of its third quarter of fiscal 2017 results on Thursday, November 17, 2016 at 1:45 p.m. Pacific Time.</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Conference Call on Thursday, November 17, 2016</w:t>
      </w:r>
    </w:p>
    <w:p>
      <w:pPr>
        <w:spacing w:after="0" w:line="121" w:lineRule="exact"/>
        <w:rPr>
          <w:sz w:val="20"/>
          <w:szCs w:val="20"/>
          <w:color w:val="auto"/>
        </w:rPr>
      </w:pPr>
    </w:p>
    <w:p>
      <w:pPr>
        <w:ind w:right="120"/>
        <w:spacing w:after="0" w:line="261" w:lineRule="auto"/>
        <w:rPr>
          <w:sz w:val="20"/>
          <w:szCs w:val="20"/>
          <w:color w:val="auto"/>
        </w:rPr>
      </w:pPr>
      <w:r>
        <w:rPr>
          <w:rFonts w:ascii="Times New Roman" w:cs="Times New Roman" w:eastAsia="Times New Roman" w:hAnsi="Times New Roman"/>
          <w:sz w:val="18"/>
          <w:szCs w:val="18"/>
          <w:color w:val="auto"/>
        </w:rPr>
        <w:t xml:space="preserve">Marvell will conduct a conference call on Thursday, November 17, 2016 at 1:45 p.m. Pacific Time to discuss results for the third quarter of fiscal year 2017. Interested parties may join the conference call by dialing </w:t>
      </w:r>
      <w:r>
        <w:rPr>
          <w:rFonts w:ascii="Times New Roman" w:cs="Times New Roman" w:eastAsia="Times New Roman" w:hAnsi="Times New Roman"/>
          <w:sz w:val="18"/>
          <w:szCs w:val="18"/>
          <w:b w:val="1"/>
          <w:bCs w:val="1"/>
          <w:color w:val="auto"/>
        </w:rPr>
        <w:t>1-844-647-5488 or 1-615-247-0258, pass-code 11983150</w:t>
      </w:r>
      <w:r>
        <w:rPr>
          <w:rFonts w:ascii="Times New Roman" w:cs="Times New Roman" w:eastAsia="Times New Roman" w:hAnsi="Times New Roman"/>
          <w:sz w:val="18"/>
          <w:szCs w:val="18"/>
          <w:color w:val="auto"/>
        </w:rPr>
        <w:t>. The call will be webcast by Thomson Reuters and can be accessed at the Marvell Investor Relations website at http://investor.marvell.com/ with a replay available following the call until December 17, 2016.</w:t>
      </w:r>
    </w:p>
    <w:p>
      <w:pPr>
        <w:spacing w:after="0" w:line="2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Forward-Looking Statements under the Private Securities Litigation Reform Act of 1995</w:t>
      </w:r>
    </w:p>
    <w:p>
      <w:pPr>
        <w:spacing w:after="0" w:line="121" w:lineRule="exact"/>
        <w:rPr>
          <w:sz w:val="20"/>
          <w:szCs w:val="20"/>
          <w:color w:val="auto"/>
        </w:rPr>
      </w:pPr>
    </w:p>
    <w:p>
      <w:pPr>
        <w:jc w:val="both"/>
        <w:ind w:right="120"/>
        <w:spacing w:after="0" w:line="266" w:lineRule="auto"/>
        <w:rPr>
          <w:sz w:val="20"/>
          <w:szCs w:val="20"/>
          <w:color w:val="auto"/>
        </w:rPr>
      </w:pPr>
      <w:r>
        <w:rPr>
          <w:rFonts w:ascii="Times New Roman" w:cs="Times New Roman" w:eastAsia="Times New Roman" w:hAnsi="Times New Roman"/>
          <w:sz w:val="18"/>
          <w:szCs w:val="18"/>
          <w:color w:val="auto"/>
        </w:rPr>
        <w:t>This press release contains forward-looking statements within the meaning of the federal securities laws that involve risks and uncertainties, including those relating to the implementation of the proposed restructuring; expected reduction in headcount; expected reduction in operating expenses, including legal and accounting costs; expected increase in operating efficiency, increase in profitability and divestment of non-strategic businesses.</w:t>
      </w:r>
    </w:p>
    <w:p>
      <w:pPr>
        <w:spacing w:after="0" w:line="176"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Words such as “anticipates,” “expects,” “intends,” “plans,” “projects,” “believes,” “seeks,” “estimates,” “can,” “may,” “will,” “would” and similar expressions identify such forward-looking statements. These statements are not guarantees of results and should not be considered an indication of future activity or future performance. Actual events or results may differ materially from those described in this press release due to a number of risks and uncertainties, including, but not limited to: Marvell’s ability to implement the proposed restructuring in a timely manner; the amount and timing of anticipated charges associated with the restructuring; Marvell’s ability to increase its operational efficiency and decrease its operating expenses to the anticipated level; its ability to divest certain non-strategic businesses within the anticipated timeframes and with the anticipated cost savings; the effect of litigation or regulatory activities, including the previously disclosed investigation by the United States Securities and Exchange Commission (“SEC”).</w:t>
      </w:r>
    </w:p>
    <w:p>
      <w:pPr>
        <w:spacing w:after="0" w:line="12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1400"/>
          </w:cols>
          <w:pgMar w:left="240" w:top="270" w:right="259" w:bottom="1440" w:gutter="0" w:footer="0" w:header="0"/>
        </w:sectPr>
      </w:pPr>
    </w:p>
    <w:bookmarkStart w:id="7" w:name="page8"/>
    <w:bookmarkEnd w:id="7"/>
    <w:p>
      <w:pPr>
        <w:jc w:val="both"/>
        <w:ind w:right="6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 other factors that could cause Marvell’s results to vary from expectations, please see the risk factors identified in Marvell’s Quarterly Report on Form 10-Q for the fiscal quarter ended July 3, 2016 as filed with the SEC on September 8, 2016, and other factors detailed from time to time in Marvell’s filings with the SEC. Marvell undertakes no obligation to revise or update publicly any forward-looking statements.</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121"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Marvell first revolutionized the digital storage industry by moving information at speeds never thought possible. Today, that same breakthrough innovation remains at the heart of the company’s storage, network infrastructure, and wireless connectivity solutions. With leading intellectual property and deep system-level knowledge, Marvell’s semiconductor solutions continue to transform the enterprise, cloud, automotive, industrial, and consumer markets. To learn more, visit: www.marvell.com</w:t>
      </w:r>
    </w:p>
    <w:p>
      <w:pPr>
        <w:spacing w:after="0" w:line="17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Marvell</w:t>
      </w:r>
      <w:r>
        <w:rPr>
          <w:rFonts w:ascii="Times New Roman" w:cs="Times New Roman" w:eastAsia="Times New Roman" w:hAnsi="Times New Roman"/>
          <w:sz w:val="15"/>
          <w:szCs w:val="15"/>
          <w:i w:val="1"/>
          <w:iCs w:val="1"/>
          <w:color w:val="auto"/>
        </w:rPr>
        <w:t>®</w:t>
      </w:r>
      <w:r>
        <w:rPr>
          <w:rFonts w:ascii="Times New Roman" w:cs="Times New Roman" w:eastAsia="Times New Roman" w:hAnsi="Times New Roman"/>
          <w:sz w:val="18"/>
          <w:szCs w:val="18"/>
          <w:i w:val="1"/>
          <w:iCs w:val="1"/>
          <w:color w:val="auto"/>
        </w:rPr>
        <w:t xml:space="preserve"> and the Marvell logo are registered trademarks of Marvell and/or its affiliates.</w:t>
      </w:r>
    </w:p>
    <w:p>
      <w:pPr>
        <w:spacing w:after="0" w:line="161" w:lineRule="exact"/>
        <w:rPr>
          <w:sz w:val="20"/>
          <w:szCs w:val="20"/>
          <w:color w:val="auto"/>
        </w:rPr>
      </w:pPr>
    </w:p>
    <w:p>
      <w:pPr>
        <w:ind w:left="5660"/>
        <w:spacing w:after="0"/>
        <w:rPr>
          <w:sz w:val="20"/>
          <w:szCs w:val="20"/>
          <w:color w:val="auto"/>
        </w:rPr>
      </w:pPr>
      <w:r>
        <w:rPr>
          <w:rFonts w:ascii="Times New Roman" w:cs="Times New Roman" w:eastAsia="Times New Roman" w:hAnsi="Times New Roman"/>
          <w:sz w:val="18"/>
          <w:szCs w:val="18"/>
          <w:color w:val="auto"/>
        </w:rPr>
        <w:t>3</w:t>
      </w:r>
    </w:p>
    <w:sectPr>
      <w:pgSz w:w="11900" w:h="16838" w:orient="portrait"/>
      <w:cols w:equalWidth="0" w:num="1">
        <w:col w:w="11400"/>
      </w:cols>
      <w:pgMar w:left="240" w:top="270"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 Id="rId23" Type="http://schemas.openxmlformats.org/officeDocument/2006/relationships/image" Target="media/image1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2019-12-06T21:05:28Z</dcterms:created>
  <dcterms:modified xsi:type="dcterms:W3CDTF">2019-12-06T21:05:28Z</dcterms:modified>
</cp:coreProperties>
</file>