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jc w:val="center"/>
        <w:ind w:right="-39"/>
        <w:spacing w:after="0"/>
        <w:rPr>
          <w:sz w:val="20"/>
          <w:szCs w:val="20"/>
          <w:color w:val="auto"/>
        </w:rPr>
      </w:pPr>
      <w:r>
        <w:rPr>
          <w:rFonts w:ascii="Arial" w:cs="Arial" w:eastAsia="Arial" w:hAnsi="Arial"/>
          <w:sz w:val="32"/>
          <w:szCs w:val="32"/>
          <w:b w:val="1"/>
          <w:bCs w:val="1"/>
          <w:color w:val="auto"/>
        </w:rPr>
        <w:drawing>
          <wp:anchor simplePos="0" relativeHeight="251657728" behindDoc="1" locked="0" layoutInCell="0" allowOverlap="1">
            <wp:simplePos x="0" y="0"/>
            <wp:positionH relativeFrom="page">
              <wp:posOffset>157480</wp:posOffset>
            </wp:positionH>
            <wp:positionV relativeFrom="page">
              <wp:posOffset>166370</wp:posOffset>
            </wp:positionV>
            <wp:extent cx="7246620" cy="889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7246620" cy="8890"/>
                    </a:xfrm>
                    <a:prstGeom prst="rect">
                      <a:avLst/>
                    </a:prstGeom>
                    <a:noFill/>
                  </pic:spPr>
                </pic:pic>
              </a:graphicData>
            </a:graphic>
          </wp:anchor>
        </w:drawing>
        <w:drawing>
          <wp:anchor simplePos="0" relativeHeight="251657728" behindDoc="1" locked="0" layoutInCell="0" allowOverlap="1">
            <wp:simplePos x="0" y="0"/>
            <wp:positionH relativeFrom="page">
              <wp:posOffset>157480</wp:posOffset>
            </wp:positionH>
            <wp:positionV relativeFrom="page">
              <wp:posOffset>208915</wp:posOffset>
            </wp:positionV>
            <wp:extent cx="7246620" cy="889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7246620" cy="8890"/>
                    </a:xfrm>
                    <a:prstGeom prst="rect">
                      <a:avLst/>
                    </a:prstGeom>
                    <a:noFill/>
                  </pic:spPr>
                </pic:pic>
              </a:graphicData>
            </a:graphic>
          </wp:anchor>
        </w:drawing>
        <w:t>UNITED STATES</w:t>
      </w:r>
    </w:p>
    <w:p>
      <w:pPr>
        <w:spacing w:after="0" w:line="31" w:lineRule="exact"/>
        <w:rPr>
          <w:sz w:val="24"/>
          <w:szCs w:val="24"/>
          <w:color w:val="auto"/>
        </w:rPr>
      </w:pPr>
    </w:p>
    <w:p>
      <w:pPr>
        <w:jc w:val="center"/>
        <w:ind w:right="-39"/>
        <w:spacing w:after="0"/>
        <w:rPr>
          <w:sz w:val="20"/>
          <w:szCs w:val="20"/>
          <w:color w:val="auto"/>
        </w:rPr>
      </w:pPr>
      <w:r>
        <w:rPr>
          <w:rFonts w:ascii="Arial" w:cs="Arial" w:eastAsia="Arial" w:hAnsi="Arial"/>
          <w:sz w:val="32"/>
          <w:szCs w:val="32"/>
          <w:b w:val="1"/>
          <w:bCs w:val="1"/>
          <w:color w:val="auto"/>
        </w:rPr>
        <w:t>SECURITIES AND EXCHANGE COMMISSION</w:t>
      </w:r>
    </w:p>
    <w:p>
      <w:pPr>
        <w:jc w:val="center"/>
        <w:ind w:right="-39"/>
        <w:spacing w:after="0"/>
        <w:rPr>
          <w:sz w:val="20"/>
          <w:szCs w:val="20"/>
          <w:color w:val="auto"/>
        </w:rPr>
      </w:pPr>
      <w:r>
        <w:rPr>
          <w:rFonts w:ascii="Arial" w:cs="Arial" w:eastAsia="Arial" w:hAnsi="Arial"/>
          <w:sz w:val="22"/>
          <w:szCs w:val="22"/>
          <w:b w:val="1"/>
          <w:bCs w:val="1"/>
          <w:color w:val="auto"/>
        </w:rPr>
        <w:t>Washington, D.C. 20549</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2869565</wp:posOffset>
            </wp:positionH>
            <wp:positionV relativeFrom="paragraph">
              <wp:posOffset>227330</wp:posOffset>
            </wp:positionV>
            <wp:extent cx="1517650" cy="889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1517650" cy="8890"/>
                    </a:xfrm>
                    <a:prstGeom prst="rect">
                      <a:avLst/>
                    </a:prstGeom>
                    <a:noFill/>
                  </pic:spPr>
                </pic:pic>
              </a:graphicData>
            </a:graphic>
          </wp:anchor>
        </w:drawing>
      </w:r>
    </w:p>
    <w:p>
      <w:pPr>
        <w:spacing w:after="0" w:line="200" w:lineRule="exact"/>
        <w:rPr>
          <w:sz w:val="24"/>
          <w:szCs w:val="24"/>
          <w:color w:val="auto"/>
        </w:rPr>
      </w:pPr>
    </w:p>
    <w:p>
      <w:pPr>
        <w:spacing w:after="0" w:line="327" w:lineRule="exact"/>
        <w:rPr>
          <w:sz w:val="24"/>
          <w:szCs w:val="24"/>
          <w:color w:val="auto"/>
        </w:rPr>
      </w:pPr>
    </w:p>
    <w:p>
      <w:pPr>
        <w:jc w:val="center"/>
        <w:ind w:right="-39"/>
        <w:spacing w:after="0"/>
        <w:rPr>
          <w:sz w:val="20"/>
          <w:szCs w:val="20"/>
          <w:color w:val="auto"/>
        </w:rPr>
      </w:pPr>
      <w:r>
        <w:rPr>
          <w:rFonts w:ascii="Arial" w:cs="Arial" w:eastAsia="Arial" w:hAnsi="Arial"/>
          <w:sz w:val="32"/>
          <w:szCs w:val="32"/>
          <w:b w:val="1"/>
          <w:bCs w:val="1"/>
          <w:color w:val="auto"/>
        </w:rPr>
        <w:t>FORM 8-K</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2869565</wp:posOffset>
            </wp:positionH>
            <wp:positionV relativeFrom="paragraph">
              <wp:posOffset>247015</wp:posOffset>
            </wp:positionV>
            <wp:extent cx="1517650" cy="889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1517650" cy="8890"/>
                    </a:xfrm>
                    <a:prstGeom prst="rect">
                      <a:avLst/>
                    </a:prstGeom>
                    <a:noFill/>
                  </pic:spPr>
                </pic:pic>
              </a:graphicData>
            </a:graphic>
          </wp:anchor>
        </w:drawing>
      </w:r>
    </w:p>
    <w:p>
      <w:pPr>
        <w:spacing w:after="0" w:line="200" w:lineRule="exact"/>
        <w:rPr>
          <w:sz w:val="24"/>
          <w:szCs w:val="24"/>
          <w:color w:val="auto"/>
        </w:rPr>
      </w:pPr>
    </w:p>
    <w:p>
      <w:pPr>
        <w:spacing w:after="0" w:line="371" w:lineRule="exact"/>
        <w:rPr>
          <w:sz w:val="24"/>
          <w:szCs w:val="24"/>
          <w:color w:val="auto"/>
        </w:rPr>
      </w:pPr>
    </w:p>
    <w:p>
      <w:pPr>
        <w:jc w:val="center"/>
        <w:ind w:right="-39"/>
        <w:spacing w:after="0"/>
        <w:rPr>
          <w:sz w:val="20"/>
          <w:szCs w:val="20"/>
          <w:color w:val="auto"/>
        </w:rPr>
      </w:pPr>
      <w:r>
        <w:rPr>
          <w:rFonts w:ascii="Arial" w:cs="Arial" w:eastAsia="Arial" w:hAnsi="Arial"/>
          <w:sz w:val="22"/>
          <w:szCs w:val="22"/>
          <w:b w:val="1"/>
          <w:bCs w:val="1"/>
          <w:color w:val="auto"/>
        </w:rPr>
        <w:t>CURRENT REPORT</w:t>
      </w:r>
    </w:p>
    <w:p>
      <w:pPr>
        <w:spacing w:after="0" w:line="4" w:lineRule="exact"/>
        <w:rPr>
          <w:sz w:val="24"/>
          <w:szCs w:val="24"/>
          <w:color w:val="auto"/>
        </w:rPr>
      </w:pPr>
    </w:p>
    <w:p>
      <w:pPr>
        <w:jc w:val="center"/>
        <w:ind w:right="-39"/>
        <w:spacing w:after="0"/>
        <w:rPr>
          <w:sz w:val="20"/>
          <w:szCs w:val="20"/>
          <w:color w:val="auto"/>
        </w:rPr>
      </w:pPr>
      <w:r>
        <w:rPr>
          <w:rFonts w:ascii="Arial" w:cs="Arial" w:eastAsia="Arial" w:hAnsi="Arial"/>
          <w:sz w:val="22"/>
          <w:szCs w:val="22"/>
          <w:b w:val="1"/>
          <w:bCs w:val="1"/>
          <w:color w:val="auto"/>
        </w:rPr>
        <w:t>Pursuant to Section 13 or 15(d)</w:t>
      </w:r>
    </w:p>
    <w:p>
      <w:pPr>
        <w:jc w:val="center"/>
        <w:ind w:right="-39"/>
        <w:spacing w:after="0"/>
        <w:rPr>
          <w:sz w:val="20"/>
          <w:szCs w:val="20"/>
          <w:color w:val="auto"/>
        </w:rPr>
      </w:pPr>
      <w:r>
        <w:rPr>
          <w:rFonts w:ascii="Arial" w:cs="Arial" w:eastAsia="Arial" w:hAnsi="Arial"/>
          <w:sz w:val="22"/>
          <w:szCs w:val="22"/>
          <w:b w:val="1"/>
          <w:bCs w:val="1"/>
          <w:color w:val="auto"/>
        </w:rPr>
        <w:t>of the Securities Exchange Act of 1934</w:t>
      </w:r>
    </w:p>
    <w:p>
      <w:pPr>
        <w:spacing w:after="0" w:line="182" w:lineRule="exact"/>
        <w:rPr>
          <w:sz w:val="24"/>
          <w:szCs w:val="24"/>
          <w:color w:val="auto"/>
        </w:rPr>
      </w:pPr>
    </w:p>
    <w:p>
      <w:pPr>
        <w:jc w:val="center"/>
        <w:ind w:right="-39"/>
        <w:spacing w:after="0"/>
        <w:rPr>
          <w:sz w:val="20"/>
          <w:szCs w:val="20"/>
          <w:color w:val="auto"/>
        </w:rPr>
      </w:pPr>
      <w:r>
        <w:rPr>
          <w:rFonts w:ascii="Arial" w:cs="Arial" w:eastAsia="Arial" w:hAnsi="Arial"/>
          <w:sz w:val="22"/>
          <w:szCs w:val="22"/>
          <w:b w:val="1"/>
          <w:bCs w:val="1"/>
          <w:color w:val="auto"/>
        </w:rPr>
        <w:t>Date of Report (Date of earliest event reported): November 15, 2016</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2869565</wp:posOffset>
            </wp:positionH>
            <wp:positionV relativeFrom="paragraph">
              <wp:posOffset>234315</wp:posOffset>
            </wp:positionV>
            <wp:extent cx="1517650" cy="889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extLst>
                    </a:blip>
                    <a:srcRect/>
                    <a:stretch>
                      <a:fillRect/>
                    </a:stretch>
                  </pic:blipFill>
                  <pic:spPr bwMode="auto">
                    <a:xfrm>
                      <a:off x="0" y="0"/>
                      <a:ext cx="1517650" cy="8890"/>
                    </a:xfrm>
                    <a:prstGeom prst="rect">
                      <a:avLst/>
                    </a:prstGeom>
                    <a:noFill/>
                  </pic:spPr>
                </pic:pic>
              </a:graphicData>
            </a:graphic>
          </wp:anchor>
        </w:drawing>
      </w:r>
    </w:p>
    <w:p>
      <w:pPr>
        <w:spacing w:after="0" w:line="200" w:lineRule="exact"/>
        <w:rPr>
          <w:sz w:val="24"/>
          <w:szCs w:val="24"/>
          <w:color w:val="auto"/>
        </w:rPr>
      </w:pPr>
    </w:p>
    <w:p>
      <w:pPr>
        <w:spacing w:after="0" w:line="335" w:lineRule="exact"/>
        <w:rPr>
          <w:sz w:val="24"/>
          <w:szCs w:val="24"/>
          <w:color w:val="auto"/>
        </w:rPr>
      </w:pPr>
    </w:p>
    <w:p>
      <w:pPr>
        <w:jc w:val="center"/>
        <w:ind w:right="-39"/>
        <w:spacing w:after="0"/>
        <w:rPr>
          <w:sz w:val="20"/>
          <w:szCs w:val="20"/>
          <w:color w:val="auto"/>
        </w:rPr>
      </w:pPr>
      <w:r>
        <w:rPr>
          <w:rFonts w:ascii="Arial" w:cs="Arial" w:eastAsia="Arial" w:hAnsi="Arial"/>
          <w:sz w:val="43"/>
          <w:szCs w:val="43"/>
          <w:b w:val="1"/>
          <w:bCs w:val="1"/>
          <w:color w:val="auto"/>
        </w:rPr>
        <w:t>MARVELL TECHNOLOGY GROUP LTD.</w:t>
      </w:r>
    </w:p>
    <w:p>
      <w:pPr>
        <w:spacing w:after="0" w:line="50" w:lineRule="exact"/>
        <w:rPr>
          <w:sz w:val="24"/>
          <w:szCs w:val="24"/>
          <w:color w:val="auto"/>
        </w:rPr>
      </w:pPr>
    </w:p>
    <w:p>
      <w:pPr>
        <w:jc w:val="center"/>
        <w:ind w:right="-39"/>
        <w:spacing w:after="0"/>
        <w:rPr>
          <w:sz w:val="20"/>
          <w:szCs w:val="20"/>
          <w:color w:val="auto"/>
        </w:rPr>
      </w:pPr>
      <w:r>
        <w:rPr>
          <w:rFonts w:ascii="Arial" w:cs="Arial" w:eastAsia="Arial" w:hAnsi="Arial"/>
          <w:sz w:val="18"/>
          <w:szCs w:val="18"/>
          <w:b w:val="1"/>
          <w:bCs w:val="1"/>
          <w:color w:val="auto"/>
        </w:rPr>
        <w:t>(Exact name of registrant as specified in its charter)</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2869565</wp:posOffset>
            </wp:positionH>
            <wp:positionV relativeFrom="paragraph">
              <wp:posOffset>236220</wp:posOffset>
            </wp:positionV>
            <wp:extent cx="1517650" cy="889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extLst>
                    </a:blip>
                    <a:srcRect/>
                    <a:stretch>
                      <a:fillRect/>
                    </a:stretch>
                  </pic:blipFill>
                  <pic:spPr bwMode="auto">
                    <a:xfrm>
                      <a:off x="0" y="0"/>
                      <a:ext cx="1517650" cy="8890"/>
                    </a:xfrm>
                    <a:prstGeom prst="rect">
                      <a:avLst/>
                    </a:prstGeom>
                    <a:noFill/>
                  </pic:spPr>
                </pic:pic>
              </a:graphicData>
            </a:graphic>
          </wp:anchor>
        </w:drawing>
      </w:r>
    </w:p>
    <w:p>
      <w:pPr>
        <w:sectPr>
          <w:pgSz w:w="11900" w:h="16838" w:orient="portrait"/>
          <w:cols w:equalWidth="0" w:num="1">
            <w:col w:w="11380"/>
          </w:cols>
          <w:pgMar w:left="240" w:top="368" w:right="279" w:bottom="1440" w:gutter="0" w:footer="0" w:header="0"/>
        </w:sectPr>
      </w:pPr>
    </w:p>
    <w:p>
      <w:pPr>
        <w:spacing w:after="0" w:line="200" w:lineRule="exact"/>
        <w:rPr>
          <w:sz w:val="24"/>
          <w:szCs w:val="24"/>
          <w:color w:val="auto"/>
        </w:rPr>
      </w:pPr>
    </w:p>
    <w:p>
      <w:pPr>
        <w:spacing w:after="0" w:line="200" w:lineRule="exact"/>
        <w:rPr>
          <w:sz w:val="24"/>
          <w:szCs w:val="24"/>
          <w:color w:val="auto"/>
        </w:rPr>
      </w:pPr>
    </w:p>
    <w:p>
      <w:pPr>
        <w:spacing w:after="0" w:line="237" w:lineRule="exact"/>
        <w:rPr>
          <w:sz w:val="24"/>
          <w:szCs w:val="24"/>
          <w:color w:val="auto"/>
        </w:rPr>
      </w:pPr>
    </w:p>
    <w:p>
      <w:pPr>
        <w:ind w:left="1580"/>
        <w:spacing w:after="0"/>
        <w:rPr>
          <w:sz w:val="20"/>
          <w:szCs w:val="20"/>
          <w:color w:val="auto"/>
        </w:rPr>
      </w:pPr>
      <w:r>
        <w:rPr>
          <w:rFonts w:ascii="Arial" w:cs="Arial" w:eastAsia="Arial" w:hAnsi="Arial"/>
          <w:sz w:val="16"/>
          <w:szCs w:val="16"/>
          <w:b w:val="1"/>
          <w:bCs w:val="1"/>
          <w:color w:val="auto"/>
        </w:rPr>
        <w:t>Bermuda</w:t>
      </w:r>
    </w:p>
    <w:p>
      <w:pPr>
        <w:spacing w:after="0" w:line="20" w:lineRule="exact"/>
        <w:rPr>
          <w:sz w:val="24"/>
          <w:szCs w:val="24"/>
          <w:color w:val="auto"/>
        </w:rPr>
      </w:pPr>
      <w:r>
        <w:rPr>
          <w:sz w:val="24"/>
          <w:szCs w:val="24"/>
          <w:color w:val="auto"/>
        </w:rPr>
        <w:br w:type="column"/>
      </w:r>
    </w:p>
    <w:p>
      <w:pPr>
        <w:spacing w:after="0" w:line="200" w:lineRule="exact"/>
        <w:rPr>
          <w:sz w:val="24"/>
          <w:szCs w:val="24"/>
          <w:color w:val="auto"/>
        </w:rPr>
      </w:pPr>
    </w:p>
    <w:p>
      <w:pPr>
        <w:spacing w:after="0" w:line="200" w:lineRule="exact"/>
        <w:rPr>
          <w:sz w:val="24"/>
          <w:szCs w:val="24"/>
          <w:color w:val="auto"/>
        </w:rPr>
      </w:pPr>
    </w:p>
    <w:p>
      <w:pPr>
        <w:spacing w:after="0" w:line="217" w:lineRule="exact"/>
        <w:rPr>
          <w:sz w:val="24"/>
          <w:szCs w:val="24"/>
          <w:color w:val="auto"/>
        </w:rPr>
      </w:pPr>
    </w:p>
    <w:p>
      <w:pPr>
        <w:jc w:val="center"/>
        <w:ind w:right="2200"/>
        <w:spacing w:after="0"/>
        <w:rPr>
          <w:sz w:val="20"/>
          <w:szCs w:val="20"/>
          <w:color w:val="auto"/>
        </w:rPr>
      </w:pPr>
      <w:r>
        <w:rPr>
          <w:rFonts w:ascii="Arial" w:cs="Arial" w:eastAsia="Arial" w:hAnsi="Arial"/>
          <w:sz w:val="16"/>
          <w:szCs w:val="16"/>
          <w:b w:val="1"/>
          <w:bCs w:val="1"/>
          <w:color w:val="auto"/>
        </w:rPr>
        <w:t>000-30877</w:t>
      </w:r>
    </w:p>
    <w:p>
      <w:pPr>
        <w:spacing w:after="0" w:line="20" w:lineRule="exact"/>
        <w:rPr>
          <w:sz w:val="24"/>
          <w:szCs w:val="24"/>
          <w:color w:val="auto"/>
        </w:rPr>
      </w:pPr>
      <w:r>
        <w:rPr>
          <w:sz w:val="24"/>
          <w:szCs w:val="24"/>
          <w:color w:val="auto"/>
        </w:rPr>
        <w:br w:type="column"/>
      </w:r>
    </w:p>
    <w:p>
      <w:pPr>
        <w:spacing w:after="0" w:line="200" w:lineRule="exact"/>
        <w:rPr>
          <w:sz w:val="24"/>
          <w:szCs w:val="24"/>
          <w:color w:val="auto"/>
        </w:rPr>
      </w:pPr>
    </w:p>
    <w:p>
      <w:pPr>
        <w:spacing w:after="0" w:line="200" w:lineRule="exact"/>
        <w:rPr>
          <w:sz w:val="24"/>
          <w:szCs w:val="24"/>
          <w:color w:val="auto"/>
        </w:rPr>
      </w:pPr>
    </w:p>
    <w:p>
      <w:pPr>
        <w:spacing w:after="0" w:line="217" w:lineRule="exact"/>
        <w:rPr>
          <w:sz w:val="24"/>
          <w:szCs w:val="24"/>
          <w:color w:val="auto"/>
        </w:rPr>
      </w:pPr>
    </w:p>
    <w:p>
      <w:pPr>
        <w:spacing w:after="0"/>
        <w:rPr>
          <w:sz w:val="20"/>
          <w:szCs w:val="20"/>
          <w:color w:val="auto"/>
        </w:rPr>
      </w:pPr>
      <w:r>
        <w:rPr>
          <w:rFonts w:ascii="Arial" w:cs="Arial" w:eastAsia="Arial" w:hAnsi="Arial"/>
          <w:sz w:val="16"/>
          <w:szCs w:val="16"/>
          <w:b w:val="1"/>
          <w:bCs w:val="1"/>
          <w:color w:val="auto"/>
        </w:rPr>
        <w:t>77-0481679</w:t>
      </w:r>
    </w:p>
    <w:p>
      <w:pPr>
        <w:spacing w:after="0" w:line="31" w:lineRule="exact"/>
        <w:rPr>
          <w:sz w:val="24"/>
          <w:szCs w:val="24"/>
          <w:color w:val="auto"/>
        </w:rPr>
      </w:pPr>
    </w:p>
    <w:p>
      <w:pPr>
        <w:sectPr>
          <w:pgSz w:w="11900" w:h="16838" w:orient="portrait"/>
          <w:cols w:equalWidth="0" w:num="3">
            <w:col w:w="4740" w:space="720"/>
            <w:col w:w="2980" w:space="720"/>
            <w:col w:w="2220"/>
          </w:cols>
          <w:pgMar w:left="240" w:top="368" w:right="279" w:bottom="1440" w:gutter="0" w:footer="0" w:header="0"/>
          <w:type w:val="continuous"/>
        </w:sectPr>
      </w:pPr>
    </w:p>
    <w:p>
      <w:pPr>
        <w:spacing w:after="0" w:line="12" w:lineRule="exact"/>
        <w:rPr>
          <w:sz w:val="24"/>
          <w:szCs w:val="24"/>
          <w:color w:val="auto"/>
        </w:rPr>
      </w:pPr>
    </w:p>
    <w:p>
      <w:pPr>
        <w:jc w:val="center"/>
        <w:ind w:right="820"/>
        <w:spacing w:after="0"/>
        <w:rPr>
          <w:sz w:val="20"/>
          <w:szCs w:val="20"/>
          <w:color w:val="auto"/>
        </w:rPr>
      </w:pPr>
      <w:r>
        <w:rPr>
          <w:rFonts w:ascii="Arial" w:cs="Arial" w:eastAsia="Arial" w:hAnsi="Arial"/>
          <w:sz w:val="13"/>
          <w:szCs w:val="13"/>
          <w:b w:val="1"/>
          <w:bCs w:val="1"/>
          <w:color w:val="auto"/>
        </w:rPr>
        <w:t>(State or other jurisdiction</w:t>
      </w:r>
    </w:p>
    <w:p>
      <w:pPr>
        <w:jc w:val="center"/>
        <w:ind w:right="820"/>
        <w:spacing w:after="0"/>
        <w:rPr>
          <w:sz w:val="20"/>
          <w:szCs w:val="20"/>
          <w:color w:val="auto"/>
        </w:rPr>
      </w:pPr>
      <w:r>
        <w:rPr>
          <w:rFonts w:ascii="Arial" w:cs="Arial" w:eastAsia="Arial" w:hAnsi="Arial"/>
          <w:sz w:val="14"/>
          <w:szCs w:val="14"/>
          <w:b w:val="1"/>
          <w:bCs w:val="1"/>
          <w:color w:val="auto"/>
        </w:rPr>
        <w:t>of incorporation)</w:t>
      </w:r>
    </w:p>
    <w:p>
      <w:pPr>
        <w:spacing w:after="0" w:line="20" w:lineRule="exact"/>
        <w:rPr>
          <w:sz w:val="24"/>
          <w:szCs w:val="24"/>
          <w:color w:val="auto"/>
        </w:rPr>
      </w:pPr>
      <w:r>
        <w:rPr>
          <w:sz w:val="24"/>
          <w:szCs w:val="24"/>
          <w:color w:val="auto"/>
        </w:rPr>
        <w:br w:type="column"/>
      </w:r>
    </w:p>
    <w:p>
      <w:pPr>
        <w:ind w:left="20"/>
        <w:spacing w:after="0"/>
        <w:rPr>
          <w:sz w:val="20"/>
          <w:szCs w:val="20"/>
          <w:color w:val="auto"/>
        </w:rPr>
      </w:pPr>
      <w:r>
        <w:rPr>
          <w:rFonts w:ascii="Arial" w:cs="Arial" w:eastAsia="Arial" w:hAnsi="Arial"/>
          <w:sz w:val="12"/>
          <w:szCs w:val="12"/>
          <w:b w:val="1"/>
          <w:bCs w:val="1"/>
          <w:color w:val="auto"/>
        </w:rPr>
        <w:t>(Commission</w:t>
      </w:r>
    </w:p>
    <w:p>
      <w:pPr>
        <w:spacing w:after="0" w:line="4" w:lineRule="exact"/>
        <w:rPr>
          <w:sz w:val="24"/>
          <w:szCs w:val="24"/>
          <w:color w:val="auto"/>
        </w:rPr>
      </w:pPr>
    </w:p>
    <w:p>
      <w:pPr>
        <w:spacing w:after="0"/>
        <w:rPr>
          <w:sz w:val="20"/>
          <w:szCs w:val="20"/>
          <w:color w:val="auto"/>
        </w:rPr>
      </w:pPr>
      <w:r>
        <w:rPr>
          <w:rFonts w:ascii="Arial" w:cs="Arial" w:eastAsia="Arial" w:hAnsi="Arial"/>
          <w:sz w:val="13"/>
          <w:szCs w:val="13"/>
          <w:b w:val="1"/>
          <w:bCs w:val="1"/>
          <w:color w:val="auto"/>
        </w:rPr>
        <w:t>File Number)</w:t>
      </w:r>
    </w:p>
    <w:p>
      <w:pPr>
        <w:spacing w:after="0" w:line="20" w:lineRule="exact"/>
        <w:rPr>
          <w:sz w:val="24"/>
          <w:szCs w:val="24"/>
          <w:color w:val="auto"/>
        </w:rPr>
      </w:pPr>
      <w:r>
        <w:rPr>
          <w:sz w:val="24"/>
          <w:szCs w:val="24"/>
          <w:color w:val="auto"/>
        </w:rPr>
        <w:br w:type="column"/>
      </w:r>
    </w:p>
    <w:p>
      <w:pPr>
        <w:ind w:left="40"/>
        <w:spacing w:after="0"/>
        <w:rPr>
          <w:sz w:val="20"/>
          <w:szCs w:val="20"/>
          <w:color w:val="auto"/>
        </w:rPr>
      </w:pPr>
      <w:r>
        <w:rPr>
          <w:rFonts w:ascii="Arial" w:cs="Arial" w:eastAsia="Arial" w:hAnsi="Arial"/>
          <w:sz w:val="14"/>
          <w:szCs w:val="14"/>
          <w:b w:val="1"/>
          <w:bCs w:val="1"/>
          <w:color w:val="auto"/>
        </w:rPr>
        <w:t>(I.R.S. Employer</w:t>
      </w:r>
    </w:p>
    <w:p>
      <w:pPr>
        <w:spacing w:after="0"/>
        <w:rPr>
          <w:sz w:val="20"/>
          <w:szCs w:val="20"/>
          <w:color w:val="auto"/>
        </w:rPr>
      </w:pPr>
      <w:r>
        <w:rPr>
          <w:rFonts w:ascii="Arial" w:cs="Arial" w:eastAsia="Arial" w:hAnsi="Arial"/>
          <w:sz w:val="13"/>
          <w:szCs w:val="13"/>
          <w:b w:val="1"/>
          <w:bCs w:val="1"/>
          <w:color w:val="auto"/>
        </w:rPr>
        <w:t>Identification No.)</w:t>
      </w:r>
    </w:p>
    <w:p>
      <w:pPr>
        <w:spacing w:after="0" w:line="211" w:lineRule="exact"/>
        <w:rPr>
          <w:sz w:val="24"/>
          <w:szCs w:val="24"/>
          <w:color w:val="auto"/>
        </w:rPr>
      </w:pPr>
    </w:p>
    <w:p>
      <w:pPr>
        <w:sectPr>
          <w:pgSz w:w="11900" w:h="16838" w:orient="portrait"/>
          <w:cols w:equalWidth="0" w:num="3">
            <w:col w:w="4700" w:space="720"/>
            <w:col w:w="2900" w:space="720"/>
            <w:col w:w="2340"/>
          </w:cols>
          <w:pgMar w:left="240" w:top="368" w:right="279" w:bottom="1440" w:gutter="0" w:footer="0" w:header="0"/>
          <w:type w:val="continuous"/>
        </w:sectPr>
      </w:pPr>
    </w:p>
    <w:p>
      <w:pPr>
        <w:spacing w:after="0" w:line="6" w:lineRule="exact"/>
        <w:rPr>
          <w:sz w:val="24"/>
          <w:szCs w:val="24"/>
          <w:color w:val="auto"/>
        </w:rPr>
      </w:pPr>
    </w:p>
    <w:p>
      <w:pPr>
        <w:jc w:val="center"/>
        <w:ind w:right="-59"/>
        <w:spacing w:after="0"/>
        <w:rPr>
          <w:sz w:val="20"/>
          <w:szCs w:val="20"/>
          <w:color w:val="auto"/>
        </w:rPr>
      </w:pPr>
      <w:r>
        <w:rPr>
          <w:rFonts w:ascii="Arial" w:cs="Arial" w:eastAsia="Arial" w:hAnsi="Arial"/>
          <w:sz w:val="18"/>
          <w:szCs w:val="18"/>
          <w:b w:val="1"/>
          <w:bCs w:val="1"/>
          <w:color w:val="auto"/>
        </w:rPr>
        <w:t>Canon’s Court</w:t>
      </w:r>
    </w:p>
    <w:p>
      <w:pPr>
        <w:spacing w:after="0" w:line="27" w:lineRule="exact"/>
        <w:rPr>
          <w:sz w:val="24"/>
          <w:szCs w:val="24"/>
          <w:color w:val="auto"/>
        </w:rPr>
      </w:pPr>
    </w:p>
    <w:p>
      <w:pPr>
        <w:jc w:val="center"/>
        <w:ind w:right="-59"/>
        <w:spacing w:after="0"/>
        <w:rPr>
          <w:sz w:val="20"/>
          <w:szCs w:val="20"/>
          <w:color w:val="auto"/>
        </w:rPr>
      </w:pPr>
      <w:r>
        <w:rPr>
          <w:rFonts w:ascii="Arial" w:cs="Arial" w:eastAsia="Arial" w:hAnsi="Arial"/>
          <w:sz w:val="18"/>
          <w:szCs w:val="18"/>
          <w:b w:val="1"/>
          <w:bCs w:val="1"/>
          <w:color w:val="auto"/>
        </w:rPr>
        <w:t>22 Victoria Street</w:t>
      </w:r>
    </w:p>
    <w:p>
      <w:pPr>
        <w:spacing w:after="0" w:line="9" w:lineRule="exact"/>
        <w:rPr>
          <w:sz w:val="24"/>
          <w:szCs w:val="24"/>
          <w:color w:val="auto"/>
        </w:rPr>
      </w:pPr>
    </w:p>
    <w:p>
      <w:pPr>
        <w:jc w:val="center"/>
        <w:ind w:right="-59"/>
        <w:spacing w:after="0"/>
        <w:rPr>
          <w:sz w:val="20"/>
          <w:szCs w:val="20"/>
          <w:color w:val="auto"/>
        </w:rPr>
      </w:pPr>
      <w:r>
        <w:rPr>
          <w:rFonts w:ascii="Arial" w:cs="Arial" w:eastAsia="Arial" w:hAnsi="Arial"/>
          <w:sz w:val="18"/>
          <w:szCs w:val="18"/>
          <w:b w:val="1"/>
          <w:bCs w:val="1"/>
          <w:color w:val="auto"/>
        </w:rPr>
        <w:t>Hamilton HM 12</w:t>
      </w:r>
    </w:p>
    <w:p>
      <w:pPr>
        <w:spacing w:after="0" w:line="9" w:lineRule="exact"/>
        <w:rPr>
          <w:sz w:val="24"/>
          <w:szCs w:val="24"/>
          <w:color w:val="auto"/>
        </w:rPr>
      </w:pPr>
    </w:p>
    <w:p>
      <w:pPr>
        <w:jc w:val="center"/>
        <w:ind w:right="-59"/>
        <w:spacing w:after="0"/>
        <w:rPr>
          <w:sz w:val="20"/>
          <w:szCs w:val="20"/>
          <w:color w:val="auto"/>
        </w:rPr>
      </w:pPr>
      <w:r>
        <w:rPr>
          <w:rFonts w:ascii="Arial" w:cs="Arial" w:eastAsia="Arial" w:hAnsi="Arial"/>
          <w:sz w:val="18"/>
          <w:szCs w:val="18"/>
          <w:b w:val="1"/>
          <w:bCs w:val="1"/>
          <w:color w:val="auto"/>
        </w:rPr>
        <w:t>Bermuda</w:t>
      </w:r>
    </w:p>
    <w:p>
      <w:pPr>
        <w:spacing w:after="0" w:line="2" w:lineRule="exact"/>
        <w:rPr>
          <w:sz w:val="24"/>
          <w:szCs w:val="24"/>
          <w:color w:val="auto"/>
        </w:rPr>
      </w:pPr>
    </w:p>
    <w:p>
      <w:pPr>
        <w:jc w:val="center"/>
        <w:ind w:right="-59"/>
        <w:spacing w:after="0"/>
        <w:rPr>
          <w:sz w:val="20"/>
          <w:szCs w:val="20"/>
          <w:color w:val="auto"/>
        </w:rPr>
      </w:pPr>
      <w:r>
        <w:rPr>
          <w:rFonts w:ascii="Arial" w:cs="Arial" w:eastAsia="Arial" w:hAnsi="Arial"/>
          <w:sz w:val="14"/>
          <w:szCs w:val="14"/>
          <w:b w:val="1"/>
          <w:bCs w:val="1"/>
          <w:color w:val="auto"/>
        </w:rPr>
        <w:t>(Address of principal executive offices)</w:t>
      </w:r>
    </w:p>
    <w:p>
      <w:pPr>
        <w:spacing w:after="0" w:line="192" w:lineRule="exact"/>
        <w:rPr>
          <w:sz w:val="24"/>
          <w:szCs w:val="24"/>
          <w:color w:val="auto"/>
        </w:rPr>
      </w:pPr>
    </w:p>
    <w:p>
      <w:pPr>
        <w:jc w:val="center"/>
        <w:ind w:right="-59"/>
        <w:spacing w:after="0"/>
        <w:rPr>
          <w:sz w:val="20"/>
          <w:szCs w:val="20"/>
          <w:color w:val="auto"/>
        </w:rPr>
      </w:pPr>
      <w:r>
        <w:rPr>
          <w:rFonts w:ascii="Arial" w:cs="Arial" w:eastAsia="Arial" w:hAnsi="Arial"/>
          <w:sz w:val="18"/>
          <w:szCs w:val="18"/>
          <w:b w:val="1"/>
          <w:bCs w:val="1"/>
          <w:color w:val="auto"/>
        </w:rPr>
        <w:t>(441) 296-6395</w:t>
      </w:r>
    </w:p>
    <w:p>
      <w:pPr>
        <w:spacing w:after="0" w:line="21" w:lineRule="exact"/>
        <w:rPr>
          <w:sz w:val="24"/>
          <w:szCs w:val="24"/>
          <w:color w:val="auto"/>
        </w:rPr>
      </w:pPr>
    </w:p>
    <w:p>
      <w:pPr>
        <w:jc w:val="center"/>
        <w:ind w:right="-59"/>
        <w:spacing w:after="0"/>
        <w:rPr>
          <w:sz w:val="20"/>
          <w:szCs w:val="20"/>
          <w:color w:val="auto"/>
        </w:rPr>
      </w:pPr>
      <w:r>
        <w:rPr>
          <w:rFonts w:ascii="Arial" w:cs="Arial" w:eastAsia="Arial" w:hAnsi="Arial"/>
          <w:sz w:val="14"/>
          <w:szCs w:val="14"/>
          <w:b w:val="1"/>
          <w:bCs w:val="1"/>
          <w:color w:val="auto"/>
        </w:rPr>
        <w:t>(Registrant’s telephone number, including area code)</w:t>
      </w:r>
    </w:p>
    <w:p>
      <w:pPr>
        <w:spacing w:after="0" w:line="192" w:lineRule="exact"/>
        <w:rPr>
          <w:sz w:val="24"/>
          <w:szCs w:val="24"/>
          <w:color w:val="auto"/>
        </w:rPr>
      </w:pPr>
    </w:p>
    <w:p>
      <w:pPr>
        <w:jc w:val="center"/>
        <w:ind w:right="-59"/>
        <w:spacing w:after="0"/>
        <w:rPr>
          <w:sz w:val="20"/>
          <w:szCs w:val="20"/>
          <w:color w:val="auto"/>
        </w:rPr>
      </w:pPr>
      <w:r>
        <w:rPr>
          <w:rFonts w:ascii="Arial" w:cs="Arial" w:eastAsia="Arial" w:hAnsi="Arial"/>
          <w:sz w:val="18"/>
          <w:szCs w:val="18"/>
          <w:b w:val="1"/>
          <w:bCs w:val="1"/>
          <w:color w:val="auto"/>
        </w:rPr>
        <w:t>N/A</w:t>
      </w:r>
    </w:p>
    <w:p>
      <w:pPr>
        <w:spacing w:after="0" w:line="21" w:lineRule="exact"/>
        <w:rPr>
          <w:sz w:val="24"/>
          <w:szCs w:val="24"/>
          <w:color w:val="auto"/>
        </w:rPr>
      </w:pPr>
    </w:p>
    <w:p>
      <w:pPr>
        <w:jc w:val="center"/>
        <w:ind w:right="-59"/>
        <w:spacing w:after="0"/>
        <w:rPr>
          <w:sz w:val="20"/>
          <w:szCs w:val="20"/>
          <w:color w:val="auto"/>
        </w:rPr>
      </w:pPr>
      <w:r>
        <w:rPr>
          <w:rFonts w:ascii="Arial" w:cs="Arial" w:eastAsia="Arial" w:hAnsi="Arial"/>
          <w:sz w:val="12"/>
          <w:szCs w:val="12"/>
          <w:b w:val="1"/>
          <w:bCs w:val="1"/>
          <w:color w:val="auto"/>
        </w:rPr>
        <w:t>(Former name or former address, if changed since last report.)</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2869565</wp:posOffset>
            </wp:positionH>
            <wp:positionV relativeFrom="paragraph">
              <wp:posOffset>242570</wp:posOffset>
            </wp:positionV>
            <wp:extent cx="1517650" cy="889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extLst>
                        <a:ext uri="{28A0092B-C50C-407E-A947-70E740481C1C}"/>
                      </a:extLst>
                    </a:blip>
                    <a:srcRect/>
                    <a:stretch>
                      <a:fillRect/>
                    </a:stretch>
                  </pic:blipFill>
                  <pic:spPr bwMode="auto">
                    <a:xfrm>
                      <a:off x="0" y="0"/>
                      <a:ext cx="1517650" cy="8890"/>
                    </a:xfrm>
                    <a:prstGeom prst="rect">
                      <a:avLst/>
                    </a:prstGeom>
                    <a:noFill/>
                  </pic:spPr>
                </pic:pic>
              </a:graphicData>
            </a:graphic>
          </wp:anchor>
        </w:drawing>
      </w:r>
    </w:p>
    <w:p>
      <w:pPr>
        <w:sectPr>
          <w:pgSz w:w="11900" w:h="16838" w:orient="portrait"/>
          <w:cols w:equalWidth="0" w:num="1">
            <w:col w:w="11380"/>
          </w:cols>
          <w:pgMar w:left="240" w:top="368" w:right="279" w:bottom="1440" w:gutter="0" w:footer="0" w:header="0"/>
          <w:type w:val="continuous"/>
        </w:sectPr>
      </w:pPr>
    </w:p>
    <w:p>
      <w:pPr>
        <w:spacing w:after="0" w:line="200" w:lineRule="exact"/>
        <w:rPr>
          <w:sz w:val="24"/>
          <w:szCs w:val="24"/>
          <w:color w:val="auto"/>
        </w:rPr>
      </w:pPr>
    </w:p>
    <w:p>
      <w:pPr>
        <w:spacing w:after="0" w:line="397" w:lineRule="exact"/>
        <w:rPr>
          <w:sz w:val="24"/>
          <w:szCs w:val="24"/>
          <w:color w:val="auto"/>
        </w:rPr>
      </w:pPr>
    </w:p>
    <w:p>
      <w:pPr>
        <w:spacing w:after="0" w:line="277" w:lineRule="auto"/>
        <w:rPr>
          <w:sz w:val="20"/>
          <w:szCs w:val="20"/>
          <w:color w:val="auto"/>
        </w:rPr>
      </w:pPr>
      <w:r>
        <w:rPr>
          <w:rFonts w:ascii="Arial" w:cs="Arial" w:eastAsia="Arial" w:hAnsi="Arial"/>
          <w:sz w:val="18"/>
          <w:szCs w:val="18"/>
          <w:color w:val="auto"/>
        </w:rPr>
        <w:t>Check the appropriate box below if the Form 8-K filing is intended to simultaneously satisfy the filing obligations of the registrant under any of the following provisions (see General Instruction A.2. below):</w:t>
      </w:r>
    </w:p>
    <w:p>
      <w:pPr>
        <w:spacing w:after="0" w:line="76" w:lineRule="exact"/>
        <w:rPr>
          <w:sz w:val="24"/>
          <w:szCs w:val="24"/>
          <w:color w:val="auto"/>
        </w:rPr>
      </w:pPr>
    </w:p>
    <w:p>
      <w:pPr>
        <w:ind w:left="460" w:hanging="452"/>
        <w:spacing w:after="0"/>
        <w:tabs>
          <w:tab w:leader="none" w:pos="460" w:val="left"/>
        </w:tabs>
        <w:numPr>
          <w:ilvl w:val="0"/>
          <w:numId w:val="1"/>
        </w:numPr>
        <w:rPr>
          <w:rFonts w:ascii="MS PGothic" w:cs="MS PGothic" w:eastAsia="MS PGothic" w:hAnsi="MS PGothic"/>
          <w:sz w:val="18"/>
          <w:szCs w:val="18"/>
          <w:color w:val="auto"/>
        </w:rPr>
      </w:pPr>
      <w:r>
        <w:rPr>
          <w:rFonts w:ascii="Arial" w:cs="Arial" w:eastAsia="Arial" w:hAnsi="Arial"/>
          <w:sz w:val="18"/>
          <w:szCs w:val="18"/>
          <w:color w:val="auto"/>
        </w:rPr>
        <w:t>Written communications pursuant to Rule 425 under the Securities Act (17 CFR 230.425)</w:t>
      </w:r>
    </w:p>
    <w:p>
      <w:pPr>
        <w:spacing w:after="0" w:line="130" w:lineRule="exact"/>
        <w:rPr>
          <w:rFonts w:ascii="MS PGothic" w:cs="MS PGothic" w:eastAsia="MS PGothic" w:hAnsi="MS PGothic"/>
          <w:sz w:val="18"/>
          <w:szCs w:val="18"/>
          <w:color w:val="auto"/>
        </w:rPr>
      </w:pPr>
    </w:p>
    <w:p>
      <w:pPr>
        <w:ind w:left="460" w:hanging="452"/>
        <w:spacing w:after="0"/>
        <w:tabs>
          <w:tab w:leader="none" w:pos="460" w:val="left"/>
        </w:tabs>
        <w:numPr>
          <w:ilvl w:val="0"/>
          <w:numId w:val="1"/>
        </w:numPr>
        <w:rPr>
          <w:rFonts w:ascii="MS PGothic" w:cs="MS PGothic" w:eastAsia="MS PGothic" w:hAnsi="MS PGothic"/>
          <w:sz w:val="18"/>
          <w:szCs w:val="18"/>
          <w:color w:val="auto"/>
        </w:rPr>
      </w:pPr>
      <w:r>
        <w:rPr>
          <w:rFonts w:ascii="Arial" w:cs="Arial" w:eastAsia="Arial" w:hAnsi="Arial"/>
          <w:sz w:val="18"/>
          <w:szCs w:val="18"/>
          <w:color w:val="auto"/>
        </w:rPr>
        <w:t>Soliciting material pursuant to Rule 14a-12 under the Exchange Act (17 CFR 240.14a-12)</w:t>
      </w:r>
    </w:p>
    <w:p>
      <w:pPr>
        <w:spacing w:after="0" w:line="130" w:lineRule="exact"/>
        <w:rPr>
          <w:rFonts w:ascii="MS PGothic" w:cs="MS PGothic" w:eastAsia="MS PGothic" w:hAnsi="MS PGothic"/>
          <w:sz w:val="18"/>
          <w:szCs w:val="18"/>
          <w:color w:val="auto"/>
        </w:rPr>
      </w:pPr>
    </w:p>
    <w:p>
      <w:pPr>
        <w:ind w:left="460" w:hanging="452"/>
        <w:spacing w:after="0"/>
        <w:tabs>
          <w:tab w:leader="none" w:pos="460" w:val="left"/>
        </w:tabs>
        <w:numPr>
          <w:ilvl w:val="0"/>
          <w:numId w:val="1"/>
        </w:numPr>
        <w:rPr>
          <w:rFonts w:ascii="MS PGothic" w:cs="MS PGothic" w:eastAsia="MS PGothic" w:hAnsi="MS PGothic"/>
          <w:sz w:val="18"/>
          <w:szCs w:val="18"/>
          <w:color w:val="auto"/>
        </w:rPr>
      </w:pPr>
      <w:r>
        <w:rPr>
          <w:rFonts w:ascii="Arial" w:cs="Arial" w:eastAsia="Arial" w:hAnsi="Arial"/>
          <w:sz w:val="18"/>
          <w:szCs w:val="18"/>
          <w:color w:val="auto"/>
        </w:rPr>
        <w:t>Pre-commencement communications pursuant to Rule 14d-2(b) under the Exchange Act (17 CFR 240.14d-2(b))</w:t>
      </w:r>
    </w:p>
    <w:p>
      <w:pPr>
        <w:spacing w:after="0" w:line="130" w:lineRule="exact"/>
        <w:rPr>
          <w:rFonts w:ascii="MS PGothic" w:cs="MS PGothic" w:eastAsia="MS PGothic" w:hAnsi="MS PGothic"/>
          <w:sz w:val="18"/>
          <w:szCs w:val="18"/>
          <w:color w:val="auto"/>
        </w:rPr>
      </w:pPr>
    </w:p>
    <w:p>
      <w:pPr>
        <w:ind w:left="460" w:hanging="452"/>
        <w:spacing w:after="0"/>
        <w:tabs>
          <w:tab w:leader="none" w:pos="460" w:val="left"/>
        </w:tabs>
        <w:numPr>
          <w:ilvl w:val="0"/>
          <w:numId w:val="1"/>
        </w:numPr>
        <w:rPr>
          <w:rFonts w:ascii="MS PGothic" w:cs="MS PGothic" w:eastAsia="MS PGothic" w:hAnsi="MS PGothic"/>
          <w:sz w:val="18"/>
          <w:szCs w:val="18"/>
          <w:color w:val="auto"/>
        </w:rPr>
      </w:pPr>
      <w:r>
        <w:rPr>
          <w:rFonts w:ascii="Arial" w:cs="Arial" w:eastAsia="Arial" w:hAnsi="Arial"/>
          <w:sz w:val="18"/>
          <w:szCs w:val="18"/>
          <w:color w:val="auto"/>
        </w:rPr>
        <w:t>Pre-commencement communications pursuant to Rule 13e-4(c) under the Exchange Act (17 CFR 240.13e-4(c))</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5080</wp:posOffset>
            </wp:positionH>
            <wp:positionV relativeFrom="paragraph">
              <wp:posOffset>160655</wp:posOffset>
            </wp:positionV>
            <wp:extent cx="7246620" cy="889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5">
                      <a:extLst>
                        <a:ext uri="{28A0092B-C50C-407E-A947-70E740481C1C}"/>
                      </a:extLst>
                    </a:blip>
                    <a:srcRect/>
                    <a:stretch>
                      <a:fillRect/>
                    </a:stretch>
                  </pic:blipFill>
                  <pic:spPr bwMode="auto">
                    <a:xfrm>
                      <a:off x="0" y="0"/>
                      <a:ext cx="7246620" cy="8890"/>
                    </a:xfrm>
                    <a:prstGeom prst="rect">
                      <a:avLst/>
                    </a:prstGeom>
                    <a:noFill/>
                  </pic:spPr>
                </pic:pic>
              </a:graphicData>
            </a:graphic>
          </wp:anchor>
        </w:drawing>
        <w:drawing>
          <wp:anchor simplePos="0" relativeHeight="251657728" behindDoc="1" locked="0" layoutInCell="0" allowOverlap="1">
            <wp:simplePos x="0" y="0"/>
            <wp:positionH relativeFrom="column">
              <wp:posOffset>5080</wp:posOffset>
            </wp:positionH>
            <wp:positionV relativeFrom="paragraph">
              <wp:posOffset>203835</wp:posOffset>
            </wp:positionV>
            <wp:extent cx="7246620" cy="889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6">
                      <a:extLst>
                        <a:ext uri="{28A0092B-C50C-407E-A947-70E740481C1C}"/>
                      </a:extLst>
                    </a:blip>
                    <a:srcRect/>
                    <a:stretch>
                      <a:fillRect/>
                    </a:stretch>
                  </pic:blipFill>
                  <pic:spPr bwMode="auto">
                    <a:xfrm>
                      <a:off x="0" y="0"/>
                      <a:ext cx="7246620" cy="8890"/>
                    </a:xfrm>
                    <a:prstGeom prst="rect">
                      <a:avLst/>
                    </a:prstGeom>
                    <a:noFill/>
                  </pic:spPr>
                </pic:pic>
              </a:graphicData>
            </a:graphic>
          </wp:anchor>
        </w:drawing>
      </w:r>
    </w:p>
    <w:p>
      <w:pPr>
        <w:sectPr>
          <w:pgSz w:w="11900" w:h="16838" w:orient="portrait"/>
          <w:cols w:equalWidth="0" w:num="1">
            <w:col w:w="11380"/>
          </w:cols>
          <w:pgMar w:left="240" w:top="368" w:right="279" w:bottom="1440" w:gutter="0" w:footer="0" w:header="0"/>
          <w:type w:val="continuous"/>
        </w:sectPr>
      </w:pPr>
    </w:p>
    <w:bookmarkStart w:id="1" w:name="page2"/>
    <w:bookmarkEnd w:id="1"/>
    <w:p>
      <w:pPr>
        <w:spacing w:after="0"/>
        <w:tabs>
          <w:tab w:leader="none" w:pos="1120" w:val="left"/>
        </w:tabs>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7">
                      <a:extLst>
                        <a:ext uri="{28A0092B-C50C-407E-A947-70E740481C1C}"/>
                      </a:extLst>
                    </a:blip>
                    <a:srcRect/>
                    <a:stretch>
                      <a:fillRect/>
                    </a:stretch>
                  </pic:blipFill>
                  <pic:spPr bwMode="auto">
                    <a:xfrm>
                      <a:off x="0" y="0"/>
                      <a:ext cx="7289165" cy="38735"/>
                    </a:xfrm>
                    <a:prstGeom prst="rect">
                      <a:avLst/>
                    </a:prstGeom>
                    <a:noFill/>
                  </pic:spPr>
                </pic:pic>
              </a:graphicData>
            </a:graphic>
          </wp:anchor>
        </w:drawing>
        <w:t>Item 2.02</w:t>
      </w:r>
      <w:r>
        <w:rPr>
          <w:sz w:val="20"/>
          <w:szCs w:val="20"/>
          <w:color w:val="auto"/>
        </w:rPr>
        <w:tab/>
      </w:r>
      <w:r>
        <w:rPr>
          <w:rFonts w:ascii="Arial" w:cs="Arial" w:eastAsia="Arial" w:hAnsi="Arial"/>
          <w:sz w:val="16"/>
          <w:szCs w:val="16"/>
          <w:b w:val="1"/>
          <w:bCs w:val="1"/>
          <w:color w:val="auto"/>
        </w:rPr>
        <w:t>Results of Operations and Financial Condition.</w:t>
      </w:r>
    </w:p>
    <w:p>
      <w:pPr>
        <w:spacing w:after="0" w:line="121" w:lineRule="exact"/>
        <w:rPr>
          <w:sz w:val="20"/>
          <w:szCs w:val="20"/>
          <w:color w:val="auto"/>
        </w:rPr>
      </w:pPr>
    </w:p>
    <w:p>
      <w:pPr>
        <w:ind w:right="40" w:firstLine="456"/>
        <w:spacing w:after="0" w:line="302" w:lineRule="auto"/>
        <w:rPr>
          <w:sz w:val="20"/>
          <w:szCs w:val="20"/>
          <w:color w:val="auto"/>
        </w:rPr>
      </w:pPr>
      <w:r>
        <w:rPr>
          <w:rFonts w:ascii="Arial" w:cs="Arial" w:eastAsia="Arial" w:hAnsi="Arial"/>
          <w:sz w:val="16"/>
          <w:szCs w:val="16"/>
          <w:i w:val="1"/>
          <w:iCs w:val="1"/>
          <w:color w:val="auto"/>
        </w:rPr>
        <w:t>The information in Item 2.02 of this Current Report, including the accompanying Exhibit 99.1, is being furnished and shall not be deemed “filed” for the purposes of Section 18 of the Securities Exchange Act of 1934, as amended (the “Exchange Act”), or otherwise subject to the liabilities of Section 18. The information in Item 2.02 of this Current Report shall not be incorporated by reference into any registration statement or other document filed pursuant to the Securities Act of 1933, as amended, or the Exchange Act, regardless of any general incorporation language contained in such filing.</w:t>
      </w:r>
    </w:p>
    <w:p>
      <w:pPr>
        <w:spacing w:after="0" w:line="154" w:lineRule="exact"/>
        <w:rPr>
          <w:sz w:val="20"/>
          <w:szCs w:val="20"/>
          <w:color w:val="auto"/>
        </w:rPr>
      </w:pPr>
    </w:p>
    <w:p>
      <w:pPr>
        <w:ind w:firstLine="456"/>
        <w:spacing w:after="0" w:line="342" w:lineRule="auto"/>
        <w:rPr>
          <w:sz w:val="20"/>
          <w:szCs w:val="20"/>
          <w:color w:val="auto"/>
        </w:rPr>
      </w:pPr>
      <w:r>
        <w:rPr>
          <w:rFonts w:ascii="Arial" w:cs="Arial" w:eastAsia="Arial" w:hAnsi="Arial"/>
          <w:sz w:val="16"/>
          <w:szCs w:val="16"/>
          <w:color w:val="auto"/>
        </w:rPr>
        <w:t>On November 17, 2016, Marvell Technology Group Ltd. (“Marvell” or the “Company”) issued a press release reporting its financial results for the third quarter of fiscal 2017 ended October 29, 2016. A copy of the press release is furnished herewith as Exhibit 99.1 and is incorporated by reference herein.</w:t>
      </w:r>
    </w:p>
    <w:p>
      <w:pPr>
        <w:spacing w:after="0" w:line="124" w:lineRule="exact"/>
        <w:rPr>
          <w:sz w:val="20"/>
          <w:szCs w:val="20"/>
          <w:color w:val="auto"/>
        </w:rPr>
      </w:pPr>
    </w:p>
    <w:p>
      <w:pPr>
        <w:ind w:right="60" w:firstLine="456"/>
        <w:spacing w:after="0" w:line="259" w:lineRule="auto"/>
        <w:rPr>
          <w:sz w:val="20"/>
          <w:szCs w:val="20"/>
          <w:color w:val="auto"/>
        </w:rPr>
      </w:pPr>
      <w:r>
        <w:rPr>
          <w:rFonts w:ascii="Arial" w:cs="Arial" w:eastAsia="Arial" w:hAnsi="Arial"/>
          <w:sz w:val="18"/>
          <w:szCs w:val="18"/>
          <w:color w:val="auto"/>
        </w:rPr>
        <w:t>Marvell will conduct a conference call on Thursday, November 17, 2016 at 1:45 p.m. Pacific Time to discuss results for the third quarter of fiscal year 2017. Interested parties may join the conference call by dialing 1-844-647-5488 or 1-615-247-0258, pass-code 11983150. The call will be webcast by Thomson Reuters and can be accessed at the Marvell Investor Relations website at http://investor.marvell.com/ with a replay available following the call until December 17, 2016.</w:t>
      </w:r>
    </w:p>
    <w:p>
      <w:pPr>
        <w:spacing w:after="0" w:line="331" w:lineRule="exact"/>
        <w:rPr>
          <w:sz w:val="20"/>
          <w:szCs w:val="20"/>
          <w:color w:val="auto"/>
        </w:rPr>
      </w:pPr>
    </w:p>
    <w:p>
      <w:pPr>
        <w:spacing w:after="0"/>
        <w:tabs>
          <w:tab w:leader="none" w:pos="1120" w:val="left"/>
        </w:tabs>
        <w:rPr>
          <w:sz w:val="20"/>
          <w:szCs w:val="20"/>
          <w:color w:val="auto"/>
        </w:rPr>
      </w:pPr>
      <w:r>
        <w:rPr>
          <w:rFonts w:ascii="Arial" w:cs="Arial" w:eastAsia="Arial" w:hAnsi="Arial"/>
          <w:sz w:val="18"/>
          <w:szCs w:val="18"/>
          <w:b w:val="1"/>
          <w:bCs w:val="1"/>
          <w:color w:val="auto"/>
        </w:rPr>
        <w:t>Item 8.01</w:t>
      </w:r>
      <w:r>
        <w:rPr>
          <w:sz w:val="20"/>
          <w:szCs w:val="20"/>
          <w:color w:val="auto"/>
        </w:rPr>
        <w:tab/>
      </w:r>
      <w:r>
        <w:rPr>
          <w:rFonts w:ascii="Arial" w:cs="Arial" w:eastAsia="Arial" w:hAnsi="Arial"/>
          <w:sz w:val="16"/>
          <w:szCs w:val="16"/>
          <w:b w:val="1"/>
          <w:bCs w:val="1"/>
          <w:color w:val="auto"/>
        </w:rPr>
        <w:t>Other Events.</w:t>
      </w:r>
    </w:p>
    <w:p>
      <w:pPr>
        <w:spacing w:after="0" w:line="121" w:lineRule="exact"/>
        <w:rPr>
          <w:sz w:val="20"/>
          <w:szCs w:val="20"/>
          <w:color w:val="auto"/>
        </w:rPr>
      </w:pPr>
    </w:p>
    <w:p>
      <w:pPr>
        <w:ind w:right="380" w:firstLine="456"/>
        <w:spacing w:after="0" w:line="277" w:lineRule="auto"/>
        <w:rPr>
          <w:sz w:val="20"/>
          <w:szCs w:val="20"/>
          <w:color w:val="auto"/>
        </w:rPr>
      </w:pPr>
      <w:r>
        <w:rPr>
          <w:rFonts w:ascii="Arial" w:cs="Arial" w:eastAsia="Arial" w:hAnsi="Arial"/>
          <w:sz w:val="18"/>
          <w:szCs w:val="18"/>
          <w:color w:val="auto"/>
        </w:rPr>
        <w:t>On November 15, 2016, the Company’s Board of Directors appointed director Dr. Randhir Thakur to the Company’s Audit Committee. Dr. Thakur joins directors Robert Switz (Chairman) and Michael Strachan on the Audit Committee, effective immediately.</w:t>
      </w:r>
    </w:p>
    <w:p>
      <w:pPr>
        <w:spacing w:after="0" w:line="170" w:lineRule="exact"/>
        <w:rPr>
          <w:sz w:val="20"/>
          <w:szCs w:val="20"/>
          <w:color w:val="auto"/>
        </w:rPr>
      </w:pPr>
    </w:p>
    <w:p>
      <w:pPr>
        <w:ind w:right="40" w:firstLine="456"/>
        <w:spacing w:after="0" w:line="291" w:lineRule="auto"/>
        <w:rPr>
          <w:sz w:val="20"/>
          <w:szCs w:val="20"/>
          <w:color w:val="auto"/>
        </w:rPr>
      </w:pPr>
      <w:r>
        <w:rPr>
          <w:rFonts w:ascii="Arial" w:cs="Arial" w:eastAsia="Arial" w:hAnsi="Arial"/>
          <w:sz w:val="16"/>
          <w:szCs w:val="16"/>
          <w:color w:val="auto"/>
        </w:rPr>
        <w:t>On November 17, 2016, the Company issued a press release announcing that the Company’s Board of Directors has authorized a $1 billion share repurchase plan. This newly authorized stock repurchase program replaces in its entirety the prior $3.25 billion stock repurchase program, which had approximately $115 million of repurchase authority remaining. The Company also announced that its Board of Directors had declared the payment of its quarterly dividend of $0.06 per share to be paid on December 28, 2016 to all shareholders of record as of December 6, 2016. A copy of the press release is furnished herewith as Exhibit 99.2 and is incorporated by reference herein. The payment of future quarterly cash dividends is subject to, among other things, the best interests of the Company and its shareholders, its results of operations, cash balances and future cash requirements, financial condition, developments in ongoing litigation, statutory requirements of Bermuda law, and other factors that the Board of Directors may deem relevant.</w:t>
      </w:r>
    </w:p>
    <w:p>
      <w:pPr>
        <w:spacing w:after="0" w:line="312" w:lineRule="exact"/>
        <w:rPr>
          <w:sz w:val="20"/>
          <w:szCs w:val="20"/>
          <w:color w:val="auto"/>
        </w:rPr>
      </w:pPr>
    </w:p>
    <w:p>
      <w:pPr>
        <w:spacing w:after="0"/>
        <w:tabs>
          <w:tab w:leader="none" w:pos="1120" w:val="left"/>
        </w:tabs>
        <w:rPr>
          <w:sz w:val="20"/>
          <w:szCs w:val="20"/>
          <w:color w:val="auto"/>
        </w:rPr>
      </w:pPr>
      <w:r>
        <w:rPr>
          <w:rFonts w:ascii="Arial" w:cs="Arial" w:eastAsia="Arial" w:hAnsi="Arial"/>
          <w:sz w:val="18"/>
          <w:szCs w:val="18"/>
          <w:b w:val="1"/>
          <w:bCs w:val="1"/>
          <w:color w:val="auto"/>
        </w:rPr>
        <w:t>Item 9.01</w:t>
      </w:r>
      <w:r>
        <w:rPr>
          <w:sz w:val="20"/>
          <w:szCs w:val="20"/>
          <w:color w:val="auto"/>
        </w:rPr>
        <w:tab/>
      </w:r>
      <w:r>
        <w:rPr>
          <w:rFonts w:ascii="Arial" w:cs="Arial" w:eastAsia="Arial" w:hAnsi="Arial"/>
          <w:sz w:val="16"/>
          <w:szCs w:val="16"/>
          <w:b w:val="1"/>
          <w:bCs w:val="1"/>
          <w:color w:val="auto"/>
        </w:rPr>
        <w:t>Financial Statements and Exhibits.</w:t>
      </w:r>
    </w:p>
    <w:p>
      <w:pPr>
        <w:spacing w:after="0" w:line="135" w:lineRule="exact"/>
        <w:rPr>
          <w:sz w:val="20"/>
          <w:szCs w:val="20"/>
          <w:color w:val="auto"/>
        </w:rPr>
      </w:pPr>
    </w:p>
    <w:p>
      <w:pPr>
        <w:ind w:left="900" w:hanging="446"/>
        <w:spacing w:after="0"/>
        <w:tabs>
          <w:tab w:leader="none" w:pos="900" w:val="left"/>
        </w:tabs>
        <w:numPr>
          <w:ilvl w:val="0"/>
          <w:numId w:val="2"/>
        </w:numPr>
        <w:rPr>
          <w:rFonts w:ascii="Arial" w:cs="Arial" w:eastAsia="Arial" w:hAnsi="Arial"/>
          <w:sz w:val="18"/>
          <w:szCs w:val="18"/>
          <w:color w:val="auto"/>
        </w:rPr>
      </w:pPr>
      <w:r>
        <w:rPr>
          <w:rFonts w:ascii="Arial" w:cs="Arial" w:eastAsia="Arial" w:hAnsi="Arial"/>
          <w:sz w:val="18"/>
          <w:szCs w:val="18"/>
          <w:color w:val="auto"/>
        </w:rPr>
        <w:t>Exhibits.</w:t>
      </w:r>
    </w:p>
    <w:p>
      <w:pPr>
        <w:spacing w:after="0" w:line="252" w:lineRule="exact"/>
        <w:rPr>
          <w:sz w:val="20"/>
          <w:szCs w:val="20"/>
          <w:color w:val="auto"/>
        </w:rPr>
      </w:pPr>
    </w:p>
    <w:p>
      <w:pPr>
        <w:spacing w:after="0"/>
        <w:tabs>
          <w:tab w:leader="none" w:pos="680" w:val="left"/>
        </w:tabs>
        <w:rPr>
          <w:sz w:val="20"/>
          <w:szCs w:val="20"/>
          <w:color w:val="auto"/>
        </w:rPr>
      </w:pPr>
      <w:r>
        <w:rPr>
          <w:rFonts w:ascii="Arial" w:cs="Arial" w:eastAsia="Arial" w:hAnsi="Arial"/>
          <w:sz w:val="18"/>
          <w:szCs w:val="18"/>
          <w:color w:val="auto"/>
        </w:rPr>
        <w:t>99.1</w:t>
      </w:r>
      <w:r>
        <w:rPr>
          <w:sz w:val="20"/>
          <w:szCs w:val="20"/>
          <w:color w:val="auto"/>
        </w:rPr>
        <w:tab/>
      </w:r>
      <w:r>
        <w:rPr>
          <w:rFonts w:ascii="Arial" w:cs="Arial" w:eastAsia="Arial" w:hAnsi="Arial"/>
          <w:sz w:val="16"/>
          <w:szCs w:val="16"/>
          <w:color w:val="auto"/>
        </w:rPr>
        <w:t>Press Release dated November 17, 2016, titled “Marvell Technology Group Ltd. Reports Third Quarter of Fiscal 2017 Financial Results”</w:t>
      </w:r>
    </w:p>
    <w:p>
      <w:pPr>
        <w:spacing w:after="0" w:line="117" w:lineRule="exact"/>
        <w:rPr>
          <w:sz w:val="20"/>
          <w:szCs w:val="20"/>
          <w:color w:val="auto"/>
        </w:rPr>
      </w:pPr>
    </w:p>
    <w:p>
      <w:pPr>
        <w:ind w:left="700" w:right="140" w:hanging="688"/>
        <w:spacing w:after="0" w:line="277" w:lineRule="auto"/>
        <w:tabs>
          <w:tab w:leader="none" w:pos="680" w:val="left"/>
        </w:tabs>
        <w:rPr>
          <w:sz w:val="20"/>
          <w:szCs w:val="20"/>
          <w:color w:val="auto"/>
        </w:rPr>
      </w:pPr>
      <w:r>
        <w:rPr>
          <w:rFonts w:ascii="Arial" w:cs="Arial" w:eastAsia="Arial" w:hAnsi="Arial"/>
          <w:sz w:val="18"/>
          <w:szCs w:val="18"/>
          <w:color w:val="auto"/>
        </w:rPr>
        <w:t>99.2</w:t>
      </w:r>
      <w:r>
        <w:rPr>
          <w:sz w:val="20"/>
          <w:szCs w:val="20"/>
          <w:color w:val="auto"/>
        </w:rPr>
        <w:tab/>
      </w:r>
      <w:r>
        <w:rPr>
          <w:rFonts w:ascii="Arial" w:cs="Arial" w:eastAsia="Arial" w:hAnsi="Arial"/>
          <w:sz w:val="18"/>
          <w:szCs w:val="18"/>
          <w:color w:val="auto"/>
        </w:rPr>
        <w:t>Press Release dated November 17, 2016, titled “Marvell Technology Group Ltd. Announces $1 Billion Share Repurchase Plan; Declares Quarterly Dividend Payment”</w:t>
      </w:r>
    </w:p>
    <w:p>
      <w:pPr>
        <w:spacing w:after="0" w:line="200" w:lineRule="exact"/>
        <w:rPr>
          <w:sz w:val="20"/>
          <w:szCs w:val="20"/>
          <w:color w:val="auto"/>
        </w:rPr>
      </w:pPr>
    </w:p>
    <w:p>
      <w:pPr>
        <w:spacing w:after="0" w:line="335"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2</w:t>
      </w:r>
    </w:p>
    <w:p>
      <w:pPr>
        <w:sectPr>
          <w:pgSz w:w="11900" w:h="16838" w:orient="portrait"/>
          <w:cols w:equalWidth="0" w:num="1">
            <w:col w:w="11420"/>
          </w:cols>
          <w:pgMar w:left="240" w:top="270" w:right="239" w:bottom="1440" w:gutter="0" w:footer="0" w:header="0"/>
        </w:sectPr>
      </w:pPr>
    </w:p>
    <w:bookmarkStart w:id="2" w:name="page3"/>
    <w:bookmarkEnd w:id="2"/>
    <w:p>
      <w:pPr>
        <w:jc w:val="center"/>
        <w:ind w:right="-19"/>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8">
                      <a:extLst>
                        <a:ext uri="{28A0092B-C50C-407E-A947-70E740481C1C}"/>
                      </a:extLst>
                    </a:blip>
                    <a:srcRect/>
                    <a:stretch>
                      <a:fillRect/>
                    </a:stretch>
                  </pic:blipFill>
                  <pic:spPr bwMode="auto">
                    <a:xfrm>
                      <a:off x="0" y="0"/>
                      <a:ext cx="7289165" cy="38735"/>
                    </a:xfrm>
                    <a:prstGeom prst="rect">
                      <a:avLst/>
                    </a:prstGeom>
                    <a:noFill/>
                  </pic:spPr>
                </pic:pic>
              </a:graphicData>
            </a:graphic>
          </wp:anchor>
        </w:drawing>
        <w:t>SIGNATURE</w:t>
      </w:r>
    </w:p>
    <w:p>
      <w:pPr>
        <w:spacing w:after="0" w:line="229" w:lineRule="exact"/>
        <w:rPr>
          <w:sz w:val="20"/>
          <w:szCs w:val="20"/>
          <w:color w:val="auto"/>
        </w:rPr>
      </w:pPr>
    </w:p>
    <w:p>
      <w:pPr>
        <w:ind w:firstLine="456"/>
        <w:spacing w:after="0" w:line="277" w:lineRule="auto"/>
        <w:rPr>
          <w:sz w:val="20"/>
          <w:szCs w:val="20"/>
          <w:color w:val="auto"/>
        </w:rPr>
      </w:pPr>
      <w:r>
        <w:rPr>
          <w:rFonts w:ascii="Arial" w:cs="Arial" w:eastAsia="Arial" w:hAnsi="Arial"/>
          <w:sz w:val="18"/>
          <w:szCs w:val="18"/>
          <w:color w:val="auto"/>
        </w:rPr>
        <w:t>Pursuant to the requirements of the Securities Exchange Act of 1934, as amended, the registrant has duly caused this report to be signed on its behalf by the undersigned hereunto duly authorized.</w:t>
      </w:r>
    </w:p>
    <w:p>
      <w:pPr>
        <w:spacing w:after="0" w:line="170" w:lineRule="exact"/>
        <w:rPr>
          <w:sz w:val="20"/>
          <w:szCs w:val="20"/>
          <w:color w:val="auto"/>
        </w:rPr>
      </w:pPr>
    </w:p>
    <w:p>
      <w:pPr>
        <w:ind w:left="460"/>
        <w:spacing w:after="0"/>
        <w:rPr>
          <w:sz w:val="20"/>
          <w:szCs w:val="20"/>
          <w:color w:val="auto"/>
        </w:rPr>
      </w:pPr>
      <w:r>
        <w:rPr>
          <w:rFonts w:ascii="Arial" w:cs="Arial" w:eastAsia="Arial" w:hAnsi="Arial"/>
          <w:sz w:val="18"/>
          <w:szCs w:val="18"/>
          <w:color w:val="auto"/>
        </w:rPr>
        <w:t>Dated: November 17, 2016</w:t>
      </w:r>
    </w:p>
    <w:p>
      <w:pPr>
        <w:spacing w:after="0" w:line="252" w:lineRule="exact"/>
        <w:rPr>
          <w:sz w:val="20"/>
          <w:szCs w:val="20"/>
          <w:color w:val="auto"/>
        </w:rPr>
      </w:pPr>
    </w:p>
    <w:p>
      <w:pPr>
        <w:ind w:left="6860"/>
        <w:spacing w:after="0"/>
        <w:rPr>
          <w:sz w:val="20"/>
          <w:szCs w:val="20"/>
          <w:color w:val="auto"/>
        </w:rPr>
      </w:pPr>
      <w:r>
        <w:rPr>
          <w:rFonts w:ascii="Arial" w:cs="Arial" w:eastAsia="Arial" w:hAnsi="Arial"/>
          <w:sz w:val="18"/>
          <w:szCs w:val="18"/>
          <w:color w:val="auto"/>
        </w:rPr>
        <w:t>MARVELL TECHNOLOGY GROUP LTD.</w:t>
      </w:r>
    </w:p>
    <w:p>
      <w:pPr>
        <w:spacing w:after="0" w:line="225" w:lineRule="exact"/>
        <w:rPr>
          <w:sz w:val="20"/>
          <w:szCs w:val="20"/>
          <w:color w:val="auto"/>
        </w:rPr>
      </w:pPr>
    </w:p>
    <w:p>
      <w:pPr>
        <w:ind w:left="6860"/>
        <w:spacing w:after="0"/>
        <w:tabs>
          <w:tab w:leader="none" w:pos="7520" w:val="left"/>
        </w:tabs>
        <w:rPr>
          <w:sz w:val="20"/>
          <w:szCs w:val="20"/>
          <w:color w:val="auto"/>
        </w:rPr>
      </w:pPr>
      <w:r>
        <w:rPr>
          <w:rFonts w:ascii="Arial" w:cs="Arial" w:eastAsia="Arial" w:hAnsi="Arial"/>
          <w:sz w:val="18"/>
          <w:szCs w:val="18"/>
          <w:color w:val="auto"/>
        </w:rPr>
        <w:t>By:</w:t>
      </w:r>
      <w:r>
        <w:rPr>
          <w:sz w:val="20"/>
          <w:szCs w:val="20"/>
          <w:color w:val="auto"/>
        </w:rPr>
        <w:tab/>
      </w:r>
      <w:r>
        <w:rPr>
          <w:rFonts w:ascii="Arial" w:cs="Arial" w:eastAsia="Arial" w:hAnsi="Arial"/>
          <w:sz w:val="18"/>
          <w:szCs w:val="18"/>
          <w:color w:val="auto"/>
        </w:rPr>
        <w:t>/s/ Jean Hu</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4558665</wp:posOffset>
            </wp:positionH>
            <wp:positionV relativeFrom="paragraph">
              <wp:posOffset>14605</wp:posOffset>
            </wp:positionV>
            <wp:extent cx="2693035" cy="8890"/>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9">
                      <a:extLst>
                        <a:ext uri="{28A0092B-C50C-407E-A947-70E740481C1C}"/>
                      </a:extLst>
                    </a:blip>
                    <a:srcRect/>
                    <a:stretch>
                      <a:fillRect/>
                    </a:stretch>
                  </pic:blipFill>
                  <pic:spPr bwMode="auto">
                    <a:xfrm>
                      <a:off x="0" y="0"/>
                      <a:ext cx="2693035" cy="8890"/>
                    </a:xfrm>
                    <a:prstGeom prst="rect">
                      <a:avLst/>
                    </a:prstGeom>
                    <a:noFill/>
                  </pic:spPr>
                </pic:pic>
              </a:graphicData>
            </a:graphic>
          </wp:anchor>
        </w:drawing>
      </w:r>
    </w:p>
    <w:p>
      <w:pPr>
        <w:spacing w:after="0" w:line="16" w:lineRule="exact"/>
        <w:rPr>
          <w:sz w:val="20"/>
          <w:szCs w:val="20"/>
          <w:color w:val="auto"/>
        </w:rPr>
      </w:pPr>
    </w:p>
    <w:p>
      <w:pPr>
        <w:ind w:left="7220"/>
        <w:spacing w:after="0"/>
        <w:rPr>
          <w:sz w:val="20"/>
          <w:szCs w:val="20"/>
          <w:color w:val="auto"/>
        </w:rPr>
      </w:pPr>
      <w:r>
        <w:rPr>
          <w:rFonts w:ascii="Arial" w:cs="Arial" w:eastAsia="Arial" w:hAnsi="Arial"/>
          <w:sz w:val="18"/>
          <w:szCs w:val="18"/>
          <w:color w:val="auto"/>
        </w:rPr>
        <w:t>Jean Hu</w:t>
      </w:r>
    </w:p>
    <w:p>
      <w:pPr>
        <w:spacing w:after="0" w:line="23" w:lineRule="exact"/>
        <w:rPr>
          <w:sz w:val="20"/>
          <w:szCs w:val="20"/>
          <w:color w:val="auto"/>
        </w:rPr>
      </w:pPr>
    </w:p>
    <w:p>
      <w:pPr>
        <w:ind w:left="7220"/>
        <w:spacing w:after="0"/>
        <w:rPr>
          <w:sz w:val="20"/>
          <w:szCs w:val="20"/>
          <w:color w:val="auto"/>
        </w:rPr>
      </w:pPr>
      <w:r>
        <w:rPr>
          <w:rFonts w:ascii="Arial" w:cs="Arial" w:eastAsia="Arial" w:hAnsi="Arial"/>
          <w:sz w:val="18"/>
          <w:szCs w:val="18"/>
          <w:i w:val="1"/>
          <w:iCs w:val="1"/>
          <w:color w:val="auto"/>
        </w:rPr>
        <w:t>Chief Financial Officer</w:t>
      </w:r>
    </w:p>
    <w:p>
      <w:pPr>
        <w:spacing w:after="0" w:line="143"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3</w:t>
      </w:r>
    </w:p>
    <w:p>
      <w:pPr>
        <w:sectPr>
          <w:pgSz w:w="11900" w:h="16838" w:orient="portrait"/>
          <w:cols w:equalWidth="0" w:num="1">
            <w:col w:w="11420"/>
          </w:cols>
          <w:pgMar w:left="240" w:top="270" w:right="239" w:bottom="1440" w:gutter="0" w:footer="0" w:header="0"/>
        </w:sectPr>
      </w:pPr>
    </w:p>
    <w:bookmarkStart w:id="3" w:name="page4"/>
    <w:bookmarkEnd w:id="3"/>
    <w:tbl>
      <w:tblPr>
        <w:tblLayout w:type="fixed"/>
        <w:tblInd w:w="0" w:type="dxa"/>
        <w:tblCellMar>
          <w:top w:w="0" w:type="dxa"/>
          <w:left w:w="0" w:type="dxa"/>
          <w:bottom w:w="0" w:type="dxa"/>
          <w:right w:w="0" w:type="dxa"/>
        </w:tblCellMar>
      </w:tblPr>
      <w:tr>
        <w:trPr>
          <w:trHeight w:val="234"/>
        </w:trPr>
        <w:tc>
          <w:tcPr>
            <w:tcW w:w="1060" w:type="dxa"/>
            <w:vAlign w:val="bottom"/>
          </w:tcPr>
          <w:p>
            <w:pPr>
              <w:spacing w:after="0"/>
              <w:rPr>
                <w:sz w:val="20"/>
                <w:szCs w:val="20"/>
                <w:color w:val="auto"/>
              </w:rPr>
            </w:pPr>
          </w:p>
        </w:tc>
        <w:tc>
          <w:tcPr>
            <w:tcW w:w="10280" w:type="dxa"/>
            <w:vAlign w:val="bottom"/>
          </w:tcPr>
          <w:p>
            <w:pPr>
              <w:ind w:left="3960"/>
              <w:spacing w:after="0"/>
              <w:rPr>
                <w:sz w:val="20"/>
                <w:szCs w:val="20"/>
                <w:color w:val="auto"/>
              </w:rPr>
            </w:pPr>
            <w:r>
              <w:rPr>
                <w:rFonts w:ascii="Arial" w:cs="Arial" w:eastAsia="Arial" w:hAnsi="Arial"/>
                <w:sz w:val="18"/>
                <w:szCs w:val="18"/>
                <w:b w:val="1"/>
                <w:bCs w:val="1"/>
                <w:color w:val="auto"/>
              </w:rPr>
              <w:t>EXHIBIT INDEX</w:t>
            </w:r>
          </w:p>
        </w:tc>
      </w:tr>
      <w:tr>
        <w:trPr>
          <w:trHeight w:val="407"/>
        </w:trPr>
        <w:tc>
          <w:tcPr>
            <w:tcW w:w="1060" w:type="dxa"/>
            <w:vAlign w:val="bottom"/>
          </w:tcPr>
          <w:p>
            <w:pPr>
              <w:ind w:left="20"/>
              <w:spacing w:after="0"/>
              <w:rPr>
                <w:sz w:val="20"/>
                <w:szCs w:val="20"/>
                <w:color w:val="auto"/>
              </w:rPr>
            </w:pPr>
            <w:r>
              <w:rPr>
                <w:rFonts w:ascii="Arial" w:cs="Arial" w:eastAsia="Arial" w:hAnsi="Arial"/>
                <w:sz w:val="14"/>
                <w:szCs w:val="14"/>
                <w:color w:val="auto"/>
              </w:rPr>
              <w:t>Exhibit No.</w:t>
            </w:r>
          </w:p>
        </w:tc>
        <w:tc>
          <w:tcPr>
            <w:tcW w:w="10280" w:type="dxa"/>
            <w:vAlign w:val="bottom"/>
          </w:tcPr>
          <w:p>
            <w:pPr>
              <w:ind w:left="5040"/>
              <w:spacing w:after="0"/>
              <w:rPr>
                <w:sz w:val="20"/>
                <w:szCs w:val="20"/>
                <w:color w:val="auto"/>
              </w:rPr>
            </w:pPr>
            <w:r>
              <w:rPr>
                <w:rFonts w:ascii="Arial" w:cs="Arial" w:eastAsia="Arial" w:hAnsi="Arial"/>
                <w:sz w:val="14"/>
                <w:szCs w:val="14"/>
                <w:color w:val="auto"/>
              </w:rPr>
              <w:t>Description</w:t>
            </w:r>
          </w:p>
        </w:tc>
      </w:tr>
      <w:tr>
        <w:trPr>
          <w:trHeight w:val="309"/>
        </w:trPr>
        <w:tc>
          <w:tcPr>
            <w:tcW w:w="1060" w:type="dxa"/>
            <w:vAlign w:val="bottom"/>
          </w:tcPr>
          <w:p>
            <w:pPr>
              <w:spacing w:after="0"/>
              <w:rPr>
                <w:sz w:val="20"/>
                <w:szCs w:val="20"/>
                <w:color w:val="auto"/>
              </w:rPr>
            </w:pPr>
            <w:r>
              <w:rPr>
                <w:rFonts w:ascii="Arial" w:cs="Arial" w:eastAsia="Arial" w:hAnsi="Arial"/>
                <w:sz w:val="18"/>
                <w:szCs w:val="18"/>
                <w:color w:val="auto"/>
              </w:rPr>
              <w:t>99.1</w:t>
            </w:r>
          </w:p>
        </w:tc>
        <w:tc>
          <w:tcPr>
            <w:tcW w:w="10280" w:type="dxa"/>
            <w:vAlign w:val="bottom"/>
          </w:tcPr>
          <w:p>
            <w:pPr>
              <w:ind w:left="400"/>
              <w:spacing w:after="0"/>
              <w:rPr>
                <w:sz w:val="20"/>
                <w:szCs w:val="20"/>
                <w:color w:val="auto"/>
              </w:rPr>
            </w:pPr>
            <w:r>
              <w:rPr>
                <w:rFonts w:ascii="Arial" w:cs="Arial" w:eastAsia="Arial" w:hAnsi="Arial"/>
                <w:sz w:val="18"/>
                <w:szCs w:val="18"/>
                <w:color w:val="auto"/>
                <w:w w:val="91"/>
              </w:rPr>
              <w:t>Press Release dated November 17, 2016, titled “Marvell Technology Group Ltd. Reports Third Quarter of Fiscal 2017 Financial Results”</w:t>
            </w:r>
          </w:p>
        </w:tc>
      </w:tr>
      <w:tr>
        <w:trPr>
          <w:trHeight w:val="310"/>
        </w:trPr>
        <w:tc>
          <w:tcPr>
            <w:tcW w:w="1060" w:type="dxa"/>
            <w:vAlign w:val="bottom"/>
          </w:tcPr>
          <w:p>
            <w:pPr>
              <w:spacing w:after="0"/>
              <w:rPr>
                <w:sz w:val="20"/>
                <w:szCs w:val="20"/>
                <w:color w:val="auto"/>
              </w:rPr>
            </w:pPr>
            <w:r>
              <w:rPr>
                <w:rFonts w:ascii="Arial" w:cs="Arial" w:eastAsia="Arial" w:hAnsi="Arial"/>
                <w:sz w:val="18"/>
                <w:szCs w:val="18"/>
                <w:color w:val="auto"/>
              </w:rPr>
              <w:t>99.2</w:t>
            </w:r>
          </w:p>
        </w:tc>
        <w:tc>
          <w:tcPr>
            <w:tcW w:w="10280" w:type="dxa"/>
            <w:vAlign w:val="bottom"/>
          </w:tcPr>
          <w:p>
            <w:pPr>
              <w:ind w:left="400"/>
              <w:spacing w:after="0"/>
              <w:rPr>
                <w:sz w:val="20"/>
                <w:szCs w:val="20"/>
                <w:color w:val="auto"/>
              </w:rPr>
            </w:pPr>
            <w:r>
              <w:rPr>
                <w:rFonts w:ascii="Arial" w:cs="Arial" w:eastAsia="Arial" w:hAnsi="Arial"/>
                <w:sz w:val="18"/>
                <w:szCs w:val="18"/>
                <w:color w:val="auto"/>
                <w:w w:val="90"/>
              </w:rPr>
              <w:t>Press Release dated November 17, 2016, titled “Marvell Technology Group Ltd. Announces $1 Billion Share Repurchase Plan; Declares</w:t>
            </w:r>
          </w:p>
        </w:tc>
      </w:tr>
      <w:tr>
        <w:trPr>
          <w:trHeight w:val="230"/>
        </w:trPr>
        <w:tc>
          <w:tcPr>
            <w:tcW w:w="1060" w:type="dxa"/>
            <w:vAlign w:val="bottom"/>
          </w:tcPr>
          <w:p>
            <w:pPr>
              <w:spacing w:after="0"/>
              <w:rPr>
                <w:sz w:val="20"/>
                <w:szCs w:val="20"/>
                <w:color w:val="auto"/>
              </w:rPr>
            </w:pPr>
          </w:p>
        </w:tc>
        <w:tc>
          <w:tcPr>
            <w:tcW w:w="10280" w:type="dxa"/>
            <w:vAlign w:val="bottom"/>
          </w:tcPr>
          <w:p>
            <w:pPr>
              <w:ind w:left="400"/>
              <w:spacing w:after="0"/>
              <w:rPr>
                <w:sz w:val="20"/>
                <w:szCs w:val="20"/>
                <w:color w:val="auto"/>
              </w:rPr>
            </w:pPr>
            <w:r>
              <w:rPr>
                <w:rFonts w:ascii="Arial" w:cs="Arial" w:eastAsia="Arial" w:hAnsi="Arial"/>
                <w:sz w:val="18"/>
                <w:szCs w:val="18"/>
                <w:color w:val="auto"/>
              </w:rPr>
              <w:t>Quarterly Dividend Payment”</w:t>
            </w:r>
          </w:p>
        </w:tc>
      </w:tr>
    </w:tbl>
    <w:p>
      <w:pPr>
        <w:ind w:left="400"/>
        <w:spacing w:after="0"/>
        <w:rPr>
          <w:sz w:val="20"/>
          <w:szCs w:val="20"/>
          <w:color w:val="auto"/>
        </w:rPr>
        <w:sectPr>
          <w:pgSz w:w="11900" w:h="16838" w:orient="portrait"/>
          <w:cols w:equalWidth="0" w:num="1">
            <w:col w:w="11340"/>
          </w:cols>
          <w:pgMar w:left="240" w:top="270" w:right="319" w:bottom="1440" w:gutter="0" w:footer="0" w:header="0"/>
        </w:sectPr>
      </w:pPr>
      <w:r>
        <w:rPr>
          <w:sz w:val="20"/>
          <w:szCs w:val="20"/>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0">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p>
    <w:bookmarkStart w:id="4" w:name="page5"/>
    <w:bookmarkEnd w:id="4"/>
    <w:p>
      <w:pPr>
        <w:jc w:val="right"/>
        <w:spacing w:after="0"/>
        <w:rPr>
          <w:sz w:val="20"/>
          <w:szCs w:val="20"/>
          <w:color w:val="auto"/>
        </w:rPr>
      </w:pPr>
      <w:r>
        <w:rPr>
          <w:rFonts w:ascii="Arial" w:cs="Arial" w:eastAsia="Arial" w:hAnsi="Arial"/>
          <w:sz w:val="18"/>
          <w:szCs w:val="18"/>
          <w:b w:val="1"/>
          <w:bCs w:val="1"/>
          <w:color w:val="auto"/>
        </w:rPr>
        <w:t>Exhibit 99.1</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5459095</wp:posOffset>
            </wp:positionH>
            <wp:positionV relativeFrom="paragraph">
              <wp:posOffset>172085</wp:posOffset>
            </wp:positionV>
            <wp:extent cx="1792605" cy="137160"/>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1">
                      <a:extLst>
                        <a:ext uri="{28A0092B-C50C-407E-A947-70E740481C1C}"/>
                      </a:extLst>
                    </a:blip>
                    <a:srcRect/>
                    <a:stretch>
                      <a:fillRect/>
                    </a:stretch>
                  </pic:blipFill>
                  <pic:spPr bwMode="auto">
                    <a:xfrm>
                      <a:off x="0" y="0"/>
                      <a:ext cx="1792605" cy="13716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64"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For further information, contact:</w:t>
      </w:r>
    </w:p>
    <w:p>
      <w:pPr>
        <w:spacing w:after="0" w:line="27" w:lineRule="exact"/>
        <w:rPr>
          <w:sz w:val="20"/>
          <w:szCs w:val="20"/>
          <w:color w:val="auto"/>
        </w:rPr>
      </w:pPr>
    </w:p>
    <w:p>
      <w:pPr>
        <w:spacing w:after="0"/>
        <w:rPr>
          <w:sz w:val="20"/>
          <w:szCs w:val="20"/>
          <w:color w:val="auto"/>
        </w:rPr>
      </w:pPr>
      <w:r>
        <w:rPr>
          <w:rFonts w:ascii="Arial" w:cs="Arial" w:eastAsia="Arial" w:hAnsi="Arial"/>
          <w:sz w:val="18"/>
          <w:szCs w:val="18"/>
          <w:color w:val="auto"/>
        </w:rPr>
        <w:t>John Spencer Ahn</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Investor Relations</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408-222-7544</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u w:val="single" w:color="auto"/>
          <w:color w:val="auto"/>
        </w:rPr>
        <w:t>johnahn@marvell.com</w:t>
      </w:r>
    </w:p>
    <w:p>
      <w:pPr>
        <w:spacing w:after="0" w:line="200" w:lineRule="exact"/>
        <w:rPr>
          <w:sz w:val="20"/>
          <w:szCs w:val="20"/>
          <w:color w:val="auto"/>
        </w:rPr>
      </w:pPr>
    </w:p>
    <w:p>
      <w:pPr>
        <w:spacing w:after="0" w:line="223"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Marvell Technology Group Ltd. Reports Third Quarter of Fiscal 2017</w:t>
      </w:r>
    </w:p>
    <w:p>
      <w:pPr>
        <w:spacing w:after="0" w:line="27"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Financial Results</w:t>
      </w:r>
    </w:p>
    <w:p>
      <w:pPr>
        <w:spacing w:after="0" w:line="116" w:lineRule="exact"/>
        <w:rPr>
          <w:sz w:val="20"/>
          <w:szCs w:val="20"/>
          <w:color w:val="auto"/>
        </w:rPr>
      </w:pPr>
    </w:p>
    <w:p>
      <w:pPr>
        <w:ind w:left="900" w:hanging="325"/>
        <w:spacing w:after="0"/>
        <w:tabs>
          <w:tab w:leader="none" w:pos="900" w:val="left"/>
        </w:tabs>
        <w:numPr>
          <w:ilvl w:val="0"/>
          <w:numId w:val="3"/>
        </w:numPr>
        <w:rPr>
          <w:rFonts w:ascii="Arial" w:cs="Arial" w:eastAsia="Arial" w:hAnsi="Arial"/>
          <w:sz w:val="18"/>
          <w:szCs w:val="18"/>
          <w:color w:val="auto"/>
        </w:rPr>
      </w:pPr>
      <w:r>
        <w:rPr>
          <w:rFonts w:ascii="Arial" w:cs="Arial" w:eastAsia="Arial" w:hAnsi="Arial"/>
          <w:sz w:val="18"/>
          <w:szCs w:val="18"/>
          <w:color w:val="auto"/>
        </w:rPr>
        <w:t>Revenue: $654 Million</w:t>
      </w:r>
    </w:p>
    <w:p>
      <w:pPr>
        <w:spacing w:after="0" w:line="130" w:lineRule="exact"/>
        <w:rPr>
          <w:rFonts w:ascii="Arial" w:cs="Arial" w:eastAsia="Arial" w:hAnsi="Arial"/>
          <w:sz w:val="18"/>
          <w:szCs w:val="18"/>
          <w:color w:val="auto"/>
        </w:rPr>
      </w:pPr>
    </w:p>
    <w:p>
      <w:pPr>
        <w:ind w:left="900" w:hanging="325"/>
        <w:spacing w:after="0"/>
        <w:tabs>
          <w:tab w:leader="none" w:pos="900" w:val="left"/>
        </w:tabs>
        <w:numPr>
          <w:ilvl w:val="0"/>
          <w:numId w:val="3"/>
        </w:numPr>
        <w:rPr>
          <w:rFonts w:ascii="Arial" w:cs="Arial" w:eastAsia="Arial" w:hAnsi="Arial"/>
          <w:sz w:val="18"/>
          <w:szCs w:val="18"/>
          <w:color w:val="auto"/>
        </w:rPr>
      </w:pPr>
      <w:r>
        <w:rPr>
          <w:rFonts w:ascii="Arial" w:cs="Arial" w:eastAsia="Arial" w:hAnsi="Arial"/>
          <w:sz w:val="18"/>
          <w:szCs w:val="18"/>
          <w:color w:val="auto"/>
        </w:rPr>
        <w:t>GAAP Gross Margin 56.3%; Non-GAAP Gross Margin 56.7%</w:t>
      </w:r>
    </w:p>
    <w:p>
      <w:pPr>
        <w:spacing w:after="0" w:line="130" w:lineRule="exact"/>
        <w:rPr>
          <w:rFonts w:ascii="Arial" w:cs="Arial" w:eastAsia="Arial" w:hAnsi="Arial"/>
          <w:sz w:val="18"/>
          <w:szCs w:val="18"/>
          <w:color w:val="auto"/>
        </w:rPr>
      </w:pPr>
    </w:p>
    <w:p>
      <w:pPr>
        <w:ind w:left="900" w:hanging="325"/>
        <w:spacing w:after="0"/>
        <w:tabs>
          <w:tab w:leader="none" w:pos="900" w:val="left"/>
        </w:tabs>
        <w:numPr>
          <w:ilvl w:val="0"/>
          <w:numId w:val="3"/>
        </w:numPr>
        <w:rPr>
          <w:rFonts w:ascii="Arial" w:cs="Arial" w:eastAsia="Arial" w:hAnsi="Arial"/>
          <w:sz w:val="18"/>
          <w:szCs w:val="18"/>
          <w:color w:val="auto"/>
        </w:rPr>
      </w:pPr>
      <w:r>
        <w:rPr>
          <w:rFonts w:ascii="Arial" w:cs="Arial" w:eastAsia="Arial" w:hAnsi="Arial"/>
          <w:sz w:val="18"/>
          <w:szCs w:val="18"/>
          <w:color w:val="auto"/>
        </w:rPr>
        <w:t>GAAP Net Income $73 Million; Non-GAAP Net Income: $105 Million</w:t>
      </w:r>
    </w:p>
    <w:p>
      <w:pPr>
        <w:spacing w:after="0" w:line="130" w:lineRule="exact"/>
        <w:rPr>
          <w:rFonts w:ascii="Arial" w:cs="Arial" w:eastAsia="Arial" w:hAnsi="Arial"/>
          <w:sz w:val="18"/>
          <w:szCs w:val="18"/>
          <w:color w:val="auto"/>
        </w:rPr>
      </w:pPr>
    </w:p>
    <w:p>
      <w:pPr>
        <w:ind w:left="900" w:hanging="325"/>
        <w:spacing w:after="0"/>
        <w:tabs>
          <w:tab w:leader="none" w:pos="900" w:val="left"/>
        </w:tabs>
        <w:numPr>
          <w:ilvl w:val="0"/>
          <w:numId w:val="3"/>
        </w:numPr>
        <w:rPr>
          <w:rFonts w:ascii="Arial" w:cs="Arial" w:eastAsia="Arial" w:hAnsi="Arial"/>
          <w:sz w:val="18"/>
          <w:szCs w:val="18"/>
          <w:color w:val="auto"/>
        </w:rPr>
      </w:pPr>
      <w:r>
        <w:rPr>
          <w:rFonts w:ascii="Arial" w:cs="Arial" w:eastAsia="Arial" w:hAnsi="Arial"/>
          <w:sz w:val="18"/>
          <w:szCs w:val="18"/>
          <w:color w:val="auto"/>
        </w:rPr>
        <w:t>GAAP Diluted EPS: $0.14; Non-GAAP Diluted EPS $0.20</w:t>
      </w:r>
    </w:p>
    <w:p>
      <w:pPr>
        <w:spacing w:after="0" w:line="130" w:lineRule="exact"/>
        <w:rPr>
          <w:rFonts w:ascii="Arial" w:cs="Arial" w:eastAsia="Arial" w:hAnsi="Arial"/>
          <w:sz w:val="18"/>
          <w:szCs w:val="18"/>
          <w:color w:val="auto"/>
        </w:rPr>
      </w:pPr>
    </w:p>
    <w:p>
      <w:pPr>
        <w:ind w:left="900" w:hanging="325"/>
        <w:spacing w:after="0"/>
        <w:tabs>
          <w:tab w:leader="none" w:pos="900" w:val="left"/>
        </w:tabs>
        <w:numPr>
          <w:ilvl w:val="0"/>
          <w:numId w:val="3"/>
        </w:numPr>
        <w:rPr>
          <w:rFonts w:ascii="Arial" w:cs="Arial" w:eastAsia="Arial" w:hAnsi="Arial"/>
          <w:sz w:val="18"/>
          <w:szCs w:val="18"/>
          <w:color w:val="auto"/>
        </w:rPr>
      </w:pPr>
      <w:r>
        <w:rPr>
          <w:rFonts w:ascii="Arial" w:cs="Arial" w:eastAsia="Arial" w:hAnsi="Arial"/>
          <w:sz w:val="18"/>
          <w:szCs w:val="18"/>
          <w:color w:val="auto"/>
        </w:rPr>
        <w:t>Cash and ST Investments: $1.65 Billion</w:t>
      </w:r>
    </w:p>
    <w:p>
      <w:pPr>
        <w:spacing w:after="0" w:line="221" w:lineRule="exact"/>
        <w:rPr>
          <w:sz w:val="20"/>
          <w:szCs w:val="20"/>
          <w:color w:val="auto"/>
        </w:rPr>
      </w:pPr>
    </w:p>
    <w:p>
      <w:pPr>
        <w:ind w:right="140"/>
        <w:spacing w:after="0" w:line="266" w:lineRule="auto"/>
        <w:rPr>
          <w:sz w:val="20"/>
          <w:szCs w:val="20"/>
          <w:color w:val="auto"/>
        </w:rPr>
      </w:pPr>
      <w:r>
        <w:rPr>
          <w:rFonts w:ascii="Arial" w:cs="Arial" w:eastAsia="Arial" w:hAnsi="Arial"/>
          <w:sz w:val="18"/>
          <w:szCs w:val="18"/>
          <w:b w:val="1"/>
          <w:bCs w:val="1"/>
          <w:color w:val="auto"/>
        </w:rPr>
        <w:t xml:space="preserve">Santa Clara, Calif. (November 17, 2016) </w:t>
      </w:r>
      <w:r>
        <w:rPr>
          <w:rFonts w:ascii="Arial" w:cs="Arial" w:eastAsia="Arial" w:hAnsi="Arial"/>
          <w:sz w:val="18"/>
          <w:szCs w:val="18"/>
          <w:color w:val="auto"/>
        </w:rPr>
        <w:t>— Marvell Technology Group Ltd. (NASDAQ: MRVL), a leader in storage, networking, and connectivity</w:t>
      </w:r>
      <w:r>
        <w:rPr>
          <w:rFonts w:ascii="Arial" w:cs="Arial" w:eastAsia="Arial" w:hAnsi="Arial"/>
          <w:sz w:val="18"/>
          <w:szCs w:val="18"/>
          <w:b w:val="1"/>
          <w:bCs w:val="1"/>
          <w:color w:val="auto"/>
        </w:rPr>
        <w:t xml:space="preserve"> </w:t>
      </w:r>
      <w:r>
        <w:rPr>
          <w:rFonts w:ascii="Arial" w:cs="Arial" w:eastAsia="Arial" w:hAnsi="Arial"/>
          <w:sz w:val="18"/>
          <w:szCs w:val="18"/>
          <w:color w:val="auto"/>
        </w:rPr>
        <w:t>semiconductor solutions, today reported financial results for the third quarter of fiscal 2017, ended October 29, 2016. Revenues for the third quarter of fiscal 2017 were $654 million which exceeded the Company’s guidance provided on September 6, 2016.</w:t>
      </w:r>
    </w:p>
    <w:p>
      <w:pPr>
        <w:spacing w:after="0" w:line="180" w:lineRule="exact"/>
        <w:rPr>
          <w:sz w:val="20"/>
          <w:szCs w:val="20"/>
          <w:color w:val="auto"/>
        </w:rPr>
      </w:pPr>
    </w:p>
    <w:p>
      <w:pPr>
        <w:ind w:right="60"/>
        <w:spacing w:after="0" w:line="277" w:lineRule="auto"/>
        <w:rPr>
          <w:sz w:val="20"/>
          <w:szCs w:val="20"/>
          <w:color w:val="auto"/>
        </w:rPr>
      </w:pPr>
      <w:r>
        <w:rPr>
          <w:rFonts w:ascii="Arial" w:cs="Arial" w:eastAsia="Arial" w:hAnsi="Arial"/>
          <w:sz w:val="18"/>
          <w:szCs w:val="18"/>
          <w:color w:val="auto"/>
        </w:rPr>
        <w:t>GAAP net income for the third quarter of fiscal 2017 was $73 million, or $0.14 per share (diluted). Non-GAAP net income for the third quarter of fiscal 2017 was $105 million, or $0.20 per share (diluted). Cash flow from operations for the quarter was $121 million.</w:t>
      </w:r>
    </w:p>
    <w:p>
      <w:pPr>
        <w:spacing w:after="0" w:line="170" w:lineRule="exact"/>
        <w:rPr>
          <w:sz w:val="20"/>
          <w:szCs w:val="20"/>
          <w:color w:val="auto"/>
        </w:rPr>
      </w:pPr>
    </w:p>
    <w:p>
      <w:pPr>
        <w:ind w:right="20"/>
        <w:spacing w:after="0" w:line="308" w:lineRule="auto"/>
        <w:rPr>
          <w:sz w:val="20"/>
          <w:szCs w:val="20"/>
          <w:color w:val="auto"/>
        </w:rPr>
      </w:pPr>
      <w:r>
        <w:rPr>
          <w:rFonts w:ascii="Arial" w:cs="Arial" w:eastAsia="Arial" w:hAnsi="Arial"/>
          <w:sz w:val="17"/>
          <w:szCs w:val="17"/>
          <w:color w:val="auto"/>
        </w:rPr>
        <w:t>“Marvell delivered strong financial performance in Q3,” said Matt Murphy, President and Chief Executive Officer. “Our core businesses performed very well, with data storage and network infrastructure growing double digits year-over-year. I’m very pleased with the performance of our team.”</w:t>
      </w:r>
    </w:p>
    <w:p>
      <w:pPr>
        <w:spacing w:after="0" w:line="251"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Fourth Quarter of Fiscal 2017 Financial Outlook</w:t>
      </w:r>
    </w:p>
    <w:p>
      <w:pPr>
        <w:spacing w:after="0" w:line="121" w:lineRule="exact"/>
        <w:rPr>
          <w:sz w:val="20"/>
          <w:szCs w:val="20"/>
          <w:color w:val="auto"/>
        </w:rPr>
      </w:pPr>
    </w:p>
    <w:p>
      <w:pPr>
        <w:spacing w:after="0" w:line="276" w:lineRule="auto"/>
        <w:rPr>
          <w:sz w:val="20"/>
          <w:szCs w:val="20"/>
          <w:color w:val="auto"/>
        </w:rPr>
      </w:pPr>
      <w:r>
        <w:rPr>
          <w:rFonts w:ascii="Arial" w:cs="Arial" w:eastAsia="Arial" w:hAnsi="Arial"/>
          <w:sz w:val="17"/>
          <w:szCs w:val="17"/>
          <w:color w:val="auto"/>
        </w:rPr>
        <w:t>On November 2, 2016, Marvell announced restructuring actions to drive growth and improve profitability. These actions are expected to be fully implemented by the end of October 2017 and are expected to lower annual operating expenses from a current annualized run rate of $1.08 billion to the $820-840 million range. As a result of these actions, the Company expects to incur charges of $90 million to $110 million over the next four quarters, including cash charges of $35 million to $50 million. Restructuring and restructuring-related charges include an estimate of severance, asset impairment, lease termination fees, and other costs. We expect to incur a portion of these charges in the fourth quarter of fiscal 2017.</w:t>
      </w:r>
    </w:p>
    <w:p>
      <w:pPr>
        <w:sectPr>
          <w:pgSz w:w="11900" w:h="16838" w:orient="portrait"/>
          <w:cols w:equalWidth="0" w:num="1">
            <w:col w:w="11420"/>
          </w:cols>
          <w:pgMar w:left="240" w:top="121" w:right="239" w:bottom="1440" w:gutter="0" w:footer="0" w:header="0"/>
        </w:sectPr>
      </w:pPr>
    </w:p>
    <w:bookmarkStart w:id="5" w:name="page6"/>
    <w:bookmarkEnd w:id="5"/>
    <w:p>
      <w:pPr>
        <w:spacing w:after="0" w:line="279" w:lineRule="auto"/>
        <w:rPr>
          <w:sz w:val="20"/>
          <w:szCs w:val="20"/>
          <w:color w:val="auto"/>
        </w:rPr>
      </w:pPr>
      <w:r>
        <w:rPr>
          <w:rFonts w:ascii="Arial" w:cs="Arial" w:eastAsia="Arial" w:hAnsi="Arial"/>
          <w:sz w:val="17"/>
          <w:szCs w:val="17"/>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2">
                      <a:extLst>
                        <a:ext uri="{28A0092B-C50C-407E-A947-70E740481C1C}"/>
                      </a:extLst>
                    </a:blip>
                    <a:srcRect/>
                    <a:stretch>
                      <a:fillRect/>
                    </a:stretch>
                  </pic:blipFill>
                  <pic:spPr bwMode="auto">
                    <a:xfrm>
                      <a:off x="0" y="0"/>
                      <a:ext cx="7289165" cy="38735"/>
                    </a:xfrm>
                    <a:prstGeom prst="rect">
                      <a:avLst/>
                    </a:prstGeom>
                    <a:noFill/>
                  </pic:spPr>
                </pic:pic>
              </a:graphicData>
            </a:graphic>
          </wp:anchor>
        </w:drawing>
        <w:t>Marvell’s fourth quarter of fiscal 2017 financial outlook also excludes the estimated results of certain non-strategic businesses that have a first half of fiscal 2017 annualized run rate of approximately $100 million in revenue and $60 million in operating expenses. These businesses will be classified as discontinued operations beginning in the fourth quarter of fiscal 2017. In addition, Marvell’s financial outlook does not include the potential impact of certain items such as share repurchases, acquisitions or divestitures, or further restructuring activities that may be completed after November 16, 2016.</w:t>
      </w:r>
    </w:p>
    <w:p>
      <w:pPr>
        <w:spacing w:after="0" w:line="77" w:lineRule="exact"/>
        <w:rPr>
          <w:sz w:val="20"/>
          <w:szCs w:val="20"/>
          <w:color w:val="auto"/>
        </w:rPr>
      </w:pPr>
    </w:p>
    <w:p>
      <w:pPr>
        <w:ind w:left="900" w:hanging="325"/>
        <w:spacing w:after="0"/>
        <w:tabs>
          <w:tab w:leader="none" w:pos="900" w:val="left"/>
        </w:tabs>
        <w:numPr>
          <w:ilvl w:val="0"/>
          <w:numId w:val="4"/>
        </w:numPr>
        <w:rPr>
          <w:rFonts w:ascii="Arial" w:cs="Arial" w:eastAsia="Arial" w:hAnsi="Arial"/>
          <w:sz w:val="18"/>
          <w:szCs w:val="18"/>
          <w:color w:val="auto"/>
        </w:rPr>
      </w:pPr>
      <w:r>
        <w:rPr>
          <w:rFonts w:ascii="Arial" w:cs="Arial" w:eastAsia="Arial" w:hAnsi="Arial"/>
          <w:sz w:val="18"/>
          <w:szCs w:val="18"/>
          <w:color w:val="auto"/>
        </w:rPr>
        <w:t>Revenue is expected to be $565 million plus or minus 2%, excluding discontinued operations and reflecting normal seasonality.</w:t>
      </w:r>
    </w:p>
    <w:p>
      <w:pPr>
        <w:spacing w:after="0" w:line="130" w:lineRule="exact"/>
        <w:rPr>
          <w:rFonts w:ascii="Arial" w:cs="Arial" w:eastAsia="Arial" w:hAnsi="Arial"/>
          <w:sz w:val="18"/>
          <w:szCs w:val="18"/>
          <w:color w:val="auto"/>
        </w:rPr>
      </w:pPr>
    </w:p>
    <w:p>
      <w:pPr>
        <w:ind w:left="900" w:hanging="325"/>
        <w:spacing w:after="0"/>
        <w:tabs>
          <w:tab w:leader="none" w:pos="900" w:val="left"/>
        </w:tabs>
        <w:numPr>
          <w:ilvl w:val="0"/>
          <w:numId w:val="4"/>
        </w:numPr>
        <w:rPr>
          <w:rFonts w:ascii="Arial" w:cs="Arial" w:eastAsia="Arial" w:hAnsi="Arial"/>
          <w:sz w:val="18"/>
          <w:szCs w:val="18"/>
          <w:color w:val="auto"/>
        </w:rPr>
      </w:pPr>
      <w:r>
        <w:rPr>
          <w:rFonts w:ascii="Arial" w:cs="Arial" w:eastAsia="Arial" w:hAnsi="Arial"/>
          <w:sz w:val="18"/>
          <w:szCs w:val="18"/>
          <w:color w:val="auto"/>
        </w:rPr>
        <w:t>GAAP and Non-GAAP Gross Margins are expected to be in the range of 57% to 58%.</w:t>
      </w:r>
    </w:p>
    <w:p>
      <w:pPr>
        <w:spacing w:after="0" w:line="130" w:lineRule="exact"/>
        <w:rPr>
          <w:rFonts w:ascii="Arial" w:cs="Arial" w:eastAsia="Arial" w:hAnsi="Arial"/>
          <w:sz w:val="18"/>
          <w:szCs w:val="18"/>
          <w:color w:val="auto"/>
        </w:rPr>
      </w:pPr>
    </w:p>
    <w:p>
      <w:pPr>
        <w:ind w:left="900" w:right="480" w:hanging="325"/>
        <w:spacing w:after="0" w:line="277" w:lineRule="auto"/>
        <w:tabs>
          <w:tab w:leader="none" w:pos="900" w:val="left"/>
        </w:tabs>
        <w:numPr>
          <w:ilvl w:val="0"/>
          <w:numId w:val="4"/>
        </w:numPr>
        <w:rPr>
          <w:rFonts w:ascii="Arial" w:cs="Arial" w:eastAsia="Arial" w:hAnsi="Arial"/>
          <w:sz w:val="18"/>
          <w:szCs w:val="18"/>
          <w:color w:val="auto"/>
        </w:rPr>
      </w:pPr>
      <w:r>
        <w:rPr>
          <w:rFonts w:ascii="Arial" w:cs="Arial" w:eastAsia="Arial" w:hAnsi="Arial"/>
          <w:sz w:val="18"/>
          <w:szCs w:val="18"/>
          <w:color w:val="auto"/>
        </w:rPr>
        <w:t>GAAP Operating Expenses are expected to be $322 million to $332 million, which includes part of the restructuring charges announced on November 2, 2016.</w:t>
      </w:r>
    </w:p>
    <w:p>
      <w:pPr>
        <w:spacing w:after="0" w:line="75" w:lineRule="exact"/>
        <w:rPr>
          <w:rFonts w:ascii="Arial" w:cs="Arial" w:eastAsia="Arial" w:hAnsi="Arial"/>
          <w:sz w:val="18"/>
          <w:szCs w:val="18"/>
          <w:color w:val="auto"/>
        </w:rPr>
      </w:pPr>
    </w:p>
    <w:p>
      <w:pPr>
        <w:ind w:left="900" w:hanging="325"/>
        <w:spacing w:after="0"/>
        <w:tabs>
          <w:tab w:leader="none" w:pos="900" w:val="left"/>
        </w:tabs>
        <w:numPr>
          <w:ilvl w:val="0"/>
          <w:numId w:val="4"/>
        </w:numPr>
        <w:rPr>
          <w:rFonts w:ascii="Arial" w:cs="Arial" w:eastAsia="Arial" w:hAnsi="Arial"/>
          <w:sz w:val="18"/>
          <w:szCs w:val="18"/>
          <w:color w:val="auto"/>
        </w:rPr>
      </w:pPr>
      <w:r>
        <w:rPr>
          <w:rFonts w:ascii="Arial" w:cs="Arial" w:eastAsia="Arial" w:hAnsi="Arial"/>
          <w:sz w:val="18"/>
          <w:szCs w:val="18"/>
          <w:color w:val="auto"/>
        </w:rPr>
        <w:t>Non-GAAP Operating Expenses are expected to be $225 million to $235 million.</w:t>
      </w:r>
    </w:p>
    <w:p>
      <w:pPr>
        <w:spacing w:after="0" w:line="130" w:lineRule="exact"/>
        <w:rPr>
          <w:rFonts w:ascii="Arial" w:cs="Arial" w:eastAsia="Arial" w:hAnsi="Arial"/>
          <w:sz w:val="18"/>
          <w:szCs w:val="18"/>
          <w:color w:val="auto"/>
        </w:rPr>
      </w:pPr>
    </w:p>
    <w:p>
      <w:pPr>
        <w:ind w:left="900" w:hanging="325"/>
        <w:spacing w:after="0"/>
        <w:tabs>
          <w:tab w:leader="none" w:pos="900" w:val="left"/>
        </w:tabs>
        <w:numPr>
          <w:ilvl w:val="0"/>
          <w:numId w:val="4"/>
        </w:numPr>
        <w:rPr>
          <w:rFonts w:ascii="Arial" w:cs="Arial" w:eastAsia="Arial" w:hAnsi="Arial"/>
          <w:sz w:val="18"/>
          <w:szCs w:val="18"/>
          <w:color w:val="auto"/>
        </w:rPr>
      </w:pPr>
      <w:r>
        <w:rPr>
          <w:rFonts w:ascii="Arial" w:cs="Arial" w:eastAsia="Arial" w:hAnsi="Arial"/>
          <w:sz w:val="18"/>
          <w:szCs w:val="18"/>
          <w:color w:val="auto"/>
        </w:rPr>
        <w:t>GAAP Diluted EPS from continuing operations are expected to be in the range of ($0.01) to $0.03.</w:t>
      </w:r>
    </w:p>
    <w:p>
      <w:pPr>
        <w:spacing w:after="0" w:line="130" w:lineRule="exact"/>
        <w:rPr>
          <w:rFonts w:ascii="Arial" w:cs="Arial" w:eastAsia="Arial" w:hAnsi="Arial"/>
          <w:sz w:val="18"/>
          <w:szCs w:val="18"/>
          <w:color w:val="auto"/>
        </w:rPr>
      </w:pPr>
    </w:p>
    <w:p>
      <w:pPr>
        <w:ind w:left="900" w:hanging="325"/>
        <w:spacing w:after="0"/>
        <w:tabs>
          <w:tab w:leader="none" w:pos="900" w:val="left"/>
        </w:tabs>
        <w:numPr>
          <w:ilvl w:val="0"/>
          <w:numId w:val="4"/>
        </w:numPr>
        <w:rPr>
          <w:rFonts w:ascii="Arial" w:cs="Arial" w:eastAsia="Arial" w:hAnsi="Arial"/>
          <w:sz w:val="18"/>
          <w:szCs w:val="18"/>
          <w:color w:val="auto"/>
        </w:rPr>
      </w:pPr>
      <w:r>
        <w:rPr>
          <w:rFonts w:ascii="Arial" w:cs="Arial" w:eastAsia="Arial" w:hAnsi="Arial"/>
          <w:sz w:val="18"/>
          <w:szCs w:val="18"/>
          <w:color w:val="auto"/>
        </w:rPr>
        <w:t>Non-GAAP Diluted EPS from continuing operations are expected to be in the range of $0.17 to $0.21.</w:t>
      </w:r>
    </w:p>
    <w:p>
      <w:pPr>
        <w:spacing w:after="0" w:line="329"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Conference Call</w:t>
      </w:r>
    </w:p>
    <w:p>
      <w:pPr>
        <w:spacing w:after="0" w:line="121" w:lineRule="exact"/>
        <w:rPr>
          <w:sz w:val="20"/>
          <w:szCs w:val="20"/>
          <w:color w:val="auto"/>
        </w:rPr>
      </w:pPr>
    </w:p>
    <w:p>
      <w:pPr>
        <w:ind w:right="340"/>
        <w:spacing w:after="0" w:line="259" w:lineRule="auto"/>
        <w:rPr>
          <w:sz w:val="20"/>
          <w:szCs w:val="20"/>
          <w:color w:val="auto"/>
        </w:rPr>
      </w:pPr>
      <w:r>
        <w:rPr>
          <w:rFonts w:ascii="Arial" w:cs="Arial" w:eastAsia="Arial" w:hAnsi="Arial"/>
          <w:sz w:val="18"/>
          <w:szCs w:val="18"/>
          <w:color w:val="auto"/>
        </w:rPr>
        <w:t>Marvell will conduct a conference call on Thursday, November 17, 2016 at 1:45 p.m. Pacific Time to discuss results for the third quarter of fiscal 2017. Interested parties may join the conference call by dialing 1-844-647-5488 or 1-615-247-0258, pass-code 11983150. The call will be webcast by Thomson Reuters and can be accessed at the Marvell Investor Relations website at http://investor.marvell.com/ with a replay available following the call until December 17, 2016.</w:t>
      </w:r>
    </w:p>
    <w:p>
      <w:pPr>
        <w:spacing w:after="0" w:line="291"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Discussion of Non-GAAP Financial Measures</w:t>
      </w:r>
    </w:p>
    <w:p>
      <w:pPr>
        <w:spacing w:after="0" w:line="121" w:lineRule="exact"/>
        <w:rPr>
          <w:sz w:val="20"/>
          <w:szCs w:val="20"/>
          <w:color w:val="auto"/>
        </w:rPr>
      </w:pPr>
    </w:p>
    <w:p>
      <w:pPr>
        <w:ind w:right="60"/>
        <w:spacing w:after="0" w:line="272" w:lineRule="auto"/>
        <w:rPr>
          <w:sz w:val="20"/>
          <w:szCs w:val="20"/>
          <w:color w:val="auto"/>
        </w:rPr>
      </w:pPr>
      <w:r>
        <w:rPr>
          <w:rFonts w:ascii="Arial" w:cs="Arial" w:eastAsia="Arial" w:hAnsi="Arial"/>
          <w:sz w:val="17"/>
          <w:szCs w:val="17"/>
          <w:color w:val="auto"/>
        </w:rPr>
        <w:t>Non-GAAP financial measures exclude the effect of share-based compensation expense, amortization and write-off of acquired intangible assets, acquisition-related costs, restructuring and other related charges, litigation settlement, and certain expenses and benefits that are driven primarily by discrete events that management does not consider to be directly related to Marvell’s core operating performance. Non-GAAP diluted net income per share is calculated by dividing Non-GAAP net income by Non-GAAP weighted average shares outstanding (diluted). For purposes of calculating Non-GAAP diluted net income per share, the GAAP weighted average shares outstanding (diluted) is adjusted to exclude the potential benefits of share-based compensation expected to be incurred in future periods but not yet recognized in the financial statements. The expected compensation costs are treated as additional proceeds assumed to be used to repurchase shares under the GAAP treasury stock method.</w:t>
      </w:r>
    </w:p>
    <w:p>
      <w:pPr>
        <w:sectPr>
          <w:pgSz w:w="11900" w:h="16838" w:orient="portrait"/>
          <w:cols w:equalWidth="0" w:num="1">
            <w:col w:w="11400"/>
          </w:cols>
          <w:pgMar w:left="240" w:top="274" w:right="259" w:bottom="1440" w:gutter="0" w:footer="0" w:header="0"/>
        </w:sectPr>
      </w:pPr>
    </w:p>
    <w:bookmarkStart w:id="6" w:name="page7"/>
    <w:bookmarkEnd w:id="6"/>
    <w:p>
      <w:pPr>
        <w:spacing w:after="0" w:line="273" w:lineRule="auto"/>
        <w:rPr>
          <w:sz w:val="20"/>
          <w:szCs w:val="20"/>
          <w:color w:val="auto"/>
        </w:rPr>
      </w:pPr>
      <w:r>
        <w:rPr>
          <w:rFonts w:ascii="Arial" w:cs="Arial" w:eastAsia="Arial" w:hAnsi="Arial"/>
          <w:sz w:val="17"/>
          <w:szCs w:val="17"/>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3">
                      <a:extLst>
                        <a:ext uri="{28A0092B-C50C-407E-A947-70E740481C1C}"/>
                      </a:extLst>
                    </a:blip>
                    <a:srcRect/>
                    <a:stretch>
                      <a:fillRect/>
                    </a:stretch>
                  </pic:blipFill>
                  <pic:spPr bwMode="auto">
                    <a:xfrm>
                      <a:off x="0" y="0"/>
                      <a:ext cx="7289165" cy="38735"/>
                    </a:xfrm>
                    <a:prstGeom prst="rect">
                      <a:avLst/>
                    </a:prstGeom>
                    <a:noFill/>
                  </pic:spPr>
                </pic:pic>
              </a:graphicData>
            </a:graphic>
          </wp:anchor>
        </w:drawing>
        <w:t>Marvell believes that the presentation of Non-GAAP financial measures provides important supplemental information to management and investors regarding financial and business trends relating to Marvell’s financial condition and results of operations. While Marvell uses Non-GAAP financial measures as a tool to enhance its understanding of certain aspects of its financial performance, Marvell does not consider these measures to be a substitute for, or superior to, financial measures calculated in accordance with GAAP. Consistent with this approach, Marvell believes that disclosing Non-GAAP financial measures to the readers of its financial statements provides such readers with useful supplemental data that, while not a substitute for GAAP financial measures, allows for greater transparency in the review of its financial and operational performance.</w:t>
      </w:r>
    </w:p>
    <w:p>
      <w:pPr>
        <w:spacing w:after="0" w:line="178" w:lineRule="exact"/>
        <w:rPr>
          <w:sz w:val="20"/>
          <w:szCs w:val="20"/>
          <w:color w:val="auto"/>
        </w:rPr>
      </w:pPr>
    </w:p>
    <w:p>
      <w:pPr>
        <w:ind w:right="740"/>
        <w:spacing w:after="0" w:line="308" w:lineRule="auto"/>
        <w:rPr>
          <w:sz w:val="20"/>
          <w:szCs w:val="20"/>
          <w:color w:val="auto"/>
        </w:rPr>
      </w:pPr>
      <w:r>
        <w:rPr>
          <w:rFonts w:ascii="Arial" w:cs="Arial" w:eastAsia="Arial" w:hAnsi="Arial"/>
          <w:sz w:val="17"/>
          <w:szCs w:val="17"/>
          <w:color w:val="auto"/>
        </w:rPr>
        <w:t>Externally, management believes that investors may find Marvell’s Non-GAAP financial measures useful in their assessment of Marvell’s operating performance and the valuation of Marvell. Internally, Marvell’s Non-GAAP financial measures are used in the following areas:</w:t>
      </w:r>
    </w:p>
    <w:p>
      <w:pPr>
        <w:spacing w:after="0" w:line="52" w:lineRule="exact"/>
        <w:rPr>
          <w:sz w:val="20"/>
          <w:szCs w:val="20"/>
          <w:color w:val="auto"/>
        </w:rPr>
      </w:pPr>
    </w:p>
    <w:p>
      <w:pPr>
        <w:ind w:left="460" w:hanging="452"/>
        <w:spacing w:after="0"/>
        <w:tabs>
          <w:tab w:leader="none" w:pos="460" w:val="left"/>
        </w:tabs>
        <w:numPr>
          <w:ilvl w:val="0"/>
          <w:numId w:val="5"/>
        </w:numPr>
        <w:rPr>
          <w:rFonts w:ascii="Arial" w:cs="Arial" w:eastAsia="Arial" w:hAnsi="Arial"/>
          <w:sz w:val="18"/>
          <w:szCs w:val="18"/>
          <w:color w:val="auto"/>
        </w:rPr>
      </w:pPr>
      <w:r>
        <w:rPr>
          <w:rFonts w:ascii="Arial" w:cs="Arial" w:eastAsia="Arial" w:hAnsi="Arial"/>
          <w:sz w:val="18"/>
          <w:szCs w:val="18"/>
          <w:color w:val="auto"/>
        </w:rPr>
        <w:t>Management’s evaluation of Marvell’s operating performance;</w:t>
      </w:r>
    </w:p>
    <w:p>
      <w:pPr>
        <w:spacing w:after="0" w:line="130" w:lineRule="exact"/>
        <w:rPr>
          <w:rFonts w:ascii="Arial" w:cs="Arial" w:eastAsia="Arial" w:hAnsi="Arial"/>
          <w:sz w:val="18"/>
          <w:szCs w:val="18"/>
          <w:color w:val="auto"/>
        </w:rPr>
      </w:pPr>
    </w:p>
    <w:p>
      <w:pPr>
        <w:ind w:left="460" w:hanging="452"/>
        <w:spacing w:after="0"/>
        <w:tabs>
          <w:tab w:leader="none" w:pos="460" w:val="left"/>
        </w:tabs>
        <w:numPr>
          <w:ilvl w:val="0"/>
          <w:numId w:val="5"/>
        </w:numPr>
        <w:rPr>
          <w:rFonts w:ascii="Arial" w:cs="Arial" w:eastAsia="Arial" w:hAnsi="Arial"/>
          <w:sz w:val="18"/>
          <w:szCs w:val="18"/>
          <w:color w:val="auto"/>
        </w:rPr>
      </w:pPr>
      <w:r>
        <w:rPr>
          <w:rFonts w:ascii="Arial" w:cs="Arial" w:eastAsia="Arial" w:hAnsi="Arial"/>
          <w:sz w:val="18"/>
          <w:szCs w:val="18"/>
          <w:color w:val="auto"/>
        </w:rPr>
        <w:t>Management’s establishment of internal operating budgets;</w:t>
      </w:r>
    </w:p>
    <w:p>
      <w:pPr>
        <w:spacing w:after="0" w:line="130" w:lineRule="exact"/>
        <w:rPr>
          <w:rFonts w:ascii="Arial" w:cs="Arial" w:eastAsia="Arial" w:hAnsi="Arial"/>
          <w:sz w:val="18"/>
          <w:szCs w:val="18"/>
          <w:color w:val="auto"/>
        </w:rPr>
      </w:pPr>
    </w:p>
    <w:p>
      <w:pPr>
        <w:ind w:left="460" w:hanging="452"/>
        <w:spacing w:after="0"/>
        <w:tabs>
          <w:tab w:leader="none" w:pos="460" w:val="left"/>
        </w:tabs>
        <w:numPr>
          <w:ilvl w:val="0"/>
          <w:numId w:val="5"/>
        </w:numPr>
        <w:rPr>
          <w:rFonts w:ascii="Arial" w:cs="Arial" w:eastAsia="Arial" w:hAnsi="Arial"/>
          <w:sz w:val="18"/>
          <w:szCs w:val="18"/>
          <w:color w:val="auto"/>
        </w:rPr>
      </w:pPr>
      <w:r>
        <w:rPr>
          <w:rFonts w:ascii="Arial" w:cs="Arial" w:eastAsia="Arial" w:hAnsi="Arial"/>
          <w:sz w:val="18"/>
          <w:szCs w:val="18"/>
          <w:color w:val="auto"/>
        </w:rPr>
        <w:t>Management’s performance comparisons with internal forecasts and targeted business models; and</w:t>
      </w:r>
    </w:p>
    <w:p>
      <w:pPr>
        <w:spacing w:after="0" w:line="130" w:lineRule="exact"/>
        <w:rPr>
          <w:rFonts w:ascii="Arial" w:cs="Arial" w:eastAsia="Arial" w:hAnsi="Arial"/>
          <w:sz w:val="18"/>
          <w:szCs w:val="18"/>
          <w:color w:val="auto"/>
        </w:rPr>
      </w:pPr>
    </w:p>
    <w:p>
      <w:pPr>
        <w:ind w:left="460" w:right="160" w:hanging="452"/>
        <w:spacing w:after="0" w:line="277" w:lineRule="auto"/>
        <w:tabs>
          <w:tab w:leader="none" w:pos="460" w:val="left"/>
        </w:tabs>
        <w:numPr>
          <w:ilvl w:val="0"/>
          <w:numId w:val="5"/>
        </w:numPr>
        <w:rPr>
          <w:rFonts w:ascii="Arial" w:cs="Arial" w:eastAsia="Arial" w:hAnsi="Arial"/>
          <w:sz w:val="18"/>
          <w:szCs w:val="18"/>
          <w:color w:val="auto"/>
        </w:rPr>
      </w:pPr>
      <w:r>
        <w:rPr>
          <w:rFonts w:ascii="Arial" w:cs="Arial" w:eastAsia="Arial" w:hAnsi="Arial"/>
          <w:sz w:val="18"/>
          <w:szCs w:val="18"/>
          <w:color w:val="auto"/>
        </w:rPr>
        <w:t>Management’s determination of the achievement and measurement of certain performance-based equity awards (adjustments may vary from award to award).</w:t>
      </w:r>
    </w:p>
    <w:p>
      <w:pPr>
        <w:spacing w:after="0" w:line="170" w:lineRule="exact"/>
        <w:rPr>
          <w:sz w:val="20"/>
          <w:szCs w:val="20"/>
          <w:color w:val="auto"/>
        </w:rPr>
      </w:pPr>
    </w:p>
    <w:p>
      <w:pPr>
        <w:spacing w:after="0" w:line="279" w:lineRule="auto"/>
        <w:rPr>
          <w:sz w:val="20"/>
          <w:szCs w:val="20"/>
          <w:color w:val="auto"/>
        </w:rPr>
      </w:pPr>
      <w:r>
        <w:rPr>
          <w:rFonts w:ascii="Arial" w:cs="Arial" w:eastAsia="Arial" w:hAnsi="Arial"/>
          <w:sz w:val="17"/>
          <w:szCs w:val="17"/>
          <w:color w:val="auto"/>
        </w:rPr>
        <w:t>Non-GAAP financial measures have limitations in that they do not reflect all of the costs associated with the operations of Marvell’s business as determined in accordance with GAAP. As a result, you should not consider these measures in isolation or as a substitute for analysis of Marvell’s results as reported under GAAP. Marvell expects to continue to incur expenses similar to the Non-GAAP adjustments described above, and exclusion of these items from Marvell’s Non-GAAP net income should not be construed as an inference that these costs are unusual, infrequent or non-recurring.</w:t>
      </w:r>
    </w:p>
    <w:p>
      <w:pPr>
        <w:sectPr>
          <w:pgSz w:w="11900" w:h="16838" w:orient="portrait"/>
          <w:cols w:equalWidth="0" w:num="1">
            <w:col w:w="11400"/>
          </w:cols>
          <w:pgMar w:left="240" w:top="274" w:right="259" w:bottom="1440" w:gutter="0" w:footer="0" w:header="0"/>
        </w:sectPr>
      </w:pPr>
    </w:p>
    <w:bookmarkStart w:id="7" w:name="page8"/>
    <w:bookmarkEnd w:id="7"/>
    <w:p>
      <w:pPr>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4">
                      <a:extLst>
                        <a:ext uri="{28A0092B-C50C-407E-A947-70E740481C1C}"/>
                      </a:extLst>
                    </a:blip>
                    <a:srcRect/>
                    <a:stretch>
                      <a:fillRect/>
                    </a:stretch>
                  </pic:blipFill>
                  <pic:spPr bwMode="auto">
                    <a:xfrm>
                      <a:off x="0" y="0"/>
                      <a:ext cx="7289165" cy="38735"/>
                    </a:xfrm>
                    <a:prstGeom prst="rect">
                      <a:avLst/>
                    </a:prstGeom>
                    <a:noFill/>
                  </pic:spPr>
                </pic:pic>
              </a:graphicData>
            </a:graphic>
          </wp:anchor>
        </w:drawing>
        <w:t>Forward-Looking Statements under the Private Securities Litigation Reform Act of 1995</w:t>
      </w:r>
    </w:p>
    <w:p>
      <w:pPr>
        <w:spacing w:after="0" w:line="121" w:lineRule="exact"/>
        <w:rPr>
          <w:sz w:val="20"/>
          <w:szCs w:val="20"/>
          <w:color w:val="auto"/>
        </w:rPr>
      </w:pPr>
    </w:p>
    <w:p>
      <w:pPr>
        <w:ind w:right="20"/>
        <w:spacing w:after="0" w:line="285" w:lineRule="auto"/>
        <w:rPr>
          <w:sz w:val="20"/>
          <w:szCs w:val="20"/>
          <w:color w:val="auto"/>
        </w:rPr>
      </w:pPr>
      <w:r>
        <w:rPr>
          <w:rFonts w:ascii="Arial" w:cs="Arial" w:eastAsia="Arial" w:hAnsi="Arial"/>
          <w:sz w:val="16"/>
          <w:szCs w:val="16"/>
          <w:color w:val="auto"/>
        </w:rPr>
        <w:t>This press release contains forward-looking statements within the meaning of the federal securities laws that involve risks and uncertainties, including: Marvell’s expectations regarding its fourth quarter of fiscal 2017 financial outlook; and Marvell’s use of Non-GAAP financial measures as important supplemental information. Words such as “anticipates,” “expects,” “intends,” “plans,” “projects,” “believes,” “seeks,” “estimates,” “can,” “may,” “will,” “would” and similar expressions identify such forward-looking statements. These statements are not guarantees of results and should not be considered as an indication of future activity or future performance. Actual events or results may differ materially from those described in this press release due to a number of risks and uncertainties, including, but not limited to: Marvell’s ability to implement its restructuring in a timely manner; the amount and timing of anticipated charges associated with the restructuring; Marvell’s ability to increase its operational efficiency and decrease its operating expenses to the anticipated level; its ability to divest certain non-strategic businesses within the anticipated timeframes and with the anticipated cost savings; actions that may be taken by Marvell as a result of the Audit Committee’s investigation; adverse impacts of litigation or regulatory activities; Marvell’s ability to compete in products and prices in an intensely competitive industry; Marvell’s reliance on the hard disk drive and wireless markets, which are highly cyclical and intensely competitive; costs and liabilities relating to current and future litigation; Marvell’s reliance on a few customers for a significant portion of its revenue; Marvell’s ability to develop and introduce new and enhanced products in a timely and cost effective manner and the adoption of those products in the market; seasonality in sales of consumer devices in which Marvell’s products are incorporated; uncertainty in the worldwide economic conditions; risks associated with manufacturing and selling a majority of Marvell’s products and Marvell’s customers’ products outside of the United States; and other risks detailed in Marvell’s SEC filings from time to time. For other factors that could cause Marvell’s results to vary from expectations, please see the risk factors identified in Marvell’s Quarterly Report on Form 10-Q for the fiscal quarter ended July 30, 2016 as filed with the SEC on September 8, 2016, and other factors detailed from time to time in Marvell’s filings with the SEC. Marvell undertakes no obligation to revise or update publicly any forward-looking statements.</w:t>
      </w:r>
    </w:p>
    <w:p>
      <w:pPr>
        <w:spacing w:after="0" w:line="279"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About Marvell</w:t>
      </w:r>
    </w:p>
    <w:p>
      <w:pPr>
        <w:spacing w:after="0" w:line="121" w:lineRule="exact"/>
        <w:rPr>
          <w:sz w:val="20"/>
          <w:szCs w:val="20"/>
          <w:color w:val="auto"/>
        </w:rPr>
      </w:pPr>
    </w:p>
    <w:p>
      <w:pPr>
        <w:spacing w:after="0" w:line="259" w:lineRule="auto"/>
        <w:rPr>
          <w:sz w:val="20"/>
          <w:szCs w:val="20"/>
          <w:color w:val="auto"/>
        </w:rPr>
      </w:pPr>
      <w:r>
        <w:rPr>
          <w:rFonts w:ascii="Arial" w:cs="Arial" w:eastAsia="Arial" w:hAnsi="Arial"/>
          <w:sz w:val="18"/>
          <w:szCs w:val="18"/>
          <w:color w:val="auto"/>
        </w:rPr>
        <w:t>Marvell first revolutionized the digital storage industry by moving information at speeds never thought possible. Today, that same breakthrough innovation remains at the heart of the company’s storage, network infrastructure, and wireless connectivity solutions. With leading intellectual property and deep system-level knowledge, Marvell’s semiconductor solutions continue to transform the enterprise, cloud, automotive, industrial, and consumer markets. To learn more, visit: www.marvell.com</w:t>
      </w:r>
    </w:p>
    <w:p>
      <w:pPr>
        <w:spacing w:after="0" w:line="295" w:lineRule="exact"/>
        <w:rPr>
          <w:sz w:val="20"/>
          <w:szCs w:val="20"/>
          <w:color w:val="auto"/>
        </w:rPr>
      </w:pPr>
    </w:p>
    <w:p>
      <w:pPr>
        <w:spacing w:after="0"/>
        <w:rPr>
          <w:sz w:val="20"/>
          <w:szCs w:val="20"/>
          <w:color w:val="auto"/>
        </w:rPr>
      </w:pPr>
      <w:r>
        <w:rPr>
          <w:rFonts w:ascii="Arial" w:cs="Arial" w:eastAsia="Arial" w:hAnsi="Arial"/>
          <w:sz w:val="18"/>
          <w:szCs w:val="18"/>
          <w:i w:val="1"/>
          <w:iCs w:val="1"/>
          <w:color w:val="auto"/>
        </w:rPr>
        <w:t>Marvell</w:t>
      </w:r>
      <w:r>
        <w:rPr>
          <w:rFonts w:ascii="Arial" w:cs="Arial" w:eastAsia="Arial" w:hAnsi="Arial"/>
          <w:sz w:val="15"/>
          <w:szCs w:val="15"/>
          <w:i w:val="1"/>
          <w:iCs w:val="1"/>
          <w:color w:val="auto"/>
        </w:rPr>
        <w:t>®</w:t>
      </w:r>
      <w:r>
        <w:rPr>
          <w:rFonts w:ascii="Arial" w:cs="Arial" w:eastAsia="Arial" w:hAnsi="Arial"/>
          <w:sz w:val="18"/>
          <w:szCs w:val="18"/>
          <w:i w:val="1"/>
          <w:iCs w:val="1"/>
          <w:color w:val="auto"/>
        </w:rPr>
        <w:t xml:space="preserve"> and the Marvell logo are registered trademarks of Marvell and/or its affiliates.</w:t>
      </w:r>
    </w:p>
    <w:p>
      <w:pPr>
        <w:sectPr>
          <w:pgSz w:w="11900" w:h="16838" w:orient="portrait"/>
          <w:cols w:equalWidth="0" w:num="1">
            <w:col w:w="11400"/>
          </w:cols>
          <w:pgMar w:left="240" w:top="270" w:right="259" w:bottom="1440" w:gutter="0" w:footer="0" w:header="0"/>
        </w:sectPr>
      </w:pPr>
    </w:p>
    <w:bookmarkStart w:id="8" w:name="page9"/>
    <w:bookmarkEnd w:id="8"/>
    <w:p>
      <w:pPr>
        <w:jc w:val="center"/>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25">
                      <a:extLst>
                        <a:ext uri="{28A0092B-C50C-407E-A947-70E740481C1C}"/>
                      </a:extLst>
                    </a:blip>
                    <a:srcRect/>
                    <a:stretch>
                      <a:fillRect/>
                    </a:stretch>
                  </pic:blipFill>
                  <pic:spPr bwMode="auto">
                    <a:xfrm>
                      <a:off x="0" y="0"/>
                      <a:ext cx="7289165" cy="38735"/>
                    </a:xfrm>
                    <a:prstGeom prst="rect">
                      <a:avLst/>
                    </a:prstGeom>
                    <a:noFill/>
                  </pic:spPr>
                </pic:pic>
              </a:graphicData>
            </a:graphic>
          </wp:anchor>
        </w:drawing>
        <w:t>Marvell Technology Group Ltd.</w:t>
      </w:r>
    </w:p>
    <w:p>
      <w:pPr>
        <w:spacing w:after="0" w:line="27"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Condensed Consolidated Statements of Operations</w:t>
      </w:r>
    </w:p>
    <w:p>
      <w:pPr>
        <w:spacing w:after="0" w:line="9"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(Unaudited)</w:t>
      </w:r>
    </w:p>
    <w:p>
      <w:pPr>
        <w:spacing w:after="0" w:line="9"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(In thousands, except per share amounts)</w:t>
      </w:r>
    </w:p>
    <w:p>
      <w:pPr>
        <w:spacing w:after="0" w:line="229" w:lineRule="exact"/>
        <w:rPr>
          <w:sz w:val="20"/>
          <w:szCs w:val="20"/>
          <w:color w:val="auto"/>
        </w:rPr>
      </w:pPr>
    </w:p>
    <w:tbl>
      <w:tblPr>
        <w:tblLayout w:type="fixed"/>
        <w:tblInd w:w="0" w:type="dxa"/>
        <w:tblCellMar>
          <w:top w:w="0" w:type="dxa"/>
          <w:left w:w="0" w:type="dxa"/>
          <w:bottom w:w="0" w:type="dxa"/>
          <w:right w:w="0" w:type="dxa"/>
        </w:tblCellMar>
      </w:tblPr>
      <w:tr>
        <w:trPr>
          <w:trHeight w:val="171"/>
        </w:trPr>
        <w:tc>
          <w:tcPr>
            <w:tcW w:w="20" w:type="dxa"/>
            <w:vAlign w:val="bottom"/>
          </w:tcPr>
          <w:p>
            <w:pPr>
              <w:spacing w:after="0"/>
              <w:rPr>
                <w:sz w:val="14"/>
                <w:szCs w:val="14"/>
                <w:color w:val="auto"/>
              </w:rPr>
            </w:pPr>
          </w:p>
        </w:tc>
        <w:tc>
          <w:tcPr>
            <w:tcW w:w="5540" w:type="dxa"/>
            <w:vAlign w:val="bottom"/>
          </w:tcPr>
          <w:p>
            <w:pPr>
              <w:spacing w:after="0"/>
              <w:rPr>
                <w:sz w:val="14"/>
                <w:szCs w:val="14"/>
                <w:color w:val="auto"/>
              </w:rPr>
            </w:pPr>
          </w:p>
        </w:tc>
        <w:tc>
          <w:tcPr>
            <w:tcW w:w="114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1840" w:type="dxa"/>
            <w:vAlign w:val="bottom"/>
            <w:gridSpan w:val="8"/>
          </w:tcPr>
          <w:p>
            <w:pPr>
              <w:jc w:val="center"/>
              <w:ind w:left="392"/>
              <w:spacing w:after="0"/>
              <w:rPr>
                <w:sz w:val="20"/>
                <w:szCs w:val="20"/>
                <w:color w:val="auto"/>
              </w:rPr>
            </w:pPr>
            <w:r>
              <w:rPr>
                <w:rFonts w:ascii="Arial" w:cs="Arial" w:eastAsia="Arial" w:hAnsi="Arial"/>
                <w:sz w:val="14"/>
                <w:szCs w:val="14"/>
                <w:b w:val="1"/>
                <w:bCs w:val="1"/>
                <w:color w:val="auto"/>
                <w:w w:val="95"/>
              </w:rPr>
              <w:t>Three Months Ended</w:t>
            </w:r>
          </w:p>
        </w:tc>
        <w:tc>
          <w:tcPr>
            <w:tcW w:w="60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6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1860" w:type="dxa"/>
            <w:vAlign w:val="bottom"/>
            <w:gridSpan w:val="6"/>
          </w:tcPr>
          <w:p>
            <w:pPr>
              <w:jc w:val="right"/>
              <w:ind w:right="340"/>
              <w:spacing w:after="0"/>
              <w:rPr>
                <w:sz w:val="20"/>
                <w:szCs w:val="20"/>
                <w:color w:val="auto"/>
              </w:rPr>
            </w:pPr>
            <w:r>
              <w:rPr>
                <w:rFonts w:ascii="Arial" w:cs="Arial" w:eastAsia="Arial" w:hAnsi="Arial"/>
                <w:sz w:val="14"/>
                <w:szCs w:val="14"/>
                <w:b w:val="1"/>
                <w:bCs w:val="1"/>
                <w:color w:val="auto"/>
              </w:rPr>
              <w:t>Nine Months Ended</w:t>
            </w:r>
          </w:p>
        </w:tc>
        <w:tc>
          <w:tcPr>
            <w:tcW w:w="0" w:type="dxa"/>
            <w:vAlign w:val="bottom"/>
          </w:tcPr>
          <w:p>
            <w:pPr>
              <w:spacing w:after="0"/>
              <w:rPr>
                <w:sz w:val="1"/>
                <w:szCs w:val="1"/>
                <w:color w:val="auto"/>
              </w:rPr>
            </w:pPr>
          </w:p>
        </w:tc>
      </w:tr>
      <w:tr>
        <w:trPr>
          <w:trHeight w:val="119"/>
        </w:trPr>
        <w:tc>
          <w:tcPr>
            <w:tcW w:w="20" w:type="dxa"/>
            <w:vAlign w:val="bottom"/>
          </w:tcPr>
          <w:p>
            <w:pPr>
              <w:spacing w:after="0"/>
              <w:rPr>
                <w:sz w:val="10"/>
                <w:szCs w:val="10"/>
                <w:color w:val="auto"/>
              </w:rPr>
            </w:pPr>
          </w:p>
        </w:tc>
        <w:tc>
          <w:tcPr>
            <w:tcW w:w="5540" w:type="dxa"/>
            <w:vAlign w:val="bottom"/>
          </w:tcPr>
          <w:p>
            <w:pPr>
              <w:spacing w:after="0"/>
              <w:rPr>
                <w:sz w:val="10"/>
                <w:szCs w:val="10"/>
                <w:color w:val="auto"/>
              </w:rPr>
            </w:pPr>
          </w:p>
        </w:tc>
        <w:tc>
          <w:tcPr>
            <w:tcW w:w="1140" w:type="dxa"/>
            <w:vAlign w:val="bottom"/>
          </w:tcPr>
          <w:p>
            <w:pPr>
              <w:spacing w:after="0"/>
              <w:rPr>
                <w:sz w:val="10"/>
                <w:szCs w:val="10"/>
                <w:color w:val="auto"/>
              </w:rPr>
            </w:pPr>
          </w:p>
        </w:tc>
        <w:tc>
          <w:tcPr>
            <w:tcW w:w="840" w:type="dxa"/>
            <w:vAlign w:val="bottom"/>
            <w:tcBorders>
              <w:top w:val="single" w:sz="8" w:color="auto"/>
            </w:tcBorders>
            <w:gridSpan w:val="3"/>
          </w:tcPr>
          <w:p>
            <w:pPr>
              <w:ind w:left="20"/>
              <w:spacing w:after="0" w:line="119" w:lineRule="exact"/>
              <w:rPr>
                <w:sz w:val="20"/>
                <w:szCs w:val="20"/>
                <w:color w:val="auto"/>
              </w:rPr>
            </w:pPr>
            <w:r>
              <w:rPr>
                <w:rFonts w:ascii="Arial" w:cs="Arial" w:eastAsia="Arial" w:hAnsi="Arial"/>
                <w:sz w:val="13"/>
                <w:szCs w:val="13"/>
                <w:b w:val="1"/>
                <w:bCs w:val="1"/>
                <w:color w:val="auto"/>
              </w:rPr>
              <w:t>October 29,</w:t>
            </w:r>
          </w:p>
        </w:tc>
        <w:tc>
          <w:tcPr>
            <w:tcW w:w="100" w:type="dxa"/>
            <w:vAlign w:val="bottom"/>
            <w:tcBorders>
              <w:top w:val="single" w:sz="8" w:color="auto"/>
            </w:tcBorders>
          </w:tcPr>
          <w:p>
            <w:pPr>
              <w:spacing w:after="0"/>
              <w:rPr>
                <w:sz w:val="10"/>
                <w:szCs w:val="10"/>
                <w:color w:val="auto"/>
              </w:rPr>
            </w:pPr>
          </w:p>
        </w:tc>
        <w:tc>
          <w:tcPr>
            <w:tcW w:w="100" w:type="dxa"/>
            <w:vAlign w:val="bottom"/>
            <w:tcBorders>
              <w:top w:val="single" w:sz="8" w:color="auto"/>
            </w:tcBorders>
          </w:tcPr>
          <w:p>
            <w:pPr>
              <w:spacing w:after="0"/>
              <w:rPr>
                <w:sz w:val="10"/>
                <w:szCs w:val="10"/>
                <w:color w:val="auto"/>
              </w:rPr>
            </w:pPr>
          </w:p>
        </w:tc>
        <w:tc>
          <w:tcPr>
            <w:tcW w:w="720" w:type="dxa"/>
            <w:vAlign w:val="bottom"/>
            <w:tcBorders>
              <w:top w:val="single" w:sz="8" w:color="auto"/>
            </w:tcBorders>
            <w:gridSpan w:val="2"/>
          </w:tcPr>
          <w:p>
            <w:pPr>
              <w:jc w:val="center"/>
              <w:ind w:right="240"/>
              <w:spacing w:after="0" w:line="119" w:lineRule="exact"/>
              <w:rPr>
                <w:sz w:val="20"/>
                <w:szCs w:val="20"/>
                <w:color w:val="auto"/>
              </w:rPr>
            </w:pPr>
            <w:r>
              <w:rPr>
                <w:rFonts w:ascii="Arial" w:cs="Arial" w:eastAsia="Arial" w:hAnsi="Arial"/>
                <w:sz w:val="13"/>
                <w:szCs w:val="13"/>
                <w:b w:val="1"/>
                <w:bCs w:val="1"/>
                <w:color w:val="auto"/>
              </w:rPr>
              <w:t>July 30,</w:t>
            </w:r>
          </w:p>
        </w:tc>
        <w:tc>
          <w:tcPr>
            <w:tcW w:w="60" w:type="dxa"/>
            <w:vAlign w:val="bottom"/>
            <w:tcBorders>
              <w:top w:val="single" w:sz="8" w:color="auto"/>
            </w:tcBorders>
          </w:tcPr>
          <w:p>
            <w:pPr>
              <w:spacing w:after="0"/>
              <w:rPr>
                <w:sz w:val="10"/>
                <w:szCs w:val="10"/>
                <w:color w:val="auto"/>
              </w:rPr>
            </w:pPr>
          </w:p>
        </w:tc>
        <w:tc>
          <w:tcPr>
            <w:tcW w:w="740" w:type="dxa"/>
            <w:vAlign w:val="bottom"/>
            <w:tcBorders>
              <w:top w:val="single" w:sz="8" w:color="auto"/>
            </w:tcBorders>
            <w:gridSpan w:val="2"/>
          </w:tcPr>
          <w:p>
            <w:pPr>
              <w:ind w:left="20"/>
              <w:spacing w:after="0" w:line="119" w:lineRule="exact"/>
              <w:rPr>
                <w:sz w:val="20"/>
                <w:szCs w:val="20"/>
                <w:color w:val="auto"/>
              </w:rPr>
            </w:pPr>
            <w:r>
              <w:rPr>
                <w:rFonts w:ascii="Arial" w:cs="Arial" w:eastAsia="Arial" w:hAnsi="Arial"/>
                <w:sz w:val="13"/>
                <w:szCs w:val="13"/>
                <w:b w:val="1"/>
                <w:bCs w:val="1"/>
                <w:color w:val="auto"/>
                <w:w w:val="97"/>
              </w:rPr>
              <w:t>October 31,</w:t>
            </w:r>
          </w:p>
        </w:tc>
        <w:tc>
          <w:tcPr>
            <w:tcW w:w="140" w:type="dxa"/>
            <w:vAlign w:val="bottom"/>
          </w:tcPr>
          <w:p>
            <w:pPr>
              <w:spacing w:after="0"/>
              <w:rPr>
                <w:sz w:val="10"/>
                <w:szCs w:val="10"/>
                <w:color w:val="auto"/>
              </w:rPr>
            </w:pPr>
          </w:p>
        </w:tc>
        <w:tc>
          <w:tcPr>
            <w:tcW w:w="60" w:type="dxa"/>
            <w:vAlign w:val="bottom"/>
          </w:tcPr>
          <w:p>
            <w:pPr>
              <w:spacing w:after="0"/>
              <w:rPr>
                <w:sz w:val="10"/>
                <w:szCs w:val="10"/>
                <w:color w:val="auto"/>
              </w:rPr>
            </w:pPr>
          </w:p>
        </w:tc>
        <w:tc>
          <w:tcPr>
            <w:tcW w:w="920" w:type="dxa"/>
            <w:vAlign w:val="bottom"/>
            <w:tcBorders>
              <w:top w:val="single" w:sz="8" w:color="auto"/>
            </w:tcBorders>
            <w:gridSpan w:val="3"/>
          </w:tcPr>
          <w:p>
            <w:pPr>
              <w:jc w:val="right"/>
              <w:ind w:right="140"/>
              <w:spacing w:after="0" w:line="119" w:lineRule="exact"/>
              <w:rPr>
                <w:sz w:val="20"/>
                <w:szCs w:val="20"/>
                <w:color w:val="auto"/>
              </w:rPr>
            </w:pPr>
            <w:r>
              <w:rPr>
                <w:rFonts w:ascii="Arial" w:cs="Arial" w:eastAsia="Arial" w:hAnsi="Arial"/>
                <w:sz w:val="13"/>
                <w:szCs w:val="13"/>
                <w:b w:val="1"/>
                <w:bCs w:val="1"/>
                <w:color w:val="auto"/>
              </w:rPr>
              <w:t>October 29,</w:t>
            </w:r>
          </w:p>
        </w:tc>
        <w:tc>
          <w:tcPr>
            <w:tcW w:w="100" w:type="dxa"/>
            <w:vAlign w:val="bottom"/>
            <w:tcBorders>
              <w:top w:val="single" w:sz="8" w:color="auto"/>
            </w:tcBorders>
          </w:tcPr>
          <w:p>
            <w:pPr>
              <w:spacing w:after="0"/>
              <w:rPr>
                <w:sz w:val="10"/>
                <w:szCs w:val="10"/>
                <w:color w:val="auto"/>
              </w:rPr>
            </w:pPr>
          </w:p>
        </w:tc>
        <w:tc>
          <w:tcPr>
            <w:tcW w:w="840" w:type="dxa"/>
            <w:vAlign w:val="bottom"/>
            <w:tcBorders>
              <w:top w:val="single" w:sz="8" w:color="auto"/>
            </w:tcBorders>
            <w:gridSpan w:val="2"/>
          </w:tcPr>
          <w:p>
            <w:pPr>
              <w:jc w:val="right"/>
              <w:spacing w:after="0" w:line="119" w:lineRule="exact"/>
              <w:rPr>
                <w:sz w:val="20"/>
                <w:szCs w:val="20"/>
                <w:color w:val="auto"/>
              </w:rPr>
            </w:pPr>
            <w:r>
              <w:rPr>
                <w:rFonts w:ascii="Arial" w:cs="Arial" w:eastAsia="Arial" w:hAnsi="Arial"/>
                <w:sz w:val="13"/>
                <w:szCs w:val="13"/>
                <w:b w:val="1"/>
                <w:bCs w:val="1"/>
                <w:color w:val="auto"/>
              </w:rPr>
              <w:t>October 31,</w:t>
            </w:r>
          </w:p>
        </w:tc>
        <w:tc>
          <w:tcPr>
            <w:tcW w:w="10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171"/>
        </w:trPr>
        <w:tc>
          <w:tcPr>
            <w:tcW w:w="20" w:type="dxa"/>
            <w:vAlign w:val="bottom"/>
          </w:tcPr>
          <w:p>
            <w:pPr>
              <w:spacing w:after="0"/>
              <w:rPr>
                <w:sz w:val="14"/>
                <w:szCs w:val="14"/>
                <w:color w:val="auto"/>
              </w:rPr>
            </w:pPr>
          </w:p>
        </w:tc>
        <w:tc>
          <w:tcPr>
            <w:tcW w:w="5540" w:type="dxa"/>
            <w:vAlign w:val="bottom"/>
            <w:tcBorders>
              <w:bottom w:val="single" w:sz="8" w:color="CCEEFF"/>
            </w:tcBorders>
          </w:tcPr>
          <w:p>
            <w:pPr>
              <w:spacing w:after="0"/>
              <w:rPr>
                <w:sz w:val="14"/>
                <w:szCs w:val="14"/>
                <w:color w:val="auto"/>
              </w:rPr>
            </w:pPr>
          </w:p>
        </w:tc>
        <w:tc>
          <w:tcPr>
            <w:tcW w:w="1140" w:type="dxa"/>
            <w:vAlign w:val="bottom"/>
            <w:tcBorders>
              <w:bottom w:val="single" w:sz="8" w:color="CCEEFF"/>
            </w:tcBorders>
          </w:tcPr>
          <w:p>
            <w:pPr>
              <w:spacing w:after="0"/>
              <w:rPr>
                <w:sz w:val="14"/>
                <w:szCs w:val="14"/>
                <w:color w:val="auto"/>
              </w:rPr>
            </w:pPr>
          </w:p>
        </w:tc>
        <w:tc>
          <w:tcPr>
            <w:tcW w:w="120" w:type="dxa"/>
            <w:vAlign w:val="bottom"/>
            <w:tcBorders>
              <w:bottom w:val="single" w:sz="8" w:color="auto"/>
            </w:tcBorders>
          </w:tcPr>
          <w:p>
            <w:pPr>
              <w:spacing w:after="0"/>
              <w:rPr>
                <w:sz w:val="14"/>
                <w:szCs w:val="14"/>
                <w:color w:val="auto"/>
              </w:rPr>
            </w:pPr>
          </w:p>
        </w:tc>
        <w:tc>
          <w:tcPr>
            <w:tcW w:w="620" w:type="dxa"/>
            <w:vAlign w:val="bottom"/>
            <w:tcBorders>
              <w:bottom w:val="single" w:sz="8" w:color="auto"/>
            </w:tcBorders>
          </w:tcPr>
          <w:p>
            <w:pPr>
              <w:jc w:val="right"/>
              <w:ind w:right="132"/>
              <w:spacing w:after="0"/>
              <w:rPr>
                <w:sz w:val="20"/>
                <w:szCs w:val="20"/>
                <w:color w:val="auto"/>
              </w:rPr>
            </w:pPr>
            <w:r>
              <w:rPr>
                <w:rFonts w:ascii="Arial" w:cs="Arial" w:eastAsia="Arial" w:hAnsi="Arial"/>
                <w:sz w:val="14"/>
                <w:szCs w:val="14"/>
                <w:b w:val="1"/>
                <w:bCs w:val="1"/>
                <w:color w:val="auto"/>
              </w:rPr>
              <w:t>2016</w:t>
            </w:r>
          </w:p>
        </w:tc>
        <w:tc>
          <w:tcPr>
            <w:tcW w:w="100" w:type="dxa"/>
            <w:vAlign w:val="bottom"/>
            <w:tcBorders>
              <w:bottom w:val="single" w:sz="8" w:color="CCEEFF"/>
            </w:tcBorders>
          </w:tcPr>
          <w:p>
            <w:pPr>
              <w:spacing w:after="0"/>
              <w:rPr>
                <w:sz w:val="14"/>
                <w:szCs w:val="14"/>
                <w:color w:val="auto"/>
              </w:rPr>
            </w:pPr>
          </w:p>
        </w:tc>
        <w:tc>
          <w:tcPr>
            <w:tcW w:w="100" w:type="dxa"/>
            <w:vAlign w:val="bottom"/>
            <w:tcBorders>
              <w:bottom w:val="single" w:sz="8" w:color="CCEEFF"/>
            </w:tcBorders>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580" w:type="dxa"/>
            <w:vAlign w:val="bottom"/>
            <w:tcBorders>
              <w:bottom w:val="single" w:sz="8" w:color="auto"/>
            </w:tcBorders>
          </w:tcPr>
          <w:p>
            <w:pPr>
              <w:jc w:val="center"/>
              <w:ind w:right="12"/>
              <w:spacing w:after="0"/>
              <w:rPr>
                <w:sz w:val="20"/>
                <w:szCs w:val="20"/>
                <w:color w:val="auto"/>
              </w:rPr>
            </w:pPr>
            <w:r>
              <w:rPr>
                <w:rFonts w:ascii="Arial" w:cs="Arial" w:eastAsia="Arial" w:hAnsi="Arial"/>
                <w:sz w:val="14"/>
                <w:szCs w:val="14"/>
                <w:b w:val="1"/>
                <w:bCs w:val="1"/>
                <w:color w:val="auto"/>
                <w:w w:val="89"/>
              </w:rPr>
              <w:t>2016</w:t>
            </w:r>
          </w:p>
        </w:tc>
        <w:tc>
          <w:tcPr>
            <w:tcW w:w="140" w:type="dxa"/>
            <w:vAlign w:val="bottom"/>
            <w:tcBorders>
              <w:bottom w:val="single" w:sz="8" w:color="CCEEFF"/>
            </w:tcBorders>
          </w:tcPr>
          <w:p>
            <w:pPr>
              <w:spacing w:after="0"/>
              <w:rPr>
                <w:sz w:val="14"/>
                <w:szCs w:val="14"/>
                <w:color w:val="auto"/>
              </w:rPr>
            </w:pPr>
          </w:p>
        </w:tc>
        <w:tc>
          <w:tcPr>
            <w:tcW w:w="60" w:type="dxa"/>
            <w:vAlign w:val="bottom"/>
            <w:tcBorders>
              <w:bottom w:val="single" w:sz="8" w:color="CCEEFF"/>
            </w:tcBorders>
          </w:tcPr>
          <w:p>
            <w:pPr>
              <w:spacing w:after="0"/>
              <w:rPr>
                <w:sz w:val="14"/>
                <w:szCs w:val="14"/>
                <w:color w:val="auto"/>
              </w:rPr>
            </w:pPr>
          </w:p>
        </w:tc>
        <w:tc>
          <w:tcPr>
            <w:tcW w:w="140" w:type="dxa"/>
            <w:vAlign w:val="bottom"/>
            <w:tcBorders>
              <w:bottom w:val="single" w:sz="8" w:color="auto"/>
            </w:tcBorders>
          </w:tcPr>
          <w:p>
            <w:pPr>
              <w:spacing w:after="0"/>
              <w:rPr>
                <w:sz w:val="14"/>
                <w:szCs w:val="14"/>
                <w:color w:val="auto"/>
              </w:rPr>
            </w:pPr>
          </w:p>
        </w:tc>
        <w:tc>
          <w:tcPr>
            <w:tcW w:w="600" w:type="dxa"/>
            <w:vAlign w:val="bottom"/>
            <w:tcBorders>
              <w:bottom w:val="single" w:sz="8" w:color="auto"/>
            </w:tcBorders>
          </w:tcPr>
          <w:p>
            <w:pPr>
              <w:jc w:val="right"/>
              <w:ind w:right="131"/>
              <w:spacing w:after="0"/>
              <w:rPr>
                <w:sz w:val="20"/>
                <w:szCs w:val="20"/>
                <w:color w:val="auto"/>
              </w:rPr>
            </w:pPr>
            <w:r>
              <w:rPr>
                <w:rFonts w:ascii="Arial" w:cs="Arial" w:eastAsia="Arial" w:hAnsi="Arial"/>
                <w:sz w:val="14"/>
                <w:szCs w:val="14"/>
                <w:b w:val="1"/>
                <w:bCs w:val="1"/>
                <w:color w:val="auto"/>
              </w:rPr>
              <w:t>2015</w:t>
            </w:r>
          </w:p>
        </w:tc>
        <w:tc>
          <w:tcPr>
            <w:tcW w:w="140" w:type="dxa"/>
            <w:vAlign w:val="bottom"/>
            <w:tcBorders>
              <w:bottom w:val="single" w:sz="8" w:color="CCEEFF"/>
            </w:tcBorders>
          </w:tcPr>
          <w:p>
            <w:pPr>
              <w:spacing w:after="0"/>
              <w:rPr>
                <w:sz w:val="14"/>
                <w:szCs w:val="14"/>
                <w:color w:val="auto"/>
              </w:rPr>
            </w:pPr>
          </w:p>
        </w:tc>
        <w:tc>
          <w:tcPr>
            <w:tcW w:w="60" w:type="dxa"/>
            <w:vAlign w:val="bottom"/>
            <w:tcBorders>
              <w:bottom w:val="single" w:sz="8" w:color="CCEEFF"/>
            </w:tcBorders>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720" w:type="dxa"/>
            <w:vAlign w:val="bottom"/>
            <w:tcBorders>
              <w:bottom w:val="single" w:sz="8" w:color="auto"/>
            </w:tcBorders>
          </w:tcPr>
          <w:p>
            <w:pPr>
              <w:jc w:val="right"/>
              <w:ind w:right="172"/>
              <w:spacing w:after="0"/>
              <w:rPr>
                <w:sz w:val="20"/>
                <w:szCs w:val="20"/>
                <w:color w:val="auto"/>
              </w:rPr>
            </w:pPr>
            <w:r>
              <w:rPr>
                <w:rFonts w:ascii="Arial" w:cs="Arial" w:eastAsia="Arial" w:hAnsi="Arial"/>
                <w:sz w:val="14"/>
                <w:szCs w:val="14"/>
                <w:b w:val="1"/>
                <w:bCs w:val="1"/>
                <w:color w:val="auto"/>
              </w:rPr>
              <w:t>2016</w:t>
            </w:r>
          </w:p>
        </w:tc>
        <w:tc>
          <w:tcPr>
            <w:tcW w:w="100" w:type="dxa"/>
            <w:vAlign w:val="bottom"/>
            <w:tcBorders>
              <w:bottom w:val="single" w:sz="8" w:color="CCEEFF"/>
            </w:tcBorders>
          </w:tcPr>
          <w:p>
            <w:pPr>
              <w:spacing w:after="0"/>
              <w:rPr>
                <w:sz w:val="14"/>
                <w:szCs w:val="14"/>
                <w:color w:val="auto"/>
              </w:rPr>
            </w:pPr>
          </w:p>
        </w:tc>
        <w:tc>
          <w:tcPr>
            <w:tcW w:w="100" w:type="dxa"/>
            <w:vAlign w:val="bottom"/>
            <w:tcBorders>
              <w:bottom w:val="single" w:sz="8" w:color="CCEEFF"/>
            </w:tcBorders>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740" w:type="dxa"/>
            <w:vAlign w:val="bottom"/>
            <w:tcBorders>
              <w:bottom w:val="single" w:sz="8" w:color="auto"/>
            </w:tcBorders>
          </w:tcPr>
          <w:p>
            <w:pPr>
              <w:jc w:val="right"/>
              <w:ind w:right="191"/>
              <w:spacing w:after="0"/>
              <w:rPr>
                <w:sz w:val="20"/>
                <w:szCs w:val="20"/>
                <w:color w:val="auto"/>
              </w:rPr>
            </w:pPr>
            <w:r>
              <w:rPr>
                <w:rFonts w:ascii="Arial" w:cs="Arial" w:eastAsia="Arial" w:hAnsi="Arial"/>
                <w:sz w:val="14"/>
                <w:szCs w:val="14"/>
                <w:b w:val="1"/>
                <w:bCs w:val="1"/>
                <w:color w:val="auto"/>
              </w:rPr>
              <w:t>2015</w:t>
            </w:r>
          </w:p>
        </w:tc>
        <w:tc>
          <w:tcPr>
            <w:tcW w:w="100" w:type="dxa"/>
            <w:vAlign w:val="bottom"/>
            <w:tcBorders>
              <w:bottom w:val="single" w:sz="8" w:color="CCEEFF"/>
            </w:tcBorders>
          </w:tcPr>
          <w:p>
            <w:pPr>
              <w:spacing w:after="0"/>
              <w:rPr>
                <w:sz w:val="14"/>
                <w:szCs w:val="14"/>
                <w:color w:val="auto"/>
              </w:rPr>
            </w:pPr>
          </w:p>
        </w:tc>
        <w:tc>
          <w:tcPr>
            <w:tcW w:w="0" w:type="dxa"/>
            <w:vAlign w:val="bottom"/>
          </w:tcPr>
          <w:p>
            <w:pPr>
              <w:spacing w:after="0"/>
              <w:rPr>
                <w:sz w:val="1"/>
                <w:szCs w:val="1"/>
                <w:color w:val="auto"/>
              </w:rPr>
            </w:pPr>
          </w:p>
        </w:tc>
      </w:tr>
      <w:tr>
        <w:trPr>
          <w:trHeight w:val="210"/>
        </w:trPr>
        <w:tc>
          <w:tcPr>
            <w:tcW w:w="20" w:type="dxa"/>
            <w:vAlign w:val="bottom"/>
          </w:tcPr>
          <w:p>
            <w:pPr>
              <w:spacing w:after="0"/>
              <w:rPr>
                <w:sz w:val="18"/>
                <w:szCs w:val="18"/>
                <w:color w:val="auto"/>
              </w:rPr>
            </w:pPr>
          </w:p>
        </w:tc>
        <w:tc>
          <w:tcPr>
            <w:tcW w:w="5540" w:type="dxa"/>
            <w:vAlign w:val="bottom"/>
            <w:shd w:val="clear" w:color="auto" w:fill="CCEEFF"/>
          </w:tcPr>
          <w:p>
            <w:pPr>
              <w:spacing w:after="0"/>
              <w:rPr>
                <w:sz w:val="20"/>
                <w:szCs w:val="20"/>
                <w:color w:val="auto"/>
              </w:rPr>
            </w:pPr>
            <w:r>
              <w:rPr>
                <w:rFonts w:ascii="Arial" w:cs="Arial" w:eastAsia="Arial" w:hAnsi="Arial"/>
                <w:sz w:val="18"/>
                <w:szCs w:val="18"/>
                <w:color w:val="auto"/>
              </w:rPr>
              <w:t>Net revenue</w:t>
            </w:r>
          </w:p>
        </w:tc>
        <w:tc>
          <w:tcPr>
            <w:tcW w:w="114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20"/>
                <w:szCs w:val="20"/>
                <w:color w:val="auto"/>
              </w:rPr>
            </w:pPr>
            <w:r>
              <w:rPr>
                <w:rFonts w:ascii="Arial" w:cs="Arial" w:eastAsia="Arial" w:hAnsi="Arial"/>
                <w:sz w:val="18"/>
                <w:szCs w:val="18"/>
                <w:color w:val="auto"/>
                <w:w w:val="99"/>
              </w:rPr>
              <w:t>$</w:t>
            </w:r>
          </w:p>
        </w:tc>
        <w:tc>
          <w:tcPr>
            <w:tcW w:w="620" w:type="dxa"/>
            <w:vAlign w:val="bottom"/>
            <w:shd w:val="clear" w:color="auto" w:fill="CCEEFF"/>
          </w:tcPr>
          <w:p>
            <w:pPr>
              <w:jc w:val="right"/>
              <w:spacing w:after="0"/>
              <w:rPr>
                <w:sz w:val="20"/>
                <w:szCs w:val="20"/>
                <w:color w:val="auto"/>
              </w:rPr>
            </w:pPr>
            <w:r>
              <w:rPr>
                <w:rFonts w:ascii="Arial" w:cs="Arial" w:eastAsia="Arial" w:hAnsi="Arial"/>
                <w:sz w:val="18"/>
                <w:szCs w:val="18"/>
                <w:color w:val="auto"/>
                <w:w w:val="92"/>
              </w:rPr>
              <w:t>654,422</w:t>
            </w:r>
          </w:p>
        </w:tc>
        <w:tc>
          <w:tcPr>
            <w:tcW w:w="1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00" w:type="dxa"/>
            <w:vAlign w:val="bottom"/>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6"/>
              </w:rPr>
              <w:t>626,404</w:t>
            </w:r>
          </w:p>
        </w:tc>
        <w:tc>
          <w:tcPr>
            <w:tcW w:w="140" w:type="dxa"/>
            <w:vAlign w:val="bottom"/>
            <w:shd w:val="clear" w:color="auto" w:fill="CCEEFF"/>
          </w:tcPr>
          <w:p>
            <w:pPr>
              <w:spacing w:after="0"/>
              <w:rPr>
                <w:sz w:val="18"/>
                <w:szCs w:val="18"/>
                <w:color w:val="auto"/>
              </w:rPr>
            </w:pPr>
          </w:p>
        </w:tc>
        <w:tc>
          <w:tcPr>
            <w:tcW w:w="6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20"/>
                <w:szCs w:val="20"/>
                <w:color w:val="auto"/>
              </w:rPr>
            </w:pPr>
            <w:r>
              <w:rPr>
                <w:rFonts w:ascii="Arial" w:cs="Arial" w:eastAsia="Arial" w:hAnsi="Arial"/>
                <w:sz w:val="18"/>
                <w:szCs w:val="18"/>
                <w:color w:val="auto"/>
              </w:rPr>
              <w:t>$</w:t>
            </w:r>
          </w:p>
        </w:tc>
        <w:tc>
          <w:tcPr>
            <w:tcW w:w="6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9"/>
              </w:rPr>
              <w:t>674,890</w:t>
            </w:r>
          </w:p>
        </w:tc>
        <w:tc>
          <w:tcPr>
            <w:tcW w:w="140" w:type="dxa"/>
            <w:vAlign w:val="bottom"/>
            <w:shd w:val="clear" w:color="auto" w:fill="CCEEFF"/>
          </w:tcPr>
          <w:p>
            <w:pPr>
              <w:spacing w:after="0"/>
              <w:rPr>
                <w:sz w:val="18"/>
                <w:szCs w:val="18"/>
                <w:color w:val="auto"/>
              </w:rPr>
            </w:pPr>
          </w:p>
        </w:tc>
        <w:tc>
          <w:tcPr>
            <w:tcW w:w="60" w:type="dxa"/>
            <w:vAlign w:val="bottom"/>
            <w:shd w:val="clear" w:color="auto" w:fill="CCEEFF"/>
          </w:tcPr>
          <w:p>
            <w:pPr>
              <w:spacing w:after="0"/>
              <w:rPr>
                <w:sz w:val="18"/>
                <w:szCs w:val="18"/>
                <w:color w:val="auto"/>
              </w:rPr>
            </w:pPr>
          </w:p>
        </w:tc>
        <w:tc>
          <w:tcPr>
            <w:tcW w:w="1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72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7"/>
              </w:rPr>
              <w:t>1,821,648</w:t>
            </w:r>
          </w:p>
        </w:tc>
        <w:tc>
          <w:tcPr>
            <w:tcW w:w="1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74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9"/>
              </w:rPr>
              <w:t>2,109,670</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540" w:type="dxa"/>
            <w:vAlign w:val="bottom"/>
          </w:tcPr>
          <w:p>
            <w:pPr>
              <w:spacing w:after="0"/>
              <w:rPr>
                <w:sz w:val="20"/>
                <w:szCs w:val="20"/>
                <w:color w:val="auto"/>
              </w:rPr>
            </w:pPr>
            <w:r>
              <w:rPr>
                <w:rFonts w:ascii="Arial" w:cs="Arial" w:eastAsia="Arial" w:hAnsi="Arial"/>
                <w:sz w:val="18"/>
                <w:szCs w:val="18"/>
                <w:color w:val="auto"/>
              </w:rPr>
              <w:t>Cost of goods sold</w:t>
            </w:r>
          </w:p>
        </w:tc>
        <w:tc>
          <w:tcPr>
            <w:tcW w:w="114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620" w:type="dxa"/>
            <w:vAlign w:val="bottom"/>
          </w:tcPr>
          <w:p>
            <w:pPr>
              <w:jc w:val="right"/>
              <w:spacing w:after="0"/>
              <w:rPr>
                <w:sz w:val="20"/>
                <w:szCs w:val="20"/>
                <w:color w:val="auto"/>
              </w:rPr>
            </w:pPr>
            <w:r>
              <w:rPr>
                <w:rFonts w:ascii="Arial" w:cs="Arial" w:eastAsia="Arial" w:hAnsi="Arial"/>
                <w:sz w:val="18"/>
                <w:szCs w:val="18"/>
                <w:color w:val="auto"/>
                <w:w w:val="92"/>
              </w:rPr>
              <w:t>286,063</w:t>
            </w:r>
          </w:p>
        </w:tc>
        <w:tc>
          <w:tcPr>
            <w:tcW w:w="1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20" w:type="dxa"/>
            <w:vAlign w:val="bottom"/>
            <w:gridSpan w:val="2"/>
          </w:tcPr>
          <w:p>
            <w:pPr>
              <w:jc w:val="right"/>
              <w:ind w:right="140"/>
              <w:spacing w:after="0"/>
              <w:rPr>
                <w:sz w:val="20"/>
                <w:szCs w:val="20"/>
                <w:color w:val="auto"/>
              </w:rPr>
            </w:pPr>
            <w:r>
              <w:rPr>
                <w:rFonts w:ascii="Arial" w:cs="Arial" w:eastAsia="Arial" w:hAnsi="Arial"/>
                <w:sz w:val="18"/>
                <w:szCs w:val="18"/>
                <w:color w:val="auto"/>
                <w:w w:val="86"/>
              </w:rPr>
              <w:t>287,608</w:t>
            </w:r>
          </w:p>
        </w:tc>
        <w:tc>
          <w:tcPr>
            <w:tcW w:w="6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740" w:type="dxa"/>
            <w:vAlign w:val="bottom"/>
            <w:gridSpan w:val="2"/>
          </w:tcPr>
          <w:p>
            <w:pPr>
              <w:jc w:val="right"/>
              <w:ind w:right="60"/>
              <w:spacing w:after="0"/>
              <w:rPr>
                <w:sz w:val="20"/>
                <w:szCs w:val="20"/>
                <w:color w:val="auto"/>
              </w:rPr>
            </w:pPr>
            <w:r>
              <w:rPr>
                <w:rFonts w:ascii="Arial" w:cs="Arial" w:eastAsia="Arial" w:hAnsi="Arial"/>
                <w:sz w:val="18"/>
                <w:szCs w:val="18"/>
                <w:color w:val="auto"/>
                <w:w w:val="89"/>
              </w:rPr>
              <w:t>379,254</w:t>
            </w:r>
          </w:p>
        </w:tc>
        <w:tc>
          <w:tcPr>
            <w:tcW w:w="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820" w:type="dxa"/>
            <w:vAlign w:val="bottom"/>
            <w:gridSpan w:val="2"/>
          </w:tcPr>
          <w:p>
            <w:pPr>
              <w:jc w:val="right"/>
              <w:ind w:right="100"/>
              <w:spacing w:after="0"/>
              <w:rPr>
                <w:sz w:val="20"/>
                <w:szCs w:val="20"/>
                <w:color w:val="auto"/>
              </w:rPr>
            </w:pPr>
            <w:r>
              <w:rPr>
                <w:rFonts w:ascii="Arial" w:cs="Arial" w:eastAsia="Arial" w:hAnsi="Arial"/>
                <w:sz w:val="18"/>
                <w:szCs w:val="18"/>
                <w:color w:val="auto"/>
              </w:rPr>
              <w:t>832,881</w:t>
            </w:r>
          </w:p>
        </w:tc>
        <w:tc>
          <w:tcPr>
            <w:tcW w:w="1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840" w:type="dxa"/>
            <w:vAlign w:val="bottom"/>
            <w:gridSpan w:val="2"/>
          </w:tcPr>
          <w:p>
            <w:pPr>
              <w:jc w:val="right"/>
              <w:ind w:right="20"/>
              <w:spacing w:after="0"/>
              <w:rPr>
                <w:sz w:val="20"/>
                <w:szCs w:val="20"/>
                <w:color w:val="auto"/>
              </w:rPr>
            </w:pPr>
            <w:r>
              <w:rPr>
                <w:rFonts w:ascii="Arial" w:cs="Arial" w:eastAsia="Arial" w:hAnsi="Arial"/>
                <w:sz w:val="18"/>
                <w:szCs w:val="18"/>
                <w:color w:val="auto"/>
                <w:w w:val="89"/>
              </w:rPr>
              <w:t>1,192,126</w:t>
            </w:r>
          </w:p>
        </w:tc>
        <w:tc>
          <w:tcPr>
            <w:tcW w:w="0" w:type="dxa"/>
            <w:vAlign w:val="bottom"/>
          </w:tcPr>
          <w:p>
            <w:pPr>
              <w:spacing w:after="0"/>
              <w:rPr>
                <w:sz w:val="1"/>
                <w:szCs w:val="1"/>
                <w:color w:val="auto"/>
              </w:rPr>
            </w:pPr>
          </w:p>
        </w:tc>
      </w:tr>
      <w:tr>
        <w:trPr>
          <w:trHeight w:val="27"/>
        </w:trPr>
        <w:tc>
          <w:tcPr>
            <w:tcW w:w="20" w:type="dxa"/>
            <w:vAlign w:val="bottom"/>
            <w:vMerge w:val="restart"/>
          </w:tcPr>
          <w:p>
            <w:pPr>
              <w:spacing w:after="0"/>
              <w:rPr>
                <w:sz w:val="2"/>
                <w:szCs w:val="2"/>
                <w:color w:val="auto"/>
              </w:rPr>
            </w:pPr>
          </w:p>
        </w:tc>
        <w:tc>
          <w:tcPr>
            <w:tcW w:w="5540" w:type="dxa"/>
            <w:vAlign w:val="bottom"/>
          </w:tcPr>
          <w:p>
            <w:pPr>
              <w:spacing w:after="0"/>
              <w:rPr>
                <w:sz w:val="2"/>
                <w:szCs w:val="2"/>
                <w:color w:val="auto"/>
              </w:rPr>
            </w:pPr>
          </w:p>
        </w:tc>
        <w:tc>
          <w:tcPr>
            <w:tcW w:w="1140" w:type="dxa"/>
            <w:vAlign w:val="bottom"/>
          </w:tcPr>
          <w:p>
            <w:pPr>
              <w:spacing w:after="0"/>
              <w:rPr>
                <w:sz w:val="2"/>
                <w:szCs w:val="2"/>
                <w:color w:val="auto"/>
              </w:rPr>
            </w:pPr>
          </w:p>
        </w:tc>
        <w:tc>
          <w:tcPr>
            <w:tcW w:w="120" w:type="dxa"/>
            <w:vAlign w:val="bottom"/>
            <w:shd w:val="clear" w:color="auto" w:fill="000000"/>
          </w:tcPr>
          <w:p>
            <w:pPr>
              <w:spacing w:after="0"/>
              <w:rPr>
                <w:sz w:val="2"/>
                <w:szCs w:val="2"/>
                <w:color w:val="auto"/>
              </w:rPr>
            </w:pPr>
          </w:p>
        </w:tc>
        <w:tc>
          <w:tcPr>
            <w:tcW w:w="620" w:type="dxa"/>
            <w:vAlign w:val="bottom"/>
            <w:shd w:val="clear" w:color="auto" w:fill="000000"/>
          </w:tcPr>
          <w:p>
            <w:pPr>
              <w:spacing w:after="0"/>
              <w:rPr>
                <w:sz w:val="2"/>
                <w:szCs w:val="2"/>
                <w:color w:val="auto"/>
              </w:rPr>
            </w:pPr>
          </w:p>
        </w:tc>
        <w:tc>
          <w:tcPr>
            <w:tcW w:w="100" w:type="dxa"/>
            <w:vAlign w:val="bottom"/>
          </w:tcPr>
          <w:p>
            <w:pPr>
              <w:spacing w:after="0"/>
              <w:rPr>
                <w:sz w:val="2"/>
                <w:szCs w:val="2"/>
                <w:color w:val="auto"/>
              </w:rPr>
            </w:pPr>
          </w:p>
        </w:tc>
        <w:tc>
          <w:tcPr>
            <w:tcW w:w="10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580" w:type="dxa"/>
            <w:vAlign w:val="bottom"/>
            <w:shd w:val="clear" w:color="auto" w:fill="000000"/>
          </w:tcPr>
          <w:p>
            <w:pPr>
              <w:spacing w:after="0"/>
              <w:rPr>
                <w:sz w:val="2"/>
                <w:szCs w:val="2"/>
                <w:color w:val="auto"/>
              </w:rPr>
            </w:pPr>
          </w:p>
        </w:tc>
        <w:tc>
          <w:tcPr>
            <w:tcW w:w="140" w:type="dxa"/>
            <w:vAlign w:val="bottom"/>
          </w:tcPr>
          <w:p>
            <w:pPr>
              <w:spacing w:after="0"/>
              <w:rPr>
                <w:sz w:val="2"/>
                <w:szCs w:val="2"/>
                <w:color w:val="auto"/>
              </w:rPr>
            </w:pPr>
          </w:p>
        </w:tc>
        <w:tc>
          <w:tcPr>
            <w:tcW w:w="60" w:type="dxa"/>
            <w:vAlign w:val="bottom"/>
          </w:tcPr>
          <w:p>
            <w:pPr>
              <w:spacing w:after="0"/>
              <w:rPr>
                <w:sz w:val="2"/>
                <w:szCs w:val="2"/>
                <w:color w:val="auto"/>
              </w:rPr>
            </w:pPr>
          </w:p>
        </w:tc>
        <w:tc>
          <w:tcPr>
            <w:tcW w:w="140" w:type="dxa"/>
            <w:vAlign w:val="bottom"/>
            <w:shd w:val="clear" w:color="auto" w:fill="000000"/>
          </w:tcPr>
          <w:p>
            <w:pPr>
              <w:spacing w:after="0"/>
              <w:rPr>
                <w:sz w:val="2"/>
                <w:szCs w:val="2"/>
                <w:color w:val="auto"/>
              </w:rPr>
            </w:pPr>
          </w:p>
        </w:tc>
        <w:tc>
          <w:tcPr>
            <w:tcW w:w="600" w:type="dxa"/>
            <w:vAlign w:val="bottom"/>
            <w:shd w:val="clear" w:color="auto" w:fill="000000"/>
          </w:tcPr>
          <w:p>
            <w:pPr>
              <w:spacing w:after="0"/>
              <w:rPr>
                <w:sz w:val="2"/>
                <w:szCs w:val="2"/>
                <w:color w:val="auto"/>
              </w:rPr>
            </w:pPr>
          </w:p>
        </w:tc>
        <w:tc>
          <w:tcPr>
            <w:tcW w:w="140" w:type="dxa"/>
            <w:vAlign w:val="bottom"/>
          </w:tcPr>
          <w:p>
            <w:pPr>
              <w:spacing w:after="0"/>
              <w:rPr>
                <w:sz w:val="2"/>
                <w:szCs w:val="2"/>
                <w:color w:val="auto"/>
              </w:rPr>
            </w:pPr>
          </w:p>
        </w:tc>
        <w:tc>
          <w:tcPr>
            <w:tcW w:w="6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720" w:type="dxa"/>
            <w:vAlign w:val="bottom"/>
            <w:shd w:val="clear" w:color="auto" w:fill="000000"/>
          </w:tcPr>
          <w:p>
            <w:pPr>
              <w:spacing w:after="0"/>
              <w:rPr>
                <w:sz w:val="2"/>
                <w:szCs w:val="2"/>
                <w:color w:val="auto"/>
              </w:rPr>
            </w:pPr>
          </w:p>
        </w:tc>
        <w:tc>
          <w:tcPr>
            <w:tcW w:w="100" w:type="dxa"/>
            <w:vAlign w:val="bottom"/>
          </w:tcPr>
          <w:p>
            <w:pPr>
              <w:spacing w:after="0"/>
              <w:rPr>
                <w:sz w:val="2"/>
                <w:szCs w:val="2"/>
                <w:color w:val="auto"/>
              </w:rPr>
            </w:pPr>
          </w:p>
        </w:tc>
        <w:tc>
          <w:tcPr>
            <w:tcW w:w="10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740" w:type="dxa"/>
            <w:vAlign w:val="bottom"/>
            <w:shd w:val="clear" w:color="auto" w:fill="000000"/>
          </w:tcPr>
          <w:p>
            <w:pPr>
              <w:spacing w:after="0"/>
              <w:rPr>
                <w:sz w:val="2"/>
                <w:szCs w:val="2"/>
                <w:color w:val="auto"/>
              </w:rPr>
            </w:pPr>
          </w:p>
        </w:tc>
        <w:tc>
          <w:tcPr>
            <w:tcW w:w="10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16"/>
        </w:trPr>
        <w:tc>
          <w:tcPr>
            <w:tcW w:w="20" w:type="dxa"/>
            <w:vAlign w:val="bottom"/>
            <w:vMerge w:val="continue"/>
          </w:tcPr>
          <w:p>
            <w:pPr>
              <w:spacing w:after="0"/>
              <w:rPr>
                <w:sz w:val="18"/>
                <w:szCs w:val="18"/>
                <w:color w:val="auto"/>
              </w:rPr>
            </w:pPr>
          </w:p>
        </w:tc>
        <w:tc>
          <w:tcPr>
            <w:tcW w:w="5540" w:type="dxa"/>
            <w:vAlign w:val="bottom"/>
            <w:shd w:val="clear" w:color="auto" w:fill="CCEEFF"/>
          </w:tcPr>
          <w:p>
            <w:pPr>
              <w:spacing w:after="0"/>
              <w:rPr>
                <w:sz w:val="20"/>
                <w:szCs w:val="20"/>
                <w:color w:val="auto"/>
              </w:rPr>
            </w:pPr>
            <w:r>
              <w:rPr>
                <w:rFonts w:ascii="Arial" w:cs="Arial" w:eastAsia="Arial" w:hAnsi="Arial"/>
                <w:sz w:val="18"/>
                <w:szCs w:val="18"/>
                <w:color w:val="auto"/>
              </w:rPr>
              <w:t>Gross profit</w:t>
            </w:r>
          </w:p>
        </w:tc>
        <w:tc>
          <w:tcPr>
            <w:tcW w:w="114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620" w:type="dxa"/>
            <w:vAlign w:val="bottom"/>
            <w:shd w:val="clear" w:color="auto" w:fill="CCEEFF"/>
          </w:tcPr>
          <w:p>
            <w:pPr>
              <w:jc w:val="right"/>
              <w:spacing w:after="0"/>
              <w:rPr>
                <w:sz w:val="20"/>
                <w:szCs w:val="20"/>
                <w:color w:val="auto"/>
              </w:rPr>
            </w:pPr>
            <w:r>
              <w:rPr>
                <w:rFonts w:ascii="Arial" w:cs="Arial" w:eastAsia="Arial" w:hAnsi="Arial"/>
                <w:sz w:val="18"/>
                <w:szCs w:val="18"/>
                <w:color w:val="auto"/>
                <w:w w:val="92"/>
              </w:rPr>
              <w:t>368,359</w:t>
            </w:r>
          </w:p>
        </w:tc>
        <w:tc>
          <w:tcPr>
            <w:tcW w:w="1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20" w:type="dxa"/>
            <w:vAlign w:val="bottom"/>
            <w:gridSpan w:val="2"/>
            <w:shd w:val="clear" w:color="auto" w:fill="CCEEFF"/>
          </w:tcPr>
          <w:p>
            <w:pPr>
              <w:jc w:val="right"/>
              <w:ind w:right="140"/>
              <w:spacing w:after="0"/>
              <w:rPr>
                <w:sz w:val="20"/>
                <w:szCs w:val="20"/>
                <w:color w:val="auto"/>
              </w:rPr>
            </w:pPr>
            <w:r>
              <w:rPr>
                <w:rFonts w:ascii="Arial" w:cs="Arial" w:eastAsia="Arial" w:hAnsi="Arial"/>
                <w:sz w:val="18"/>
                <w:szCs w:val="18"/>
                <w:color w:val="auto"/>
                <w:w w:val="86"/>
              </w:rPr>
              <w:t>338,796</w:t>
            </w:r>
          </w:p>
        </w:tc>
        <w:tc>
          <w:tcPr>
            <w:tcW w:w="6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74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w w:val="89"/>
              </w:rPr>
              <w:t>295,636</w:t>
            </w:r>
          </w:p>
        </w:tc>
        <w:tc>
          <w:tcPr>
            <w:tcW w:w="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2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988,767</w:t>
            </w:r>
          </w:p>
        </w:tc>
        <w:tc>
          <w:tcPr>
            <w:tcW w:w="1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4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color w:val="auto"/>
              </w:rPr>
              <w:t>917,544</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540" w:type="dxa"/>
            <w:vAlign w:val="bottom"/>
          </w:tcPr>
          <w:p>
            <w:pPr>
              <w:spacing w:after="0"/>
              <w:rPr>
                <w:sz w:val="20"/>
                <w:szCs w:val="20"/>
                <w:color w:val="auto"/>
              </w:rPr>
            </w:pPr>
            <w:r>
              <w:rPr>
                <w:rFonts w:ascii="Arial" w:cs="Arial" w:eastAsia="Arial" w:hAnsi="Arial"/>
                <w:sz w:val="18"/>
                <w:szCs w:val="18"/>
                <w:color w:val="auto"/>
              </w:rPr>
              <w:t>Operating expenses:</w:t>
            </w:r>
          </w:p>
        </w:tc>
        <w:tc>
          <w:tcPr>
            <w:tcW w:w="114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6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6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60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540" w:type="dxa"/>
            <w:vAlign w:val="bottom"/>
            <w:shd w:val="clear" w:color="auto" w:fill="CCEEFF"/>
          </w:tcPr>
          <w:p>
            <w:pPr>
              <w:ind w:left="340"/>
              <w:spacing w:after="0"/>
              <w:rPr>
                <w:sz w:val="20"/>
                <w:szCs w:val="20"/>
                <w:color w:val="auto"/>
              </w:rPr>
            </w:pPr>
            <w:r>
              <w:rPr>
                <w:rFonts w:ascii="Arial" w:cs="Arial" w:eastAsia="Arial" w:hAnsi="Arial"/>
                <w:sz w:val="18"/>
                <w:szCs w:val="18"/>
                <w:color w:val="auto"/>
              </w:rPr>
              <w:t>Research and development</w:t>
            </w:r>
          </w:p>
        </w:tc>
        <w:tc>
          <w:tcPr>
            <w:tcW w:w="114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72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w w:val="92"/>
              </w:rPr>
              <w:t>223,519</w:t>
            </w:r>
          </w:p>
        </w:tc>
        <w:tc>
          <w:tcPr>
            <w:tcW w:w="1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20" w:type="dxa"/>
            <w:vAlign w:val="bottom"/>
            <w:gridSpan w:val="2"/>
            <w:shd w:val="clear" w:color="auto" w:fill="CCEEFF"/>
          </w:tcPr>
          <w:p>
            <w:pPr>
              <w:jc w:val="right"/>
              <w:ind w:right="140"/>
              <w:spacing w:after="0"/>
              <w:rPr>
                <w:sz w:val="20"/>
                <w:szCs w:val="20"/>
                <w:color w:val="auto"/>
              </w:rPr>
            </w:pPr>
            <w:r>
              <w:rPr>
                <w:rFonts w:ascii="Arial" w:cs="Arial" w:eastAsia="Arial" w:hAnsi="Arial"/>
                <w:sz w:val="18"/>
                <w:szCs w:val="18"/>
                <w:color w:val="auto"/>
                <w:w w:val="86"/>
              </w:rPr>
              <w:t>228,562</w:t>
            </w:r>
          </w:p>
        </w:tc>
        <w:tc>
          <w:tcPr>
            <w:tcW w:w="6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74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w w:val="89"/>
              </w:rPr>
              <w:t>284,308</w:t>
            </w:r>
          </w:p>
        </w:tc>
        <w:tc>
          <w:tcPr>
            <w:tcW w:w="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2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693,352</w:t>
            </w:r>
          </w:p>
        </w:tc>
        <w:tc>
          <w:tcPr>
            <w:tcW w:w="1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4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color w:val="auto"/>
              </w:rPr>
              <w:t>861,743</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540" w:type="dxa"/>
            <w:vAlign w:val="bottom"/>
          </w:tcPr>
          <w:p>
            <w:pPr>
              <w:ind w:left="340"/>
              <w:spacing w:after="0"/>
              <w:rPr>
                <w:sz w:val="20"/>
                <w:szCs w:val="20"/>
                <w:color w:val="auto"/>
              </w:rPr>
            </w:pPr>
            <w:r>
              <w:rPr>
                <w:rFonts w:ascii="Arial" w:cs="Arial" w:eastAsia="Arial" w:hAnsi="Arial"/>
                <w:sz w:val="18"/>
                <w:szCs w:val="18"/>
                <w:color w:val="auto"/>
              </w:rPr>
              <w:t>Selling and marketing</w:t>
            </w:r>
          </w:p>
        </w:tc>
        <w:tc>
          <w:tcPr>
            <w:tcW w:w="114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720" w:type="dxa"/>
            <w:vAlign w:val="bottom"/>
            <w:gridSpan w:val="2"/>
          </w:tcPr>
          <w:p>
            <w:pPr>
              <w:jc w:val="right"/>
              <w:ind w:right="100"/>
              <w:spacing w:after="0"/>
              <w:rPr>
                <w:sz w:val="20"/>
                <w:szCs w:val="20"/>
                <w:color w:val="auto"/>
              </w:rPr>
            </w:pPr>
            <w:r>
              <w:rPr>
                <w:rFonts w:ascii="Arial" w:cs="Arial" w:eastAsia="Arial" w:hAnsi="Arial"/>
                <w:sz w:val="18"/>
                <w:szCs w:val="18"/>
                <w:color w:val="auto"/>
              </w:rPr>
              <w:t>30,576</w:t>
            </w:r>
          </w:p>
        </w:tc>
        <w:tc>
          <w:tcPr>
            <w:tcW w:w="1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20" w:type="dxa"/>
            <w:vAlign w:val="bottom"/>
            <w:gridSpan w:val="2"/>
          </w:tcPr>
          <w:p>
            <w:pPr>
              <w:jc w:val="right"/>
              <w:ind w:right="140"/>
              <w:spacing w:after="0"/>
              <w:rPr>
                <w:sz w:val="20"/>
                <w:szCs w:val="20"/>
                <w:color w:val="auto"/>
              </w:rPr>
            </w:pPr>
            <w:r>
              <w:rPr>
                <w:rFonts w:ascii="Arial" w:cs="Arial" w:eastAsia="Arial" w:hAnsi="Arial"/>
                <w:sz w:val="18"/>
                <w:szCs w:val="18"/>
                <w:color w:val="auto"/>
              </w:rPr>
              <w:t>31,094</w:t>
            </w:r>
          </w:p>
        </w:tc>
        <w:tc>
          <w:tcPr>
            <w:tcW w:w="6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740" w:type="dxa"/>
            <w:vAlign w:val="bottom"/>
            <w:gridSpan w:val="2"/>
          </w:tcPr>
          <w:p>
            <w:pPr>
              <w:jc w:val="right"/>
              <w:ind w:right="60"/>
              <w:spacing w:after="0"/>
              <w:rPr>
                <w:sz w:val="20"/>
                <w:szCs w:val="20"/>
                <w:color w:val="auto"/>
              </w:rPr>
            </w:pPr>
            <w:r>
              <w:rPr>
                <w:rFonts w:ascii="Arial" w:cs="Arial" w:eastAsia="Arial" w:hAnsi="Arial"/>
                <w:sz w:val="18"/>
                <w:szCs w:val="18"/>
                <w:color w:val="auto"/>
              </w:rPr>
              <w:t>32,481</w:t>
            </w:r>
          </w:p>
        </w:tc>
        <w:tc>
          <w:tcPr>
            <w:tcW w:w="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820" w:type="dxa"/>
            <w:vAlign w:val="bottom"/>
            <w:gridSpan w:val="2"/>
          </w:tcPr>
          <w:p>
            <w:pPr>
              <w:jc w:val="right"/>
              <w:ind w:right="100"/>
              <w:spacing w:after="0"/>
              <w:rPr>
                <w:sz w:val="20"/>
                <w:szCs w:val="20"/>
                <w:color w:val="auto"/>
              </w:rPr>
            </w:pPr>
            <w:r>
              <w:rPr>
                <w:rFonts w:ascii="Arial" w:cs="Arial" w:eastAsia="Arial" w:hAnsi="Arial"/>
                <w:sz w:val="18"/>
                <w:szCs w:val="18"/>
                <w:color w:val="auto"/>
              </w:rPr>
              <w:t>93,049</w:t>
            </w:r>
          </w:p>
        </w:tc>
        <w:tc>
          <w:tcPr>
            <w:tcW w:w="1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840" w:type="dxa"/>
            <w:vAlign w:val="bottom"/>
            <w:gridSpan w:val="2"/>
          </w:tcPr>
          <w:p>
            <w:pPr>
              <w:jc w:val="right"/>
              <w:ind w:right="20"/>
              <w:spacing w:after="0"/>
              <w:rPr>
                <w:sz w:val="20"/>
                <w:szCs w:val="20"/>
                <w:color w:val="auto"/>
              </w:rPr>
            </w:pPr>
            <w:r>
              <w:rPr>
                <w:rFonts w:ascii="Arial" w:cs="Arial" w:eastAsia="Arial" w:hAnsi="Arial"/>
                <w:sz w:val="18"/>
                <w:szCs w:val="18"/>
                <w:color w:val="auto"/>
              </w:rPr>
              <w:t>99,496</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540" w:type="dxa"/>
            <w:vAlign w:val="bottom"/>
            <w:shd w:val="clear" w:color="auto" w:fill="CCEEFF"/>
          </w:tcPr>
          <w:p>
            <w:pPr>
              <w:ind w:left="340"/>
              <w:spacing w:after="0"/>
              <w:rPr>
                <w:sz w:val="20"/>
                <w:szCs w:val="20"/>
                <w:color w:val="auto"/>
              </w:rPr>
            </w:pPr>
            <w:r>
              <w:rPr>
                <w:rFonts w:ascii="Arial" w:cs="Arial" w:eastAsia="Arial" w:hAnsi="Arial"/>
                <w:sz w:val="18"/>
                <w:szCs w:val="18"/>
                <w:color w:val="auto"/>
              </w:rPr>
              <w:t>General and administrative</w:t>
            </w:r>
          </w:p>
        </w:tc>
        <w:tc>
          <w:tcPr>
            <w:tcW w:w="114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72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29,012</w:t>
            </w:r>
          </w:p>
        </w:tc>
        <w:tc>
          <w:tcPr>
            <w:tcW w:w="1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20" w:type="dxa"/>
            <w:vAlign w:val="bottom"/>
            <w:gridSpan w:val="2"/>
            <w:shd w:val="clear" w:color="auto" w:fill="CCEEFF"/>
          </w:tcPr>
          <w:p>
            <w:pPr>
              <w:jc w:val="right"/>
              <w:ind w:right="140"/>
              <w:spacing w:after="0"/>
              <w:rPr>
                <w:sz w:val="20"/>
                <w:szCs w:val="20"/>
                <w:color w:val="auto"/>
              </w:rPr>
            </w:pPr>
            <w:r>
              <w:rPr>
                <w:rFonts w:ascii="Arial" w:cs="Arial" w:eastAsia="Arial" w:hAnsi="Arial"/>
                <w:sz w:val="18"/>
                <w:szCs w:val="18"/>
                <w:color w:val="auto"/>
              </w:rPr>
              <w:t>37,173</w:t>
            </w:r>
          </w:p>
        </w:tc>
        <w:tc>
          <w:tcPr>
            <w:tcW w:w="6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74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34,771</w:t>
            </w:r>
          </w:p>
        </w:tc>
        <w:tc>
          <w:tcPr>
            <w:tcW w:w="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2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101,808</w:t>
            </w:r>
          </w:p>
        </w:tc>
        <w:tc>
          <w:tcPr>
            <w:tcW w:w="1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4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color w:val="auto"/>
              </w:rPr>
              <w:t>767,028</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540" w:type="dxa"/>
            <w:vAlign w:val="bottom"/>
          </w:tcPr>
          <w:p>
            <w:pPr>
              <w:ind w:left="340"/>
              <w:spacing w:after="0"/>
              <w:rPr>
                <w:sz w:val="20"/>
                <w:szCs w:val="20"/>
                <w:color w:val="auto"/>
              </w:rPr>
            </w:pPr>
            <w:r>
              <w:rPr>
                <w:rFonts w:ascii="Arial" w:cs="Arial" w:eastAsia="Arial" w:hAnsi="Arial"/>
                <w:sz w:val="18"/>
                <w:szCs w:val="18"/>
                <w:color w:val="auto"/>
              </w:rPr>
              <w:t>Amortization and write-off of acquired intangible assets</w:t>
            </w:r>
          </w:p>
        </w:tc>
        <w:tc>
          <w:tcPr>
            <w:tcW w:w="114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620" w:type="dxa"/>
            <w:vAlign w:val="bottom"/>
          </w:tcPr>
          <w:p>
            <w:pPr>
              <w:jc w:val="right"/>
              <w:spacing w:after="0"/>
              <w:rPr>
                <w:sz w:val="20"/>
                <w:szCs w:val="20"/>
                <w:color w:val="auto"/>
              </w:rPr>
            </w:pPr>
            <w:r>
              <w:rPr>
                <w:rFonts w:ascii="Arial" w:cs="Arial" w:eastAsia="Arial" w:hAnsi="Arial"/>
                <w:sz w:val="18"/>
                <w:szCs w:val="18"/>
                <w:color w:val="auto"/>
              </w:rPr>
              <w:t>2,299</w:t>
            </w:r>
          </w:p>
        </w:tc>
        <w:tc>
          <w:tcPr>
            <w:tcW w:w="1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20" w:type="dxa"/>
            <w:vAlign w:val="bottom"/>
            <w:gridSpan w:val="2"/>
          </w:tcPr>
          <w:p>
            <w:pPr>
              <w:jc w:val="right"/>
              <w:ind w:right="140"/>
              <w:spacing w:after="0"/>
              <w:rPr>
                <w:sz w:val="20"/>
                <w:szCs w:val="20"/>
                <w:color w:val="auto"/>
              </w:rPr>
            </w:pPr>
            <w:r>
              <w:rPr>
                <w:rFonts w:ascii="Arial" w:cs="Arial" w:eastAsia="Arial" w:hAnsi="Arial"/>
                <w:sz w:val="18"/>
                <w:szCs w:val="18"/>
                <w:color w:val="auto"/>
              </w:rPr>
              <w:t>2,461</w:t>
            </w:r>
          </w:p>
        </w:tc>
        <w:tc>
          <w:tcPr>
            <w:tcW w:w="6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740" w:type="dxa"/>
            <w:vAlign w:val="bottom"/>
            <w:gridSpan w:val="2"/>
          </w:tcPr>
          <w:p>
            <w:pPr>
              <w:jc w:val="right"/>
              <w:ind w:right="60"/>
              <w:spacing w:after="0"/>
              <w:rPr>
                <w:sz w:val="20"/>
                <w:szCs w:val="20"/>
                <w:color w:val="auto"/>
              </w:rPr>
            </w:pPr>
            <w:r>
              <w:rPr>
                <w:rFonts w:ascii="Arial" w:cs="Arial" w:eastAsia="Arial" w:hAnsi="Arial"/>
                <w:sz w:val="18"/>
                <w:szCs w:val="18"/>
                <w:color w:val="auto"/>
              </w:rPr>
              <w:t>3,150</w:t>
            </w:r>
          </w:p>
        </w:tc>
        <w:tc>
          <w:tcPr>
            <w:tcW w:w="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820" w:type="dxa"/>
            <w:vAlign w:val="bottom"/>
            <w:gridSpan w:val="2"/>
          </w:tcPr>
          <w:p>
            <w:pPr>
              <w:jc w:val="right"/>
              <w:ind w:right="100"/>
              <w:spacing w:after="0"/>
              <w:rPr>
                <w:sz w:val="20"/>
                <w:szCs w:val="20"/>
                <w:color w:val="auto"/>
              </w:rPr>
            </w:pPr>
            <w:r>
              <w:rPr>
                <w:rFonts w:ascii="Arial" w:cs="Arial" w:eastAsia="Arial" w:hAnsi="Arial"/>
                <w:sz w:val="18"/>
                <w:szCs w:val="18"/>
                <w:color w:val="auto"/>
              </w:rPr>
              <w:t>7,221</w:t>
            </w:r>
          </w:p>
        </w:tc>
        <w:tc>
          <w:tcPr>
            <w:tcW w:w="1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840" w:type="dxa"/>
            <w:vAlign w:val="bottom"/>
            <w:gridSpan w:val="2"/>
          </w:tcPr>
          <w:p>
            <w:pPr>
              <w:jc w:val="right"/>
              <w:ind w:right="20"/>
              <w:spacing w:after="0"/>
              <w:rPr>
                <w:sz w:val="20"/>
                <w:szCs w:val="20"/>
                <w:color w:val="auto"/>
              </w:rPr>
            </w:pPr>
            <w:r>
              <w:rPr>
                <w:rFonts w:ascii="Arial" w:cs="Arial" w:eastAsia="Arial" w:hAnsi="Arial"/>
                <w:sz w:val="18"/>
                <w:szCs w:val="18"/>
                <w:color w:val="auto"/>
              </w:rPr>
              <w:t>8,286</w:t>
            </w:r>
          </w:p>
        </w:tc>
        <w:tc>
          <w:tcPr>
            <w:tcW w:w="0" w:type="dxa"/>
            <w:vAlign w:val="bottom"/>
          </w:tcPr>
          <w:p>
            <w:pPr>
              <w:spacing w:after="0"/>
              <w:rPr>
                <w:sz w:val="1"/>
                <w:szCs w:val="1"/>
                <w:color w:val="auto"/>
              </w:rPr>
            </w:pPr>
          </w:p>
        </w:tc>
      </w:tr>
      <w:tr>
        <w:trPr>
          <w:trHeight w:val="27"/>
        </w:trPr>
        <w:tc>
          <w:tcPr>
            <w:tcW w:w="20" w:type="dxa"/>
            <w:vAlign w:val="bottom"/>
          </w:tcPr>
          <w:p>
            <w:pPr>
              <w:spacing w:after="0"/>
              <w:rPr>
                <w:sz w:val="2"/>
                <w:szCs w:val="2"/>
                <w:color w:val="auto"/>
              </w:rPr>
            </w:pPr>
          </w:p>
        </w:tc>
        <w:tc>
          <w:tcPr>
            <w:tcW w:w="5540" w:type="dxa"/>
            <w:vAlign w:val="bottom"/>
          </w:tcPr>
          <w:p>
            <w:pPr>
              <w:spacing w:after="0"/>
              <w:rPr>
                <w:sz w:val="2"/>
                <w:szCs w:val="2"/>
                <w:color w:val="auto"/>
              </w:rPr>
            </w:pPr>
          </w:p>
        </w:tc>
        <w:tc>
          <w:tcPr>
            <w:tcW w:w="1140" w:type="dxa"/>
            <w:vAlign w:val="bottom"/>
          </w:tcPr>
          <w:p>
            <w:pPr>
              <w:spacing w:after="0"/>
              <w:rPr>
                <w:sz w:val="2"/>
                <w:szCs w:val="2"/>
                <w:color w:val="auto"/>
              </w:rPr>
            </w:pPr>
          </w:p>
        </w:tc>
        <w:tc>
          <w:tcPr>
            <w:tcW w:w="120" w:type="dxa"/>
            <w:vAlign w:val="bottom"/>
            <w:shd w:val="clear" w:color="auto" w:fill="000000"/>
          </w:tcPr>
          <w:p>
            <w:pPr>
              <w:spacing w:after="0"/>
              <w:rPr>
                <w:sz w:val="2"/>
                <w:szCs w:val="2"/>
                <w:color w:val="auto"/>
              </w:rPr>
            </w:pPr>
          </w:p>
        </w:tc>
        <w:tc>
          <w:tcPr>
            <w:tcW w:w="620" w:type="dxa"/>
            <w:vAlign w:val="bottom"/>
            <w:shd w:val="clear" w:color="auto" w:fill="000000"/>
          </w:tcPr>
          <w:p>
            <w:pPr>
              <w:spacing w:after="0"/>
              <w:rPr>
                <w:sz w:val="2"/>
                <w:szCs w:val="2"/>
                <w:color w:val="auto"/>
              </w:rPr>
            </w:pPr>
          </w:p>
        </w:tc>
        <w:tc>
          <w:tcPr>
            <w:tcW w:w="100" w:type="dxa"/>
            <w:vAlign w:val="bottom"/>
          </w:tcPr>
          <w:p>
            <w:pPr>
              <w:spacing w:after="0"/>
              <w:rPr>
                <w:sz w:val="2"/>
                <w:szCs w:val="2"/>
                <w:color w:val="auto"/>
              </w:rPr>
            </w:pPr>
          </w:p>
        </w:tc>
        <w:tc>
          <w:tcPr>
            <w:tcW w:w="10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580" w:type="dxa"/>
            <w:vAlign w:val="bottom"/>
            <w:shd w:val="clear" w:color="auto" w:fill="000000"/>
          </w:tcPr>
          <w:p>
            <w:pPr>
              <w:spacing w:after="0"/>
              <w:rPr>
                <w:sz w:val="2"/>
                <w:szCs w:val="2"/>
                <w:color w:val="auto"/>
              </w:rPr>
            </w:pPr>
          </w:p>
        </w:tc>
        <w:tc>
          <w:tcPr>
            <w:tcW w:w="140" w:type="dxa"/>
            <w:vAlign w:val="bottom"/>
          </w:tcPr>
          <w:p>
            <w:pPr>
              <w:spacing w:after="0"/>
              <w:rPr>
                <w:sz w:val="2"/>
                <w:szCs w:val="2"/>
                <w:color w:val="auto"/>
              </w:rPr>
            </w:pPr>
          </w:p>
        </w:tc>
        <w:tc>
          <w:tcPr>
            <w:tcW w:w="60" w:type="dxa"/>
            <w:vAlign w:val="bottom"/>
          </w:tcPr>
          <w:p>
            <w:pPr>
              <w:spacing w:after="0"/>
              <w:rPr>
                <w:sz w:val="2"/>
                <w:szCs w:val="2"/>
                <w:color w:val="auto"/>
              </w:rPr>
            </w:pPr>
          </w:p>
        </w:tc>
        <w:tc>
          <w:tcPr>
            <w:tcW w:w="140" w:type="dxa"/>
            <w:vAlign w:val="bottom"/>
            <w:shd w:val="clear" w:color="auto" w:fill="000000"/>
          </w:tcPr>
          <w:p>
            <w:pPr>
              <w:spacing w:after="0"/>
              <w:rPr>
                <w:sz w:val="2"/>
                <w:szCs w:val="2"/>
                <w:color w:val="auto"/>
              </w:rPr>
            </w:pPr>
          </w:p>
        </w:tc>
        <w:tc>
          <w:tcPr>
            <w:tcW w:w="600" w:type="dxa"/>
            <w:vAlign w:val="bottom"/>
            <w:shd w:val="clear" w:color="auto" w:fill="000000"/>
          </w:tcPr>
          <w:p>
            <w:pPr>
              <w:spacing w:after="0"/>
              <w:rPr>
                <w:sz w:val="2"/>
                <w:szCs w:val="2"/>
                <w:color w:val="auto"/>
              </w:rPr>
            </w:pPr>
          </w:p>
        </w:tc>
        <w:tc>
          <w:tcPr>
            <w:tcW w:w="140" w:type="dxa"/>
            <w:vAlign w:val="bottom"/>
          </w:tcPr>
          <w:p>
            <w:pPr>
              <w:spacing w:after="0"/>
              <w:rPr>
                <w:sz w:val="2"/>
                <w:szCs w:val="2"/>
                <w:color w:val="auto"/>
              </w:rPr>
            </w:pPr>
          </w:p>
        </w:tc>
        <w:tc>
          <w:tcPr>
            <w:tcW w:w="6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720" w:type="dxa"/>
            <w:vAlign w:val="bottom"/>
            <w:shd w:val="clear" w:color="auto" w:fill="000000"/>
          </w:tcPr>
          <w:p>
            <w:pPr>
              <w:spacing w:after="0"/>
              <w:rPr>
                <w:sz w:val="2"/>
                <w:szCs w:val="2"/>
                <w:color w:val="auto"/>
              </w:rPr>
            </w:pPr>
          </w:p>
        </w:tc>
        <w:tc>
          <w:tcPr>
            <w:tcW w:w="100" w:type="dxa"/>
            <w:vAlign w:val="bottom"/>
          </w:tcPr>
          <w:p>
            <w:pPr>
              <w:spacing w:after="0"/>
              <w:rPr>
                <w:sz w:val="2"/>
                <w:szCs w:val="2"/>
                <w:color w:val="auto"/>
              </w:rPr>
            </w:pPr>
          </w:p>
        </w:tc>
        <w:tc>
          <w:tcPr>
            <w:tcW w:w="10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740" w:type="dxa"/>
            <w:vAlign w:val="bottom"/>
            <w:shd w:val="clear" w:color="auto" w:fill="000000"/>
          </w:tcPr>
          <w:p>
            <w:pPr>
              <w:spacing w:after="0"/>
              <w:rPr>
                <w:sz w:val="2"/>
                <w:szCs w:val="2"/>
                <w:color w:val="auto"/>
              </w:rPr>
            </w:pPr>
          </w:p>
        </w:tc>
        <w:tc>
          <w:tcPr>
            <w:tcW w:w="10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16"/>
        </w:trPr>
        <w:tc>
          <w:tcPr>
            <w:tcW w:w="20" w:type="dxa"/>
            <w:vAlign w:val="bottom"/>
          </w:tcPr>
          <w:p>
            <w:pPr>
              <w:spacing w:after="0"/>
              <w:rPr>
                <w:sz w:val="18"/>
                <w:szCs w:val="18"/>
                <w:color w:val="auto"/>
              </w:rPr>
            </w:pPr>
          </w:p>
        </w:tc>
        <w:tc>
          <w:tcPr>
            <w:tcW w:w="5540" w:type="dxa"/>
            <w:vAlign w:val="bottom"/>
            <w:shd w:val="clear" w:color="auto" w:fill="CCEEFF"/>
          </w:tcPr>
          <w:p>
            <w:pPr>
              <w:ind w:left="700"/>
              <w:spacing w:after="0"/>
              <w:rPr>
                <w:sz w:val="20"/>
                <w:szCs w:val="20"/>
                <w:color w:val="auto"/>
              </w:rPr>
            </w:pPr>
            <w:r>
              <w:rPr>
                <w:rFonts w:ascii="Arial" w:cs="Arial" w:eastAsia="Arial" w:hAnsi="Arial"/>
                <w:sz w:val="18"/>
                <w:szCs w:val="18"/>
                <w:color w:val="auto"/>
              </w:rPr>
              <w:t>Total operating expenses</w:t>
            </w:r>
          </w:p>
        </w:tc>
        <w:tc>
          <w:tcPr>
            <w:tcW w:w="114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620" w:type="dxa"/>
            <w:vAlign w:val="bottom"/>
            <w:shd w:val="clear" w:color="auto" w:fill="CCEEFF"/>
          </w:tcPr>
          <w:p>
            <w:pPr>
              <w:jc w:val="right"/>
              <w:spacing w:after="0"/>
              <w:rPr>
                <w:sz w:val="20"/>
                <w:szCs w:val="20"/>
                <w:color w:val="auto"/>
              </w:rPr>
            </w:pPr>
            <w:r>
              <w:rPr>
                <w:rFonts w:ascii="Arial" w:cs="Arial" w:eastAsia="Arial" w:hAnsi="Arial"/>
                <w:sz w:val="18"/>
                <w:szCs w:val="18"/>
                <w:color w:val="auto"/>
                <w:w w:val="92"/>
              </w:rPr>
              <w:t>285,406</w:t>
            </w:r>
          </w:p>
        </w:tc>
        <w:tc>
          <w:tcPr>
            <w:tcW w:w="1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20" w:type="dxa"/>
            <w:vAlign w:val="bottom"/>
            <w:gridSpan w:val="2"/>
            <w:shd w:val="clear" w:color="auto" w:fill="CCEEFF"/>
          </w:tcPr>
          <w:p>
            <w:pPr>
              <w:jc w:val="right"/>
              <w:ind w:right="140"/>
              <w:spacing w:after="0"/>
              <w:rPr>
                <w:sz w:val="20"/>
                <w:szCs w:val="20"/>
                <w:color w:val="auto"/>
              </w:rPr>
            </w:pPr>
            <w:r>
              <w:rPr>
                <w:rFonts w:ascii="Arial" w:cs="Arial" w:eastAsia="Arial" w:hAnsi="Arial"/>
                <w:sz w:val="18"/>
                <w:szCs w:val="18"/>
                <w:color w:val="auto"/>
                <w:w w:val="86"/>
              </w:rPr>
              <w:t>299,290</w:t>
            </w:r>
          </w:p>
        </w:tc>
        <w:tc>
          <w:tcPr>
            <w:tcW w:w="6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74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w w:val="89"/>
              </w:rPr>
              <w:t>354,710</w:t>
            </w:r>
          </w:p>
        </w:tc>
        <w:tc>
          <w:tcPr>
            <w:tcW w:w="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2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895,430</w:t>
            </w:r>
          </w:p>
        </w:tc>
        <w:tc>
          <w:tcPr>
            <w:tcW w:w="1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4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color w:val="auto"/>
                <w:w w:val="89"/>
              </w:rPr>
              <w:t>1,736,553</w:t>
            </w:r>
          </w:p>
        </w:tc>
        <w:tc>
          <w:tcPr>
            <w:tcW w:w="0" w:type="dxa"/>
            <w:vAlign w:val="bottom"/>
          </w:tcPr>
          <w:p>
            <w:pPr>
              <w:spacing w:after="0"/>
              <w:rPr>
                <w:sz w:val="1"/>
                <w:szCs w:val="1"/>
                <w:color w:val="auto"/>
              </w:rPr>
            </w:pPr>
          </w:p>
        </w:tc>
      </w:tr>
      <w:tr>
        <w:trPr>
          <w:trHeight w:val="223"/>
        </w:trPr>
        <w:tc>
          <w:tcPr>
            <w:tcW w:w="5560" w:type="dxa"/>
            <w:vAlign w:val="bottom"/>
            <w:gridSpan w:val="2"/>
          </w:tcPr>
          <w:p>
            <w:pPr>
              <w:spacing w:after="0"/>
              <w:rPr>
                <w:sz w:val="20"/>
                <w:szCs w:val="20"/>
                <w:color w:val="auto"/>
              </w:rPr>
            </w:pPr>
            <w:r>
              <w:rPr>
                <w:rFonts w:ascii="Arial" w:cs="Arial" w:eastAsia="Arial" w:hAnsi="Arial"/>
                <w:sz w:val="18"/>
                <w:szCs w:val="18"/>
                <w:color w:val="auto"/>
              </w:rPr>
              <w:t>Operating income (loss)</w:t>
            </w:r>
          </w:p>
        </w:tc>
        <w:tc>
          <w:tcPr>
            <w:tcW w:w="1140" w:type="dxa"/>
            <w:vAlign w:val="bottom"/>
          </w:tcPr>
          <w:p>
            <w:pPr>
              <w:spacing w:after="0"/>
              <w:rPr>
                <w:sz w:val="19"/>
                <w:szCs w:val="19"/>
                <w:color w:val="auto"/>
              </w:rPr>
            </w:pPr>
          </w:p>
        </w:tc>
        <w:tc>
          <w:tcPr>
            <w:tcW w:w="120" w:type="dxa"/>
            <w:vAlign w:val="bottom"/>
            <w:tcBorders>
              <w:top w:val="single" w:sz="8" w:color="auto"/>
            </w:tcBorders>
          </w:tcPr>
          <w:p>
            <w:pPr>
              <w:spacing w:after="0"/>
              <w:rPr>
                <w:sz w:val="19"/>
                <w:szCs w:val="19"/>
                <w:color w:val="auto"/>
              </w:rPr>
            </w:pPr>
          </w:p>
        </w:tc>
        <w:tc>
          <w:tcPr>
            <w:tcW w:w="62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rPr>
              <w:t>82,953</w:t>
            </w:r>
          </w:p>
        </w:tc>
        <w:tc>
          <w:tcPr>
            <w:tcW w:w="10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100" w:type="dxa"/>
            <w:vAlign w:val="bottom"/>
            <w:tcBorders>
              <w:top w:val="single" w:sz="8" w:color="auto"/>
            </w:tcBorders>
          </w:tcPr>
          <w:p>
            <w:pPr>
              <w:spacing w:after="0"/>
              <w:rPr>
                <w:sz w:val="19"/>
                <w:szCs w:val="19"/>
                <w:color w:val="auto"/>
              </w:rPr>
            </w:pPr>
          </w:p>
        </w:tc>
        <w:tc>
          <w:tcPr>
            <w:tcW w:w="58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rPr>
              <w:t>39,506</w:t>
            </w:r>
          </w:p>
        </w:tc>
        <w:tc>
          <w:tcPr>
            <w:tcW w:w="140" w:type="dxa"/>
            <w:vAlign w:val="bottom"/>
          </w:tcPr>
          <w:p>
            <w:pPr>
              <w:spacing w:after="0"/>
              <w:rPr>
                <w:sz w:val="19"/>
                <w:szCs w:val="19"/>
                <w:color w:val="auto"/>
              </w:rPr>
            </w:pPr>
          </w:p>
        </w:tc>
        <w:tc>
          <w:tcPr>
            <w:tcW w:w="60" w:type="dxa"/>
            <w:vAlign w:val="bottom"/>
          </w:tcPr>
          <w:p>
            <w:pPr>
              <w:spacing w:after="0"/>
              <w:rPr>
                <w:sz w:val="19"/>
                <w:szCs w:val="19"/>
                <w:color w:val="auto"/>
              </w:rPr>
            </w:pPr>
          </w:p>
        </w:tc>
        <w:tc>
          <w:tcPr>
            <w:tcW w:w="140" w:type="dxa"/>
            <w:vAlign w:val="bottom"/>
            <w:tcBorders>
              <w:top w:val="single" w:sz="8" w:color="auto"/>
            </w:tcBorders>
          </w:tcPr>
          <w:p>
            <w:pPr>
              <w:spacing w:after="0"/>
              <w:rPr>
                <w:sz w:val="19"/>
                <w:szCs w:val="19"/>
                <w:color w:val="auto"/>
              </w:rPr>
            </w:pPr>
          </w:p>
        </w:tc>
        <w:tc>
          <w:tcPr>
            <w:tcW w:w="60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w w:val="86"/>
              </w:rPr>
              <w:t>(59,074)</w:t>
            </w:r>
          </w:p>
        </w:tc>
        <w:tc>
          <w:tcPr>
            <w:tcW w:w="140" w:type="dxa"/>
            <w:vAlign w:val="bottom"/>
          </w:tcPr>
          <w:p>
            <w:pPr>
              <w:spacing w:after="0"/>
              <w:rPr>
                <w:sz w:val="19"/>
                <w:szCs w:val="19"/>
                <w:color w:val="auto"/>
              </w:rPr>
            </w:pPr>
          </w:p>
        </w:tc>
        <w:tc>
          <w:tcPr>
            <w:tcW w:w="60" w:type="dxa"/>
            <w:vAlign w:val="bottom"/>
          </w:tcPr>
          <w:p>
            <w:pPr>
              <w:spacing w:after="0"/>
              <w:rPr>
                <w:sz w:val="19"/>
                <w:szCs w:val="19"/>
                <w:color w:val="auto"/>
              </w:rPr>
            </w:pPr>
          </w:p>
        </w:tc>
        <w:tc>
          <w:tcPr>
            <w:tcW w:w="100" w:type="dxa"/>
            <w:vAlign w:val="bottom"/>
            <w:tcBorders>
              <w:top w:val="single" w:sz="8" w:color="auto"/>
            </w:tcBorders>
          </w:tcPr>
          <w:p>
            <w:pPr>
              <w:spacing w:after="0"/>
              <w:rPr>
                <w:sz w:val="19"/>
                <w:szCs w:val="19"/>
                <w:color w:val="auto"/>
              </w:rPr>
            </w:pPr>
          </w:p>
        </w:tc>
        <w:tc>
          <w:tcPr>
            <w:tcW w:w="72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rPr>
              <w:t>93,337</w:t>
            </w:r>
          </w:p>
        </w:tc>
        <w:tc>
          <w:tcPr>
            <w:tcW w:w="10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100" w:type="dxa"/>
            <w:vAlign w:val="bottom"/>
            <w:tcBorders>
              <w:top w:val="single" w:sz="8" w:color="auto"/>
            </w:tcBorders>
          </w:tcPr>
          <w:p>
            <w:pPr>
              <w:spacing w:after="0"/>
              <w:rPr>
                <w:sz w:val="19"/>
                <w:szCs w:val="19"/>
                <w:color w:val="auto"/>
              </w:rPr>
            </w:pPr>
          </w:p>
        </w:tc>
        <w:tc>
          <w:tcPr>
            <w:tcW w:w="74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w w:val="93"/>
              </w:rPr>
              <w:t>(819,009)</w:t>
            </w:r>
          </w:p>
        </w:tc>
        <w:tc>
          <w:tcPr>
            <w:tcW w:w="1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540" w:type="dxa"/>
            <w:vAlign w:val="bottom"/>
            <w:shd w:val="clear" w:color="auto" w:fill="CCEEFF"/>
          </w:tcPr>
          <w:p>
            <w:pPr>
              <w:spacing w:after="0"/>
              <w:rPr>
                <w:sz w:val="20"/>
                <w:szCs w:val="20"/>
                <w:color w:val="auto"/>
              </w:rPr>
            </w:pPr>
            <w:r>
              <w:rPr>
                <w:rFonts w:ascii="Arial" w:cs="Arial" w:eastAsia="Arial" w:hAnsi="Arial"/>
                <w:sz w:val="18"/>
                <w:szCs w:val="18"/>
                <w:color w:val="auto"/>
              </w:rPr>
              <w:t>Interest and other income, net</w:t>
            </w:r>
          </w:p>
        </w:tc>
        <w:tc>
          <w:tcPr>
            <w:tcW w:w="114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72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5,470</w:t>
            </w:r>
          </w:p>
        </w:tc>
        <w:tc>
          <w:tcPr>
            <w:tcW w:w="1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20" w:type="dxa"/>
            <w:vAlign w:val="bottom"/>
            <w:gridSpan w:val="2"/>
            <w:shd w:val="clear" w:color="auto" w:fill="CCEEFF"/>
          </w:tcPr>
          <w:p>
            <w:pPr>
              <w:jc w:val="right"/>
              <w:ind w:right="140"/>
              <w:spacing w:after="0"/>
              <w:rPr>
                <w:sz w:val="20"/>
                <w:szCs w:val="20"/>
                <w:color w:val="auto"/>
              </w:rPr>
            </w:pPr>
            <w:r>
              <w:rPr>
                <w:rFonts w:ascii="Arial" w:cs="Arial" w:eastAsia="Arial" w:hAnsi="Arial"/>
                <w:sz w:val="18"/>
                <w:szCs w:val="18"/>
                <w:color w:val="auto"/>
              </w:rPr>
              <w:t>6,284</w:t>
            </w:r>
          </w:p>
        </w:tc>
        <w:tc>
          <w:tcPr>
            <w:tcW w:w="6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74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4,644</w:t>
            </w:r>
          </w:p>
        </w:tc>
        <w:tc>
          <w:tcPr>
            <w:tcW w:w="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2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13,242</w:t>
            </w:r>
          </w:p>
        </w:tc>
        <w:tc>
          <w:tcPr>
            <w:tcW w:w="1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4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color w:val="auto"/>
              </w:rPr>
              <w:t>16,601</w:t>
            </w:r>
          </w:p>
        </w:tc>
        <w:tc>
          <w:tcPr>
            <w:tcW w:w="0" w:type="dxa"/>
            <w:vAlign w:val="bottom"/>
          </w:tcPr>
          <w:p>
            <w:pPr>
              <w:spacing w:after="0"/>
              <w:rPr>
                <w:sz w:val="1"/>
                <w:szCs w:val="1"/>
                <w:color w:val="auto"/>
              </w:rPr>
            </w:pPr>
          </w:p>
        </w:tc>
      </w:tr>
      <w:tr>
        <w:trPr>
          <w:trHeight w:val="223"/>
        </w:trPr>
        <w:tc>
          <w:tcPr>
            <w:tcW w:w="5560" w:type="dxa"/>
            <w:vAlign w:val="bottom"/>
            <w:gridSpan w:val="2"/>
          </w:tcPr>
          <w:p>
            <w:pPr>
              <w:spacing w:after="0"/>
              <w:rPr>
                <w:sz w:val="20"/>
                <w:szCs w:val="20"/>
                <w:color w:val="auto"/>
              </w:rPr>
            </w:pPr>
            <w:r>
              <w:rPr>
                <w:rFonts w:ascii="Arial" w:cs="Arial" w:eastAsia="Arial" w:hAnsi="Arial"/>
                <w:sz w:val="18"/>
                <w:szCs w:val="18"/>
                <w:color w:val="auto"/>
              </w:rPr>
              <w:t>Income (loss) before income taxes</w:t>
            </w:r>
          </w:p>
        </w:tc>
        <w:tc>
          <w:tcPr>
            <w:tcW w:w="1140" w:type="dxa"/>
            <w:vAlign w:val="bottom"/>
          </w:tcPr>
          <w:p>
            <w:pPr>
              <w:spacing w:after="0"/>
              <w:rPr>
                <w:sz w:val="19"/>
                <w:szCs w:val="19"/>
                <w:color w:val="auto"/>
              </w:rPr>
            </w:pPr>
          </w:p>
        </w:tc>
        <w:tc>
          <w:tcPr>
            <w:tcW w:w="120" w:type="dxa"/>
            <w:vAlign w:val="bottom"/>
            <w:tcBorders>
              <w:top w:val="single" w:sz="8" w:color="auto"/>
            </w:tcBorders>
          </w:tcPr>
          <w:p>
            <w:pPr>
              <w:spacing w:after="0"/>
              <w:rPr>
                <w:sz w:val="19"/>
                <w:szCs w:val="19"/>
                <w:color w:val="auto"/>
              </w:rPr>
            </w:pPr>
          </w:p>
        </w:tc>
        <w:tc>
          <w:tcPr>
            <w:tcW w:w="62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rPr>
              <w:t>88,423</w:t>
            </w:r>
          </w:p>
        </w:tc>
        <w:tc>
          <w:tcPr>
            <w:tcW w:w="10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100" w:type="dxa"/>
            <w:vAlign w:val="bottom"/>
            <w:tcBorders>
              <w:top w:val="single" w:sz="8" w:color="auto"/>
            </w:tcBorders>
          </w:tcPr>
          <w:p>
            <w:pPr>
              <w:spacing w:after="0"/>
              <w:rPr>
                <w:sz w:val="19"/>
                <w:szCs w:val="19"/>
                <w:color w:val="auto"/>
              </w:rPr>
            </w:pPr>
          </w:p>
        </w:tc>
        <w:tc>
          <w:tcPr>
            <w:tcW w:w="58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rPr>
              <w:t>45,790</w:t>
            </w:r>
          </w:p>
        </w:tc>
        <w:tc>
          <w:tcPr>
            <w:tcW w:w="140" w:type="dxa"/>
            <w:vAlign w:val="bottom"/>
          </w:tcPr>
          <w:p>
            <w:pPr>
              <w:spacing w:after="0"/>
              <w:rPr>
                <w:sz w:val="19"/>
                <w:szCs w:val="19"/>
                <w:color w:val="auto"/>
              </w:rPr>
            </w:pPr>
          </w:p>
        </w:tc>
        <w:tc>
          <w:tcPr>
            <w:tcW w:w="60" w:type="dxa"/>
            <w:vAlign w:val="bottom"/>
          </w:tcPr>
          <w:p>
            <w:pPr>
              <w:spacing w:after="0"/>
              <w:rPr>
                <w:sz w:val="19"/>
                <w:szCs w:val="19"/>
                <w:color w:val="auto"/>
              </w:rPr>
            </w:pPr>
          </w:p>
        </w:tc>
        <w:tc>
          <w:tcPr>
            <w:tcW w:w="140" w:type="dxa"/>
            <w:vAlign w:val="bottom"/>
            <w:tcBorders>
              <w:top w:val="single" w:sz="8" w:color="auto"/>
            </w:tcBorders>
          </w:tcPr>
          <w:p>
            <w:pPr>
              <w:spacing w:after="0"/>
              <w:rPr>
                <w:sz w:val="19"/>
                <w:szCs w:val="19"/>
                <w:color w:val="auto"/>
              </w:rPr>
            </w:pPr>
          </w:p>
        </w:tc>
        <w:tc>
          <w:tcPr>
            <w:tcW w:w="60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w w:val="86"/>
              </w:rPr>
              <w:t>(54,430)</w:t>
            </w:r>
          </w:p>
        </w:tc>
        <w:tc>
          <w:tcPr>
            <w:tcW w:w="140" w:type="dxa"/>
            <w:vAlign w:val="bottom"/>
          </w:tcPr>
          <w:p>
            <w:pPr>
              <w:spacing w:after="0"/>
              <w:rPr>
                <w:sz w:val="19"/>
                <w:szCs w:val="19"/>
                <w:color w:val="auto"/>
              </w:rPr>
            </w:pPr>
          </w:p>
        </w:tc>
        <w:tc>
          <w:tcPr>
            <w:tcW w:w="60" w:type="dxa"/>
            <w:vAlign w:val="bottom"/>
          </w:tcPr>
          <w:p>
            <w:pPr>
              <w:spacing w:after="0"/>
              <w:rPr>
                <w:sz w:val="19"/>
                <w:szCs w:val="19"/>
                <w:color w:val="auto"/>
              </w:rPr>
            </w:pPr>
          </w:p>
        </w:tc>
        <w:tc>
          <w:tcPr>
            <w:tcW w:w="100" w:type="dxa"/>
            <w:vAlign w:val="bottom"/>
            <w:tcBorders>
              <w:top w:val="single" w:sz="8" w:color="auto"/>
            </w:tcBorders>
          </w:tcPr>
          <w:p>
            <w:pPr>
              <w:spacing w:after="0"/>
              <w:rPr>
                <w:sz w:val="19"/>
                <w:szCs w:val="19"/>
                <w:color w:val="auto"/>
              </w:rPr>
            </w:pPr>
          </w:p>
        </w:tc>
        <w:tc>
          <w:tcPr>
            <w:tcW w:w="72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rPr>
              <w:t>106,579</w:t>
            </w:r>
          </w:p>
        </w:tc>
        <w:tc>
          <w:tcPr>
            <w:tcW w:w="10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100" w:type="dxa"/>
            <w:vAlign w:val="bottom"/>
            <w:tcBorders>
              <w:top w:val="single" w:sz="8" w:color="auto"/>
            </w:tcBorders>
          </w:tcPr>
          <w:p>
            <w:pPr>
              <w:spacing w:after="0"/>
              <w:rPr>
                <w:sz w:val="19"/>
                <w:szCs w:val="19"/>
                <w:color w:val="auto"/>
              </w:rPr>
            </w:pPr>
          </w:p>
        </w:tc>
        <w:tc>
          <w:tcPr>
            <w:tcW w:w="74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w w:val="93"/>
              </w:rPr>
              <w:t>(802,408)</w:t>
            </w:r>
          </w:p>
        </w:tc>
        <w:tc>
          <w:tcPr>
            <w:tcW w:w="1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540" w:type="dxa"/>
            <w:vAlign w:val="bottom"/>
            <w:shd w:val="clear" w:color="auto" w:fill="CCEEFF"/>
          </w:tcPr>
          <w:p>
            <w:pPr>
              <w:spacing w:after="0"/>
              <w:rPr>
                <w:sz w:val="20"/>
                <w:szCs w:val="20"/>
                <w:color w:val="auto"/>
              </w:rPr>
            </w:pPr>
            <w:r>
              <w:rPr>
                <w:rFonts w:ascii="Arial" w:cs="Arial" w:eastAsia="Arial" w:hAnsi="Arial"/>
                <w:sz w:val="18"/>
                <w:szCs w:val="18"/>
                <w:color w:val="auto"/>
              </w:rPr>
              <w:t>Provision (benefit) for income taxes</w:t>
            </w:r>
          </w:p>
        </w:tc>
        <w:tc>
          <w:tcPr>
            <w:tcW w:w="114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72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15,807</w:t>
            </w:r>
          </w:p>
        </w:tc>
        <w:tc>
          <w:tcPr>
            <w:tcW w:w="1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20" w:type="dxa"/>
            <w:vAlign w:val="bottom"/>
            <w:gridSpan w:val="2"/>
            <w:shd w:val="clear" w:color="auto" w:fill="CCEEFF"/>
          </w:tcPr>
          <w:p>
            <w:pPr>
              <w:jc w:val="right"/>
              <w:ind w:right="80"/>
              <w:spacing w:after="0"/>
              <w:rPr>
                <w:sz w:val="20"/>
                <w:szCs w:val="20"/>
                <w:color w:val="auto"/>
              </w:rPr>
            </w:pPr>
            <w:r>
              <w:rPr>
                <w:rFonts w:ascii="Arial" w:cs="Arial" w:eastAsia="Arial" w:hAnsi="Arial"/>
                <w:sz w:val="18"/>
                <w:szCs w:val="18"/>
                <w:color w:val="auto"/>
              </w:rPr>
              <w:t>(5,515)</w:t>
            </w:r>
          </w:p>
        </w:tc>
        <w:tc>
          <w:tcPr>
            <w:tcW w:w="6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74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3,320</w:t>
            </w:r>
          </w:p>
        </w:tc>
        <w:tc>
          <w:tcPr>
            <w:tcW w:w="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2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5,337</w:t>
            </w:r>
          </w:p>
        </w:tc>
        <w:tc>
          <w:tcPr>
            <w:tcW w:w="1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4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color w:val="auto"/>
              </w:rPr>
              <w:t>13,192</w:t>
            </w:r>
          </w:p>
        </w:tc>
        <w:tc>
          <w:tcPr>
            <w:tcW w:w="0" w:type="dxa"/>
            <w:vAlign w:val="bottom"/>
          </w:tcPr>
          <w:p>
            <w:pPr>
              <w:spacing w:after="0"/>
              <w:rPr>
                <w:sz w:val="1"/>
                <w:szCs w:val="1"/>
                <w:color w:val="auto"/>
              </w:rPr>
            </w:pPr>
          </w:p>
        </w:tc>
      </w:tr>
      <w:tr>
        <w:trPr>
          <w:trHeight w:val="223"/>
        </w:trPr>
        <w:tc>
          <w:tcPr>
            <w:tcW w:w="5560" w:type="dxa"/>
            <w:vAlign w:val="bottom"/>
            <w:gridSpan w:val="2"/>
          </w:tcPr>
          <w:p>
            <w:pPr>
              <w:spacing w:after="0"/>
              <w:rPr>
                <w:sz w:val="20"/>
                <w:szCs w:val="20"/>
                <w:color w:val="auto"/>
              </w:rPr>
            </w:pPr>
            <w:r>
              <w:rPr>
                <w:rFonts w:ascii="Arial" w:cs="Arial" w:eastAsia="Arial" w:hAnsi="Arial"/>
                <w:sz w:val="18"/>
                <w:szCs w:val="18"/>
                <w:color w:val="auto"/>
              </w:rPr>
              <w:t>Net income (loss)</w:t>
            </w:r>
          </w:p>
        </w:tc>
        <w:tc>
          <w:tcPr>
            <w:tcW w:w="1140" w:type="dxa"/>
            <w:vAlign w:val="bottom"/>
          </w:tcPr>
          <w:p>
            <w:pPr>
              <w:spacing w:after="0"/>
              <w:rPr>
                <w:sz w:val="19"/>
                <w:szCs w:val="19"/>
                <w:color w:val="auto"/>
              </w:rPr>
            </w:pPr>
          </w:p>
        </w:tc>
        <w:tc>
          <w:tcPr>
            <w:tcW w:w="120" w:type="dxa"/>
            <w:vAlign w:val="bottom"/>
            <w:tcBorders>
              <w:top w:val="single" w:sz="8" w:color="auto"/>
              <w:bottom w:val="single" w:sz="8" w:color="auto"/>
            </w:tcBorders>
          </w:tcPr>
          <w:p>
            <w:pPr>
              <w:spacing w:after="0"/>
              <w:rPr>
                <w:sz w:val="20"/>
                <w:szCs w:val="20"/>
                <w:color w:val="auto"/>
              </w:rPr>
            </w:pPr>
            <w:r>
              <w:rPr>
                <w:rFonts w:ascii="Arial" w:cs="Arial" w:eastAsia="Arial" w:hAnsi="Arial"/>
                <w:sz w:val="18"/>
                <w:szCs w:val="18"/>
                <w:color w:val="auto"/>
                <w:w w:val="99"/>
              </w:rPr>
              <w:t>$</w:t>
            </w:r>
          </w:p>
        </w:tc>
        <w:tc>
          <w:tcPr>
            <w:tcW w:w="62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72,616</w:t>
            </w:r>
          </w:p>
        </w:tc>
        <w:tc>
          <w:tcPr>
            <w:tcW w:w="10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10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5"/>
                <w:szCs w:val="15"/>
                <w:color w:val="auto"/>
                <w:w w:val="71"/>
              </w:rPr>
              <w:t>$</w:t>
            </w:r>
          </w:p>
        </w:tc>
        <w:tc>
          <w:tcPr>
            <w:tcW w:w="58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51,305</w:t>
            </w:r>
          </w:p>
        </w:tc>
        <w:tc>
          <w:tcPr>
            <w:tcW w:w="140" w:type="dxa"/>
            <w:vAlign w:val="bottom"/>
          </w:tcPr>
          <w:p>
            <w:pPr>
              <w:spacing w:after="0"/>
              <w:rPr>
                <w:sz w:val="19"/>
                <w:szCs w:val="19"/>
                <w:color w:val="auto"/>
              </w:rPr>
            </w:pPr>
          </w:p>
        </w:tc>
        <w:tc>
          <w:tcPr>
            <w:tcW w:w="60" w:type="dxa"/>
            <w:vAlign w:val="bottom"/>
          </w:tcPr>
          <w:p>
            <w:pPr>
              <w:spacing w:after="0"/>
              <w:rPr>
                <w:sz w:val="19"/>
                <w:szCs w:val="19"/>
                <w:color w:val="auto"/>
              </w:rPr>
            </w:pPr>
          </w:p>
        </w:tc>
        <w:tc>
          <w:tcPr>
            <w:tcW w:w="140" w:type="dxa"/>
            <w:vAlign w:val="bottom"/>
            <w:tcBorders>
              <w:top w:val="single" w:sz="8" w:color="auto"/>
              <w:bottom w:val="single" w:sz="8" w:color="auto"/>
            </w:tcBorders>
          </w:tcPr>
          <w:p>
            <w:pPr>
              <w:spacing w:after="0"/>
              <w:rPr>
                <w:sz w:val="20"/>
                <w:szCs w:val="20"/>
                <w:color w:val="auto"/>
              </w:rPr>
            </w:pPr>
            <w:r>
              <w:rPr>
                <w:rFonts w:ascii="Arial" w:cs="Arial" w:eastAsia="Arial" w:hAnsi="Arial"/>
                <w:sz w:val="18"/>
                <w:szCs w:val="18"/>
                <w:color w:val="auto"/>
              </w:rPr>
              <w:t>$</w:t>
            </w:r>
          </w:p>
        </w:tc>
        <w:tc>
          <w:tcPr>
            <w:tcW w:w="60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w w:val="94"/>
              </w:rPr>
              <w:t>(57,750</w:t>
            </w:r>
          </w:p>
        </w:tc>
        <w:tc>
          <w:tcPr>
            <w:tcW w:w="140" w:type="dxa"/>
            <w:vAlign w:val="bottom"/>
          </w:tcPr>
          <w:p>
            <w:pPr>
              <w:jc w:val="right"/>
              <w:spacing w:after="0"/>
              <w:rPr>
                <w:sz w:val="20"/>
                <w:szCs w:val="20"/>
                <w:color w:val="auto"/>
              </w:rPr>
            </w:pPr>
            <w:r>
              <w:rPr>
                <w:rFonts w:ascii="Arial" w:cs="Arial" w:eastAsia="Arial" w:hAnsi="Arial"/>
                <w:sz w:val="16"/>
                <w:szCs w:val="16"/>
                <w:color w:val="auto"/>
                <w:w w:val="74"/>
              </w:rPr>
              <w:t>)</w:t>
            </w:r>
          </w:p>
        </w:tc>
        <w:tc>
          <w:tcPr>
            <w:tcW w:w="60" w:type="dxa"/>
            <w:vAlign w:val="bottom"/>
          </w:tcPr>
          <w:p>
            <w:pPr>
              <w:spacing w:after="0"/>
              <w:rPr>
                <w:sz w:val="19"/>
                <w:szCs w:val="19"/>
                <w:color w:val="auto"/>
              </w:rPr>
            </w:pPr>
          </w:p>
        </w:tc>
        <w:tc>
          <w:tcPr>
            <w:tcW w:w="10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w w:val="79"/>
              </w:rPr>
              <w:t>$</w:t>
            </w:r>
          </w:p>
        </w:tc>
        <w:tc>
          <w:tcPr>
            <w:tcW w:w="72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101,242</w:t>
            </w:r>
          </w:p>
        </w:tc>
        <w:tc>
          <w:tcPr>
            <w:tcW w:w="10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10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w w:val="79"/>
              </w:rPr>
              <w:t>$</w:t>
            </w:r>
          </w:p>
        </w:tc>
        <w:tc>
          <w:tcPr>
            <w:tcW w:w="74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(815,600</w:t>
            </w:r>
          </w:p>
        </w:tc>
        <w:tc>
          <w:tcPr>
            <w:tcW w:w="100" w:type="dxa"/>
            <w:vAlign w:val="bottom"/>
          </w:tcPr>
          <w:p>
            <w:pPr>
              <w:jc w:val="right"/>
              <w:spacing w:after="0"/>
              <w:rPr>
                <w:sz w:val="20"/>
                <w:szCs w:val="20"/>
                <w:color w:val="auto"/>
              </w:rPr>
            </w:pPr>
            <w:r>
              <w:rPr>
                <w:rFonts w:ascii="Arial" w:cs="Arial" w:eastAsia="Arial" w:hAnsi="Arial"/>
                <w:sz w:val="16"/>
                <w:szCs w:val="16"/>
                <w:color w:val="auto"/>
                <w:w w:val="74"/>
              </w:rPr>
              <w:t>)</w:t>
            </w: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5540" w:type="dxa"/>
            <w:vAlign w:val="bottom"/>
          </w:tcPr>
          <w:p>
            <w:pPr>
              <w:spacing w:after="0" w:line="20" w:lineRule="exact"/>
              <w:rPr>
                <w:sz w:val="1"/>
                <w:szCs w:val="1"/>
                <w:color w:val="auto"/>
              </w:rPr>
            </w:pPr>
          </w:p>
        </w:tc>
        <w:tc>
          <w:tcPr>
            <w:tcW w:w="1140" w:type="dxa"/>
            <w:vAlign w:val="bottom"/>
          </w:tcPr>
          <w:p>
            <w:pPr>
              <w:spacing w:after="0" w:line="20" w:lineRule="exact"/>
              <w:rPr>
                <w:sz w:val="1"/>
                <w:szCs w:val="1"/>
                <w:color w:val="auto"/>
              </w:rPr>
            </w:pPr>
          </w:p>
        </w:tc>
        <w:tc>
          <w:tcPr>
            <w:tcW w:w="120" w:type="dxa"/>
            <w:vAlign w:val="bottom"/>
            <w:tcBorders>
              <w:bottom w:val="single" w:sz="8" w:color="auto"/>
            </w:tcBorders>
          </w:tcPr>
          <w:p>
            <w:pPr>
              <w:spacing w:after="0" w:line="20" w:lineRule="exact"/>
              <w:rPr>
                <w:sz w:val="1"/>
                <w:szCs w:val="1"/>
                <w:color w:val="auto"/>
              </w:rPr>
            </w:pPr>
          </w:p>
        </w:tc>
        <w:tc>
          <w:tcPr>
            <w:tcW w:w="62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580" w:type="dxa"/>
            <w:vAlign w:val="bottom"/>
            <w:tcBorders>
              <w:bottom w:val="single" w:sz="8" w:color="auto"/>
            </w:tcBorders>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140" w:type="dxa"/>
            <w:vAlign w:val="bottom"/>
            <w:tcBorders>
              <w:bottom w:val="single" w:sz="8" w:color="auto"/>
            </w:tcBorders>
          </w:tcPr>
          <w:p>
            <w:pPr>
              <w:spacing w:after="0" w:line="20" w:lineRule="exact"/>
              <w:rPr>
                <w:sz w:val="1"/>
                <w:szCs w:val="1"/>
                <w:color w:val="auto"/>
              </w:rPr>
            </w:pPr>
          </w:p>
        </w:tc>
        <w:tc>
          <w:tcPr>
            <w:tcW w:w="600" w:type="dxa"/>
            <w:vAlign w:val="bottom"/>
            <w:tcBorders>
              <w:bottom w:val="single" w:sz="8" w:color="auto"/>
            </w:tcBorders>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72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74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10"/>
        </w:trPr>
        <w:tc>
          <w:tcPr>
            <w:tcW w:w="20" w:type="dxa"/>
            <w:vAlign w:val="bottom"/>
          </w:tcPr>
          <w:p>
            <w:pPr>
              <w:spacing w:after="0"/>
              <w:rPr>
                <w:sz w:val="18"/>
                <w:szCs w:val="18"/>
                <w:color w:val="auto"/>
              </w:rPr>
            </w:pPr>
          </w:p>
        </w:tc>
        <w:tc>
          <w:tcPr>
            <w:tcW w:w="5540" w:type="dxa"/>
            <w:vAlign w:val="bottom"/>
            <w:shd w:val="clear" w:color="auto" w:fill="CCEEFF"/>
          </w:tcPr>
          <w:p>
            <w:pPr>
              <w:spacing w:after="0"/>
              <w:rPr>
                <w:sz w:val="20"/>
                <w:szCs w:val="20"/>
                <w:color w:val="auto"/>
              </w:rPr>
            </w:pPr>
            <w:r>
              <w:rPr>
                <w:rFonts w:ascii="Arial" w:cs="Arial" w:eastAsia="Arial" w:hAnsi="Arial"/>
                <w:sz w:val="18"/>
                <w:szCs w:val="18"/>
                <w:color w:val="auto"/>
              </w:rPr>
              <w:t>Basic net income (loss) per share</w:t>
            </w:r>
          </w:p>
        </w:tc>
        <w:tc>
          <w:tcPr>
            <w:tcW w:w="114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20"/>
                <w:szCs w:val="20"/>
                <w:color w:val="auto"/>
              </w:rPr>
            </w:pPr>
            <w:r>
              <w:rPr>
                <w:rFonts w:ascii="Arial" w:cs="Arial" w:eastAsia="Arial" w:hAnsi="Arial"/>
                <w:sz w:val="18"/>
                <w:szCs w:val="18"/>
                <w:color w:val="auto"/>
                <w:w w:val="99"/>
              </w:rPr>
              <w:t>$</w:t>
            </w:r>
          </w:p>
        </w:tc>
        <w:tc>
          <w:tcPr>
            <w:tcW w:w="6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0.14</w:t>
            </w:r>
          </w:p>
        </w:tc>
        <w:tc>
          <w:tcPr>
            <w:tcW w:w="100" w:type="dxa"/>
            <w:vAlign w:val="bottom"/>
            <w:shd w:val="clear" w:color="auto" w:fill="CCEEFF"/>
          </w:tcPr>
          <w:p>
            <w:pPr>
              <w:spacing w:after="0"/>
              <w:rPr>
                <w:sz w:val="18"/>
                <w:szCs w:val="18"/>
                <w:color w:val="auto"/>
              </w:rPr>
            </w:pPr>
          </w:p>
        </w:tc>
        <w:tc>
          <w:tcPr>
            <w:tcW w:w="20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720" w:type="dxa"/>
            <w:vAlign w:val="bottom"/>
            <w:gridSpan w:val="2"/>
            <w:shd w:val="clear" w:color="auto" w:fill="CCEEFF"/>
          </w:tcPr>
          <w:p>
            <w:pPr>
              <w:jc w:val="right"/>
              <w:ind w:right="140"/>
              <w:spacing w:after="0"/>
              <w:rPr>
                <w:sz w:val="20"/>
                <w:szCs w:val="20"/>
                <w:color w:val="auto"/>
              </w:rPr>
            </w:pPr>
            <w:r>
              <w:rPr>
                <w:rFonts w:ascii="Arial" w:cs="Arial" w:eastAsia="Arial" w:hAnsi="Arial"/>
                <w:sz w:val="18"/>
                <w:szCs w:val="18"/>
                <w:color w:val="auto"/>
              </w:rPr>
              <w:t>0.10</w:t>
            </w:r>
          </w:p>
        </w:tc>
        <w:tc>
          <w:tcPr>
            <w:tcW w:w="200" w:type="dxa"/>
            <w:vAlign w:val="bottom"/>
            <w:gridSpan w:val="2"/>
            <w:shd w:val="clear" w:color="auto" w:fill="CCEEFF"/>
          </w:tcPr>
          <w:p>
            <w:pPr>
              <w:ind w:left="60"/>
              <w:spacing w:after="0"/>
              <w:rPr>
                <w:sz w:val="20"/>
                <w:szCs w:val="20"/>
                <w:color w:val="auto"/>
              </w:rPr>
            </w:pPr>
            <w:r>
              <w:rPr>
                <w:rFonts w:ascii="Arial" w:cs="Arial" w:eastAsia="Arial" w:hAnsi="Arial"/>
                <w:sz w:val="18"/>
                <w:szCs w:val="18"/>
                <w:color w:val="auto"/>
              </w:rPr>
              <w:t>$</w:t>
            </w:r>
          </w:p>
        </w:tc>
        <w:tc>
          <w:tcPr>
            <w:tcW w:w="74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(0.11)</w:t>
            </w:r>
          </w:p>
        </w:tc>
        <w:tc>
          <w:tcPr>
            <w:tcW w:w="16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82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0.20</w:t>
            </w:r>
          </w:p>
        </w:tc>
        <w:tc>
          <w:tcPr>
            <w:tcW w:w="20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84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(1.59)</w:t>
            </w:r>
          </w:p>
        </w:tc>
        <w:tc>
          <w:tcPr>
            <w:tcW w:w="0" w:type="dxa"/>
            <w:vAlign w:val="bottom"/>
          </w:tcPr>
          <w:p>
            <w:pPr>
              <w:spacing w:after="0"/>
              <w:rPr>
                <w:sz w:val="1"/>
                <w:szCs w:val="1"/>
                <w:color w:val="auto"/>
              </w:rPr>
            </w:pPr>
          </w:p>
        </w:tc>
      </w:tr>
      <w:tr>
        <w:trPr>
          <w:trHeight w:val="20"/>
        </w:trPr>
        <w:tc>
          <w:tcPr>
            <w:tcW w:w="5560" w:type="dxa"/>
            <w:vAlign w:val="bottom"/>
            <w:gridSpan w:val="2"/>
            <w:vMerge w:val="restart"/>
          </w:tcPr>
          <w:p>
            <w:pPr>
              <w:spacing w:after="0"/>
              <w:rPr>
                <w:sz w:val="20"/>
                <w:szCs w:val="20"/>
                <w:color w:val="auto"/>
              </w:rPr>
            </w:pPr>
            <w:r>
              <w:rPr>
                <w:rFonts w:ascii="Arial" w:cs="Arial" w:eastAsia="Arial" w:hAnsi="Arial"/>
                <w:sz w:val="18"/>
                <w:szCs w:val="18"/>
                <w:color w:val="auto"/>
              </w:rPr>
              <w:t>Diluted net income (loss) per share</w:t>
            </w:r>
          </w:p>
        </w:tc>
        <w:tc>
          <w:tcPr>
            <w:tcW w:w="1140" w:type="dxa"/>
            <w:vAlign w:val="bottom"/>
          </w:tcPr>
          <w:p>
            <w:pPr>
              <w:spacing w:after="0" w:line="20" w:lineRule="exact"/>
              <w:rPr>
                <w:sz w:val="1"/>
                <w:szCs w:val="1"/>
                <w:color w:val="auto"/>
              </w:rPr>
            </w:pPr>
          </w:p>
        </w:tc>
        <w:tc>
          <w:tcPr>
            <w:tcW w:w="120" w:type="dxa"/>
            <w:vAlign w:val="bottom"/>
            <w:tcBorders>
              <w:top w:val="single" w:sz="8" w:color="auto"/>
              <w:bottom w:val="single" w:sz="8" w:color="auto"/>
            </w:tcBorders>
          </w:tcPr>
          <w:p>
            <w:pPr>
              <w:spacing w:after="0" w:line="20" w:lineRule="exact"/>
              <w:rPr>
                <w:sz w:val="1"/>
                <w:szCs w:val="1"/>
                <w:color w:val="auto"/>
              </w:rPr>
            </w:pPr>
          </w:p>
        </w:tc>
        <w:tc>
          <w:tcPr>
            <w:tcW w:w="62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140" w:type="dxa"/>
            <w:vAlign w:val="bottom"/>
            <w:tcBorders>
              <w:top w:val="single" w:sz="8" w:color="auto"/>
              <w:bottom w:val="single" w:sz="8" w:color="auto"/>
            </w:tcBorders>
          </w:tcPr>
          <w:p>
            <w:pPr>
              <w:spacing w:after="0" w:line="20" w:lineRule="exact"/>
              <w:rPr>
                <w:sz w:val="1"/>
                <w:szCs w:val="1"/>
                <w:color w:val="auto"/>
              </w:rPr>
            </w:pPr>
          </w:p>
        </w:tc>
        <w:tc>
          <w:tcPr>
            <w:tcW w:w="600" w:type="dxa"/>
            <w:vAlign w:val="bottom"/>
            <w:tcBorders>
              <w:top w:val="single" w:sz="8" w:color="auto"/>
              <w:bottom w:val="single" w:sz="8" w:color="auto"/>
            </w:tcBorders>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72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74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10"/>
        </w:trPr>
        <w:tc>
          <w:tcPr>
            <w:tcW w:w="5560" w:type="dxa"/>
            <w:vAlign w:val="bottom"/>
            <w:gridSpan w:val="2"/>
            <w:vMerge w:val="continue"/>
          </w:tcPr>
          <w:p>
            <w:pPr>
              <w:spacing w:after="0"/>
              <w:rPr>
                <w:sz w:val="18"/>
                <w:szCs w:val="18"/>
                <w:color w:val="auto"/>
              </w:rPr>
            </w:pPr>
          </w:p>
        </w:tc>
        <w:tc>
          <w:tcPr>
            <w:tcW w:w="1140" w:type="dxa"/>
            <w:vAlign w:val="bottom"/>
          </w:tcPr>
          <w:p>
            <w:pPr>
              <w:spacing w:after="0"/>
              <w:rPr>
                <w:sz w:val="18"/>
                <w:szCs w:val="18"/>
                <w:color w:val="auto"/>
              </w:rPr>
            </w:pPr>
          </w:p>
        </w:tc>
        <w:tc>
          <w:tcPr>
            <w:tcW w:w="120" w:type="dxa"/>
            <w:vAlign w:val="bottom"/>
            <w:tcBorders>
              <w:bottom w:val="single" w:sz="8" w:color="auto"/>
            </w:tcBorders>
          </w:tcPr>
          <w:p>
            <w:pPr>
              <w:spacing w:after="0"/>
              <w:rPr>
                <w:sz w:val="20"/>
                <w:szCs w:val="20"/>
                <w:color w:val="auto"/>
              </w:rPr>
            </w:pPr>
            <w:r>
              <w:rPr>
                <w:rFonts w:ascii="Arial" w:cs="Arial" w:eastAsia="Arial" w:hAnsi="Arial"/>
                <w:sz w:val="18"/>
                <w:szCs w:val="18"/>
                <w:color w:val="auto"/>
                <w:w w:val="99"/>
              </w:rPr>
              <w:t>$</w:t>
            </w:r>
          </w:p>
        </w:tc>
        <w:tc>
          <w:tcPr>
            <w:tcW w:w="62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0.14</w:t>
            </w:r>
          </w:p>
        </w:tc>
        <w:tc>
          <w:tcPr>
            <w:tcW w:w="1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00" w:type="dxa"/>
            <w:vAlign w:val="bottom"/>
            <w:tcBorders>
              <w:bottom w:val="single" w:sz="8" w:color="auto"/>
            </w:tcBorders>
          </w:tcPr>
          <w:p>
            <w:pPr>
              <w:jc w:val="right"/>
              <w:spacing w:after="0"/>
              <w:rPr>
                <w:sz w:val="20"/>
                <w:szCs w:val="20"/>
                <w:color w:val="auto"/>
              </w:rPr>
            </w:pPr>
            <w:r>
              <w:rPr>
                <w:rFonts w:ascii="Arial" w:cs="Arial" w:eastAsia="Arial" w:hAnsi="Arial"/>
                <w:sz w:val="15"/>
                <w:szCs w:val="15"/>
                <w:color w:val="auto"/>
                <w:w w:val="71"/>
              </w:rPr>
              <w:t>$</w:t>
            </w:r>
          </w:p>
        </w:tc>
        <w:tc>
          <w:tcPr>
            <w:tcW w:w="58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0.10</w:t>
            </w:r>
          </w:p>
        </w:tc>
        <w:tc>
          <w:tcPr>
            <w:tcW w:w="140" w:type="dxa"/>
            <w:vAlign w:val="bottom"/>
          </w:tcPr>
          <w:p>
            <w:pPr>
              <w:spacing w:after="0"/>
              <w:rPr>
                <w:sz w:val="18"/>
                <w:szCs w:val="18"/>
                <w:color w:val="auto"/>
              </w:rPr>
            </w:pPr>
          </w:p>
        </w:tc>
        <w:tc>
          <w:tcPr>
            <w:tcW w:w="60" w:type="dxa"/>
            <w:vAlign w:val="bottom"/>
          </w:tcPr>
          <w:p>
            <w:pPr>
              <w:spacing w:after="0"/>
              <w:rPr>
                <w:sz w:val="18"/>
                <w:szCs w:val="18"/>
                <w:color w:val="auto"/>
              </w:rPr>
            </w:pPr>
          </w:p>
        </w:tc>
        <w:tc>
          <w:tcPr>
            <w:tcW w:w="140" w:type="dxa"/>
            <w:vAlign w:val="bottom"/>
            <w:tcBorders>
              <w:bottom w:val="single" w:sz="8" w:color="auto"/>
            </w:tcBorders>
          </w:tcPr>
          <w:p>
            <w:pPr>
              <w:spacing w:after="0"/>
              <w:rPr>
                <w:sz w:val="20"/>
                <w:szCs w:val="20"/>
                <w:color w:val="auto"/>
              </w:rPr>
            </w:pPr>
            <w:r>
              <w:rPr>
                <w:rFonts w:ascii="Arial" w:cs="Arial" w:eastAsia="Arial" w:hAnsi="Arial"/>
                <w:sz w:val="18"/>
                <w:szCs w:val="18"/>
                <w:color w:val="auto"/>
              </w:rPr>
              <w:t>$</w:t>
            </w:r>
          </w:p>
        </w:tc>
        <w:tc>
          <w:tcPr>
            <w:tcW w:w="6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(0.11</w:t>
            </w:r>
          </w:p>
        </w:tc>
        <w:tc>
          <w:tcPr>
            <w:tcW w:w="140" w:type="dxa"/>
            <w:vAlign w:val="bottom"/>
          </w:tcPr>
          <w:p>
            <w:pPr>
              <w:jc w:val="right"/>
              <w:spacing w:after="0"/>
              <w:rPr>
                <w:sz w:val="20"/>
                <w:szCs w:val="20"/>
                <w:color w:val="auto"/>
              </w:rPr>
            </w:pPr>
            <w:r>
              <w:rPr>
                <w:rFonts w:ascii="Arial" w:cs="Arial" w:eastAsia="Arial" w:hAnsi="Arial"/>
                <w:sz w:val="16"/>
                <w:szCs w:val="16"/>
                <w:color w:val="auto"/>
                <w:w w:val="74"/>
              </w:rPr>
              <w:t>)</w:t>
            </w:r>
          </w:p>
        </w:tc>
        <w:tc>
          <w:tcPr>
            <w:tcW w:w="60" w:type="dxa"/>
            <w:vAlign w:val="bottom"/>
          </w:tcPr>
          <w:p>
            <w:pPr>
              <w:spacing w:after="0"/>
              <w:rPr>
                <w:sz w:val="18"/>
                <w:szCs w:val="18"/>
                <w:color w:val="auto"/>
              </w:rPr>
            </w:pPr>
          </w:p>
        </w:tc>
        <w:tc>
          <w:tcPr>
            <w:tcW w:w="1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w w:val="79"/>
              </w:rPr>
              <w:t>$</w:t>
            </w:r>
          </w:p>
        </w:tc>
        <w:tc>
          <w:tcPr>
            <w:tcW w:w="72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0.20</w:t>
            </w:r>
          </w:p>
        </w:tc>
        <w:tc>
          <w:tcPr>
            <w:tcW w:w="1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w w:val="79"/>
              </w:rPr>
              <w:t>$</w:t>
            </w:r>
          </w:p>
        </w:tc>
        <w:tc>
          <w:tcPr>
            <w:tcW w:w="74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(1.59)</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5540" w:type="dxa"/>
            <w:vAlign w:val="bottom"/>
          </w:tcPr>
          <w:p>
            <w:pPr>
              <w:spacing w:after="0" w:line="20" w:lineRule="exact"/>
              <w:rPr>
                <w:sz w:val="1"/>
                <w:szCs w:val="1"/>
                <w:color w:val="auto"/>
              </w:rPr>
            </w:pPr>
          </w:p>
        </w:tc>
        <w:tc>
          <w:tcPr>
            <w:tcW w:w="1140" w:type="dxa"/>
            <w:vAlign w:val="bottom"/>
          </w:tcPr>
          <w:p>
            <w:pPr>
              <w:spacing w:after="0" w:line="20" w:lineRule="exact"/>
              <w:rPr>
                <w:sz w:val="1"/>
                <w:szCs w:val="1"/>
                <w:color w:val="auto"/>
              </w:rPr>
            </w:pPr>
          </w:p>
        </w:tc>
        <w:tc>
          <w:tcPr>
            <w:tcW w:w="120" w:type="dxa"/>
            <w:vAlign w:val="bottom"/>
            <w:tcBorders>
              <w:bottom w:val="single" w:sz="8" w:color="auto"/>
            </w:tcBorders>
          </w:tcPr>
          <w:p>
            <w:pPr>
              <w:spacing w:after="0" w:line="20" w:lineRule="exact"/>
              <w:rPr>
                <w:sz w:val="1"/>
                <w:szCs w:val="1"/>
                <w:color w:val="auto"/>
              </w:rPr>
            </w:pPr>
          </w:p>
        </w:tc>
        <w:tc>
          <w:tcPr>
            <w:tcW w:w="62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580" w:type="dxa"/>
            <w:vAlign w:val="bottom"/>
            <w:tcBorders>
              <w:bottom w:val="single" w:sz="8" w:color="auto"/>
            </w:tcBorders>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140" w:type="dxa"/>
            <w:vAlign w:val="bottom"/>
            <w:tcBorders>
              <w:bottom w:val="single" w:sz="8" w:color="auto"/>
            </w:tcBorders>
          </w:tcPr>
          <w:p>
            <w:pPr>
              <w:spacing w:after="0" w:line="20" w:lineRule="exact"/>
              <w:rPr>
                <w:sz w:val="1"/>
                <w:szCs w:val="1"/>
                <w:color w:val="auto"/>
              </w:rPr>
            </w:pPr>
          </w:p>
        </w:tc>
        <w:tc>
          <w:tcPr>
            <w:tcW w:w="600" w:type="dxa"/>
            <w:vAlign w:val="bottom"/>
            <w:tcBorders>
              <w:bottom w:val="single" w:sz="8" w:color="auto"/>
            </w:tcBorders>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72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74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10"/>
        </w:trPr>
        <w:tc>
          <w:tcPr>
            <w:tcW w:w="20" w:type="dxa"/>
            <w:vAlign w:val="bottom"/>
          </w:tcPr>
          <w:p>
            <w:pPr>
              <w:spacing w:after="0"/>
              <w:rPr>
                <w:sz w:val="18"/>
                <w:szCs w:val="18"/>
                <w:color w:val="auto"/>
              </w:rPr>
            </w:pPr>
          </w:p>
        </w:tc>
        <w:tc>
          <w:tcPr>
            <w:tcW w:w="5540" w:type="dxa"/>
            <w:vAlign w:val="bottom"/>
            <w:shd w:val="clear" w:color="auto" w:fill="CCEEFF"/>
          </w:tcPr>
          <w:p>
            <w:pPr>
              <w:spacing w:after="0"/>
              <w:rPr>
                <w:sz w:val="20"/>
                <w:szCs w:val="20"/>
                <w:color w:val="auto"/>
              </w:rPr>
            </w:pPr>
            <w:r>
              <w:rPr>
                <w:rFonts w:ascii="Arial" w:cs="Arial" w:eastAsia="Arial" w:hAnsi="Arial"/>
                <w:sz w:val="18"/>
                <w:szCs w:val="18"/>
                <w:color w:val="auto"/>
              </w:rPr>
              <w:t>Shares used in computing basic earnings (loss) per share</w:t>
            </w:r>
          </w:p>
        </w:tc>
        <w:tc>
          <w:tcPr>
            <w:tcW w:w="114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72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w w:val="92"/>
              </w:rPr>
              <w:t>511,090</w:t>
            </w:r>
          </w:p>
        </w:tc>
        <w:tc>
          <w:tcPr>
            <w:tcW w:w="1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20" w:type="dxa"/>
            <w:vAlign w:val="bottom"/>
            <w:gridSpan w:val="2"/>
            <w:shd w:val="clear" w:color="auto" w:fill="CCEEFF"/>
          </w:tcPr>
          <w:p>
            <w:pPr>
              <w:jc w:val="right"/>
              <w:ind w:right="140"/>
              <w:spacing w:after="0"/>
              <w:rPr>
                <w:sz w:val="20"/>
                <w:szCs w:val="20"/>
                <w:color w:val="auto"/>
              </w:rPr>
            </w:pPr>
            <w:r>
              <w:rPr>
                <w:rFonts w:ascii="Arial" w:cs="Arial" w:eastAsia="Arial" w:hAnsi="Arial"/>
                <w:sz w:val="18"/>
                <w:szCs w:val="18"/>
                <w:color w:val="auto"/>
                <w:w w:val="86"/>
              </w:rPr>
              <w:t>511,235</w:t>
            </w:r>
          </w:p>
        </w:tc>
        <w:tc>
          <w:tcPr>
            <w:tcW w:w="6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74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w w:val="89"/>
              </w:rPr>
              <w:t>504,831</w:t>
            </w:r>
          </w:p>
        </w:tc>
        <w:tc>
          <w:tcPr>
            <w:tcW w:w="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2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510,373</w:t>
            </w:r>
          </w:p>
        </w:tc>
        <w:tc>
          <w:tcPr>
            <w:tcW w:w="1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4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color w:val="auto"/>
              </w:rPr>
              <w:t>512,476</w:t>
            </w:r>
          </w:p>
        </w:tc>
        <w:tc>
          <w:tcPr>
            <w:tcW w:w="0" w:type="dxa"/>
            <w:vAlign w:val="bottom"/>
          </w:tcPr>
          <w:p>
            <w:pPr>
              <w:spacing w:after="0"/>
              <w:rPr>
                <w:sz w:val="1"/>
                <w:szCs w:val="1"/>
                <w:color w:val="auto"/>
              </w:rPr>
            </w:pPr>
          </w:p>
        </w:tc>
      </w:tr>
      <w:tr>
        <w:trPr>
          <w:trHeight w:val="230"/>
        </w:trPr>
        <w:tc>
          <w:tcPr>
            <w:tcW w:w="20" w:type="dxa"/>
            <w:vAlign w:val="bottom"/>
          </w:tcPr>
          <w:p>
            <w:pPr>
              <w:spacing w:after="0"/>
              <w:rPr>
                <w:sz w:val="20"/>
                <w:szCs w:val="20"/>
                <w:color w:val="auto"/>
              </w:rPr>
            </w:pPr>
          </w:p>
        </w:tc>
        <w:tc>
          <w:tcPr>
            <w:tcW w:w="5540" w:type="dxa"/>
            <w:vAlign w:val="bottom"/>
          </w:tcPr>
          <w:p>
            <w:pPr>
              <w:spacing w:after="0"/>
              <w:rPr>
                <w:sz w:val="20"/>
                <w:szCs w:val="20"/>
                <w:color w:val="auto"/>
              </w:rPr>
            </w:pPr>
            <w:r>
              <w:rPr>
                <w:rFonts w:ascii="Arial" w:cs="Arial" w:eastAsia="Arial" w:hAnsi="Arial"/>
                <w:sz w:val="18"/>
                <w:szCs w:val="18"/>
                <w:color w:val="auto"/>
              </w:rPr>
              <w:t>Shares used in computing diluted earnings (loss) per share</w:t>
            </w:r>
          </w:p>
        </w:tc>
        <w:tc>
          <w:tcPr>
            <w:tcW w:w="1140" w:type="dxa"/>
            <w:vAlign w:val="bottom"/>
          </w:tcPr>
          <w:p>
            <w:pPr>
              <w:spacing w:after="0"/>
              <w:rPr>
                <w:sz w:val="20"/>
                <w:szCs w:val="20"/>
                <w:color w:val="auto"/>
              </w:rPr>
            </w:pPr>
          </w:p>
        </w:tc>
        <w:tc>
          <w:tcPr>
            <w:tcW w:w="120" w:type="dxa"/>
            <w:vAlign w:val="bottom"/>
          </w:tcPr>
          <w:p>
            <w:pPr>
              <w:spacing w:after="0"/>
              <w:rPr>
                <w:sz w:val="20"/>
                <w:szCs w:val="20"/>
                <w:color w:val="auto"/>
              </w:rPr>
            </w:pPr>
          </w:p>
        </w:tc>
        <w:tc>
          <w:tcPr>
            <w:tcW w:w="720" w:type="dxa"/>
            <w:vAlign w:val="bottom"/>
            <w:gridSpan w:val="2"/>
          </w:tcPr>
          <w:p>
            <w:pPr>
              <w:jc w:val="right"/>
              <w:ind w:right="100"/>
              <w:spacing w:after="0"/>
              <w:rPr>
                <w:sz w:val="20"/>
                <w:szCs w:val="20"/>
                <w:color w:val="auto"/>
              </w:rPr>
            </w:pPr>
            <w:r>
              <w:rPr>
                <w:rFonts w:ascii="Arial" w:cs="Arial" w:eastAsia="Arial" w:hAnsi="Arial"/>
                <w:sz w:val="18"/>
                <w:szCs w:val="18"/>
                <w:color w:val="auto"/>
                <w:w w:val="92"/>
              </w:rPr>
              <w:t>522,091</w:t>
            </w:r>
          </w:p>
        </w:tc>
        <w:tc>
          <w:tcPr>
            <w:tcW w:w="100" w:type="dxa"/>
            <w:vAlign w:val="bottom"/>
          </w:tcPr>
          <w:p>
            <w:pPr>
              <w:spacing w:after="0"/>
              <w:rPr>
                <w:sz w:val="20"/>
                <w:szCs w:val="20"/>
                <w:color w:val="auto"/>
              </w:rPr>
            </w:pPr>
          </w:p>
        </w:tc>
        <w:tc>
          <w:tcPr>
            <w:tcW w:w="100" w:type="dxa"/>
            <w:vAlign w:val="bottom"/>
          </w:tcPr>
          <w:p>
            <w:pPr>
              <w:spacing w:after="0"/>
              <w:rPr>
                <w:sz w:val="20"/>
                <w:szCs w:val="20"/>
                <w:color w:val="auto"/>
              </w:rPr>
            </w:pPr>
          </w:p>
        </w:tc>
        <w:tc>
          <w:tcPr>
            <w:tcW w:w="720" w:type="dxa"/>
            <w:vAlign w:val="bottom"/>
            <w:gridSpan w:val="2"/>
          </w:tcPr>
          <w:p>
            <w:pPr>
              <w:jc w:val="right"/>
              <w:ind w:right="140"/>
              <w:spacing w:after="0"/>
              <w:rPr>
                <w:sz w:val="20"/>
                <w:szCs w:val="20"/>
                <w:color w:val="auto"/>
              </w:rPr>
            </w:pPr>
            <w:r>
              <w:rPr>
                <w:rFonts w:ascii="Arial" w:cs="Arial" w:eastAsia="Arial" w:hAnsi="Arial"/>
                <w:sz w:val="18"/>
                <w:szCs w:val="18"/>
                <w:color w:val="auto"/>
                <w:w w:val="86"/>
              </w:rPr>
              <w:t>514,314</w:t>
            </w:r>
          </w:p>
        </w:tc>
        <w:tc>
          <w:tcPr>
            <w:tcW w:w="60" w:type="dxa"/>
            <w:vAlign w:val="bottom"/>
          </w:tcPr>
          <w:p>
            <w:pPr>
              <w:spacing w:after="0"/>
              <w:rPr>
                <w:sz w:val="20"/>
                <w:szCs w:val="20"/>
                <w:color w:val="auto"/>
              </w:rPr>
            </w:pPr>
          </w:p>
        </w:tc>
        <w:tc>
          <w:tcPr>
            <w:tcW w:w="140" w:type="dxa"/>
            <w:vAlign w:val="bottom"/>
          </w:tcPr>
          <w:p>
            <w:pPr>
              <w:spacing w:after="0"/>
              <w:rPr>
                <w:sz w:val="20"/>
                <w:szCs w:val="20"/>
                <w:color w:val="auto"/>
              </w:rPr>
            </w:pPr>
          </w:p>
        </w:tc>
        <w:tc>
          <w:tcPr>
            <w:tcW w:w="740" w:type="dxa"/>
            <w:vAlign w:val="bottom"/>
            <w:gridSpan w:val="2"/>
          </w:tcPr>
          <w:p>
            <w:pPr>
              <w:jc w:val="right"/>
              <w:ind w:right="60"/>
              <w:spacing w:after="0"/>
              <w:rPr>
                <w:sz w:val="20"/>
                <w:szCs w:val="20"/>
                <w:color w:val="auto"/>
              </w:rPr>
            </w:pPr>
            <w:r>
              <w:rPr>
                <w:rFonts w:ascii="Arial" w:cs="Arial" w:eastAsia="Arial" w:hAnsi="Arial"/>
                <w:sz w:val="18"/>
                <w:szCs w:val="18"/>
                <w:color w:val="auto"/>
                <w:w w:val="89"/>
              </w:rPr>
              <w:t>504,831</w:t>
            </w:r>
          </w:p>
        </w:tc>
        <w:tc>
          <w:tcPr>
            <w:tcW w:w="60" w:type="dxa"/>
            <w:vAlign w:val="bottom"/>
          </w:tcPr>
          <w:p>
            <w:pPr>
              <w:spacing w:after="0"/>
              <w:rPr>
                <w:sz w:val="20"/>
                <w:szCs w:val="20"/>
                <w:color w:val="auto"/>
              </w:rPr>
            </w:pPr>
          </w:p>
        </w:tc>
        <w:tc>
          <w:tcPr>
            <w:tcW w:w="100" w:type="dxa"/>
            <w:vAlign w:val="bottom"/>
          </w:tcPr>
          <w:p>
            <w:pPr>
              <w:spacing w:after="0"/>
              <w:rPr>
                <w:sz w:val="20"/>
                <w:szCs w:val="20"/>
                <w:color w:val="auto"/>
              </w:rPr>
            </w:pPr>
          </w:p>
        </w:tc>
        <w:tc>
          <w:tcPr>
            <w:tcW w:w="820" w:type="dxa"/>
            <w:vAlign w:val="bottom"/>
            <w:gridSpan w:val="2"/>
          </w:tcPr>
          <w:p>
            <w:pPr>
              <w:jc w:val="right"/>
              <w:ind w:right="100"/>
              <w:spacing w:after="0"/>
              <w:rPr>
                <w:sz w:val="20"/>
                <w:szCs w:val="20"/>
                <w:color w:val="auto"/>
              </w:rPr>
            </w:pPr>
            <w:r>
              <w:rPr>
                <w:rFonts w:ascii="Arial" w:cs="Arial" w:eastAsia="Arial" w:hAnsi="Arial"/>
                <w:sz w:val="18"/>
                <w:szCs w:val="18"/>
                <w:color w:val="auto"/>
              </w:rPr>
              <w:t>516,476</w:t>
            </w:r>
          </w:p>
        </w:tc>
        <w:tc>
          <w:tcPr>
            <w:tcW w:w="100" w:type="dxa"/>
            <w:vAlign w:val="bottom"/>
          </w:tcPr>
          <w:p>
            <w:pPr>
              <w:spacing w:after="0"/>
              <w:rPr>
                <w:sz w:val="20"/>
                <w:szCs w:val="20"/>
                <w:color w:val="auto"/>
              </w:rPr>
            </w:pPr>
          </w:p>
        </w:tc>
        <w:tc>
          <w:tcPr>
            <w:tcW w:w="100" w:type="dxa"/>
            <w:vAlign w:val="bottom"/>
          </w:tcPr>
          <w:p>
            <w:pPr>
              <w:spacing w:after="0"/>
              <w:rPr>
                <w:sz w:val="20"/>
                <w:szCs w:val="20"/>
                <w:color w:val="auto"/>
              </w:rPr>
            </w:pPr>
          </w:p>
        </w:tc>
        <w:tc>
          <w:tcPr>
            <w:tcW w:w="840" w:type="dxa"/>
            <w:vAlign w:val="bottom"/>
            <w:gridSpan w:val="2"/>
          </w:tcPr>
          <w:p>
            <w:pPr>
              <w:jc w:val="right"/>
              <w:ind w:right="20"/>
              <w:spacing w:after="0"/>
              <w:rPr>
                <w:sz w:val="20"/>
                <w:szCs w:val="20"/>
                <w:color w:val="auto"/>
              </w:rPr>
            </w:pPr>
            <w:r>
              <w:rPr>
                <w:rFonts w:ascii="Arial" w:cs="Arial" w:eastAsia="Arial" w:hAnsi="Arial"/>
                <w:sz w:val="18"/>
                <w:szCs w:val="18"/>
                <w:color w:val="auto"/>
              </w:rPr>
              <w:t>512,476</w:t>
            </w:r>
          </w:p>
        </w:tc>
        <w:tc>
          <w:tcPr>
            <w:tcW w:w="0" w:type="dxa"/>
            <w:vAlign w:val="bottom"/>
          </w:tcPr>
          <w:p>
            <w:pPr>
              <w:spacing w:after="0"/>
              <w:rPr>
                <w:sz w:val="1"/>
                <w:szCs w:val="1"/>
                <w:color w:val="auto"/>
              </w:rPr>
            </w:pPr>
          </w:p>
        </w:tc>
      </w:tr>
    </w:tbl>
    <w:p>
      <w:pPr>
        <w:sectPr>
          <w:pgSz w:w="11900" w:h="16838" w:orient="portrait"/>
          <w:cols w:equalWidth="0" w:num="1">
            <w:col w:w="11420"/>
          </w:cols>
          <w:pgMar w:left="240" w:top="270" w:right="239" w:bottom="1440" w:gutter="0" w:footer="0" w:header="0"/>
        </w:sectPr>
      </w:pPr>
    </w:p>
    <w:bookmarkStart w:id="9" w:name="page10"/>
    <w:bookmarkEnd w:id="9"/>
    <w:p>
      <w:pPr>
        <w:jc w:val="center"/>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26">
                      <a:extLst>
                        <a:ext uri="{28A0092B-C50C-407E-A947-70E740481C1C}"/>
                      </a:extLst>
                    </a:blip>
                    <a:srcRect/>
                    <a:stretch>
                      <a:fillRect/>
                    </a:stretch>
                  </pic:blipFill>
                  <pic:spPr bwMode="auto">
                    <a:xfrm>
                      <a:off x="0" y="0"/>
                      <a:ext cx="7289165" cy="38735"/>
                    </a:xfrm>
                    <a:prstGeom prst="rect">
                      <a:avLst/>
                    </a:prstGeom>
                    <a:noFill/>
                  </pic:spPr>
                </pic:pic>
              </a:graphicData>
            </a:graphic>
          </wp:anchor>
        </w:drawing>
        <w:t>Marvell Technology Group Ltd.</w:t>
      </w:r>
    </w:p>
    <w:p>
      <w:pPr>
        <w:spacing w:after="0" w:line="27"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Condensed Consolidated Balance Sheets</w:t>
      </w:r>
    </w:p>
    <w:p>
      <w:pPr>
        <w:spacing w:after="0" w:line="9"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(Unaudited)</w:t>
      </w:r>
    </w:p>
    <w:p>
      <w:pPr>
        <w:spacing w:after="0" w:line="9"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(In thousands)</w:t>
      </w:r>
    </w:p>
    <w:p>
      <w:pPr>
        <w:spacing w:after="0" w:line="217"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936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960" w:type="dxa"/>
            <w:vAlign w:val="bottom"/>
            <w:gridSpan w:val="3"/>
          </w:tcPr>
          <w:p>
            <w:pPr>
              <w:ind w:left="20"/>
              <w:spacing w:after="0"/>
              <w:rPr>
                <w:sz w:val="20"/>
                <w:szCs w:val="20"/>
                <w:color w:val="auto"/>
              </w:rPr>
            </w:pPr>
            <w:r>
              <w:rPr>
                <w:rFonts w:ascii="Arial" w:cs="Arial" w:eastAsia="Arial" w:hAnsi="Arial"/>
                <w:sz w:val="14"/>
                <w:szCs w:val="14"/>
                <w:b w:val="1"/>
                <w:bCs w:val="1"/>
                <w:color w:val="auto"/>
              </w:rPr>
              <w:t>October 29,</w:t>
            </w:r>
          </w:p>
        </w:tc>
        <w:tc>
          <w:tcPr>
            <w:tcW w:w="140" w:type="dxa"/>
            <w:vAlign w:val="bottom"/>
          </w:tcPr>
          <w:p>
            <w:pPr>
              <w:spacing w:after="0"/>
              <w:rPr>
                <w:sz w:val="14"/>
                <w:szCs w:val="14"/>
                <w:color w:val="auto"/>
              </w:rPr>
            </w:pPr>
          </w:p>
        </w:tc>
        <w:tc>
          <w:tcPr>
            <w:tcW w:w="940" w:type="dxa"/>
            <w:vAlign w:val="bottom"/>
            <w:gridSpan w:val="3"/>
          </w:tcPr>
          <w:p>
            <w:pPr>
              <w:jc w:val="right"/>
              <w:ind w:right="160"/>
              <w:spacing w:after="0"/>
              <w:rPr>
                <w:sz w:val="20"/>
                <w:szCs w:val="20"/>
                <w:color w:val="auto"/>
              </w:rPr>
            </w:pPr>
            <w:r>
              <w:rPr>
                <w:rFonts w:ascii="Arial" w:cs="Arial" w:eastAsia="Arial" w:hAnsi="Arial"/>
                <w:sz w:val="14"/>
                <w:szCs w:val="14"/>
                <w:b w:val="1"/>
                <w:bCs w:val="1"/>
                <w:color w:val="auto"/>
                <w:w w:val="98"/>
              </w:rPr>
              <w:t>January 30,</w:t>
            </w:r>
          </w:p>
        </w:tc>
      </w:tr>
      <w:tr>
        <w:trPr>
          <w:trHeight w:val="171"/>
        </w:trPr>
        <w:tc>
          <w:tcPr>
            <w:tcW w:w="9360" w:type="dxa"/>
            <w:vAlign w:val="bottom"/>
            <w:tcBorders>
              <w:bottom w:val="single" w:sz="8" w:color="CCEEFF"/>
            </w:tcBorders>
          </w:tcPr>
          <w:p>
            <w:pPr>
              <w:spacing w:after="0"/>
              <w:rPr>
                <w:sz w:val="14"/>
                <w:szCs w:val="14"/>
                <w:color w:val="auto"/>
              </w:rPr>
            </w:pPr>
          </w:p>
        </w:tc>
        <w:tc>
          <w:tcPr>
            <w:tcW w:w="20" w:type="dxa"/>
            <w:vAlign w:val="bottom"/>
            <w:tcBorders>
              <w:bottom w:val="single" w:sz="8" w:color="CCEEFF"/>
            </w:tcBorders>
          </w:tcPr>
          <w:p>
            <w:pPr>
              <w:spacing w:after="0"/>
              <w:rPr>
                <w:sz w:val="14"/>
                <w:szCs w:val="14"/>
                <w:color w:val="auto"/>
              </w:rPr>
            </w:pPr>
          </w:p>
        </w:tc>
        <w:tc>
          <w:tcPr>
            <w:tcW w:w="80" w:type="dxa"/>
            <w:vAlign w:val="bottom"/>
            <w:tcBorders>
              <w:bottom w:val="single" w:sz="8" w:color="auto"/>
            </w:tcBorders>
          </w:tcPr>
          <w:p>
            <w:pPr>
              <w:spacing w:after="0"/>
              <w:rPr>
                <w:sz w:val="14"/>
                <w:szCs w:val="14"/>
                <w:color w:val="auto"/>
              </w:rPr>
            </w:pPr>
          </w:p>
        </w:tc>
        <w:tc>
          <w:tcPr>
            <w:tcW w:w="720" w:type="dxa"/>
            <w:vAlign w:val="bottom"/>
            <w:tcBorders>
              <w:bottom w:val="single" w:sz="8" w:color="auto"/>
            </w:tcBorders>
          </w:tcPr>
          <w:p>
            <w:pPr>
              <w:jc w:val="right"/>
              <w:ind w:right="191"/>
              <w:spacing w:after="0"/>
              <w:rPr>
                <w:sz w:val="20"/>
                <w:szCs w:val="20"/>
                <w:color w:val="auto"/>
              </w:rPr>
            </w:pPr>
            <w:r>
              <w:rPr>
                <w:rFonts w:ascii="Arial" w:cs="Arial" w:eastAsia="Arial" w:hAnsi="Arial"/>
                <w:sz w:val="14"/>
                <w:szCs w:val="14"/>
                <w:b w:val="1"/>
                <w:bCs w:val="1"/>
                <w:color w:val="auto"/>
              </w:rPr>
              <w:t>2016</w:t>
            </w:r>
          </w:p>
        </w:tc>
        <w:tc>
          <w:tcPr>
            <w:tcW w:w="160" w:type="dxa"/>
            <w:vAlign w:val="bottom"/>
            <w:tcBorders>
              <w:bottom w:val="single" w:sz="8" w:color="CCEEFF"/>
            </w:tcBorders>
          </w:tcPr>
          <w:p>
            <w:pPr>
              <w:spacing w:after="0"/>
              <w:rPr>
                <w:sz w:val="14"/>
                <w:szCs w:val="14"/>
                <w:color w:val="auto"/>
              </w:rPr>
            </w:pPr>
          </w:p>
        </w:tc>
        <w:tc>
          <w:tcPr>
            <w:tcW w:w="140" w:type="dxa"/>
            <w:vAlign w:val="bottom"/>
            <w:tcBorders>
              <w:bottom w:val="single" w:sz="8" w:color="CCEEFF"/>
            </w:tcBorders>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740" w:type="dxa"/>
            <w:vAlign w:val="bottom"/>
            <w:tcBorders>
              <w:bottom w:val="single" w:sz="8" w:color="auto"/>
            </w:tcBorders>
          </w:tcPr>
          <w:p>
            <w:pPr>
              <w:jc w:val="right"/>
              <w:ind w:right="191"/>
              <w:spacing w:after="0"/>
              <w:rPr>
                <w:sz w:val="20"/>
                <w:szCs w:val="20"/>
                <w:color w:val="auto"/>
              </w:rPr>
            </w:pPr>
            <w:r>
              <w:rPr>
                <w:rFonts w:ascii="Arial" w:cs="Arial" w:eastAsia="Arial" w:hAnsi="Arial"/>
                <w:sz w:val="14"/>
                <w:szCs w:val="14"/>
                <w:b w:val="1"/>
                <w:bCs w:val="1"/>
                <w:color w:val="auto"/>
              </w:rPr>
              <w:t>2016</w:t>
            </w:r>
          </w:p>
        </w:tc>
        <w:tc>
          <w:tcPr>
            <w:tcW w:w="100" w:type="dxa"/>
            <w:vAlign w:val="bottom"/>
            <w:tcBorders>
              <w:bottom w:val="single" w:sz="8" w:color="CCEEFF"/>
            </w:tcBorders>
          </w:tcPr>
          <w:p>
            <w:pPr>
              <w:spacing w:after="0"/>
              <w:rPr>
                <w:sz w:val="14"/>
                <w:szCs w:val="14"/>
                <w:color w:val="auto"/>
              </w:rPr>
            </w:pPr>
          </w:p>
        </w:tc>
      </w:tr>
      <w:tr>
        <w:trPr>
          <w:trHeight w:val="196"/>
        </w:trPr>
        <w:tc>
          <w:tcPr>
            <w:tcW w:w="9360" w:type="dxa"/>
            <w:vAlign w:val="bottom"/>
            <w:shd w:val="clear" w:color="auto" w:fill="CCEEFF"/>
          </w:tcPr>
          <w:p>
            <w:pPr>
              <w:spacing w:after="0" w:line="196" w:lineRule="exact"/>
              <w:rPr>
                <w:sz w:val="20"/>
                <w:szCs w:val="20"/>
                <w:color w:val="auto"/>
              </w:rPr>
            </w:pPr>
            <w:r>
              <w:rPr>
                <w:rFonts w:ascii="Arial" w:cs="Arial" w:eastAsia="Arial" w:hAnsi="Arial"/>
                <w:sz w:val="18"/>
                <w:szCs w:val="18"/>
                <w:b w:val="1"/>
                <w:bCs w:val="1"/>
                <w:color w:val="auto"/>
              </w:rPr>
              <w:t>Assets</w:t>
            </w:r>
          </w:p>
        </w:tc>
        <w:tc>
          <w:tcPr>
            <w:tcW w:w="20" w:type="dxa"/>
            <w:vAlign w:val="bottom"/>
            <w:shd w:val="clear" w:color="auto" w:fill="CCEEFF"/>
          </w:tcPr>
          <w:p>
            <w:pPr>
              <w:spacing w:after="0"/>
              <w:rPr>
                <w:sz w:val="17"/>
                <w:szCs w:val="17"/>
                <w:color w:val="auto"/>
              </w:rPr>
            </w:pPr>
          </w:p>
        </w:tc>
        <w:tc>
          <w:tcPr>
            <w:tcW w:w="80" w:type="dxa"/>
            <w:vAlign w:val="bottom"/>
            <w:shd w:val="clear" w:color="auto" w:fill="CCEEFF"/>
          </w:tcPr>
          <w:p>
            <w:pPr>
              <w:spacing w:after="0"/>
              <w:rPr>
                <w:sz w:val="17"/>
                <w:szCs w:val="17"/>
                <w:color w:val="auto"/>
              </w:rPr>
            </w:pPr>
          </w:p>
        </w:tc>
        <w:tc>
          <w:tcPr>
            <w:tcW w:w="720" w:type="dxa"/>
            <w:vAlign w:val="bottom"/>
            <w:shd w:val="clear" w:color="auto" w:fill="CCEEFF"/>
          </w:tcPr>
          <w:p>
            <w:pPr>
              <w:spacing w:after="0"/>
              <w:rPr>
                <w:sz w:val="17"/>
                <w:szCs w:val="17"/>
                <w:color w:val="auto"/>
              </w:rPr>
            </w:pPr>
          </w:p>
        </w:tc>
        <w:tc>
          <w:tcPr>
            <w:tcW w:w="160" w:type="dxa"/>
            <w:vAlign w:val="bottom"/>
            <w:shd w:val="clear" w:color="auto" w:fill="CCEEFF"/>
          </w:tcPr>
          <w:p>
            <w:pPr>
              <w:spacing w:after="0"/>
              <w:rPr>
                <w:sz w:val="17"/>
                <w:szCs w:val="17"/>
                <w:color w:val="auto"/>
              </w:rPr>
            </w:pPr>
          </w:p>
        </w:tc>
        <w:tc>
          <w:tcPr>
            <w:tcW w:w="14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74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r>
      <w:tr>
        <w:trPr>
          <w:trHeight w:val="216"/>
        </w:trPr>
        <w:tc>
          <w:tcPr>
            <w:tcW w:w="9360" w:type="dxa"/>
            <w:vAlign w:val="bottom"/>
          </w:tcPr>
          <w:p>
            <w:pPr>
              <w:spacing w:after="0"/>
              <w:rPr>
                <w:sz w:val="20"/>
                <w:szCs w:val="20"/>
                <w:color w:val="auto"/>
              </w:rPr>
            </w:pPr>
            <w:r>
              <w:rPr>
                <w:rFonts w:ascii="Arial" w:cs="Arial" w:eastAsia="Arial" w:hAnsi="Arial"/>
                <w:sz w:val="18"/>
                <w:szCs w:val="18"/>
                <w:color w:val="auto"/>
              </w:rPr>
              <w:t>Current assets:</w:t>
            </w:r>
          </w:p>
        </w:tc>
        <w:tc>
          <w:tcPr>
            <w:tcW w:w="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72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40" w:type="dxa"/>
            <w:vAlign w:val="bottom"/>
          </w:tcPr>
          <w:p>
            <w:pPr>
              <w:spacing w:after="0"/>
              <w:rPr>
                <w:sz w:val="18"/>
                <w:szCs w:val="18"/>
                <w:color w:val="auto"/>
              </w:rPr>
            </w:pPr>
          </w:p>
        </w:tc>
        <w:tc>
          <w:tcPr>
            <w:tcW w:w="100" w:type="dxa"/>
            <w:vAlign w:val="bottom"/>
          </w:tcPr>
          <w:p>
            <w:pPr>
              <w:spacing w:after="0"/>
              <w:rPr>
                <w:sz w:val="18"/>
                <w:szCs w:val="18"/>
                <w:color w:val="auto"/>
              </w:rPr>
            </w:pPr>
          </w:p>
        </w:tc>
      </w:tr>
      <w:tr>
        <w:trPr>
          <w:trHeight w:val="216"/>
        </w:trPr>
        <w:tc>
          <w:tcPr>
            <w:tcW w:w="9360" w:type="dxa"/>
            <w:vAlign w:val="bottom"/>
            <w:shd w:val="clear" w:color="auto" w:fill="CCEEFF"/>
          </w:tcPr>
          <w:p>
            <w:pPr>
              <w:ind w:left="360"/>
              <w:spacing w:after="0"/>
              <w:rPr>
                <w:sz w:val="20"/>
                <w:szCs w:val="20"/>
                <w:color w:val="auto"/>
              </w:rPr>
            </w:pPr>
            <w:r>
              <w:rPr>
                <w:rFonts w:ascii="Arial" w:cs="Arial" w:eastAsia="Arial" w:hAnsi="Arial"/>
                <w:sz w:val="18"/>
                <w:szCs w:val="18"/>
                <w:color w:val="auto"/>
              </w:rPr>
              <w:t>Cash, cash equivalents and short-term investments</w:t>
            </w:r>
          </w:p>
        </w:tc>
        <w:tc>
          <w:tcPr>
            <w:tcW w:w="100" w:type="dxa"/>
            <w:vAlign w:val="bottom"/>
            <w:gridSpan w:val="2"/>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72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7"/>
              </w:rPr>
              <w:t>1,650,372</w:t>
            </w:r>
          </w:p>
        </w:tc>
        <w:tc>
          <w:tcPr>
            <w:tcW w:w="160" w:type="dxa"/>
            <w:vAlign w:val="bottom"/>
            <w:shd w:val="clear" w:color="auto" w:fill="CCEEFF"/>
          </w:tcPr>
          <w:p>
            <w:pPr>
              <w:spacing w:after="0"/>
              <w:rPr>
                <w:sz w:val="18"/>
                <w:szCs w:val="18"/>
                <w:color w:val="auto"/>
              </w:rPr>
            </w:pPr>
          </w:p>
        </w:tc>
        <w:tc>
          <w:tcPr>
            <w:tcW w:w="24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84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w w:val="89"/>
              </w:rPr>
              <w:t>2,282,749</w:t>
            </w:r>
          </w:p>
        </w:tc>
      </w:tr>
      <w:tr>
        <w:trPr>
          <w:trHeight w:val="216"/>
        </w:trPr>
        <w:tc>
          <w:tcPr>
            <w:tcW w:w="9360" w:type="dxa"/>
            <w:vAlign w:val="bottom"/>
          </w:tcPr>
          <w:p>
            <w:pPr>
              <w:ind w:left="360"/>
              <w:spacing w:after="0"/>
              <w:rPr>
                <w:sz w:val="20"/>
                <w:szCs w:val="20"/>
                <w:color w:val="auto"/>
              </w:rPr>
            </w:pPr>
            <w:r>
              <w:rPr>
                <w:rFonts w:ascii="Arial" w:cs="Arial" w:eastAsia="Arial" w:hAnsi="Arial"/>
                <w:sz w:val="18"/>
                <w:szCs w:val="18"/>
                <w:color w:val="auto"/>
              </w:rPr>
              <w:t>Accounts receivable, net</w:t>
            </w:r>
          </w:p>
        </w:tc>
        <w:tc>
          <w:tcPr>
            <w:tcW w:w="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880" w:type="dxa"/>
            <w:vAlign w:val="bottom"/>
            <w:gridSpan w:val="2"/>
          </w:tcPr>
          <w:p>
            <w:pPr>
              <w:jc w:val="right"/>
              <w:ind w:right="160"/>
              <w:spacing w:after="0"/>
              <w:rPr>
                <w:sz w:val="20"/>
                <w:szCs w:val="20"/>
                <w:color w:val="auto"/>
              </w:rPr>
            </w:pPr>
            <w:r>
              <w:rPr>
                <w:rFonts w:ascii="Arial" w:cs="Arial" w:eastAsia="Arial" w:hAnsi="Arial"/>
                <w:sz w:val="18"/>
                <w:szCs w:val="18"/>
                <w:color w:val="auto"/>
              </w:rPr>
              <w:t>362,195</w:t>
            </w:r>
          </w:p>
        </w:tc>
        <w:tc>
          <w:tcPr>
            <w:tcW w:w="1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840" w:type="dxa"/>
            <w:vAlign w:val="bottom"/>
            <w:gridSpan w:val="2"/>
          </w:tcPr>
          <w:p>
            <w:pPr>
              <w:jc w:val="right"/>
              <w:ind w:right="100"/>
              <w:spacing w:after="0"/>
              <w:rPr>
                <w:sz w:val="20"/>
                <w:szCs w:val="20"/>
                <w:color w:val="auto"/>
              </w:rPr>
            </w:pPr>
            <w:r>
              <w:rPr>
                <w:rFonts w:ascii="Arial" w:cs="Arial" w:eastAsia="Arial" w:hAnsi="Arial"/>
                <w:sz w:val="18"/>
                <w:szCs w:val="18"/>
                <w:color w:val="auto"/>
              </w:rPr>
              <w:t>323,300</w:t>
            </w:r>
          </w:p>
        </w:tc>
      </w:tr>
      <w:tr>
        <w:trPr>
          <w:trHeight w:val="216"/>
        </w:trPr>
        <w:tc>
          <w:tcPr>
            <w:tcW w:w="9360" w:type="dxa"/>
            <w:vAlign w:val="bottom"/>
            <w:shd w:val="clear" w:color="auto" w:fill="CCEEFF"/>
          </w:tcPr>
          <w:p>
            <w:pPr>
              <w:ind w:left="360"/>
              <w:spacing w:after="0"/>
              <w:rPr>
                <w:sz w:val="20"/>
                <w:szCs w:val="20"/>
                <w:color w:val="auto"/>
              </w:rPr>
            </w:pPr>
            <w:r>
              <w:rPr>
                <w:rFonts w:ascii="Arial" w:cs="Arial" w:eastAsia="Arial" w:hAnsi="Arial"/>
                <w:sz w:val="18"/>
                <w:szCs w:val="18"/>
                <w:color w:val="auto"/>
              </w:rPr>
              <w:t>Inventories</w:t>
            </w:r>
          </w:p>
        </w:tc>
        <w:tc>
          <w:tcPr>
            <w:tcW w:w="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880" w:type="dxa"/>
            <w:vAlign w:val="bottom"/>
            <w:gridSpan w:val="2"/>
            <w:shd w:val="clear" w:color="auto" w:fill="CCEEFF"/>
          </w:tcPr>
          <w:p>
            <w:pPr>
              <w:jc w:val="right"/>
              <w:ind w:right="160"/>
              <w:spacing w:after="0"/>
              <w:rPr>
                <w:sz w:val="20"/>
                <w:szCs w:val="20"/>
                <w:color w:val="auto"/>
              </w:rPr>
            </w:pPr>
            <w:r>
              <w:rPr>
                <w:rFonts w:ascii="Arial" w:cs="Arial" w:eastAsia="Arial" w:hAnsi="Arial"/>
                <w:sz w:val="18"/>
                <w:szCs w:val="18"/>
                <w:color w:val="auto"/>
              </w:rPr>
              <w:t>198,843</w:t>
            </w:r>
          </w:p>
        </w:tc>
        <w:tc>
          <w:tcPr>
            <w:tcW w:w="1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4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210,017</w:t>
            </w:r>
          </w:p>
        </w:tc>
      </w:tr>
      <w:tr>
        <w:trPr>
          <w:trHeight w:val="223"/>
        </w:trPr>
        <w:tc>
          <w:tcPr>
            <w:tcW w:w="9360" w:type="dxa"/>
            <w:vAlign w:val="bottom"/>
          </w:tcPr>
          <w:p>
            <w:pPr>
              <w:ind w:left="360"/>
              <w:spacing w:after="0"/>
              <w:rPr>
                <w:sz w:val="20"/>
                <w:szCs w:val="20"/>
                <w:color w:val="auto"/>
              </w:rPr>
            </w:pPr>
            <w:r>
              <w:rPr>
                <w:rFonts w:ascii="Arial" w:cs="Arial" w:eastAsia="Arial" w:hAnsi="Arial"/>
                <w:sz w:val="18"/>
                <w:szCs w:val="18"/>
                <w:color w:val="auto"/>
              </w:rPr>
              <w:t>Prepaid expenses and other current assets</w:t>
            </w:r>
          </w:p>
        </w:tc>
        <w:tc>
          <w:tcPr>
            <w:tcW w:w="20" w:type="dxa"/>
            <w:vAlign w:val="bottom"/>
          </w:tcPr>
          <w:p>
            <w:pPr>
              <w:spacing w:after="0"/>
              <w:rPr>
                <w:sz w:val="19"/>
                <w:szCs w:val="19"/>
                <w:color w:val="auto"/>
              </w:rPr>
            </w:pPr>
          </w:p>
        </w:tc>
        <w:tc>
          <w:tcPr>
            <w:tcW w:w="80" w:type="dxa"/>
            <w:vAlign w:val="bottom"/>
            <w:tcBorders>
              <w:bottom w:val="single" w:sz="8" w:color="auto"/>
            </w:tcBorders>
          </w:tcPr>
          <w:p>
            <w:pPr>
              <w:spacing w:after="0"/>
              <w:rPr>
                <w:sz w:val="19"/>
                <w:szCs w:val="19"/>
                <w:color w:val="auto"/>
              </w:rPr>
            </w:pPr>
          </w:p>
        </w:tc>
        <w:tc>
          <w:tcPr>
            <w:tcW w:w="72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49,731</w:t>
            </w:r>
          </w:p>
        </w:tc>
        <w:tc>
          <w:tcPr>
            <w:tcW w:w="160" w:type="dxa"/>
            <w:vAlign w:val="bottom"/>
          </w:tcPr>
          <w:p>
            <w:pPr>
              <w:spacing w:after="0"/>
              <w:rPr>
                <w:sz w:val="19"/>
                <w:szCs w:val="19"/>
                <w:color w:val="auto"/>
              </w:rPr>
            </w:pPr>
          </w:p>
        </w:tc>
        <w:tc>
          <w:tcPr>
            <w:tcW w:w="140" w:type="dxa"/>
            <w:vAlign w:val="bottom"/>
          </w:tcPr>
          <w:p>
            <w:pPr>
              <w:spacing w:after="0"/>
              <w:rPr>
                <w:sz w:val="19"/>
                <w:szCs w:val="19"/>
                <w:color w:val="auto"/>
              </w:rPr>
            </w:pPr>
          </w:p>
        </w:tc>
        <w:tc>
          <w:tcPr>
            <w:tcW w:w="100" w:type="dxa"/>
            <w:vAlign w:val="bottom"/>
            <w:tcBorders>
              <w:bottom w:val="single" w:sz="8" w:color="auto"/>
            </w:tcBorders>
          </w:tcPr>
          <w:p>
            <w:pPr>
              <w:spacing w:after="0"/>
              <w:rPr>
                <w:sz w:val="19"/>
                <w:szCs w:val="19"/>
                <w:color w:val="auto"/>
              </w:rPr>
            </w:pPr>
          </w:p>
        </w:tc>
        <w:tc>
          <w:tcPr>
            <w:tcW w:w="74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102,560</w:t>
            </w:r>
          </w:p>
        </w:tc>
        <w:tc>
          <w:tcPr>
            <w:tcW w:w="100" w:type="dxa"/>
            <w:vAlign w:val="bottom"/>
          </w:tcPr>
          <w:p>
            <w:pPr>
              <w:spacing w:after="0"/>
              <w:rPr>
                <w:sz w:val="19"/>
                <w:szCs w:val="19"/>
                <w:color w:val="auto"/>
              </w:rPr>
            </w:pPr>
          </w:p>
        </w:tc>
      </w:tr>
      <w:tr>
        <w:trPr>
          <w:trHeight w:val="216"/>
        </w:trPr>
        <w:tc>
          <w:tcPr>
            <w:tcW w:w="9360" w:type="dxa"/>
            <w:vAlign w:val="bottom"/>
            <w:shd w:val="clear" w:color="auto" w:fill="CCEEFF"/>
          </w:tcPr>
          <w:p>
            <w:pPr>
              <w:ind w:left="720"/>
              <w:spacing w:after="0"/>
              <w:rPr>
                <w:sz w:val="20"/>
                <w:szCs w:val="20"/>
                <w:color w:val="auto"/>
              </w:rPr>
            </w:pPr>
            <w:r>
              <w:rPr>
                <w:rFonts w:ascii="Arial" w:cs="Arial" w:eastAsia="Arial" w:hAnsi="Arial"/>
                <w:sz w:val="18"/>
                <w:szCs w:val="18"/>
                <w:color w:val="auto"/>
              </w:rPr>
              <w:t>Total current assets</w:t>
            </w:r>
          </w:p>
        </w:tc>
        <w:tc>
          <w:tcPr>
            <w:tcW w:w="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72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7"/>
              </w:rPr>
              <w:t>2,261,141</w:t>
            </w:r>
          </w:p>
        </w:tc>
        <w:tc>
          <w:tcPr>
            <w:tcW w:w="16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4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w w:val="89"/>
              </w:rPr>
              <w:t>2,918,626</w:t>
            </w:r>
          </w:p>
        </w:tc>
      </w:tr>
      <w:tr>
        <w:trPr>
          <w:trHeight w:val="216"/>
        </w:trPr>
        <w:tc>
          <w:tcPr>
            <w:tcW w:w="9360" w:type="dxa"/>
            <w:vAlign w:val="bottom"/>
          </w:tcPr>
          <w:p>
            <w:pPr>
              <w:spacing w:after="0"/>
              <w:rPr>
                <w:sz w:val="20"/>
                <w:szCs w:val="20"/>
                <w:color w:val="auto"/>
              </w:rPr>
            </w:pPr>
            <w:r>
              <w:rPr>
                <w:rFonts w:ascii="Arial" w:cs="Arial" w:eastAsia="Arial" w:hAnsi="Arial"/>
                <w:sz w:val="18"/>
                <w:szCs w:val="18"/>
                <w:color w:val="auto"/>
              </w:rPr>
              <w:t>Property and equipment, net</w:t>
            </w:r>
          </w:p>
        </w:tc>
        <w:tc>
          <w:tcPr>
            <w:tcW w:w="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880" w:type="dxa"/>
            <w:vAlign w:val="bottom"/>
            <w:gridSpan w:val="2"/>
          </w:tcPr>
          <w:p>
            <w:pPr>
              <w:jc w:val="right"/>
              <w:ind w:right="160"/>
              <w:spacing w:after="0"/>
              <w:rPr>
                <w:sz w:val="20"/>
                <w:szCs w:val="20"/>
                <w:color w:val="auto"/>
              </w:rPr>
            </w:pPr>
            <w:r>
              <w:rPr>
                <w:rFonts w:ascii="Arial" w:cs="Arial" w:eastAsia="Arial" w:hAnsi="Arial"/>
                <w:sz w:val="18"/>
                <w:szCs w:val="18"/>
                <w:color w:val="auto"/>
              </w:rPr>
              <w:t>265,984</w:t>
            </w:r>
          </w:p>
        </w:tc>
        <w:tc>
          <w:tcPr>
            <w:tcW w:w="1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840" w:type="dxa"/>
            <w:vAlign w:val="bottom"/>
            <w:gridSpan w:val="2"/>
          </w:tcPr>
          <w:p>
            <w:pPr>
              <w:jc w:val="right"/>
              <w:ind w:right="100"/>
              <w:spacing w:after="0"/>
              <w:rPr>
                <w:sz w:val="20"/>
                <w:szCs w:val="20"/>
                <w:color w:val="auto"/>
              </w:rPr>
            </w:pPr>
            <w:r>
              <w:rPr>
                <w:rFonts w:ascii="Arial" w:cs="Arial" w:eastAsia="Arial" w:hAnsi="Arial"/>
                <w:sz w:val="18"/>
                <w:szCs w:val="18"/>
                <w:color w:val="auto"/>
              </w:rPr>
              <w:t>299,540</w:t>
            </w:r>
          </w:p>
        </w:tc>
      </w:tr>
      <w:tr>
        <w:trPr>
          <w:trHeight w:val="216"/>
        </w:trPr>
        <w:tc>
          <w:tcPr>
            <w:tcW w:w="9360" w:type="dxa"/>
            <w:vAlign w:val="bottom"/>
            <w:shd w:val="clear" w:color="auto" w:fill="CCEEFF"/>
          </w:tcPr>
          <w:p>
            <w:pPr>
              <w:spacing w:after="0"/>
              <w:rPr>
                <w:sz w:val="20"/>
                <w:szCs w:val="20"/>
                <w:color w:val="auto"/>
              </w:rPr>
            </w:pPr>
            <w:r>
              <w:rPr>
                <w:rFonts w:ascii="Arial" w:cs="Arial" w:eastAsia="Arial" w:hAnsi="Arial"/>
                <w:sz w:val="18"/>
                <w:szCs w:val="18"/>
                <w:color w:val="auto"/>
              </w:rPr>
              <w:t>Long-term investments</w:t>
            </w:r>
          </w:p>
        </w:tc>
        <w:tc>
          <w:tcPr>
            <w:tcW w:w="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880" w:type="dxa"/>
            <w:vAlign w:val="bottom"/>
            <w:gridSpan w:val="2"/>
            <w:shd w:val="clear" w:color="auto" w:fill="CCEEFF"/>
          </w:tcPr>
          <w:p>
            <w:pPr>
              <w:jc w:val="right"/>
              <w:ind w:right="160"/>
              <w:spacing w:after="0"/>
              <w:rPr>
                <w:sz w:val="20"/>
                <w:szCs w:val="20"/>
                <w:color w:val="auto"/>
              </w:rPr>
            </w:pPr>
            <w:r>
              <w:rPr>
                <w:rFonts w:ascii="Arial" w:cs="Arial" w:eastAsia="Arial" w:hAnsi="Arial"/>
                <w:sz w:val="18"/>
                <w:szCs w:val="18"/>
                <w:color w:val="auto"/>
              </w:rPr>
              <w:t>8,974</w:t>
            </w:r>
          </w:p>
        </w:tc>
        <w:tc>
          <w:tcPr>
            <w:tcW w:w="1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4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11,296</w:t>
            </w:r>
          </w:p>
        </w:tc>
      </w:tr>
      <w:tr>
        <w:trPr>
          <w:trHeight w:val="216"/>
        </w:trPr>
        <w:tc>
          <w:tcPr>
            <w:tcW w:w="9360" w:type="dxa"/>
            <w:vAlign w:val="bottom"/>
          </w:tcPr>
          <w:p>
            <w:pPr>
              <w:spacing w:after="0"/>
              <w:rPr>
                <w:sz w:val="20"/>
                <w:szCs w:val="20"/>
                <w:color w:val="auto"/>
              </w:rPr>
            </w:pPr>
            <w:r>
              <w:rPr>
                <w:rFonts w:ascii="Arial" w:cs="Arial" w:eastAsia="Arial" w:hAnsi="Arial"/>
                <w:sz w:val="18"/>
                <w:szCs w:val="18"/>
                <w:color w:val="auto"/>
              </w:rPr>
              <w:t>Goodwill and acquired intangible assets, net</w:t>
            </w:r>
          </w:p>
        </w:tc>
        <w:tc>
          <w:tcPr>
            <w:tcW w:w="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720" w:type="dxa"/>
            <w:vAlign w:val="bottom"/>
          </w:tcPr>
          <w:p>
            <w:pPr>
              <w:jc w:val="right"/>
              <w:spacing w:after="0"/>
              <w:rPr>
                <w:sz w:val="20"/>
                <w:szCs w:val="20"/>
                <w:color w:val="auto"/>
              </w:rPr>
            </w:pPr>
            <w:r>
              <w:rPr>
                <w:rFonts w:ascii="Arial" w:cs="Arial" w:eastAsia="Arial" w:hAnsi="Arial"/>
                <w:sz w:val="18"/>
                <w:szCs w:val="18"/>
                <w:color w:val="auto"/>
                <w:w w:val="87"/>
              </w:rPr>
              <w:t>2,039,279</w:t>
            </w:r>
          </w:p>
        </w:tc>
        <w:tc>
          <w:tcPr>
            <w:tcW w:w="16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840" w:type="dxa"/>
            <w:vAlign w:val="bottom"/>
            <w:gridSpan w:val="2"/>
          </w:tcPr>
          <w:p>
            <w:pPr>
              <w:jc w:val="right"/>
              <w:ind w:right="100"/>
              <w:spacing w:after="0"/>
              <w:rPr>
                <w:sz w:val="20"/>
                <w:szCs w:val="20"/>
                <w:color w:val="auto"/>
              </w:rPr>
            </w:pPr>
            <w:r>
              <w:rPr>
                <w:rFonts w:ascii="Arial" w:cs="Arial" w:eastAsia="Arial" w:hAnsi="Arial"/>
                <w:sz w:val="18"/>
                <w:szCs w:val="18"/>
                <w:color w:val="auto"/>
                <w:w w:val="89"/>
              </w:rPr>
              <w:t>2,047,955</w:t>
            </w:r>
          </w:p>
        </w:tc>
      </w:tr>
      <w:tr>
        <w:trPr>
          <w:trHeight w:val="216"/>
        </w:trPr>
        <w:tc>
          <w:tcPr>
            <w:tcW w:w="9360" w:type="dxa"/>
            <w:vAlign w:val="bottom"/>
            <w:shd w:val="clear" w:color="auto" w:fill="CCEEFF"/>
          </w:tcPr>
          <w:p>
            <w:pPr>
              <w:spacing w:after="0"/>
              <w:rPr>
                <w:sz w:val="20"/>
                <w:szCs w:val="20"/>
                <w:color w:val="auto"/>
              </w:rPr>
            </w:pPr>
            <w:r>
              <w:rPr>
                <w:rFonts w:ascii="Arial" w:cs="Arial" w:eastAsia="Arial" w:hAnsi="Arial"/>
                <w:sz w:val="18"/>
                <w:szCs w:val="18"/>
                <w:color w:val="auto"/>
              </w:rPr>
              <w:t>Other non-current assets</w:t>
            </w:r>
          </w:p>
        </w:tc>
        <w:tc>
          <w:tcPr>
            <w:tcW w:w="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880" w:type="dxa"/>
            <w:vAlign w:val="bottom"/>
            <w:gridSpan w:val="2"/>
            <w:shd w:val="clear" w:color="auto" w:fill="CCEEFF"/>
          </w:tcPr>
          <w:p>
            <w:pPr>
              <w:jc w:val="right"/>
              <w:ind w:right="160"/>
              <w:spacing w:after="0"/>
              <w:rPr>
                <w:sz w:val="20"/>
                <w:szCs w:val="20"/>
                <w:color w:val="auto"/>
              </w:rPr>
            </w:pPr>
            <w:r>
              <w:rPr>
                <w:rFonts w:ascii="Arial" w:cs="Arial" w:eastAsia="Arial" w:hAnsi="Arial"/>
                <w:sz w:val="18"/>
                <w:szCs w:val="18"/>
                <w:color w:val="auto"/>
              </w:rPr>
              <w:t>179,068</w:t>
            </w:r>
          </w:p>
        </w:tc>
        <w:tc>
          <w:tcPr>
            <w:tcW w:w="1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4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164,710</w:t>
            </w:r>
          </w:p>
        </w:tc>
      </w:tr>
      <w:tr>
        <w:trPr>
          <w:trHeight w:val="223"/>
        </w:trPr>
        <w:tc>
          <w:tcPr>
            <w:tcW w:w="9360" w:type="dxa"/>
            <w:vAlign w:val="bottom"/>
          </w:tcPr>
          <w:p>
            <w:pPr>
              <w:ind w:left="720"/>
              <w:spacing w:after="0"/>
              <w:rPr>
                <w:sz w:val="20"/>
                <w:szCs w:val="20"/>
                <w:color w:val="auto"/>
              </w:rPr>
            </w:pPr>
            <w:r>
              <w:rPr>
                <w:rFonts w:ascii="Arial" w:cs="Arial" w:eastAsia="Arial" w:hAnsi="Arial"/>
                <w:sz w:val="18"/>
                <w:szCs w:val="18"/>
                <w:color w:val="auto"/>
              </w:rPr>
              <w:t>Total assets</w:t>
            </w:r>
          </w:p>
        </w:tc>
        <w:tc>
          <w:tcPr>
            <w:tcW w:w="20" w:type="dxa"/>
            <w:vAlign w:val="bottom"/>
          </w:tcPr>
          <w:p>
            <w:pPr>
              <w:spacing w:after="0"/>
              <w:rPr>
                <w:sz w:val="19"/>
                <w:szCs w:val="19"/>
                <w:color w:val="auto"/>
              </w:rPr>
            </w:pPr>
          </w:p>
        </w:tc>
        <w:tc>
          <w:tcPr>
            <w:tcW w:w="8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0"/>
                <w:szCs w:val="10"/>
                <w:u w:val="single" w:color="auto"/>
                <w:color w:val="auto"/>
                <w:w w:val="71"/>
              </w:rPr>
              <w:t>$</w:t>
            </w:r>
          </w:p>
        </w:tc>
        <w:tc>
          <w:tcPr>
            <w:tcW w:w="72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w w:val="87"/>
              </w:rPr>
              <w:t>4,754,446</w:t>
            </w:r>
          </w:p>
        </w:tc>
        <w:tc>
          <w:tcPr>
            <w:tcW w:w="160" w:type="dxa"/>
            <w:vAlign w:val="bottom"/>
          </w:tcPr>
          <w:p>
            <w:pPr>
              <w:spacing w:after="0"/>
              <w:rPr>
                <w:sz w:val="19"/>
                <w:szCs w:val="19"/>
                <w:color w:val="auto"/>
              </w:rPr>
            </w:pPr>
          </w:p>
        </w:tc>
        <w:tc>
          <w:tcPr>
            <w:tcW w:w="140" w:type="dxa"/>
            <w:vAlign w:val="bottom"/>
          </w:tcPr>
          <w:p>
            <w:pPr>
              <w:spacing w:after="0"/>
              <w:rPr>
                <w:sz w:val="19"/>
                <w:szCs w:val="19"/>
                <w:color w:val="auto"/>
              </w:rPr>
            </w:pPr>
          </w:p>
        </w:tc>
        <w:tc>
          <w:tcPr>
            <w:tcW w:w="10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u w:val="single" w:color="auto"/>
                <w:color w:val="auto"/>
                <w:w w:val="79"/>
              </w:rPr>
              <w:t>$</w:t>
            </w:r>
          </w:p>
        </w:tc>
        <w:tc>
          <w:tcPr>
            <w:tcW w:w="74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w w:val="89"/>
              </w:rPr>
              <w:t>5,442,127</w:t>
            </w:r>
          </w:p>
        </w:tc>
        <w:tc>
          <w:tcPr>
            <w:tcW w:w="100" w:type="dxa"/>
            <w:vAlign w:val="bottom"/>
          </w:tcPr>
          <w:p>
            <w:pPr>
              <w:spacing w:after="0"/>
              <w:rPr>
                <w:sz w:val="19"/>
                <w:szCs w:val="19"/>
                <w:color w:val="auto"/>
              </w:rPr>
            </w:pPr>
          </w:p>
        </w:tc>
      </w:tr>
      <w:tr>
        <w:trPr>
          <w:trHeight w:val="20"/>
        </w:trPr>
        <w:tc>
          <w:tcPr>
            <w:tcW w:w="936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80" w:type="dxa"/>
            <w:vAlign w:val="bottom"/>
            <w:tcBorders>
              <w:bottom w:val="single" w:sz="8" w:color="auto"/>
            </w:tcBorders>
          </w:tcPr>
          <w:p>
            <w:pPr>
              <w:spacing w:after="0" w:line="20" w:lineRule="exact"/>
              <w:rPr>
                <w:sz w:val="1"/>
                <w:szCs w:val="1"/>
                <w:color w:val="auto"/>
              </w:rPr>
            </w:pPr>
          </w:p>
        </w:tc>
        <w:tc>
          <w:tcPr>
            <w:tcW w:w="720" w:type="dxa"/>
            <w:vAlign w:val="bottom"/>
            <w:tcBorders>
              <w:bottom w:val="single" w:sz="8" w:color="auto"/>
            </w:tcBorders>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74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r>
      <w:tr>
        <w:trPr>
          <w:trHeight w:val="210"/>
        </w:trPr>
        <w:tc>
          <w:tcPr>
            <w:tcW w:w="9360" w:type="dxa"/>
            <w:vAlign w:val="bottom"/>
            <w:shd w:val="clear" w:color="auto" w:fill="CCEEFF"/>
          </w:tcPr>
          <w:p>
            <w:pPr>
              <w:spacing w:after="0"/>
              <w:rPr>
                <w:sz w:val="20"/>
                <w:szCs w:val="20"/>
                <w:color w:val="auto"/>
              </w:rPr>
            </w:pPr>
            <w:r>
              <w:rPr>
                <w:rFonts w:ascii="Arial" w:cs="Arial" w:eastAsia="Arial" w:hAnsi="Arial"/>
                <w:sz w:val="18"/>
                <w:szCs w:val="18"/>
                <w:b w:val="1"/>
                <w:bCs w:val="1"/>
                <w:color w:val="auto"/>
              </w:rPr>
              <w:t>Liabilities and Shareholders’ Equity</w:t>
            </w:r>
          </w:p>
        </w:tc>
        <w:tc>
          <w:tcPr>
            <w:tcW w:w="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72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r>
      <w:tr>
        <w:trPr>
          <w:trHeight w:val="216"/>
        </w:trPr>
        <w:tc>
          <w:tcPr>
            <w:tcW w:w="9360" w:type="dxa"/>
            <w:vAlign w:val="bottom"/>
          </w:tcPr>
          <w:p>
            <w:pPr>
              <w:spacing w:after="0"/>
              <w:rPr>
                <w:sz w:val="20"/>
                <w:szCs w:val="20"/>
                <w:color w:val="auto"/>
              </w:rPr>
            </w:pPr>
            <w:r>
              <w:rPr>
                <w:rFonts w:ascii="Arial" w:cs="Arial" w:eastAsia="Arial" w:hAnsi="Arial"/>
                <w:sz w:val="18"/>
                <w:szCs w:val="18"/>
                <w:color w:val="auto"/>
              </w:rPr>
              <w:t>Current liabilities:</w:t>
            </w:r>
          </w:p>
        </w:tc>
        <w:tc>
          <w:tcPr>
            <w:tcW w:w="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72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40" w:type="dxa"/>
            <w:vAlign w:val="bottom"/>
          </w:tcPr>
          <w:p>
            <w:pPr>
              <w:spacing w:after="0"/>
              <w:rPr>
                <w:sz w:val="18"/>
                <w:szCs w:val="18"/>
                <w:color w:val="auto"/>
              </w:rPr>
            </w:pPr>
          </w:p>
        </w:tc>
        <w:tc>
          <w:tcPr>
            <w:tcW w:w="100" w:type="dxa"/>
            <w:vAlign w:val="bottom"/>
          </w:tcPr>
          <w:p>
            <w:pPr>
              <w:spacing w:after="0"/>
              <w:rPr>
                <w:sz w:val="18"/>
                <w:szCs w:val="18"/>
                <w:color w:val="auto"/>
              </w:rPr>
            </w:pPr>
          </w:p>
        </w:tc>
      </w:tr>
      <w:tr>
        <w:trPr>
          <w:trHeight w:val="216"/>
        </w:trPr>
        <w:tc>
          <w:tcPr>
            <w:tcW w:w="9360" w:type="dxa"/>
            <w:vAlign w:val="bottom"/>
            <w:shd w:val="clear" w:color="auto" w:fill="CCEEFF"/>
          </w:tcPr>
          <w:p>
            <w:pPr>
              <w:ind w:left="360"/>
              <w:spacing w:after="0"/>
              <w:rPr>
                <w:sz w:val="20"/>
                <w:szCs w:val="20"/>
                <w:color w:val="auto"/>
              </w:rPr>
            </w:pPr>
            <w:r>
              <w:rPr>
                <w:rFonts w:ascii="Arial" w:cs="Arial" w:eastAsia="Arial" w:hAnsi="Arial"/>
                <w:sz w:val="18"/>
                <w:szCs w:val="18"/>
                <w:color w:val="auto"/>
              </w:rPr>
              <w:t>Accounts payable</w:t>
            </w:r>
          </w:p>
        </w:tc>
        <w:tc>
          <w:tcPr>
            <w:tcW w:w="100" w:type="dxa"/>
            <w:vAlign w:val="bottom"/>
            <w:gridSpan w:val="2"/>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880" w:type="dxa"/>
            <w:vAlign w:val="bottom"/>
            <w:gridSpan w:val="2"/>
            <w:shd w:val="clear" w:color="auto" w:fill="CCEEFF"/>
          </w:tcPr>
          <w:p>
            <w:pPr>
              <w:jc w:val="right"/>
              <w:ind w:right="160"/>
              <w:spacing w:after="0"/>
              <w:rPr>
                <w:sz w:val="20"/>
                <w:szCs w:val="20"/>
                <w:color w:val="auto"/>
              </w:rPr>
            </w:pPr>
            <w:r>
              <w:rPr>
                <w:rFonts w:ascii="Arial" w:cs="Arial" w:eastAsia="Arial" w:hAnsi="Arial"/>
                <w:sz w:val="18"/>
                <w:szCs w:val="18"/>
                <w:color w:val="auto"/>
              </w:rPr>
              <w:t>183,252</w:t>
            </w:r>
          </w:p>
        </w:tc>
        <w:tc>
          <w:tcPr>
            <w:tcW w:w="24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84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180,372</w:t>
            </w:r>
          </w:p>
        </w:tc>
      </w:tr>
      <w:tr>
        <w:trPr>
          <w:trHeight w:val="216"/>
        </w:trPr>
        <w:tc>
          <w:tcPr>
            <w:tcW w:w="9360" w:type="dxa"/>
            <w:vAlign w:val="bottom"/>
          </w:tcPr>
          <w:p>
            <w:pPr>
              <w:ind w:left="360"/>
              <w:spacing w:after="0"/>
              <w:rPr>
                <w:sz w:val="20"/>
                <w:szCs w:val="20"/>
                <w:color w:val="auto"/>
              </w:rPr>
            </w:pPr>
            <w:r>
              <w:rPr>
                <w:rFonts w:ascii="Arial" w:cs="Arial" w:eastAsia="Arial" w:hAnsi="Arial"/>
                <w:sz w:val="18"/>
                <w:szCs w:val="18"/>
                <w:color w:val="auto"/>
              </w:rPr>
              <w:t>Accrued liabilities</w:t>
            </w:r>
          </w:p>
        </w:tc>
        <w:tc>
          <w:tcPr>
            <w:tcW w:w="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880" w:type="dxa"/>
            <w:vAlign w:val="bottom"/>
            <w:gridSpan w:val="2"/>
          </w:tcPr>
          <w:p>
            <w:pPr>
              <w:jc w:val="right"/>
              <w:ind w:right="160"/>
              <w:spacing w:after="0"/>
              <w:rPr>
                <w:sz w:val="20"/>
                <w:szCs w:val="20"/>
                <w:color w:val="auto"/>
              </w:rPr>
            </w:pPr>
            <w:r>
              <w:rPr>
                <w:rFonts w:ascii="Arial" w:cs="Arial" w:eastAsia="Arial" w:hAnsi="Arial"/>
                <w:sz w:val="18"/>
                <w:szCs w:val="18"/>
                <w:color w:val="auto"/>
              </w:rPr>
              <w:t>256,339</w:t>
            </w:r>
          </w:p>
        </w:tc>
        <w:tc>
          <w:tcPr>
            <w:tcW w:w="1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840" w:type="dxa"/>
            <w:vAlign w:val="bottom"/>
            <w:gridSpan w:val="2"/>
          </w:tcPr>
          <w:p>
            <w:pPr>
              <w:jc w:val="right"/>
              <w:ind w:right="100"/>
              <w:spacing w:after="0"/>
              <w:rPr>
                <w:sz w:val="20"/>
                <w:szCs w:val="20"/>
                <w:color w:val="auto"/>
              </w:rPr>
            </w:pPr>
            <w:r>
              <w:rPr>
                <w:rFonts w:ascii="Arial" w:cs="Arial" w:eastAsia="Arial" w:hAnsi="Arial"/>
                <w:sz w:val="18"/>
                <w:szCs w:val="18"/>
                <w:color w:val="auto"/>
              </w:rPr>
              <w:t>253,691</w:t>
            </w:r>
          </w:p>
        </w:tc>
      </w:tr>
      <w:tr>
        <w:trPr>
          <w:trHeight w:val="216"/>
        </w:trPr>
        <w:tc>
          <w:tcPr>
            <w:tcW w:w="9360" w:type="dxa"/>
            <w:vAlign w:val="bottom"/>
            <w:shd w:val="clear" w:color="auto" w:fill="CCEEFF"/>
          </w:tcPr>
          <w:p>
            <w:pPr>
              <w:ind w:left="360"/>
              <w:spacing w:after="0"/>
              <w:rPr>
                <w:sz w:val="20"/>
                <w:szCs w:val="20"/>
                <w:color w:val="auto"/>
              </w:rPr>
            </w:pPr>
            <w:r>
              <w:rPr>
                <w:rFonts w:ascii="Arial" w:cs="Arial" w:eastAsia="Arial" w:hAnsi="Arial"/>
                <w:sz w:val="18"/>
                <w:szCs w:val="18"/>
                <w:color w:val="auto"/>
              </w:rPr>
              <w:t>Carnegie Mellon University accrued litigation settlement</w:t>
            </w:r>
          </w:p>
        </w:tc>
        <w:tc>
          <w:tcPr>
            <w:tcW w:w="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880" w:type="dxa"/>
            <w:vAlign w:val="bottom"/>
            <w:gridSpan w:val="2"/>
            <w:shd w:val="clear" w:color="auto" w:fill="CCEEFF"/>
          </w:tcPr>
          <w:p>
            <w:pPr>
              <w:ind w:left="440"/>
              <w:spacing w:after="0"/>
              <w:rPr>
                <w:sz w:val="20"/>
                <w:szCs w:val="20"/>
                <w:color w:val="auto"/>
              </w:rPr>
            </w:pPr>
            <w:r>
              <w:rPr>
                <w:rFonts w:ascii="Arial" w:cs="Arial" w:eastAsia="Arial" w:hAnsi="Arial"/>
                <w:sz w:val="18"/>
                <w:szCs w:val="18"/>
                <w:color w:val="auto"/>
              </w:rPr>
              <w:t>—</w:t>
            </w:r>
          </w:p>
        </w:tc>
        <w:tc>
          <w:tcPr>
            <w:tcW w:w="1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4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736,000</w:t>
            </w:r>
          </w:p>
        </w:tc>
      </w:tr>
      <w:tr>
        <w:trPr>
          <w:trHeight w:val="223"/>
        </w:trPr>
        <w:tc>
          <w:tcPr>
            <w:tcW w:w="9360" w:type="dxa"/>
            <w:vAlign w:val="bottom"/>
          </w:tcPr>
          <w:p>
            <w:pPr>
              <w:ind w:left="360"/>
              <w:spacing w:after="0"/>
              <w:rPr>
                <w:sz w:val="20"/>
                <w:szCs w:val="20"/>
                <w:color w:val="auto"/>
              </w:rPr>
            </w:pPr>
            <w:r>
              <w:rPr>
                <w:rFonts w:ascii="Arial" w:cs="Arial" w:eastAsia="Arial" w:hAnsi="Arial"/>
                <w:sz w:val="18"/>
                <w:szCs w:val="18"/>
                <w:color w:val="auto"/>
              </w:rPr>
              <w:t>Deferred income</w:t>
            </w:r>
          </w:p>
        </w:tc>
        <w:tc>
          <w:tcPr>
            <w:tcW w:w="20" w:type="dxa"/>
            <w:vAlign w:val="bottom"/>
          </w:tcPr>
          <w:p>
            <w:pPr>
              <w:spacing w:after="0"/>
              <w:rPr>
                <w:sz w:val="19"/>
                <w:szCs w:val="19"/>
                <w:color w:val="auto"/>
              </w:rPr>
            </w:pPr>
          </w:p>
        </w:tc>
        <w:tc>
          <w:tcPr>
            <w:tcW w:w="80" w:type="dxa"/>
            <w:vAlign w:val="bottom"/>
            <w:tcBorders>
              <w:bottom w:val="single" w:sz="8" w:color="auto"/>
            </w:tcBorders>
          </w:tcPr>
          <w:p>
            <w:pPr>
              <w:spacing w:after="0"/>
              <w:rPr>
                <w:sz w:val="19"/>
                <w:szCs w:val="19"/>
                <w:color w:val="auto"/>
              </w:rPr>
            </w:pPr>
          </w:p>
        </w:tc>
        <w:tc>
          <w:tcPr>
            <w:tcW w:w="72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63,656</w:t>
            </w:r>
          </w:p>
        </w:tc>
        <w:tc>
          <w:tcPr>
            <w:tcW w:w="160" w:type="dxa"/>
            <w:vAlign w:val="bottom"/>
          </w:tcPr>
          <w:p>
            <w:pPr>
              <w:spacing w:after="0"/>
              <w:rPr>
                <w:sz w:val="19"/>
                <w:szCs w:val="19"/>
                <w:color w:val="auto"/>
              </w:rPr>
            </w:pPr>
          </w:p>
        </w:tc>
        <w:tc>
          <w:tcPr>
            <w:tcW w:w="140" w:type="dxa"/>
            <w:vAlign w:val="bottom"/>
          </w:tcPr>
          <w:p>
            <w:pPr>
              <w:spacing w:after="0"/>
              <w:rPr>
                <w:sz w:val="19"/>
                <w:szCs w:val="19"/>
                <w:color w:val="auto"/>
              </w:rPr>
            </w:pPr>
          </w:p>
        </w:tc>
        <w:tc>
          <w:tcPr>
            <w:tcW w:w="100" w:type="dxa"/>
            <w:vAlign w:val="bottom"/>
            <w:tcBorders>
              <w:bottom w:val="single" w:sz="8" w:color="auto"/>
            </w:tcBorders>
          </w:tcPr>
          <w:p>
            <w:pPr>
              <w:spacing w:after="0"/>
              <w:rPr>
                <w:sz w:val="19"/>
                <w:szCs w:val="19"/>
                <w:color w:val="auto"/>
              </w:rPr>
            </w:pPr>
          </w:p>
        </w:tc>
        <w:tc>
          <w:tcPr>
            <w:tcW w:w="74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55,722</w:t>
            </w:r>
          </w:p>
        </w:tc>
        <w:tc>
          <w:tcPr>
            <w:tcW w:w="100" w:type="dxa"/>
            <w:vAlign w:val="bottom"/>
          </w:tcPr>
          <w:p>
            <w:pPr>
              <w:spacing w:after="0"/>
              <w:rPr>
                <w:sz w:val="19"/>
                <w:szCs w:val="19"/>
                <w:color w:val="auto"/>
              </w:rPr>
            </w:pPr>
          </w:p>
        </w:tc>
      </w:tr>
      <w:tr>
        <w:trPr>
          <w:trHeight w:val="216"/>
        </w:trPr>
        <w:tc>
          <w:tcPr>
            <w:tcW w:w="9360" w:type="dxa"/>
            <w:vAlign w:val="bottom"/>
            <w:shd w:val="clear" w:color="auto" w:fill="CCEEFF"/>
          </w:tcPr>
          <w:p>
            <w:pPr>
              <w:ind w:left="720"/>
              <w:spacing w:after="0"/>
              <w:rPr>
                <w:sz w:val="20"/>
                <w:szCs w:val="20"/>
                <w:color w:val="auto"/>
              </w:rPr>
            </w:pPr>
            <w:r>
              <w:rPr>
                <w:rFonts w:ascii="Arial" w:cs="Arial" w:eastAsia="Arial" w:hAnsi="Arial"/>
                <w:sz w:val="18"/>
                <w:szCs w:val="18"/>
                <w:color w:val="auto"/>
              </w:rPr>
              <w:t>Total current liabilities</w:t>
            </w:r>
          </w:p>
        </w:tc>
        <w:tc>
          <w:tcPr>
            <w:tcW w:w="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880" w:type="dxa"/>
            <w:vAlign w:val="bottom"/>
            <w:gridSpan w:val="2"/>
            <w:shd w:val="clear" w:color="auto" w:fill="CCEEFF"/>
          </w:tcPr>
          <w:p>
            <w:pPr>
              <w:jc w:val="right"/>
              <w:ind w:right="160"/>
              <w:spacing w:after="0"/>
              <w:rPr>
                <w:sz w:val="20"/>
                <w:szCs w:val="20"/>
                <w:color w:val="auto"/>
              </w:rPr>
            </w:pPr>
            <w:r>
              <w:rPr>
                <w:rFonts w:ascii="Arial" w:cs="Arial" w:eastAsia="Arial" w:hAnsi="Arial"/>
                <w:sz w:val="18"/>
                <w:szCs w:val="18"/>
                <w:color w:val="auto"/>
              </w:rPr>
              <w:t>503,247</w:t>
            </w:r>
          </w:p>
        </w:tc>
        <w:tc>
          <w:tcPr>
            <w:tcW w:w="1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4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w w:val="89"/>
              </w:rPr>
              <w:t>1,225,785</w:t>
            </w:r>
          </w:p>
        </w:tc>
      </w:tr>
      <w:tr>
        <w:trPr>
          <w:trHeight w:val="223"/>
        </w:trPr>
        <w:tc>
          <w:tcPr>
            <w:tcW w:w="9360" w:type="dxa"/>
            <w:vAlign w:val="bottom"/>
          </w:tcPr>
          <w:p>
            <w:pPr>
              <w:spacing w:after="0"/>
              <w:rPr>
                <w:sz w:val="20"/>
                <w:szCs w:val="20"/>
                <w:color w:val="auto"/>
              </w:rPr>
            </w:pPr>
            <w:r>
              <w:rPr>
                <w:rFonts w:ascii="Arial" w:cs="Arial" w:eastAsia="Arial" w:hAnsi="Arial"/>
                <w:sz w:val="18"/>
                <w:szCs w:val="18"/>
                <w:color w:val="auto"/>
              </w:rPr>
              <w:t>Other non-current liabilities</w:t>
            </w:r>
          </w:p>
        </w:tc>
        <w:tc>
          <w:tcPr>
            <w:tcW w:w="20" w:type="dxa"/>
            <w:vAlign w:val="bottom"/>
          </w:tcPr>
          <w:p>
            <w:pPr>
              <w:spacing w:after="0"/>
              <w:rPr>
                <w:sz w:val="19"/>
                <w:szCs w:val="19"/>
                <w:color w:val="auto"/>
              </w:rPr>
            </w:pPr>
          </w:p>
        </w:tc>
        <w:tc>
          <w:tcPr>
            <w:tcW w:w="80" w:type="dxa"/>
            <w:vAlign w:val="bottom"/>
            <w:tcBorders>
              <w:bottom w:val="single" w:sz="8" w:color="auto"/>
            </w:tcBorders>
          </w:tcPr>
          <w:p>
            <w:pPr>
              <w:spacing w:after="0"/>
              <w:rPr>
                <w:sz w:val="19"/>
                <w:szCs w:val="19"/>
                <w:color w:val="auto"/>
              </w:rPr>
            </w:pPr>
          </w:p>
        </w:tc>
        <w:tc>
          <w:tcPr>
            <w:tcW w:w="72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70,705</w:t>
            </w:r>
          </w:p>
        </w:tc>
        <w:tc>
          <w:tcPr>
            <w:tcW w:w="160" w:type="dxa"/>
            <w:vAlign w:val="bottom"/>
          </w:tcPr>
          <w:p>
            <w:pPr>
              <w:spacing w:after="0"/>
              <w:rPr>
                <w:sz w:val="19"/>
                <w:szCs w:val="19"/>
                <w:color w:val="auto"/>
              </w:rPr>
            </w:pPr>
          </w:p>
        </w:tc>
        <w:tc>
          <w:tcPr>
            <w:tcW w:w="140" w:type="dxa"/>
            <w:vAlign w:val="bottom"/>
          </w:tcPr>
          <w:p>
            <w:pPr>
              <w:spacing w:after="0"/>
              <w:rPr>
                <w:sz w:val="19"/>
                <w:szCs w:val="19"/>
                <w:color w:val="auto"/>
              </w:rPr>
            </w:pPr>
          </w:p>
        </w:tc>
        <w:tc>
          <w:tcPr>
            <w:tcW w:w="100" w:type="dxa"/>
            <w:vAlign w:val="bottom"/>
            <w:tcBorders>
              <w:bottom w:val="single" w:sz="8" w:color="auto"/>
            </w:tcBorders>
          </w:tcPr>
          <w:p>
            <w:pPr>
              <w:spacing w:after="0"/>
              <w:rPr>
                <w:sz w:val="19"/>
                <w:szCs w:val="19"/>
                <w:color w:val="auto"/>
              </w:rPr>
            </w:pPr>
          </w:p>
        </w:tc>
        <w:tc>
          <w:tcPr>
            <w:tcW w:w="74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76,219</w:t>
            </w:r>
          </w:p>
        </w:tc>
        <w:tc>
          <w:tcPr>
            <w:tcW w:w="100" w:type="dxa"/>
            <w:vAlign w:val="bottom"/>
          </w:tcPr>
          <w:p>
            <w:pPr>
              <w:spacing w:after="0"/>
              <w:rPr>
                <w:sz w:val="19"/>
                <w:szCs w:val="19"/>
                <w:color w:val="auto"/>
              </w:rPr>
            </w:pPr>
          </w:p>
        </w:tc>
      </w:tr>
      <w:tr>
        <w:trPr>
          <w:trHeight w:val="216"/>
        </w:trPr>
        <w:tc>
          <w:tcPr>
            <w:tcW w:w="9360" w:type="dxa"/>
            <w:vAlign w:val="bottom"/>
            <w:shd w:val="clear" w:color="auto" w:fill="CCEEFF"/>
          </w:tcPr>
          <w:p>
            <w:pPr>
              <w:ind w:left="720"/>
              <w:spacing w:after="0"/>
              <w:rPr>
                <w:sz w:val="20"/>
                <w:szCs w:val="20"/>
                <w:color w:val="auto"/>
              </w:rPr>
            </w:pPr>
            <w:r>
              <w:rPr>
                <w:rFonts w:ascii="Arial" w:cs="Arial" w:eastAsia="Arial" w:hAnsi="Arial"/>
                <w:sz w:val="18"/>
                <w:szCs w:val="18"/>
                <w:color w:val="auto"/>
              </w:rPr>
              <w:t>Total liabilities</w:t>
            </w:r>
          </w:p>
        </w:tc>
        <w:tc>
          <w:tcPr>
            <w:tcW w:w="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880" w:type="dxa"/>
            <w:vAlign w:val="bottom"/>
            <w:gridSpan w:val="2"/>
            <w:shd w:val="clear" w:color="auto" w:fill="CCEEFF"/>
          </w:tcPr>
          <w:p>
            <w:pPr>
              <w:jc w:val="right"/>
              <w:ind w:right="160"/>
              <w:spacing w:after="0"/>
              <w:rPr>
                <w:sz w:val="20"/>
                <w:szCs w:val="20"/>
                <w:color w:val="auto"/>
              </w:rPr>
            </w:pPr>
            <w:r>
              <w:rPr>
                <w:rFonts w:ascii="Arial" w:cs="Arial" w:eastAsia="Arial" w:hAnsi="Arial"/>
                <w:sz w:val="18"/>
                <w:szCs w:val="18"/>
                <w:color w:val="auto"/>
              </w:rPr>
              <w:t>573,952</w:t>
            </w:r>
          </w:p>
        </w:tc>
        <w:tc>
          <w:tcPr>
            <w:tcW w:w="1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4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w w:val="89"/>
              </w:rPr>
              <w:t>1,302,004</w:t>
            </w:r>
          </w:p>
        </w:tc>
      </w:tr>
      <w:tr>
        <w:trPr>
          <w:trHeight w:val="223"/>
        </w:trPr>
        <w:tc>
          <w:tcPr>
            <w:tcW w:w="9360" w:type="dxa"/>
            <w:vAlign w:val="bottom"/>
          </w:tcPr>
          <w:p>
            <w:pPr>
              <w:spacing w:after="0"/>
              <w:rPr>
                <w:sz w:val="20"/>
                <w:szCs w:val="20"/>
                <w:color w:val="auto"/>
              </w:rPr>
            </w:pPr>
            <w:r>
              <w:rPr>
                <w:rFonts w:ascii="Arial" w:cs="Arial" w:eastAsia="Arial" w:hAnsi="Arial"/>
                <w:sz w:val="18"/>
                <w:szCs w:val="18"/>
                <w:color w:val="auto"/>
              </w:rPr>
              <w:t>Shareholders’ equity:</w:t>
            </w:r>
          </w:p>
        </w:tc>
        <w:tc>
          <w:tcPr>
            <w:tcW w:w="20" w:type="dxa"/>
            <w:vAlign w:val="bottom"/>
          </w:tcPr>
          <w:p>
            <w:pPr>
              <w:spacing w:after="0"/>
              <w:rPr>
                <w:sz w:val="19"/>
                <w:szCs w:val="19"/>
                <w:color w:val="auto"/>
              </w:rPr>
            </w:pPr>
          </w:p>
        </w:tc>
        <w:tc>
          <w:tcPr>
            <w:tcW w:w="80" w:type="dxa"/>
            <w:vAlign w:val="bottom"/>
            <w:tcBorders>
              <w:top w:val="single" w:sz="8" w:color="auto"/>
            </w:tcBorders>
          </w:tcPr>
          <w:p>
            <w:pPr>
              <w:spacing w:after="0"/>
              <w:rPr>
                <w:sz w:val="19"/>
                <w:szCs w:val="19"/>
                <w:color w:val="auto"/>
              </w:rPr>
            </w:pPr>
          </w:p>
        </w:tc>
        <w:tc>
          <w:tcPr>
            <w:tcW w:w="720" w:type="dxa"/>
            <w:vAlign w:val="bottom"/>
            <w:tcBorders>
              <w:top w:val="single" w:sz="8" w:color="auto"/>
            </w:tcBorders>
          </w:tcPr>
          <w:p>
            <w:pPr>
              <w:spacing w:after="0"/>
              <w:rPr>
                <w:sz w:val="19"/>
                <w:szCs w:val="19"/>
                <w:color w:val="auto"/>
              </w:rPr>
            </w:pPr>
          </w:p>
        </w:tc>
        <w:tc>
          <w:tcPr>
            <w:tcW w:w="160" w:type="dxa"/>
            <w:vAlign w:val="bottom"/>
          </w:tcPr>
          <w:p>
            <w:pPr>
              <w:spacing w:after="0"/>
              <w:rPr>
                <w:sz w:val="19"/>
                <w:szCs w:val="19"/>
                <w:color w:val="auto"/>
              </w:rPr>
            </w:pPr>
          </w:p>
        </w:tc>
        <w:tc>
          <w:tcPr>
            <w:tcW w:w="140" w:type="dxa"/>
            <w:vAlign w:val="bottom"/>
          </w:tcPr>
          <w:p>
            <w:pPr>
              <w:spacing w:after="0"/>
              <w:rPr>
                <w:sz w:val="19"/>
                <w:szCs w:val="19"/>
                <w:color w:val="auto"/>
              </w:rPr>
            </w:pPr>
          </w:p>
        </w:tc>
        <w:tc>
          <w:tcPr>
            <w:tcW w:w="100" w:type="dxa"/>
            <w:vAlign w:val="bottom"/>
            <w:tcBorders>
              <w:top w:val="single" w:sz="8" w:color="auto"/>
            </w:tcBorders>
          </w:tcPr>
          <w:p>
            <w:pPr>
              <w:spacing w:after="0"/>
              <w:rPr>
                <w:sz w:val="19"/>
                <w:szCs w:val="19"/>
                <w:color w:val="auto"/>
              </w:rPr>
            </w:pPr>
          </w:p>
        </w:tc>
        <w:tc>
          <w:tcPr>
            <w:tcW w:w="740" w:type="dxa"/>
            <w:vAlign w:val="bottom"/>
            <w:tcBorders>
              <w:top w:val="single" w:sz="8" w:color="auto"/>
            </w:tcBorders>
          </w:tcPr>
          <w:p>
            <w:pPr>
              <w:spacing w:after="0"/>
              <w:rPr>
                <w:sz w:val="19"/>
                <w:szCs w:val="19"/>
                <w:color w:val="auto"/>
              </w:rPr>
            </w:pPr>
          </w:p>
        </w:tc>
        <w:tc>
          <w:tcPr>
            <w:tcW w:w="100" w:type="dxa"/>
            <w:vAlign w:val="bottom"/>
          </w:tcPr>
          <w:p>
            <w:pPr>
              <w:spacing w:after="0"/>
              <w:rPr>
                <w:sz w:val="19"/>
                <w:szCs w:val="19"/>
                <w:color w:val="auto"/>
              </w:rPr>
            </w:pPr>
          </w:p>
        </w:tc>
      </w:tr>
      <w:tr>
        <w:trPr>
          <w:trHeight w:val="216"/>
        </w:trPr>
        <w:tc>
          <w:tcPr>
            <w:tcW w:w="9360" w:type="dxa"/>
            <w:vAlign w:val="bottom"/>
            <w:shd w:val="clear" w:color="auto" w:fill="CCEEFF"/>
          </w:tcPr>
          <w:p>
            <w:pPr>
              <w:ind w:left="360"/>
              <w:spacing w:after="0"/>
              <w:rPr>
                <w:sz w:val="20"/>
                <w:szCs w:val="20"/>
                <w:color w:val="auto"/>
              </w:rPr>
            </w:pPr>
            <w:r>
              <w:rPr>
                <w:rFonts w:ascii="Arial" w:cs="Arial" w:eastAsia="Arial" w:hAnsi="Arial"/>
                <w:sz w:val="18"/>
                <w:szCs w:val="18"/>
                <w:color w:val="auto"/>
              </w:rPr>
              <w:t>Common stock</w:t>
            </w:r>
          </w:p>
        </w:tc>
        <w:tc>
          <w:tcPr>
            <w:tcW w:w="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880" w:type="dxa"/>
            <w:vAlign w:val="bottom"/>
            <w:gridSpan w:val="2"/>
            <w:shd w:val="clear" w:color="auto" w:fill="CCEEFF"/>
          </w:tcPr>
          <w:p>
            <w:pPr>
              <w:jc w:val="right"/>
              <w:ind w:right="160"/>
              <w:spacing w:after="0"/>
              <w:rPr>
                <w:sz w:val="20"/>
                <w:szCs w:val="20"/>
                <w:color w:val="auto"/>
              </w:rPr>
            </w:pPr>
            <w:r>
              <w:rPr>
                <w:rFonts w:ascii="Arial" w:cs="Arial" w:eastAsia="Arial" w:hAnsi="Arial"/>
                <w:sz w:val="18"/>
                <w:szCs w:val="18"/>
                <w:color w:val="auto"/>
              </w:rPr>
              <w:t>1,017</w:t>
            </w:r>
          </w:p>
        </w:tc>
        <w:tc>
          <w:tcPr>
            <w:tcW w:w="1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4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1,015</w:t>
            </w:r>
          </w:p>
        </w:tc>
      </w:tr>
      <w:tr>
        <w:trPr>
          <w:trHeight w:val="216"/>
        </w:trPr>
        <w:tc>
          <w:tcPr>
            <w:tcW w:w="9360" w:type="dxa"/>
            <w:vAlign w:val="bottom"/>
          </w:tcPr>
          <w:p>
            <w:pPr>
              <w:ind w:left="360"/>
              <w:spacing w:after="0"/>
              <w:rPr>
                <w:sz w:val="20"/>
                <w:szCs w:val="20"/>
                <w:color w:val="auto"/>
              </w:rPr>
            </w:pPr>
            <w:r>
              <w:rPr>
                <w:rFonts w:ascii="Arial" w:cs="Arial" w:eastAsia="Arial" w:hAnsi="Arial"/>
                <w:sz w:val="18"/>
                <w:szCs w:val="18"/>
                <w:color w:val="auto"/>
              </w:rPr>
              <w:t>Additional paid-in capital</w:t>
            </w:r>
          </w:p>
        </w:tc>
        <w:tc>
          <w:tcPr>
            <w:tcW w:w="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720" w:type="dxa"/>
            <w:vAlign w:val="bottom"/>
          </w:tcPr>
          <w:p>
            <w:pPr>
              <w:jc w:val="right"/>
              <w:spacing w:after="0"/>
              <w:rPr>
                <w:sz w:val="20"/>
                <w:szCs w:val="20"/>
                <w:color w:val="auto"/>
              </w:rPr>
            </w:pPr>
            <w:r>
              <w:rPr>
                <w:rFonts w:ascii="Arial" w:cs="Arial" w:eastAsia="Arial" w:hAnsi="Arial"/>
                <w:sz w:val="18"/>
                <w:szCs w:val="18"/>
                <w:color w:val="auto"/>
                <w:w w:val="87"/>
              </w:rPr>
              <w:t>3,057,535</w:t>
            </w:r>
          </w:p>
        </w:tc>
        <w:tc>
          <w:tcPr>
            <w:tcW w:w="16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840" w:type="dxa"/>
            <w:vAlign w:val="bottom"/>
            <w:gridSpan w:val="2"/>
          </w:tcPr>
          <w:p>
            <w:pPr>
              <w:jc w:val="right"/>
              <w:ind w:right="100"/>
              <w:spacing w:after="0"/>
              <w:rPr>
                <w:sz w:val="20"/>
                <w:szCs w:val="20"/>
                <w:color w:val="auto"/>
              </w:rPr>
            </w:pPr>
            <w:r>
              <w:rPr>
                <w:rFonts w:ascii="Arial" w:cs="Arial" w:eastAsia="Arial" w:hAnsi="Arial"/>
                <w:sz w:val="18"/>
                <w:szCs w:val="18"/>
                <w:color w:val="auto"/>
                <w:w w:val="89"/>
              </w:rPr>
              <w:t>3,028,921</w:t>
            </w:r>
          </w:p>
        </w:tc>
      </w:tr>
      <w:tr>
        <w:trPr>
          <w:trHeight w:val="216"/>
        </w:trPr>
        <w:tc>
          <w:tcPr>
            <w:tcW w:w="9360" w:type="dxa"/>
            <w:vAlign w:val="bottom"/>
            <w:shd w:val="clear" w:color="auto" w:fill="CCEEFF"/>
          </w:tcPr>
          <w:p>
            <w:pPr>
              <w:ind w:left="360"/>
              <w:spacing w:after="0"/>
              <w:rPr>
                <w:sz w:val="20"/>
                <w:szCs w:val="20"/>
                <w:color w:val="auto"/>
              </w:rPr>
            </w:pPr>
            <w:r>
              <w:rPr>
                <w:rFonts w:ascii="Arial" w:cs="Arial" w:eastAsia="Arial" w:hAnsi="Arial"/>
                <w:sz w:val="18"/>
                <w:szCs w:val="18"/>
                <w:color w:val="auto"/>
              </w:rPr>
              <w:t>Accumulated other comprehensive income</w:t>
            </w:r>
          </w:p>
        </w:tc>
        <w:tc>
          <w:tcPr>
            <w:tcW w:w="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880" w:type="dxa"/>
            <w:vAlign w:val="bottom"/>
            <w:gridSpan w:val="2"/>
            <w:shd w:val="clear" w:color="auto" w:fill="CCEEFF"/>
          </w:tcPr>
          <w:p>
            <w:pPr>
              <w:jc w:val="right"/>
              <w:ind w:right="160"/>
              <w:spacing w:after="0"/>
              <w:rPr>
                <w:sz w:val="20"/>
                <w:szCs w:val="20"/>
                <w:color w:val="auto"/>
              </w:rPr>
            </w:pPr>
            <w:r>
              <w:rPr>
                <w:rFonts w:ascii="Arial" w:cs="Arial" w:eastAsia="Arial" w:hAnsi="Arial"/>
                <w:sz w:val="18"/>
                <w:szCs w:val="18"/>
                <w:color w:val="auto"/>
              </w:rPr>
              <w:t>1,553</w:t>
            </w:r>
          </w:p>
        </w:tc>
        <w:tc>
          <w:tcPr>
            <w:tcW w:w="1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4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(795)</w:t>
            </w:r>
          </w:p>
        </w:tc>
      </w:tr>
      <w:tr>
        <w:trPr>
          <w:trHeight w:val="223"/>
        </w:trPr>
        <w:tc>
          <w:tcPr>
            <w:tcW w:w="9360" w:type="dxa"/>
            <w:vAlign w:val="bottom"/>
          </w:tcPr>
          <w:p>
            <w:pPr>
              <w:ind w:left="360"/>
              <w:spacing w:after="0"/>
              <w:rPr>
                <w:sz w:val="20"/>
                <w:szCs w:val="20"/>
                <w:color w:val="auto"/>
              </w:rPr>
            </w:pPr>
            <w:r>
              <w:rPr>
                <w:rFonts w:ascii="Arial" w:cs="Arial" w:eastAsia="Arial" w:hAnsi="Arial"/>
                <w:sz w:val="18"/>
                <w:szCs w:val="18"/>
                <w:color w:val="auto"/>
              </w:rPr>
              <w:t>Retained earnings</w:t>
            </w:r>
          </w:p>
        </w:tc>
        <w:tc>
          <w:tcPr>
            <w:tcW w:w="20" w:type="dxa"/>
            <w:vAlign w:val="bottom"/>
          </w:tcPr>
          <w:p>
            <w:pPr>
              <w:spacing w:after="0"/>
              <w:rPr>
                <w:sz w:val="19"/>
                <w:szCs w:val="19"/>
                <w:color w:val="auto"/>
              </w:rPr>
            </w:pPr>
          </w:p>
        </w:tc>
        <w:tc>
          <w:tcPr>
            <w:tcW w:w="80" w:type="dxa"/>
            <w:vAlign w:val="bottom"/>
            <w:tcBorders>
              <w:bottom w:val="single" w:sz="8" w:color="auto"/>
            </w:tcBorders>
          </w:tcPr>
          <w:p>
            <w:pPr>
              <w:spacing w:after="0"/>
              <w:rPr>
                <w:sz w:val="19"/>
                <w:szCs w:val="19"/>
                <w:color w:val="auto"/>
              </w:rPr>
            </w:pPr>
          </w:p>
        </w:tc>
        <w:tc>
          <w:tcPr>
            <w:tcW w:w="72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w w:val="87"/>
              </w:rPr>
              <w:t>1,120,389</w:t>
            </w:r>
          </w:p>
        </w:tc>
        <w:tc>
          <w:tcPr>
            <w:tcW w:w="160" w:type="dxa"/>
            <w:vAlign w:val="bottom"/>
          </w:tcPr>
          <w:p>
            <w:pPr>
              <w:spacing w:after="0"/>
              <w:rPr>
                <w:sz w:val="19"/>
                <w:szCs w:val="19"/>
                <w:color w:val="auto"/>
              </w:rPr>
            </w:pPr>
          </w:p>
        </w:tc>
        <w:tc>
          <w:tcPr>
            <w:tcW w:w="140" w:type="dxa"/>
            <w:vAlign w:val="bottom"/>
          </w:tcPr>
          <w:p>
            <w:pPr>
              <w:spacing w:after="0"/>
              <w:rPr>
                <w:sz w:val="19"/>
                <w:szCs w:val="19"/>
                <w:color w:val="auto"/>
              </w:rPr>
            </w:pPr>
          </w:p>
        </w:tc>
        <w:tc>
          <w:tcPr>
            <w:tcW w:w="100" w:type="dxa"/>
            <w:vAlign w:val="bottom"/>
            <w:tcBorders>
              <w:bottom w:val="single" w:sz="8" w:color="auto"/>
            </w:tcBorders>
          </w:tcPr>
          <w:p>
            <w:pPr>
              <w:spacing w:after="0"/>
              <w:rPr>
                <w:sz w:val="19"/>
                <w:szCs w:val="19"/>
                <w:color w:val="auto"/>
              </w:rPr>
            </w:pPr>
          </w:p>
        </w:tc>
        <w:tc>
          <w:tcPr>
            <w:tcW w:w="74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w w:val="89"/>
              </w:rPr>
              <w:t>1,110,982</w:t>
            </w:r>
          </w:p>
        </w:tc>
        <w:tc>
          <w:tcPr>
            <w:tcW w:w="100" w:type="dxa"/>
            <w:vAlign w:val="bottom"/>
          </w:tcPr>
          <w:p>
            <w:pPr>
              <w:spacing w:after="0"/>
              <w:rPr>
                <w:sz w:val="19"/>
                <w:szCs w:val="19"/>
                <w:color w:val="auto"/>
              </w:rPr>
            </w:pPr>
          </w:p>
        </w:tc>
      </w:tr>
      <w:tr>
        <w:trPr>
          <w:trHeight w:val="216"/>
        </w:trPr>
        <w:tc>
          <w:tcPr>
            <w:tcW w:w="9360" w:type="dxa"/>
            <w:vAlign w:val="bottom"/>
            <w:shd w:val="clear" w:color="auto" w:fill="CCEEFF"/>
          </w:tcPr>
          <w:p>
            <w:pPr>
              <w:ind w:left="720"/>
              <w:spacing w:after="0"/>
              <w:rPr>
                <w:sz w:val="20"/>
                <w:szCs w:val="20"/>
                <w:color w:val="auto"/>
              </w:rPr>
            </w:pPr>
            <w:r>
              <w:rPr>
                <w:rFonts w:ascii="Arial" w:cs="Arial" w:eastAsia="Arial" w:hAnsi="Arial"/>
                <w:sz w:val="18"/>
                <w:szCs w:val="18"/>
                <w:color w:val="auto"/>
              </w:rPr>
              <w:t>Total shareholders’ equity</w:t>
            </w:r>
          </w:p>
        </w:tc>
        <w:tc>
          <w:tcPr>
            <w:tcW w:w="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72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7"/>
              </w:rPr>
              <w:t>4,180,494</w:t>
            </w:r>
          </w:p>
        </w:tc>
        <w:tc>
          <w:tcPr>
            <w:tcW w:w="16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4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w w:val="89"/>
              </w:rPr>
              <w:t>4,140,123</w:t>
            </w:r>
          </w:p>
        </w:tc>
      </w:tr>
      <w:tr>
        <w:trPr>
          <w:trHeight w:val="223"/>
        </w:trPr>
        <w:tc>
          <w:tcPr>
            <w:tcW w:w="9360" w:type="dxa"/>
            <w:vAlign w:val="bottom"/>
          </w:tcPr>
          <w:p>
            <w:pPr>
              <w:ind w:left="720"/>
              <w:spacing w:after="0"/>
              <w:rPr>
                <w:sz w:val="20"/>
                <w:szCs w:val="20"/>
                <w:color w:val="auto"/>
              </w:rPr>
            </w:pPr>
            <w:r>
              <w:rPr>
                <w:rFonts w:ascii="Arial" w:cs="Arial" w:eastAsia="Arial" w:hAnsi="Arial"/>
                <w:sz w:val="18"/>
                <w:szCs w:val="18"/>
                <w:color w:val="auto"/>
              </w:rPr>
              <w:t>Total liabilities and shareholders’ equity</w:t>
            </w:r>
          </w:p>
        </w:tc>
        <w:tc>
          <w:tcPr>
            <w:tcW w:w="20" w:type="dxa"/>
            <w:vAlign w:val="bottom"/>
            <w:tcBorders>
              <w:bottom w:val="single" w:sz="8" w:color="auto"/>
            </w:tcBorders>
          </w:tcPr>
          <w:p>
            <w:pPr>
              <w:spacing w:after="0"/>
              <w:rPr>
                <w:sz w:val="19"/>
                <w:szCs w:val="19"/>
                <w:color w:val="auto"/>
              </w:rPr>
            </w:pPr>
          </w:p>
        </w:tc>
        <w:tc>
          <w:tcPr>
            <w:tcW w:w="8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0"/>
                <w:szCs w:val="10"/>
                <w:u w:val="single" w:color="auto"/>
                <w:color w:val="auto"/>
                <w:w w:val="71"/>
              </w:rPr>
              <w:t>$</w:t>
            </w:r>
          </w:p>
        </w:tc>
        <w:tc>
          <w:tcPr>
            <w:tcW w:w="72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w w:val="87"/>
              </w:rPr>
              <w:t>4,754,446</w:t>
            </w:r>
          </w:p>
        </w:tc>
        <w:tc>
          <w:tcPr>
            <w:tcW w:w="160" w:type="dxa"/>
            <w:vAlign w:val="bottom"/>
          </w:tcPr>
          <w:p>
            <w:pPr>
              <w:spacing w:after="0"/>
              <w:rPr>
                <w:sz w:val="19"/>
                <w:szCs w:val="19"/>
                <w:color w:val="auto"/>
              </w:rPr>
            </w:pPr>
          </w:p>
        </w:tc>
        <w:tc>
          <w:tcPr>
            <w:tcW w:w="140" w:type="dxa"/>
            <w:vAlign w:val="bottom"/>
          </w:tcPr>
          <w:p>
            <w:pPr>
              <w:spacing w:after="0"/>
              <w:rPr>
                <w:sz w:val="19"/>
                <w:szCs w:val="19"/>
                <w:color w:val="auto"/>
              </w:rPr>
            </w:pPr>
          </w:p>
        </w:tc>
        <w:tc>
          <w:tcPr>
            <w:tcW w:w="10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u w:val="single" w:color="auto"/>
                <w:color w:val="auto"/>
                <w:w w:val="79"/>
              </w:rPr>
              <w:t>$</w:t>
            </w:r>
          </w:p>
        </w:tc>
        <w:tc>
          <w:tcPr>
            <w:tcW w:w="74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w w:val="89"/>
              </w:rPr>
              <w:t>5,442,127</w:t>
            </w:r>
          </w:p>
        </w:tc>
        <w:tc>
          <w:tcPr>
            <w:tcW w:w="100" w:type="dxa"/>
            <w:vAlign w:val="bottom"/>
          </w:tcPr>
          <w:p>
            <w:pPr>
              <w:spacing w:after="0"/>
              <w:rPr>
                <w:sz w:val="19"/>
                <w:szCs w:val="19"/>
                <w:color w:val="auto"/>
              </w:rPr>
            </w:pPr>
          </w:p>
        </w:tc>
      </w:tr>
      <w:tr>
        <w:trPr>
          <w:trHeight w:val="20"/>
        </w:trPr>
        <w:tc>
          <w:tcPr>
            <w:tcW w:w="936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80" w:type="dxa"/>
            <w:vAlign w:val="bottom"/>
            <w:tcBorders>
              <w:bottom w:val="single" w:sz="8" w:color="auto"/>
            </w:tcBorders>
          </w:tcPr>
          <w:p>
            <w:pPr>
              <w:spacing w:after="0" w:line="20" w:lineRule="exact"/>
              <w:rPr>
                <w:sz w:val="1"/>
                <w:szCs w:val="1"/>
                <w:color w:val="auto"/>
              </w:rPr>
            </w:pPr>
          </w:p>
        </w:tc>
        <w:tc>
          <w:tcPr>
            <w:tcW w:w="720" w:type="dxa"/>
            <w:vAlign w:val="bottom"/>
            <w:tcBorders>
              <w:bottom w:val="single" w:sz="8" w:color="auto"/>
            </w:tcBorders>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74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r>
    </w:tbl>
    <w:p>
      <w:pPr>
        <w:sectPr>
          <w:pgSz w:w="11900" w:h="16838" w:orient="portrait"/>
          <w:cols w:equalWidth="0" w:num="1">
            <w:col w:w="11420"/>
          </w:cols>
          <w:pgMar w:left="240" w:top="270" w:right="239" w:bottom="1440" w:gutter="0" w:footer="0" w:header="0"/>
        </w:sectPr>
      </w:pPr>
    </w:p>
    <w:bookmarkStart w:id="10" w:name="page11"/>
    <w:bookmarkEnd w:id="10"/>
    <w:p>
      <w:pPr>
        <w:jc w:val="center"/>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27">
                      <a:extLst>
                        <a:ext uri="{28A0092B-C50C-407E-A947-70E740481C1C}"/>
                      </a:extLst>
                    </a:blip>
                    <a:srcRect/>
                    <a:stretch>
                      <a:fillRect/>
                    </a:stretch>
                  </pic:blipFill>
                  <pic:spPr bwMode="auto">
                    <a:xfrm>
                      <a:off x="0" y="0"/>
                      <a:ext cx="7289165" cy="38735"/>
                    </a:xfrm>
                    <a:prstGeom prst="rect">
                      <a:avLst/>
                    </a:prstGeom>
                    <a:noFill/>
                  </pic:spPr>
                </pic:pic>
              </a:graphicData>
            </a:graphic>
          </wp:anchor>
        </w:drawing>
        <w:t>Marvell Technology Group Ltd.</w:t>
      </w:r>
    </w:p>
    <w:p>
      <w:pPr>
        <w:spacing w:after="0" w:line="27"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Condensed Consolidated Statements of Cash Flows</w:t>
      </w:r>
    </w:p>
    <w:p>
      <w:pPr>
        <w:spacing w:after="0" w:line="9"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(Unaudited)</w:t>
      </w:r>
    </w:p>
    <w:p>
      <w:pPr>
        <w:spacing w:after="0" w:line="9"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(in thousands)</w:t>
      </w:r>
    </w:p>
    <w:p>
      <w:pPr>
        <w:spacing w:after="0" w:line="229" w:lineRule="exact"/>
        <w:rPr>
          <w:sz w:val="20"/>
          <w:szCs w:val="20"/>
          <w:color w:val="auto"/>
        </w:rPr>
      </w:pPr>
    </w:p>
    <w:tbl>
      <w:tblPr>
        <w:tblLayout w:type="fixed"/>
        <w:tblInd w:w="0" w:type="dxa"/>
        <w:tblCellMar>
          <w:top w:w="0" w:type="dxa"/>
          <w:left w:w="0" w:type="dxa"/>
          <w:bottom w:w="0" w:type="dxa"/>
          <w:right w:w="0" w:type="dxa"/>
        </w:tblCellMar>
      </w:tblPr>
      <w:tr>
        <w:trPr>
          <w:trHeight w:val="171"/>
        </w:trPr>
        <w:tc>
          <w:tcPr>
            <w:tcW w:w="20" w:type="dxa"/>
            <w:vAlign w:val="bottom"/>
          </w:tcPr>
          <w:p>
            <w:pPr>
              <w:spacing w:after="0"/>
              <w:rPr>
                <w:sz w:val="14"/>
                <w:szCs w:val="14"/>
                <w:color w:val="auto"/>
              </w:rPr>
            </w:pPr>
          </w:p>
        </w:tc>
        <w:tc>
          <w:tcPr>
            <w:tcW w:w="722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1880" w:type="dxa"/>
            <w:vAlign w:val="bottom"/>
            <w:gridSpan w:val="6"/>
          </w:tcPr>
          <w:p>
            <w:pPr>
              <w:jc w:val="right"/>
              <w:ind w:right="420"/>
              <w:spacing w:after="0"/>
              <w:rPr>
                <w:sz w:val="20"/>
                <w:szCs w:val="20"/>
                <w:color w:val="auto"/>
              </w:rPr>
            </w:pPr>
            <w:r>
              <w:rPr>
                <w:rFonts w:ascii="Arial" w:cs="Arial" w:eastAsia="Arial" w:hAnsi="Arial"/>
                <w:sz w:val="14"/>
                <w:szCs w:val="14"/>
                <w:b w:val="1"/>
                <w:bCs w:val="1"/>
                <w:color w:val="auto"/>
              </w:rPr>
              <w:t>Three Months Ended</w:t>
            </w:r>
          </w:p>
        </w:tc>
        <w:tc>
          <w:tcPr>
            <w:tcW w:w="14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1960" w:type="dxa"/>
            <w:vAlign w:val="bottom"/>
            <w:gridSpan w:val="6"/>
          </w:tcPr>
          <w:p>
            <w:pPr>
              <w:jc w:val="right"/>
              <w:ind w:right="480"/>
              <w:spacing w:after="0"/>
              <w:rPr>
                <w:sz w:val="20"/>
                <w:szCs w:val="20"/>
                <w:color w:val="auto"/>
              </w:rPr>
            </w:pPr>
            <w:r>
              <w:rPr>
                <w:rFonts w:ascii="Arial" w:cs="Arial" w:eastAsia="Arial" w:hAnsi="Arial"/>
                <w:sz w:val="14"/>
                <w:szCs w:val="14"/>
                <w:b w:val="1"/>
                <w:bCs w:val="1"/>
                <w:color w:val="auto"/>
              </w:rPr>
              <w:t>Nine Months Ended</w:t>
            </w:r>
          </w:p>
        </w:tc>
      </w:tr>
      <w:tr>
        <w:trPr>
          <w:trHeight w:val="119"/>
        </w:trPr>
        <w:tc>
          <w:tcPr>
            <w:tcW w:w="20" w:type="dxa"/>
            <w:vAlign w:val="bottom"/>
          </w:tcPr>
          <w:p>
            <w:pPr>
              <w:spacing w:after="0"/>
              <w:rPr>
                <w:sz w:val="10"/>
                <w:szCs w:val="10"/>
                <w:color w:val="auto"/>
              </w:rPr>
            </w:pPr>
          </w:p>
        </w:tc>
        <w:tc>
          <w:tcPr>
            <w:tcW w:w="7220" w:type="dxa"/>
            <w:vAlign w:val="bottom"/>
          </w:tcPr>
          <w:p>
            <w:pPr>
              <w:spacing w:after="0"/>
              <w:rPr>
                <w:sz w:val="10"/>
                <w:szCs w:val="10"/>
                <w:color w:val="auto"/>
              </w:rPr>
            </w:pPr>
          </w:p>
        </w:tc>
        <w:tc>
          <w:tcPr>
            <w:tcW w:w="20" w:type="dxa"/>
            <w:vAlign w:val="bottom"/>
          </w:tcPr>
          <w:p>
            <w:pPr>
              <w:spacing w:after="0"/>
              <w:rPr>
                <w:sz w:val="10"/>
                <w:szCs w:val="10"/>
                <w:color w:val="auto"/>
              </w:rPr>
            </w:pPr>
          </w:p>
        </w:tc>
        <w:tc>
          <w:tcPr>
            <w:tcW w:w="920" w:type="dxa"/>
            <w:vAlign w:val="bottom"/>
            <w:tcBorders>
              <w:top w:val="single" w:sz="8" w:color="auto"/>
            </w:tcBorders>
            <w:gridSpan w:val="3"/>
          </w:tcPr>
          <w:p>
            <w:pPr>
              <w:spacing w:after="0" w:line="119" w:lineRule="exact"/>
              <w:rPr>
                <w:sz w:val="20"/>
                <w:szCs w:val="20"/>
                <w:color w:val="auto"/>
              </w:rPr>
            </w:pPr>
            <w:r>
              <w:rPr>
                <w:rFonts w:ascii="Arial" w:cs="Arial" w:eastAsia="Arial" w:hAnsi="Arial"/>
                <w:sz w:val="13"/>
                <w:szCs w:val="13"/>
                <w:b w:val="1"/>
                <w:bCs w:val="1"/>
                <w:color w:val="auto"/>
              </w:rPr>
              <w:t>October 29,</w:t>
            </w:r>
          </w:p>
        </w:tc>
        <w:tc>
          <w:tcPr>
            <w:tcW w:w="120" w:type="dxa"/>
            <w:vAlign w:val="bottom"/>
            <w:tcBorders>
              <w:top w:val="single" w:sz="8" w:color="auto"/>
            </w:tcBorders>
          </w:tcPr>
          <w:p>
            <w:pPr>
              <w:spacing w:after="0"/>
              <w:rPr>
                <w:sz w:val="10"/>
                <w:szCs w:val="10"/>
                <w:color w:val="auto"/>
              </w:rPr>
            </w:pPr>
          </w:p>
        </w:tc>
        <w:tc>
          <w:tcPr>
            <w:tcW w:w="740" w:type="dxa"/>
            <w:vAlign w:val="bottom"/>
            <w:tcBorders>
              <w:top w:val="single" w:sz="8" w:color="auto"/>
            </w:tcBorders>
            <w:gridSpan w:val="2"/>
          </w:tcPr>
          <w:p>
            <w:pPr>
              <w:ind w:left="20"/>
              <w:spacing w:after="0" w:line="119" w:lineRule="exact"/>
              <w:rPr>
                <w:sz w:val="20"/>
                <w:szCs w:val="20"/>
                <w:color w:val="auto"/>
              </w:rPr>
            </w:pPr>
            <w:r>
              <w:rPr>
                <w:rFonts w:ascii="Arial" w:cs="Arial" w:eastAsia="Arial" w:hAnsi="Arial"/>
                <w:sz w:val="13"/>
                <w:szCs w:val="13"/>
                <w:b w:val="1"/>
                <w:bCs w:val="1"/>
                <w:color w:val="auto"/>
                <w:w w:val="97"/>
              </w:rPr>
              <w:t>October 31,</w:t>
            </w:r>
          </w:p>
        </w:tc>
        <w:tc>
          <w:tcPr>
            <w:tcW w:w="180" w:type="dxa"/>
            <w:vAlign w:val="bottom"/>
          </w:tcPr>
          <w:p>
            <w:pPr>
              <w:spacing w:after="0"/>
              <w:rPr>
                <w:sz w:val="10"/>
                <w:szCs w:val="10"/>
                <w:color w:val="auto"/>
              </w:rPr>
            </w:pPr>
          </w:p>
        </w:tc>
        <w:tc>
          <w:tcPr>
            <w:tcW w:w="140" w:type="dxa"/>
            <w:vAlign w:val="bottom"/>
          </w:tcPr>
          <w:p>
            <w:pPr>
              <w:spacing w:after="0"/>
              <w:rPr>
                <w:sz w:val="10"/>
                <w:szCs w:val="10"/>
                <w:color w:val="auto"/>
              </w:rPr>
            </w:pPr>
          </w:p>
        </w:tc>
        <w:tc>
          <w:tcPr>
            <w:tcW w:w="1000" w:type="dxa"/>
            <w:vAlign w:val="bottom"/>
            <w:tcBorders>
              <w:top w:val="single" w:sz="8" w:color="auto"/>
            </w:tcBorders>
            <w:gridSpan w:val="3"/>
          </w:tcPr>
          <w:p>
            <w:pPr>
              <w:jc w:val="right"/>
              <w:ind w:right="240"/>
              <w:spacing w:after="0" w:line="119" w:lineRule="exact"/>
              <w:rPr>
                <w:sz w:val="20"/>
                <w:szCs w:val="20"/>
                <w:color w:val="auto"/>
              </w:rPr>
            </w:pPr>
            <w:r>
              <w:rPr>
                <w:rFonts w:ascii="Arial" w:cs="Arial" w:eastAsia="Arial" w:hAnsi="Arial"/>
                <w:sz w:val="13"/>
                <w:szCs w:val="13"/>
                <w:b w:val="1"/>
                <w:bCs w:val="1"/>
                <w:color w:val="auto"/>
              </w:rPr>
              <w:t>October 29,</w:t>
            </w:r>
          </w:p>
        </w:tc>
        <w:tc>
          <w:tcPr>
            <w:tcW w:w="120" w:type="dxa"/>
            <w:vAlign w:val="bottom"/>
            <w:tcBorders>
              <w:top w:val="single" w:sz="8" w:color="auto"/>
            </w:tcBorders>
          </w:tcPr>
          <w:p>
            <w:pPr>
              <w:spacing w:after="0"/>
              <w:rPr>
                <w:sz w:val="10"/>
                <w:szCs w:val="10"/>
                <w:color w:val="auto"/>
              </w:rPr>
            </w:pPr>
          </w:p>
        </w:tc>
        <w:tc>
          <w:tcPr>
            <w:tcW w:w="840" w:type="dxa"/>
            <w:vAlign w:val="bottom"/>
            <w:tcBorders>
              <w:top w:val="single" w:sz="8" w:color="auto"/>
            </w:tcBorders>
            <w:gridSpan w:val="2"/>
          </w:tcPr>
          <w:p>
            <w:pPr>
              <w:jc w:val="right"/>
              <w:spacing w:after="0" w:line="119" w:lineRule="exact"/>
              <w:rPr>
                <w:sz w:val="20"/>
                <w:szCs w:val="20"/>
                <w:color w:val="auto"/>
              </w:rPr>
            </w:pPr>
            <w:r>
              <w:rPr>
                <w:rFonts w:ascii="Arial" w:cs="Arial" w:eastAsia="Arial" w:hAnsi="Arial"/>
                <w:sz w:val="13"/>
                <w:szCs w:val="13"/>
                <w:b w:val="1"/>
                <w:bCs w:val="1"/>
                <w:color w:val="auto"/>
              </w:rPr>
              <w:t>October 31,</w:t>
            </w:r>
          </w:p>
        </w:tc>
        <w:tc>
          <w:tcPr>
            <w:tcW w:w="100" w:type="dxa"/>
            <w:vAlign w:val="bottom"/>
          </w:tcPr>
          <w:p>
            <w:pPr>
              <w:spacing w:after="0"/>
              <w:rPr>
                <w:sz w:val="10"/>
                <w:szCs w:val="10"/>
                <w:color w:val="auto"/>
              </w:rPr>
            </w:pPr>
          </w:p>
        </w:tc>
      </w:tr>
      <w:tr>
        <w:trPr>
          <w:trHeight w:val="171"/>
        </w:trPr>
        <w:tc>
          <w:tcPr>
            <w:tcW w:w="20" w:type="dxa"/>
            <w:vAlign w:val="bottom"/>
          </w:tcPr>
          <w:p>
            <w:pPr>
              <w:spacing w:after="0"/>
              <w:rPr>
                <w:sz w:val="14"/>
                <w:szCs w:val="14"/>
                <w:color w:val="auto"/>
              </w:rPr>
            </w:pPr>
          </w:p>
        </w:tc>
        <w:tc>
          <w:tcPr>
            <w:tcW w:w="7220" w:type="dxa"/>
            <w:vAlign w:val="bottom"/>
            <w:tcBorders>
              <w:bottom w:val="single" w:sz="8" w:color="CCEEFF"/>
            </w:tcBorders>
          </w:tcPr>
          <w:p>
            <w:pPr>
              <w:spacing w:after="0"/>
              <w:rPr>
                <w:sz w:val="14"/>
                <w:szCs w:val="14"/>
                <w:color w:val="auto"/>
              </w:rPr>
            </w:pPr>
          </w:p>
        </w:tc>
        <w:tc>
          <w:tcPr>
            <w:tcW w:w="20" w:type="dxa"/>
            <w:vAlign w:val="bottom"/>
            <w:tcBorders>
              <w:bottom w:val="single" w:sz="8" w:color="CCEEFF"/>
            </w:tcBorders>
          </w:tcPr>
          <w:p>
            <w:pPr>
              <w:spacing w:after="0"/>
              <w:rPr>
                <w:sz w:val="14"/>
                <w:szCs w:val="14"/>
                <w:color w:val="auto"/>
              </w:rPr>
            </w:pPr>
          </w:p>
        </w:tc>
        <w:tc>
          <w:tcPr>
            <w:tcW w:w="80" w:type="dxa"/>
            <w:vAlign w:val="bottom"/>
            <w:tcBorders>
              <w:bottom w:val="single" w:sz="8" w:color="auto"/>
            </w:tcBorders>
          </w:tcPr>
          <w:p>
            <w:pPr>
              <w:spacing w:after="0"/>
              <w:rPr>
                <w:sz w:val="14"/>
                <w:szCs w:val="14"/>
                <w:color w:val="auto"/>
              </w:rPr>
            </w:pPr>
          </w:p>
        </w:tc>
        <w:tc>
          <w:tcPr>
            <w:tcW w:w="640" w:type="dxa"/>
            <w:vAlign w:val="bottom"/>
            <w:tcBorders>
              <w:bottom w:val="single" w:sz="8" w:color="auto"/>
            </w:tcBorders>
          </w:tcPr>
          <w:p>
            <w:pPr>
              <w:jc w:val="right"/>
              <w:ind w:right="131"/>
              <w:spacing w:after="0"/>
              <w:rPr>
                <w:sz w:val="20"/>
                <w:szCs w:val="20"/>
                <w:color w:val="auto"/>
              </w:rPr>
            </w:pPr>
            <w:r>
              <w:rPr>
                <w:rFonts w:ascii="Arial" w:cs="Arial" w:eastAsia="Arial" w:hAnsi="Arial"/>
                <w:sz w:val="14"/>
                <w:szCs w:val="14"/>
                <w:b w:val="1"/>
                <w:bCs w:val="1"/>
                <w:color w:val="auto"/>
              </w:rPr>
              <w:t>2016</w:t>
            </w:r>
          </w:p>
        </w:tc>
        <w:tc>
          <w:tcPr>
            <w:tcW w:w="200" w:type="dxa"/>
            <w:vAlign w:val="bottom"/>
            <w:tcBorders>
              <w:bottom w:val="single" w:sz="8" w:color="CCEEFF"/>
            </w:tcBorders>
          </w:tcPr>
          <w:p>
            <w:pPr>
              <w:spacing w:after="0"/>
              <w:rPr>
                <w:sz w:val="14"/>
                <w:szCs w:val="14"/>
                <w:color w:val="auto"/>
              </w:rPr>
            </w:pPr>
          </w:p>
        </w:tc>
        <w:tc>
          <w:tcPr>
            <w:tcW w:w="120" w:type="dxa"/>
            <w:vAlign w:val="bottom"/>
            <w:tcBorders>
              <w:bottom w:val="single" w:sz="8" w:color="CCEEFF"/>
            </w:tcBorders>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640" w:type="dxa"/>
            <w:vAlign w:val="bottom"/>
            <w:tcBorders>
              <w:bottom w:val="single" w:sz="8" w:color="auto"/>
            </w:tcBorders>
          </w:tcPr>
          <w:p>
            <w:pPr>
              <w:jc w:val="right"/>
              <w:ind w:right="130"/>
              <w:spacing w:after="0"/>
              <w:rPr>
                <w:sz w:val="20"/>
                <w:szCs w:val="20"/>
                <w:color w:val="auto"/>
              </w:rPr>
            </w:pPr>
            <w:r>
              <w:rPr>
                <w:rFonts w:ascii="Arial" w:cs="Arial" w:eastAsia="Arial" w:hAnsi="Arial"/>
                <w:sz w:val="14"/>
                <w:szCs w:val="14"/>
                <w:b w:val="1"/>
                <w:bCs w:val="1"/>
                <w:color w:val="auto"/>
              </w:rPr>
              <w:t>2015</w:t>
            </w:r>
          </w:p>
        </w:tc>
        <w:tc>
          <w:tcPr>
            <w:tcW w:w="180" w:type="dxa"/>
            <w:vAlign w:val="bottom"/>
            <w:tcBorders>
              <w:bottom w:val="single" w:sz="8" w:color="CCEEFF"/>
            </w:tcBorders>
          </w:tcPr>
          <w:p>
            <w:pPr>
              <w:spacing w:after="0"/>
              <w:rPr>
                <w:sz w:val="14"/>
                <w:szCs w:val="14"/>
                <w:color w:val="auto"/>
              </w:rPr>
            </w:pPr>
          </w:p>
        </w:tc>
        <w:tc>
          <w:tcPr>
            <w:tcW w:w="140" w:type="dxa"/>
            <w:vAlign w:val="bottom"/>
            <w:tcBorders>
              <w:bottom w:val="single" w:sz="8" w:color="CCEEFF"/>
            </w:tcBorders>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720" w:type="dxa"/>
            <w:vAlign w:val="bottom"/>
            <w:tcBorders>
              <w:bottom w:val="single" w:sz="8" w:color="auto"/>
            </w:tcBorders>
          </w:tcPr>
          <w:p>
            <w:pPr>
              <w:jc w:val="right"/>
              <w:ind w:right="191"/>
              <w:spacing w:after="0"/>
              <w:rPr>
                <w:sz w:val="20"/>
                <w:szCs w:val="20"/>
                <w:color w:val="auto"/>
              </w:rPr>
            </w:pPr>
            <w:r>
              <w:rPr>
                <w:rFonts w:ascii="Arial" w:cs="Arial" w:eastAsia="Arial" w:hAnsi="Arial"/>
                <w:sz w:val="14"/>
                <w:szCs w:val="14"/>
                <w:b w:val="1"/>
                <w:bCs w:val="1"/>
                <w:color w:val="auto"/>
              </w:rPr>
              <w:t>2016</w:t>
            </w:r>
          </w:p>
        </w:tc>
        <w:tc>
          <w:tcPr>
            <w:tcW w:w="180" w:type="dxa"/>
            <w:vAlign w:val="bottom"/>
            <w:tcBorders>
              <w:bottom w:val="single" w:sz="8" w:color="CCEEFF"/>
            </w:tcBorders>
          </w:tcPr>
          <w:p>
            <w:pPr>
              <w:spacing w:after="0"/>
              <w:rPr>
                <w:sz w:val="14"/>
                <w:szCs w:val="14"/>
                <w:color w:val="auto"/>
              </w:rPr>
            </w:pPr>
          </w:p>
        </w:tc>
        <w:tc>
          <w:tcPr>
            <w:tcW w:w="120" w:type="dxa"/>
            <w:vAlign w:val="bottom"/>
            <w:tcBorders>
              <w:bottom w:val="single" w:sz="8" w:color="CCEEFF"/>
            </w:tcBorders>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740" w:type="dxa"/>
            <w:vAlign w:val="bottom"/>
            <w:tcBorders>
              <w:bottom w:val="single" w:sz="8" w:color="auto"/>
            </w:tcBorders>
          </w:tcPr>
          <w:p>
            <w:pPr>
              <w:jc w:val="right"/>
              <w:ind w:right="190"/>
              <w:spacing w:after="0"/>
              <w:rPr>
                <w:sz w:val="20"/>
                <w:szCs w:val="20"/>
                <w:color w:val="auto"/>
              </w:rPr>
            </w:pPr>
            <w:r>
              <w:rPr>
                <w:rFonts w:ascii="Arial" w:cs="Arial" w:eastAsia="Arial" w:hAnsi="Arial"/>
                <w:sz w:val="14"/>
                <w:szCs w:val="14"/>
                <w:b w:val="1"/>
                <w:bCs w:val="1"/>
                <w:color w:val="auto"/>
              </w:rPr>
              <w:t>2015</w:t>
            </w:r>
          </w:p>
        </w:tc>
        <w:tc>
          <w:tcPr>
            <w:tcW w:w="100" w:type="dxa"/>
            <w:vAlign w:val="bottom"/>
            <w:tcBorders>
              <w:bottom w:val="single" w:sz="8" w:color="CCEEFF"/>
            </w:tcBorders>
          </w:tcPr>
          <w:p>
            <w:pPr>
              <w:spacing w:after="0"/>
              <w:rPr>
                <w:sz w:val="14"/>
                <w:szCs w:val="14"/>
                <w:color w:val="auto"/>
              </w:rPr>
            </w:pPr>
          </w:p>
        </w:tc>
      </w:tr>
      <w:tr>
        <w:trPr>
          <w:trHeight w:val="196"/>
        </w:trPr>
        <w:tc>
          <w:tcPr>
            <w:tcW w:w="20" w:type="dxa"/>
            <w:vAlign w:val="bottom"/>
          </w:tcPr>
          <w:p>
            <w:pPr>
              <w:spacing w:after="0"/>
              <w:rPr>
                <w:sz w:val="17"/>
                <w:szCs w:val="17"/>
                <w:color w:val="auto"/>
              </w:rPr>
            </w:pPr>
          </w:p>
        </w:tc>
        <w:tc>
          <w:tcPr>
            <w:tcW w:w="7220" w:type="dxa"/>
            <w:vAlign w:val="bottom"/>
            <w:shd w:val="clear" w:color="auto" w:fill="CCEEFF"/>
          </w:tcPr>
          <w:p>
            <w:pPr>
              <w:spacing w:after="0" w:line="196" w:lineRule="exact"/>
              <w:rPr>
                <w:sz w:val="20"/>
                <w:szCs w:val="20"/>
                <w:color w:val="auto"/>
              </w:rPr>
            </w:pPr>
            <w:r>
              <w:rPr>
                <w:rFonts w:ascii="Arial" w:cs="Arial" w:eastAsia="Arial" w:hAnsi="Arial"/>
                <w:sz w:val="18"/>
                <w:szCs w:val="18"/>
                <w:color w:val="auto"/>
              </w:rPr>
              <w:t>Cash flows from operating activities:</w:t>
            </w:r>
          </w:p>
        </w:tc>
        <w:tc>
          <w:tcPr>
            <w:tcW w:w="20" w:type="dxa"/>
            <w:vAlign w:val="bottom"/>
            <w:shd w:val="clear" w:color="auto" w:fill="CCEEFF"/>
          </w:tcPr>
          <w:p>
            <w:pPr>
              <w:spacing w:after="0"/>
              <w:rPr>
                <w:sz w:val="17"/>
                <w:szCs w:val="17"/>
                <w:color w:val="auto"/>
              </w:rPr>
            </w:pPr>
          </w:p>
        </w:tc>
        <w:tc>
          <w:tcPr>
            <w:tcW w:w="80" w:type="dxa"/>
            <w:vAlign w:val="bottom"/>
            <w:shd w:val="clear" w:color="auto" w:fill="CCEEFF"/>
          </w:tcPr>
          <w:p>
            <w:pPr>
              <w:spacing w:after="0"/>
              <w:rPr>
                <w:sz w:val="17"/>
                <w:szCs w:val="17"/>
                <w:color w:val="auto"/>
              </w:rPr>
            </w:pPr>
          </w:p>
        </w:tc>
        <w:tc>
          <w:tcPr>
            <w:tcW w:w="640" w:type="dxa"/>
            <w:vAlign w:val="bottom"/>
            <w:shd w:val="clear" w:color="auto" w:fill="CCEEFF"/>
          </w:tcPr>
          <w:p>
            <w:pPr>
              <w:spacing w:after="0"/>
              <w:rPr>
                <w:sz w:val="17"/>
                <w:szCs w:val="17"/>
                <w:color w:val="auto"/>
              </w:rPr>
            </w:pPr>
          </w:p>
        </w:tc>
        <w:tc>
          <w:tcPr>
            <w:tcW w:w="200" w:type="dxa"/>
            <w:vAlign w:val="bottom"/>
            <w:shd w:val="clear" w:color="auto" w:fill="CCEEFF"/>
          </w:tcPr>
          <w:p>
            <w:pPr>
              <w:spacing w:after="0"/>
              <w:rPr>
                <w:sz w:val="17"/>
                <w:szCs w:val="17"/>
                <w:color w:val="auto"/>
              </w:rPr>
            </w:pPr>
          </w:p>
        </w:tc>
        <w:tc>
          <w:tcPr>
            <w:tcW w:w="12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640" w:type="dxa"/>
            <w:vAlign w:val="bottom"/>
            <w:shd w:val="clear" w:color="auto" w:fill="CCEEFF"/>
          </w:tcPr>
          <w:p>
            <w:pPr>
              <w:spacing w:after="0"/>
              <w:rPr>
                <w:sz w:val="17"/>
                <w:szCs w:val="17"/>
                <w:color w:val="auto"/>
              </w:rPr>
            </w:pPr>
          </w:p>
        </w:tc>
        <w:tc>
          <w:tcPr>
            <w:tcW w:w="180" w:type="dxa"/>
            <w:vAlign w:val="bottom"/>
            <w:shd w:val="clear" w:color="auto" w:fill="CCEEFF"/>
          </w:tcPr>
          <w:p>
            <w:pPr>
              <w:spacing w:after="0"/>
              <w:rPr>
                <w:sz w:val="17"/>
                <w:szCs w:val="17"/>
                <w:color w:val="auto"/>
              </w:rPr>
            </w:pPr>
          </w:p>
        </w:tc>
        <w:tc>
          <w:tcPr>
            <w:tcW w:w="14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720" w:type="dxa"/>
            <w:vAlign w:val="bottom"/>
            <w:shd w:val="clear" w:color="auto" w:fill="CCEEFF"/>
          </w:tcPr>
          <w:p>
            <w:pPr>
              <w:spacing w:after="0"/>
              <w:rPr>
                <w:sz w:val="17"/>
                <w:szCs w:val="17"/>
                <w:color w:val="auto"/>
              </w:rPr>
            </w:pPr>
          </w:p>
        </w:tc>
        <w:tc>
          <w:tcPr>
            <w:tcW w:w="180" w:type="dxa"/>
            <w:vAlign w:val="bottom"/>
            <w:shd w:val="clear" w:color="auto" w:fill="CCEEFF"/>
          </w:tcPr>
          <w:p>
            <w:pPr>
              <w:spacing w:after="0"/>
              <w:rPr>
                <w:sz w:val="17"/>
                <w:szCs w:val="17"/>
                <w:color w:val="auto"/>
              </w:rPr>
            </w:pPr>
          </w:p>
        </w:tc>
        <w:tc>
          <w:tcPr>
            <w:tcW w:w="12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74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r>
      <w:tr>
        <w:trPr>
          <w:trHeight w:val="216"/>
        </w:trPr>
        <w:tc>
          <w:tcPr>
            <w:tcW w:w="20" w:type="dxa"/>
            <w:vAlign w:val="bottom"/>
          </w:tcPr>
          <w:p>
            <w:pPr>
              <w:spacing w:after="0"/>
              <w:rPr>
                <w:sz w:val="18"/>
                <w:szCs w:val="18"/>
                <w:color w:val="auto"/>
              </w:rPr>
            </w:pPr>
          </w:p>
        </w:tc>
        <w:tc>
          <w:tcPr>
            <w:tcW w:w="7220" w:type="dxa"/>
            <w:vAlign w:val="bottom"/>
          </w:tcPr>
          <w:p>
            <w:pPr>
              <w:spacing w:after="0"/>
              <w:rPr>
                <w:sz w:val="20"/>
                <w:szCs w:val="20"/>
                <w:color w:val="auto"/>
              </w:rPr>
            </w:pPr>
            <w:r>
              <w:rPr>
                <w:rFonts w:ascii="Arial" w:cs="Arial" w:eastAsia="Arial" w:hAnsi="Arial"/>
                <w:sz w:val="18"/>
                <w:szCs w:val="18"/>
                <w:color w:val="auto"/>
              </w:rPr>
              <w:t>Net income (loss)</w:t>
            </w:r>
          </w:p>
        </w:tc>
        <w:tc>
          <w:tcPr>
            <w:tcW w:w="100" w:type="dxa"/>
            <w:vAlign w:val="bottom"/>
            <w:gridSpan w:val="2"/>
          </w:tcPr>
          <w:p>
            <w:pPr>
              <w:spacing w:after="0"/>
              <w:rPr>
                <w:sz w:val="20"/>
                <w:szCs w:val="20"/>
                <w:color w:val="auto"/>
              </w:rPr>
            </w:pPr>
            <w:r>
              <w:rPr>
                <w:rFonts w:ascii="Arial" w:cs="Arial" w:eastAsia="Arial" w:hAnsi="Arial"/>
                <w:sz w:val="18"/>
                <w:szCs w:val="18"/>
                <w:color w:val="auto"/>
                <w:w w:val="79"/>
              </w:rPr>
              <w:t>$</w:t>
            </w:r>
          </w:p>
        </w:tc>
        <w:tc>
          <w:tcPr>
            <w:tcW w:w="840" w:type="dxa"/>
            <w:vAlign w:val="bottom"/>
            <w:gridSpan w:val="2"/>
          </w:tcPr>
          <w:p>
            <w:pPr>
              <w:jc w:val="right"/>
              <w:ind w:right="200"/>
              <w:spacing w:after="0"/>
              <w:rPr>
                <w:sz w:val="20"/>
                <w:szCs w:val="20"/>
                <w:color w:val="auto"/>
              </w:rPr>
            </w:pPr>
            <w:r>
              <w:rPr>
                <w:rFonts w:ascii="Arial" w:cs="Arial" w:eastAsia="Arial" w:hAnsi="Arial"/>
                <w:sz w:val="18"/>
                <w:szCs w:val="18"/>
                <w:color w:val="auto"/>
              </w:rPr>
              <w:t>72,616</w:t>
            </w:r>
          </w:p>
        </w:tc>
        <w:tc>
          <w:tcPr>
            <w:tcW w:w="220" w:type="dxa"/>
            <w:vAlign w:val="bottom"/>
            <w:gridSpan w:val="2"/>
          </w:tcPr>
          <w:p>
            <w:pPr>
              <w:ind w:left="120"/>
              <w:spacing w:after="0"/>
              <w:rPr>
                <w:sz w:val="20"/>
                <w:szCs w:val="20"/>
                <w:color w:val="auto"/>
              </w:rPr>
            </w:pPr>
            <w:r>
              <w:rPr>
                <w:rFonts w:ascii="Arial" w:cs="Arial" w:eastAsia="Arial" w:hAnsi="Arial"/>
                <w:sz w:val="18"/>
                <w:szCs w:val="18"/>
                <w:color w:val="auto"/>
                <w:w w:val="79"/>
              </w:rPr>
              <w:t>$</w:t>
            </w:r>
          </w:p>
        </w:tc>
        <w:tc>
          <w:tcPr>
            <w:tcW w:w="820" w:type="dxa"/>
            <w:vAlign w:val="bottom"/>
            <w:gridSpan w:val="2"/>
          </w:tcPr>
          <w:p>
            <w:pPr>
              <w:jc w:val="right"/>
              <w:ind w:right="120"/>
              <w:spacing w:after="0"/>
              <w:rPr>
                <w:sz w:val="20"/>
                <w:szCs w:val="20"/>
                <w:color w:val="auto"/>
              </w:rPr>
            </w:pPr>
            <w:r>
              <w:rPr>
                <w:rFonts w:ascii="Arial" w:cs="Arial" w:eastAsia="Arial" w:hAnsi="Arial"/>
                <w:sz w:val="18"/>
                <w:szCs w:val="18"/>
                <w:color w:val="auto"/>
              </w:rPr>
              <w:t>(57,750)</w:t>
            </w:r>
          </w:p>
        </w:tc>
        <w:tc>
          <w:tcPr>
            <w:tcW w:w="24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900" w:type="dxa"/>
            <w:vAlign w:val="bottom"/>
            <w:gridSpan w:val="2"/>
          </w:tcPr>
          <w:p>
            <w:pPr>
              <w:jc w:val="right"/>
              <w:ind w:right="180"/>
              <w:spacing w:after="0"/>
              <w:rPr>
                <w:sz w:val="20"/>
                <w:szCs w:val="20"/>
                <w:color w:val="auto"/>
              </w:rPr>
            </w:pPr>
            <w:r>
              <w:rPr>
                <w:rFonts w:ascii="Arial" w:cs="Arial" w:eastAsia="Arial" w:hAnsi="Arial"/>
                <w:sz w:val="18"/>
                <w:szCs w:val="18"/>
                <w:color w:val="auto"/>
              </w:rPr>
              <w:t>101,242</w:t>
            </w:r>
          </w:p>
        </w:tc>
        <w:tc>
          <w:tcPr>
            <w:tcW w:w="22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840" w:type="dxa"/>
            <w:vAlign w:val="bottom"/>
            <w:gridSpan w:val="2"/>
          </w:tcPr>
          <w:p>
            <w:pPr>
              <w:jc w:val="right"/>
              <w:ind w:right="40"/>
              <w:spacing w:after="0"/>
              <w:rPr>
                <w:sz w:val="20"/>
                <w:szCs w:val="20"/>
                <w:color w:val="auto"/>
              </w:rPr>
            </w:pPr>
            <w:r>
              <w:rPr>
                <w:rFonts w:ascii="Arial" w:cs="Arial" w:eastAsia="Arial" w:hAnsi="Arial"/>
                <w:sz w:val="18"/>
                <w:szCs w:val="18"/>
                <w:color w:val="auto"/>
              </w:rPr>
              <w:t>(815,600)</w:t>
            </w:r>
          </w:p>
        </w:tc>
      </w:tr>
      <w:tr>
        <w:trPr>
          <w:trHeight w:val="216"/>
        </w:trPr>
        <w:tc>
          <w:tcPr>
            <w:tcW w:w="20" w:type="dxa"/>
            <w:vAlign w:val="bottom"/>
          </w:tcPr>
          <w:p>
            <w:pPr>
              <w:spacing w:after="0"/>
              <w:rPr>
                <w:sz w:val="18"/>
                <w:szCs w:val="18"/>
                <w:color w:val="auto"/>
              </w:rPr>
            </w:pPr>
          </w:p>
        </w:tc>
        <w:tc>
          <w:tcPr>
            <w:tcW w:w="7220" w:type="dxa"/>
            <w:vAlign w:val="bottom"/>
            <w:shd w:val="clear" w:color="auto" w:fill="CCEEFF"/>
          </w:tcPr>
          <w:p>
            <w:pPr>
              <w:spacing w:after="0"/>
              <w:rPr>
                <w:sz w:val="20"/>
                <w:szCs w:val="20"/>
                <w:color w:val="auto"/>
              </w:rPr>
            </w:pPr>
            <w:r>
              <w:rPr>
                <w:rFonts w:ascii="Arial" w:cs="Arial" w:eastAsia="Arial" w:hAnsi="Arial"/>
                <w:sz w:val="18"/>
                <w:szCs w:val="18"/>
                <w:color w:val="auto"/>
              </w:rPr>
              <w:t>Adjustments to reconcile net income (loss) to net cash provided by operating activities:</w:t>
            </w:r>
          </w:p>
        </w:tc>
        <w:tc>
          <w:tcPr>
            <w:tcW w:w="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64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64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2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r>
      <w:tr>
        <w:trPr>
          <w:trHeight w:val="216"/>
        </w:trPr>
        <w:tc>
          <w:tcPr>
            <w:tcW w:w="20" w:type="dxa"/>
            <w:vAlign w:val="bottom"/>
          </w:tcPr>
          <w:p>
            <w:pPr>
              <w:spacing w:after="0"/>
              <w:rPr>
                <w:sz w:val="18"/>
                <w:szCs w:val="18"/>
                <w:color w:val="auto"/>
              </w:rPr>
            </w:pPr>
          </w:p>
        </w:tc>
        <w:tc>
          <w:tcPr>
            <w:tcW w:w="7220" w:type="dxa"/>
            <w:vAlign w:val="bottom"/>
          </w:tcPr>
          <w:p>
            <w:pPr>
              <w:ind w:left="340"/>
              <w:spacing w:after="0"/>
              <w:rPr>
                <w:sz w:val="20"/>
                <w:szCs w:val="20"/>
                <w:color w:val="auto"/>
              </w:rPr>
            </w:pPr>
            <w:r>
              <w:rPr>
                <w:rFonts w:ascii="Arial" w:cs="Arial" w:eastAsia="Arial" w:hAnsi="Arial"/>
                <w:sz w:val="18"/>
                <w:szCs w:val="18"/>
                <w:color w:val="auto"/>
              </w:rPr>
              <w:t>Depreciation and amortization</w:t>
            </w:r>
          </w:p>
        </w:tc>
        <w:tc>
          <w:tcPr>
            <w:tcW w:w="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840" w:type="dxa"/>
            <w:vAlign w:val="bottom"/>
            <w:gridSpan w:val="2"/>
          </w:tcPr>
          <w:p>
            <w:pPr>
              <w:jc w:val="right"/>
              <w:ind w:right="200"/>
              <w:spacing w:after="0"/>
              <w:rPr>
                <w:sz w:val="20"/>
                <w:szCs w:val="20"/>
                <w:color w:val="auto"/>
              </w:rPr>
            </w:pPr>
            <w:r>
              <w:rPr>
                <w:rFonts w:ascii="Arial" w:cs="Arial" w:eastAsia="Arial" w:hAnsi="Arial"/>
                <w:sz w:val="18"/>
                <w:szCs w:val="18"/>
                <w:color w:val="auto"/>
              </w:rPr>
              <w:t>27,188</w:t>
            </w:r>
          </w:p>
        </w:tc>
        <w:tc>
          <w:tcPr>
            <w:tcW w:w="1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820" w:type="dxa"/>
            <w:vAlign w:val="bottom"/>
            <w:gridSpan w:val="2"/>
          </w:tcPr>
          <w:p>
            <w:pPr>
              <w:jc w:val="right"/>
              <w:ind w:right="180"/>
              <w:spacing w:after="0"/>
              <w:rPr>
                <w:sz w:val="20"/>
                <w:szCs w:val="20"/>
                <w:color w:val="auto"/>
              </w:rPr>
            </w:pPr>
            <w:r>
              <w:rPr>
                <w:rFonts w:ascii="Arial" w:cs="Arial" w:eastAsia="Arial" w:hAnsi="Arial"/>
                <w:sz w:val="18"/>
                <w:szCs w:val="18"/>
                <w:color w:val="auto"/>
              </w:rPr>
              <w:t>25,565</w:t>
            </w:r>
          </w:p>
        </w:tc>
        <w:tc>
          <w:tcPr>
            <w:tcW w:w="1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900" w:type="dxa"/>
            <w:vAlign w:val="bottom"/>
            <w:gridSpan w:val="2"/>
          </w:tcPr>
          <w:p>
            <w:pPr>
              <w:jc w:val="right"/>
              <w:ind w:right="180"/>
              <w:spacing w:after="0"/>
              <w:rPr>
                <w:sz w:val="20"/>
                <w:szCs w:val="20"/>
                <w:color w:val="auto"/>
              </w:rPr>
            </w:pPr>
            <w:r>
              <w:rPr>
                <w:rFonts w:ascii="Arial" w:cs="Arial" w:eastAsia="Arial" w:hAnsi="Arial"/>
                <w:sz w:val="18"/>
                <w:szCs w:val="18"/>
                <w:color w:val="auto"/>
              </w:rPr>
              <w:t>81,168</w:t>
            </w:r>
          </w:p>
        </w:tc>
        <w:tc>
          <w:tcPr>
            <w:tcW w:w="1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840" w:type="dxa"/>
            <w:vAlign w:val="bottom"/>
            <w:gridSpan w:val="2"/>
          </w:tcPr>
          <w:p>
            <w:pPr>
              <w:jc w:val="right"/>
              <w:ind w:right="100"/>
              <w:spacing w:after="0"/>
              <w:rPr>
                <w:sz w:val="20"/>
                <w:szCs w:val="20"/>
                <w:color w:val="auto"/>
              </w:rPr>
            </w:pPr>
            <w:r>
              <w:rPr>
                <w:rFonts w:ascii="Arial" w:cs="Arial" w:eastAsia="Arial" w:hAnsi="Arial"/>
                <w:sz w:val="18"/>
                <w:szCs w:val="18"/>
                <w:color w:val="auto"/>
              </w:rPr>
              <w:t>77,376</w:t>
            </w:r>
          </w:p>
        </w:tc>
      </w:tr>
      <w:tr>
        <w:trPr>
          <w:trHeight w:val="216"/>
        </w:trPr>
        <w:tc>
          <w:tcPr>
            <w:tcW w:w="20" w:type="dxa"/>
            <w:vAlign w:val="bottom"/>
          </w:tcPr>
          <w:p>
            <w:pPr>
              <w:spacing w:after="0"/>
              <w:rPr>
                <w:sz w:val="18"/>
                <w:szCs w:val="18"/>
                <w:color w:val="auto"/>
              </w:rPr>
            </w:pPr>
          </w:p>
        </w:tc>
        <w:tc>
          <w:tcPr>
            <w:tcW w:w="7220" w:type="dxa"/>
            <w:vAlign w:val="bottom"/>
            <w:shd w:val="clear" w:color="auto" w:fill="CCEEFF"/>
          </w:tcPr>
          <w:p>
            <w:pPr>
              <w:ind w:left="340"/>
              <w:spacing w:after="0"/>
              <w:rPr>
                <w:sz w:val="20"/>
                <w:szCs w:val="20"/>
                <w:color w:val="auto"/>
              </w:rPr>
            </w:pPr>
            <w:r>
              <w:rPr>
                <w:rFonts w:ascii="Arial" w:cs="Arial" w:eastAsia="Arial" w:hAnsi="Arial"/>
                <w:sz w:val="18"/>
                <w:szCs w:val="18"/>
                <w:color w:val="auto"/>
              </w:rPr>
              <w:t>Share-based compensation</w:t>
            </w:r>
          </w:p>
        </w:tc>
        <w:tc>
          <w:tcPr>
            <w:tcW w:w="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84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28,263</w:t>
            </w:r>
          </w:p>
        </w:tc>
        <w:tc>
          <w:tcPr>
            <w:tcW w:w="1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20" w:type="dxa"/>
            <w:vAlign w:val="bottom"/>
            <w:gridSpan w:val="2"/>
            <w:shd w:val="clear" w:color="auto" w:fill="CCEEFF"/>
          </w:tcPr>
          <w:p>
            <w:pPr>
              <w:jc w:val="right"/>
              <w:ind w:right="180"/>
              <w:spacing w:after="0"/>
              <w:rPr>
                <w:sz w:val="20"/>
                <w:szCs w:val="20"/>
                <w:color w:val="auto"/>
              </w:rPr>
            </w:pPr>
            <w:r>
              <w:rPr>
                <w:rFonts w:ascii="Arial" w:cs="Arial" w:eastAsia="Arial" w:hAnsi="Arial"/>
                <w:sz w:val="18"/>
                <w:szCs w:val="18"/>
                <w:color w:val="auto"/>
              </w:rPr>
              <w:t>31,465</w:t>
            </w:r>
          </w:p>
        </w:tc>
        <w:tc>
          <w:tcPr>
            <w:tcW w:w="1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900" w:type="dxa"/>
            <w:vAlign w:val="bottom"/>
            <w:gridSpan w:val="2"/>
            <w:shd w:val="clear" w:color="auto" w:fill="CCEEFF"/>
          </w:tcPr>
          <w:p>
            <w:pPr>
              <w:jc w:val="right"/>
              <w:ind w:right="180"/>
              <w:spacing w:after="0"/>
              <w:rPr>
                <w:sz w:val="20"/>
                <w:szCs w:val="20"/>
                <w:color w:val="auto"/>
              </w:rPr>
            </w:pPr>
            <w:r>
              <w:rPr>
                <w:rFonts w:ascii="Arial" w:cs="Arial" w:eastAsia="Arial" w:hAnsi="Arial"/>
                <w:sz w:val="18"/>
                <w:szCs w:val="18"/>
                <w:color w:val="auto"/>
              </w:rPr>
              <w:t>89,912</w:t>
            </w:r>
          </w:p>
        </w:tc>
        <w:tc>
          <w:tcPr>
            <w:tcW w:w="1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4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101,360</w:t>
            </w:r>
          </w:p>
        </w:tc>
      </w:tr>
      <w:tr>
        <w:trPr>
          <w:trHeight w:val="216"/>
        </w:trPr>
        <w:tc>
          <w:tcPr>
            <w:tcW w:w="20" w:type="dxa"/>
            <w:vAlign w:val="bottom"/>
          </w:tcPr>
          <w:p>
            <w:pPr>
              <w:spacing w:after="0"/>
              <w:rPr>
                <w:sz w:val="18"/>
                <w:szCs w:val="18"/>
                <w:color w:val="auto"/>
              </w:rPr>
            </w:pPr>
          </w:p>
        </w:tc>
        <w:tc>
          <w:tcPr>
            <w:tcW w:w="7220" w:type="dxa"/>
            <w:vAlign w:val="bottom"/>
          </w:tcPr>
          <w:p>
            <w:pPr>
              <w:ind w:left="340"/>
              <w:spacing w:after="0"/>
              <w:rPr>
                <w:sz w:val="20"/>
                <w:szCs w:val="20"/>
                <w:color w:val="auto"/>
              </w:rPr>
            </w:pPr>
            <w:r>
              <w:rPr>
                <w:rFonts w:ascii="Arial" w:cs="Arial" w:eastAsia="Arial" w:hAnsi="Arial"/>
                <w:sz w:val="18"/>
                <w:szCs w:val="18"/>
                <w:color w:val="auto"/>
              </w:rPr>
              <w:t>Amortization and write-off of acquired intangible assets</w:t>
            </w:r>
          </w:p>
        </w:tc>
        <w:tc>
          <w:tcPr>
            <w:tcW w:w="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640" w:type="dxa"/>
            <w:vAlign w:val="bottom"/>
          </w:tcPr>
          <w:p>
            <w:pPr>
              <w:jc w:val="right"/>
              <w:spacing w:after="0"/>
              <w:rPr>
                <w:sz w:val="20"/>
                <w:szCs w:val="20"/>
                <w:color w:val="auto"/>
              </w:rPr>
            </w:pPr>
            <w:r>
              <w:rPr>
                <w:rFonts w:ascii="Arial" w:cs="Arial" w:eastAsia="Arial" w:hAnsi="Arial"/>
                <w:sz w:val="18"/>
                <w:szCs w:val="18"/>
                <w:color w:val="auto"/>
              </w:rPr>
              <w:t>2,784</w:t>
            </w:r>
          </w:p>
        </w:tc>
        <w:tc>
          <w:tcPr>
            <w:tcW w:w="20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820" w:type="dxa"/>
            <w:vAlign w:val="bottom"/>
            <w:gridSpan w:val="2"/>
          </w:tcPr>
          <w:p>
            <w:pPr>
              <w:jc w:val="right"/>
              <w:ind w:right="180"/>
              <w:spacing w:after="0"/>
              <w:rPr>
                <w:sz w:val="20"/>
                <w:szCs w:val="20"/>
                <w:color w:val="auto"/>
              </w:rPr>
            </w:pPr>
            <w:r>
              <w:rPr>
                <w:rFonts w:ascii="Arial" w:cs="Arial" w:eastAsia="Arial" w:hAnsi="Arial"/>
                <w:sz w:val="18"/>
                <w:szCs w:val="18"/>
                <w:color w:val="auto"/>
              </w:rPr>
              <w:t>3,635</w:t>
            </w:r>
          </w:p>
        </w:tc>
        <w:tc>
          <w:tcPr>
            <w:tcW w:w="1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900" w:type="dxa"/>
            <w:vAlign w:val="bottom"/>
            <w:gridSpan w:val="2"/>
          </w:tcPr>
          <w:p>
            <w:pPr>
              <w:jc w:val="right"/>
              <w:ind w:right="180"/>
              <w:spacing w:after="0"/>
              <w:rPr>
                <w:sz w:val="20"/>
                <w:szCs w:val="20"/>
                <w:color w:val="auto"/>
              </w:rPr>
            </w:pPr>
            <w:r>
              <w:rPr>
                <w:rFonts w:ascii="Arial" w:cs="Arial" w:eastAsia="Arial" w:hAnsi="Arial"/>
                <w:sz w:val="18"/>
                <w:szCs w:val="18"/>
                <w:color w:val="auto"/>
              </w:rPr>
              <w:t>8,676</w:t>
            </w:r>
          </w:p>
        </w:tc>
        <w:tc>
          <w:tcPr>
            <w:tcW w:w="1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840" w:type="dxa"/>
            <w:vAlign w:val="bottom"/>
            <w:gridSpan w:val="2"/>
          </w:tcPr>
          <w:p>
            <w:pPr>
              <w:jc w:val="right"/>
              <w:ind w:right="100"/>
              <w:spacing w:after="0"/>
              <w:rPr>
                <w:sz w:val="20"/>
                <w:szCs w:val="20"/>
                <w:color w:val="auto"/>
              </w:rPr>
            </w:pPr>
            <w:r>
              <w:rPr>
                <w:rFonts w:ascii="Arial" w:cs="Arial" w:eastAsia="Arial" w:hAnsi="Arial"/>
                <w:sz w:val="18"/>
                <w:szCs w:val="18"/>
                <w:color w:val="auto"/>
              </w:rPr>
              <w:t>9,741</w:t>
            </w:r>
          </w:p>
        </w:tc>
      </w:tr>
      <w:tr>
        <w:trPr>
          <w:trHeight w:val="216"/>
        </w:trPr>
        <w:tc>
          <w:tcPr>
            <w:tcW w:w="20" w:type="dxa"/>
            <w:vAlign w:val="bottom"/>
          </w:tcPr>
          <w:p>
            <w:pPr>
              <w:spacing w:after="0"/>
              <w:rPr>
                <w:sz w:val="18"/>
                <w:szCs w:val="18"/>
                <w:color w:val="auto"/>
              </w:rPr>
            </w:pPr>
          </w:p>
        </w:tc>
        <w:tc>
          <w:tcPr>
            <w:tcW w:w="7220" w:type="dxa"/>
            <w:vAlign w:val="bottom"/>
            <w:shd w:val="clear" w:color="auto" w:fill="CCEEFF"/>
          </w:tcPr>
          <w:p>
            <w:pPr>
              <w:ind w:left="340"/>
              <w:spacing w:after="0"/>
              <w:rPr>
                <w:sz w:val="20"/>
                <w:szCs w:val="20"/>
                <w:color w:val="auto"/>
              </w:rPr>
            </w:pPr>
            <w:r>
              <w:rPr>
                <w:rFonts w:ascii="Arial" w:cs="Arial" w:eastAsia="Arial" w:hAnsi="Arial"/>
                <w:sz w:val="18"/>
                <w:szCs w:val="18"/>
                <w:color w:val="auto"/>
              </w:rPr>
              <w:t>Non-cash restructuring and other related charges</w:t>
            </w:r>
          </w:p>
        </w:tc>
        <w:tc>
          <w:tcPr>
            <w:tcW w:w="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6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1,056</w:t>
            </w:r>
          </w:p>
        </w:tc>
        <w:tc>
          <w:tcPr>
            <w:tcW w:w="20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20" w:type="dxa"/>
            <w:vAlign w:val="bottom"/>
            <w:gridSpan w:val="2"/>
            <w:shd w:val="clear" w:color="auto" w:fill="CCEEFF"/>
          </w:tcPr>
          <w:p>
            <w:pPr>
              <w:jc w:val="right"/>
              <w:ind w:right="180"/>
              <w:spacing w:after="0"/>
              <w:rPr>
                <w:sz w:val="20"/>
                <w:szCs w:val="20"/>
                <w:color w:val="auto"/>
              </w:rPr>
            </w:pPr>
            <w:r>
              <w:rPr>
                <w:rFonts w:ascii="Arial" w:cs="Arial" w:eastAsia="Arial" w:hAnsi="Arial"/>
                <w:sz w:val="18"/>
                <w:szCs w:val="18"/>
                <w:color w:val="auto"/>
              </w:rPr>
              <w:t>14,270</w:t>
            </w:r>
          </w:p>
        </w:tc>
        <w:tc>
          <w:tcPr>
            <w:tcW w:w="1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900" w:type="dxa"/>
            <w:vAlign w:val="bottom"/>
            <w:gridSpan w:val="2"/>
            <w:shd w:val="clear" w:color="auto" w:fill="CCEEFF"/>
          </w:tcPr>
          <w:p>
            <w:pPr>
              <w:jc w:val="right"/>
              <w:ind w:right="180"/>
              <w:spacing w:after="0"/>
              <w:rPr>
                <w:sz w:val="20"/>
                <w:szCs w:val="20"/>
                <w:color w:val="auto"/>
              </w:rPr>
            </w:pPr>
            <w:r>
              <w:rPr>
                <w:rFonts w:ascii="Arial" w:cs="Arial" w:eastAsia="Arial" w:hAnsi="Arial"/>
                <w:sz w:val="18"/>
                <w:szCs w:val="18"/>
                <w:color w:val="auto"/>
              </w:rPr>
              <w:t>2,081</w:t>
            </w:r>
          </w:p>
        </w:tc>
        <w:tc>
          <w:tcPr>
            <w:tcW w:w="1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4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15,743</w:t>
            </w:r>
          </w:p>
        </w:tc>
      </w:tr>
      <w:tr>
        <w:trPr>
          <w:trHeight w:val="216"/>
        </w:trPr>
        <w:tc>
          <w:tcPr>
            <w:tcW w:w="20" w:type="dxa"/>
            <w:vAlign w:val="bottom"/>
          </w:tcPr>
          <w:p>
            <w:pPr>
              <w:spacing w:after="0"/>
              <w:rPr>
                <w:sz w:val="18"/>
                <w:szCs w:val="18"/>
                <w:color w:val="auto"/>
              </w:rPr>
            </w:pPr>
          </w:p>
        </w:tc>
        <w:tc>
          <w:tcPr>
            <w:tcW w:w="7220" w:type="dxa"/>
            <w:vAlign w:val="bottom"/>
          </w:tcPr>
          <w:p>
            <w:pPr>
              <w:ind w:left="340"/>
              <w:spacing w:after="0"/>
              <w:rPr>
                <w:sz w:val="20"/>
                <w:szCs w:val="20"/>
                <w:color w:val="auto"/>
              </w:rPr>
            </w:pPr>
            <w:r>
              <w:rPr>
                <w:rFonts w:ascii="Arial" w:cs="Arial" w:eastAsia="Arial" w:hAnsi="Arial"/>
                <w:sz w:val="18"/>
                <w:szCs w:val="18"/>
                <w:color w:val="auto"/>
              </w:rPr>
              <w:t>Other non-cash expense (income), net</w:t>
            </w:r>
          </w:p>
        </w:tc>
        <w:tc>
          <w:tcPr>
            <w:tcW w:w="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840" w:type="dxa"/>
            <w:vAlign w:val="bottom"/>
            <w:gridSpan w:val="2"/>
          </w:tcPr>
          <w:p>
            <w:pPr>
              <w:jc w:val="right"/>
              <w:ind w:right="140"/>
              <w:spacing w:after="0"/>
              <w:rPr>
                <w:sz w:val="20"/>
                <w:szCs w:val="20"/>
                <w:color w:val="auto"/>
              </w:rPr>
            </w:pPr>
            <w:r>
              <w:rPr>
                <w:rFonts w:ascii="Arial" w:cs="Arial" w:eastAsia="Arial" w:hAnsi="Arial"/>
                <w:sz w:val="18"/>
                <w:szCs w:val="18"/>
                <w:color w:val="auto"/>
              </w:rPr>
              <w:t>(930)</w:t>
            </w:r>
          </w:p>
        </w:tc>
        <w:tc>
          <w:tcPr>
            <w:tcW w:w="1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820" w:type="dxa"/>
            <w:vAlign w:val="bottom"/>
            <w:gridSpan w:val="2"/>
          </w:tcPr>
          <w:p>
            <w:pPr>
              <w:jc w:val="right"/>
              <w:ind w:right="180"/>
              <w:spacing w:after="0"/>
              <w:rPr>
                <w:sz w:val="20"/>
                <w:szCs w:val="20"/>
                <w:color w:val="auto"/>
              </w:rPr>
            </w:pPr>
            <w:r>
              <w:rPr>
                <w:rFonts w:ascii="Arial" w:cs="Arial" w:eastAsia="Arial" w:hAnsi="Arial"/>
                <w:sz w:val="18"/>
                <w:szCs w:val="18"/>
                <w:color w:val="auto"/>
              </w:rPr>
              <w:t>4,205</w:t>
            </w:r>
          </w:p>
        </w:tc>
        <w:tc>
          <w:tcPr>
            <w:tcW w:w="1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900" w:type="dxa"/>
            <w:vAlign w:val="bottom"/>
            <w:gridSpan w:val="2"/>
          </w:tcPr>
          <w:p>
            <w:pPr>
              <w:jc w:val="right"/>
              <w:ind w:right="180"/>
              <w:spacing w:after="0"/>
              <w:rPr>
                <w:sz w:val="20"/>
                <w:szCs w:val="20"/>
                <w:color w:val="auto"/>
              </w:rPr>
            </w:pPr>
            <w:r>
              <w:rPr>
                <w:rFonts w:ascii="Arial" w:cs="Arial" w:eastAsia="Arial" w:hAnsi="Arial"/>
                <w:sz w:val="18"/>
                <w:szCs w:val="18"/>
                <w:color w:val="auto"/>
              </w:rPr>
              <w:t>1,020</w:t>
            </w:r>
          </w:p>
        </w:tc>
        <w:tc>
          <w:tcPr>
            <w:tcW w:w="1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840" w:type="dxa"/>
            <w:vAlign w:val="bottom"/>
            <w:gridSpan w:val="2"/>
          </w:tcPr>
          <w:p>
            <w:pPr>
              <w:jc w:val="right"/>
              <w:ind w:right="100"/>
              <w:spacing w:after="0"/>
              <w:rPr>
                <w:sz w:val="20"/>
                <w:szCs w:val="20"/>
                <w:color w:val="auto"/>
              </w:rPr>
            </w:pPr>
            <w:r>
              <w:rPr>
                <w:rFonts w:ascii="Arial" w:cs="Arial" w:eastAsia="Arial" w:hAnsi="Arial"/>
                <w:sz w:val="18"/>
                <w:szCs w:val="18"/>
                <w:color w:val="auto"/>
              </w:rPr>
              <w:t>5,926</w:t>
            </w:r>
          </w:p>
        </w:tc>
      </w:tr>
      <w:tr>
        <w:trPr>
          <w:trHeight w:val="216"/>
        </w:trPr>
        <w:tc>
          <w:tcPr>
            <w:tcW w:w="20" w:type="dxa"/>
            <w:vAlign w:val="bottom"/>
          </w:tcPr>
          <w:p>
            <w:pPr>
              <w:spacing w:after="0"/>
              <w:rPr>
                <w:sz w:val="18"/>
                <w:szCs w:val="18"/>
                <w:color w:val="auto"/>
              </w:rPr>
            </w:pPr>
          </w:p>
        </w:tc>
        <w:tc>
          <w:tcPr>
            <w:tcW w:w="7220" w:type="dxa"/>
            <w:vAlign w:val="bottom"/>
            <w:shd w:val="clear" w:color="auto" w:fill="CCEEFF"/>
          </w:tcPr>
          <w:p>
            <w:pPr>
              <w:ind w:left="340"/>
              <w:spacing w:after="0"/>
              <w:rPr>
                <w:sz w:val="20"/>
                <w:szCs w:val="20"/>
                <w:color w:val="auto"/>
              </w:rPr>
            </w:pPr>
            <w:r>
              <w:rPr>
                <w:rFonts w:ascii="Arial" w:cs="Arial" w:eastAsia="Arial" w:hAnsi="Arial"/>
                <w:sz w:val="18"/>
                <w:szCs w:val="18"/>
                <w:color w:val="auto"/>
              </w:rPr>
              <w:t>Excess tax benefits from share-based compensation</w:t>
            </w:r>
          </w:p>
        </w:tc>
        <w:tc>
          <w:tcPr>
            <w:tcW w:w="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840" w:type="dxa"/>
            <w:vAlign w:val="bottom"/>
            <w:gridSpan w:val="2"/>
            <w:shd w:val="clear" w:color="auto" w:fill="CCEEFF"/>
          </w:tcPr>
          <w:p>
            <w:pPr>
              <w:jc w:val="right"/>
              <w:ind w:right="140"/>
              <w:spacing w:after="0"/>
              <w:rPr>
                <w:sz w:val="20"/>
                <w:szCs w:val="20"/>
                <w:color w:val="auto"/>
              </w:rPr>
            </w:pPr>
            <w:r>
              <w:rPr>
                <w:rFonts w:ascii="Arial" w:cs="Arial" w:eastAsia="Arial" w:hAnsi="Arial"/>
                <w:sz w:val="18"/>
                <w:szCs w:val="18"/>
                <w:color w:val="auto"/>
              </w:rPr>
              <w:t>(5)</w:t>
            </w:r>
          </w:p>
        </w:tc>
        <w:tc>
          <w:tcPr>
            <w:tcW w:w="1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20" w:type="dxa"/>
            <w:vAlign w:val="bottom"/>
            <w:gridSpan w:val="2"/>
            <w:shd w:val="clear" w:color="auto" w:fill="CCEEFF"/>
          </w:tcPr>
          <w:p>
            <w:pPr>
              <w:jc w:val="right"/>
              <w:ind w:right="120"/>
              <w:spacing w:after="0"/>
              <w:rPr>
                <w:sz w:val="20"/>
                <w:szCs w:val="20"/>
                <w:color w:val="auto"/>
              </w:rPr>
            </w:pPr>
            <w:r>
              <w:rPr>
                <w:rFonts w:ascii="Arial" w:cs="Arial" w:eastAsia="Arial" w:hAnsi="Arial"/>
                <w:sz w:val="18"/>
                <w:szCs w:val="18"/>
                <w:color w:val="auto"/>
              </w:rPr>
              <w:t>(2)</w:t>
            </w:r>
          </w:p>
        </w:tc>
        <w:tc>
          <w:tcPr>
            <w:tcW w:w="1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900" w:type="dxa"/>
            <w:vAlign w:val="bottom"/>
            <w:gridSpan w:val="2"/>
            <w:shd w:val="clear" w:color="auto" w:fill="CCEEFF"/>
          </w:tcPr>
          <w:p>
            <w:pPr>
              <w:jc w:val="right"/>
              <w:ind w:right="120"/>
              <w:spacing w:after="0"/>
              <w:rPr>
                <w:sz w:val="20"/>
                <w:szCs w:val="20"/>
                <w:color w:val="auto"/>
              </w:rPr>
            </w:pPr>
            <w:r>
              <w:rPr>
                <w:rFonts w:ascii="Arial" w:cs="Arial" w:eastAsia="Arial" w:hAnsi="Arial"/>
                <w:sz w:val="18"/>
                <w:szCs w:val="18"/>
                <w:color w:val="auto"/>
              </w:rPr>
              <w:t>(10)</w:t>
            </w:r>
          </w:p>
        </w:tc>
        <w:tc>
          <w:tcPr>
            <w:tcW w:w="1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4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(27)</w:t>
            </w:r>
          </w:p>
        </w:tc>
      </w:tr>
      <w:tr>
        <w:trPr>
          <w:trHeight w:val="216"/>
        </w:trPr>
        <w:tc>
          <w:tcPr>
            <w:tcW w:w="20" w:type="dxa"/>
            <w:vAlign w:val="bottom"/>
          </w:tcPr>
          <w:p>
            <w:pPr>
              <w:spacing w:after="0"/>
              <w:rPr>
                <w:sz w:val="18"/>
                <w:szCs w:val="18"/>
                <w:color w:val="auto"/>
              </w:rPr>
            </w:pPr>
          </w:p>
        </w:tc>
        <w:tc>
          <w:tcPr>
            <w:tcW w:w="7220" w:type="dxa"/>
            <w:vAlign w:val="bottom"/>
          </w:tcPr>
          <w:p>
            <w:pPr>
              <w:ind w:left="340"/>
              <w:spacing w:after="0"/>
              <w:rPr>
                <w:sz w:val="20"/>
                <w:szCs w:val="20"/>
                <w:color w:val="auto"/>
              </w:rPr>
            </w:pPr>
            <w:r>
              <w:rPr>
                <w:rFonts w:ascii="Arial" w:cs="Arial" w:eastAsia="Arial" w:hAnsi="Arial"/>
                <w:sz w:val="18"/>
                <w:szCs w:val="18"/>
                <w:color w:val="auto"/>
              </w:rPr>
              <w:t>Changes in assets and liabilities:</w:t>
            </w:r>
          </w:p>
        </w:tc>
        <w:tc>
          <w:tcPr>
            <w:tcW w:w="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64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64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2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40" w:type="dxa"/>
            <w:vAlign w:val="bottom"/>
          </w:tcPr>
          <w:p>
            <w:pPr>
              <w:spacing w:after="0"/>
              <w:rPr>
                <w:sz w:val="18"/>
                <w:szCs w:val="18"/>
                <w:color w:val="auto"/>
              </w:rPr>
            </w:pPr>
          </w:p>
        </w:tc>
        <w:tc>
          <w:tcPr>
            <w:tcW w:w="100" w:type="dxa"/>
            <w:vAlign w:val="bottom"/>
          </w:tcPr>
          <w:p>
            <w:pPr>
              <w:spacing w:after="0"/>
              <w:rPr>
                <w:sz w:val="18"/>
                <w:szCs w:val="18"/>
                <w:color w:val="auto"/>
              </w:rPr>
            </w:pPr>
          </w:p>
        </w:tc>
      </w:tr>
      <w:tr>
        <w:trPr>
          <w:trHeight w:val="216"/>
        </w:trPr>
        <w:tc>
          <w:tcPr>
            <w:tcW w:w="20" w:type="dxa"/>
            <w:vAlign w:val="bottom"/>
          </w:tcPr>
          <w:p>
            <w:pPr>
              <w:spacing w:after="0"/>
              <w:rPr>
                <w:sz w:val="18"/>
                <w:szCs w:val="18"/>
                <w:color w:val="auto"/>
              </w:rPr>
            </w:pPr>
          </w:p>
        </w:tc>
        <w:tc>
          <w:tcPr>
            <w:tcW w:w="7220" w:type="dxa"/>
            <w:vAlign w:val="bottom"/>
            <w:shd w:val="clear" w:color="auto" w:fill="CCEEFF"/>
          </w:tcPr>
          <w:p>
            <w:pPr>
              <w:ind w:left="700"/>
              <w:spacing w:after="0"/>
              <w:rPr>
                <w:sz w:val="20"/>
                <w:szCs w:val="20"/>
                <w:color w:val="auto"/>
              </w:rPr>
            </w:pPr>
            <w:r>
              <w:rPr>
                <w:rFonts w:ascii="Arial" w:cs="Arial" w:eastAsia="Arial" w:hAnsi="Arial"/>
                <w:sz w:val="18"/>
                <w:szCs w:val="18"/>
                <w:color w:val="auto"/>
              </w:rPr>
              <w:t>Accounts receivable</w:t>
            </w:r>
          </w:p>
        </w:tc>
        <w:tc>
          <w:tcPr>
            <w:tcW w:w="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840" w:type="dxa"/>
            <w:vAlign w:val="bottom"/>
            <w:gridSpan w:val="2"/>
            <w:shd w:val="clear" w:color="auto" w:fill="CCEEFF"/>
          </w:tcPr>
          <w:p>
            <w:pPr>
              <w:jc w:val="right"/>
              <w:ind w:right="140"/>
              <w:spacing w:after="0"/>
              <w:rPr>
                <w:sz w:val="20"/>
                <w:szCs w:val="20"/>
                <w:color w:val="auto"/>
              </w:rPr>
            </w:pPr>
            <w:r>
              <w:rPr>
                <w:rFonts w:ascii="Arial" w:cs="Arial" w:eastAsia="Arial" w:hAnsi="Arial"/>
                <w:sz w:val="18"/>
                <w:szCs w:val="18"/>
                <w:color w:val="auto"/>
              </w:rPr>
              <w:t>(13,512)</w:t>
            </w:r>
          </w:p>
        </w:tc>
        <w:tc>
          <w:tcPr>
            <w:tcW w:w="1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20" w:type="dxa"/>
            <w:vAlign w:val="bottom"/>
            <w:gridSpan w:val="2"/>
            <w:shd w:val="clear" w:color="auto" w:fill="CCEEFF"/>
          </w:tcPr>
          <w:p>
            <w:pPr>
              <w:jc w:val="right"/>
              <w:ind w:right="180"/>
              <w:spacing w:after="0"/>
              <w:rPr>
                <w:sz w:val="20"/>
                <w:szCs w:val="20"/>
                <w:color w:val="auto"/>
              </w:rPr>
            </w:pPr>
            <w:r>
              <w:rPr>
                <w:rFonts w:ascii="Arial" w:cs="Arial" w:eastAsia="Arial" w:hAnsi="Arial"/>
                <w:sz w:val="18"/>
                <w:szCs w:val="18"/>
                <w:color w:val="auto"/>
              </w:rPr>
              <w:t>36,793</w:t>
            </w:r>
          </w:p>
        </w:tc>
        <w:tc>
          <w:tcPr>
            <w:tcW w:w="1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900" w:type="dxa"/>
            <w:vAlign w:val="bottom"/>
            <w:gridSpan w:val="2"/>
            <w:shd w:val="clear" w:color="auto" w:fill="CCEEFF"/>
          </w:tcPr>
          <w:p>
            <w:pPr>
              <w:jc w:val="right"/>
              <w:ind w:right="120"/>
              <w:spacing w:after="0"/>
              <w:rPr>
                <w:sz w:val="20"/>
                <w:szCs w:val="20"/>
                <w:color w:val="auto"/>
              </w:rPr>
            </w:pPr>
            <w:r>
              <w:rPr>
                <w:rFonts w:ascii="Arial" w:cs="Arial" w:eastAsia="Arial" w:hAnsi="Arial"/>
                <w:sz w:val="18"/>
                <w:szCs w:val="18"/>
                <w:color w:val="auto"/>
              </w:rPr>
              <w:t>(38,895)</w:t>
            </w:r>
          </w:p>
        </w:tc>
        <w:tc>
          <w:tcPr>
            <w:tcW w:w="1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4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40,027</w:t>
            </w:r>
          </w:p>
        </w:tc>
      </w:tr>
      <w:tr>
        <w:trPr>
          <w:trHeight w:val="216"/>
        </w:trPr>
        <w:tc>
          <w:tcPr>
            <w:tcW w:w="20" w:type="dxa"/>
            <w:vAlign w:val="bottom"/>
          </w:tcPr>
          <w:p>
            <w:pPr>
              <w:spacing w:after="0"/>
              <w:rPr>
                <w:sz w:val="18"/>
                <w:szCs w:val="18"/>
                <w:color w:val="auto"/>
              </w:rPr>
            </w:pPr>
          </w:p>
        </w:tc>
        <w:tc>
          <w:tcPr>
            <w:tcW w:w="7220" w:type="dxa"/>
            <w:vAlign w:val="bottom"/>
          </w:tcPr>
          <w:p>
            <w:pPr>
              <w:ind w:left="700"/>
              <w:spacing w:after="0"/>
              <w:rPr>
                <w:sz w:val="20"/>
                <w:szCs w:val="20"/>
                <w:color w:val="auto"/>
              </w:rPr>
            </w:pPr>
            <w:r>
              <w:rPr>
                <w:rFonts w:ascii="Arial" w:cs="Arial" w:eastAsia="Arial" w:hAnsi="Arial"/>
                <w:sz w:val="18"/>
                <w:szCs w:val="18"/>
                <w:color w:val="auto"/>
              </w:rPr>
              <w:t>Inventories</w:t>
            </w:r>
          </w:p>
        </w:tc>
        <w:tc>
          <w:tcPr>
            <w:tcW w:w="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640" w:type="dxa"/>
            <w:vAlign w:val="bottom"/>
          </w:tcPr>
          <w:p>
            <w:pPr>
              <w:jc w:val="right"/>
              <w:spacing w:after="0"/>
              <w:rPr>
                <w:sz w:val="20"/>
                <w:szCs w:val="20"/>
                <w:color w:val="auto"/>
              </w:rPr>
            </w:pPr>
            <w:r>
              <w:rPr>
                <w:rFonts w:ascii="Arial" w:cs="Arial" w:eastAsia="Arial" w:hAnsi="Arial"/>
                <w:sz w:val="18"/>
                <w:szCs w:val="18"/>
                <w:color w:val="auto"/>
              </w:rPr>
              <w:t>3,710</w:t>
            </w:r>
          </w:p>
        </w:tc>
        <w:tc>
          <w:tcPr>
            <w:tcW w:w="20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820" w:type="dxa"/>
            <w:vAlign w:val="bottom"/>
            <w:gridSpan w:val="2"/>
          </w:tcPr>
          <w:p>
            <w:pPr>
              <w:jc w:val="right"/>
              <w:ind w:right="180"/>
              <w:spacing w:after="0"/>
              <w:rPr>
                <w:sz w:val="20"/>
                <w:szCs w:val="20"/>
                <w:color w:val="auto"/>
              </w:rPr>
            </w:pPr>
            <w:r>
              <w:rPr>
                <w:rFonts w:ascii="Arial" w:cs="Arial" w:eastAsia="Arial" w:hAnsi="Arial"/>
                <w:sz w:val="18"/>
                <w:szCs w:val="18"/>
                <w:color w:val="auto"/>
              </w:rPr>
              <w:t>39,457</w:t>
            </w:r>
          </w:p>
        </w:tc>
        <w:tc>
          <w:tcPr>
            <w:tcW w:w="1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900" w:type="dxa"/>
            <w:vAlign w:val="bottom"/>
            <w:gridSpan w:val="2"/>
          </w:tcPr>
          <w:p>
            <w:pPr>
              <w:jc w:val="right"/>
              <w:ind w:right="180"/>
              <w:spacing w:after="0"/>
              <w:rPr>
                <w:sz w:val="20"/>
                <w:szCs w:val="20"/>
                <w:color w:val="auto"/>
              </w:rPr>
            </w:pPr>
            <w:r>
              <w:rPr>
                <w:rFonts w:ascii="Arial" w:cs="Arial" w:eastAsia="Arial" w:hAnsi="Arial"/>
                <w:sz w:val="18"/>
                <w:szCs w:val="18"/>
                <w:color w:val="auto"/>
              </w:rPr>
              <w:t>10,944</w:t>
            </w:r>
          </w:p>
        </w:tc>
        <w:tc>
          <w:tcPr>
            <w:tcW w:w="1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840" w:type="dxa"/>
            <w:vAlign w:val="bottom"/>
            <w:gridSpan w:val="2"/>
          </w:tcPr>
          <w:p>
            <w:pPr>
              <w:jc w:val="right"/>
              <w:ind w:right="100"/>
              <w:spacing w:after="0"/>
              <w:rPr>
                <w:sz w:val="20"/>
                <w:szCs w:val="20"/>
                <w:color w:val="auto"/>
              </w:rPr>
            </w:pPr>
            <w:r>
              <w:rPr>
                <w:rFonts w:ascii="Arial" w:cs="Arial" w:eastAsia="Arial" w:hAnsi="Arial"/>
                <w:sz w:val="18"/>
                <w:szCs w:val="18"/>
                <w:color w:val="auto"/>
              </w:rPr>
              <w:t>21,042</w:t>
            </w:r>
          </w:p>
        </w:tc>
      </w:tr>
      <w:tr>
        <w:trPr>
          <w:trHeight w:val="216"/>
        </w:trPr>
        <w:tc>
          <w:tcPr>
            <w:tcW w:w="20" w:type="dxa"/>
            <w:vAlign w:val="bottom"/>
          </w:tcPr>
          <w:p>
            <w:pPr>
              <w:spacing w:after="0"/>
              <w:rPr>
                <w:sz w:val="18"/>
                <w:szCs w:val="18"/>
                <w:color w:val="auto"/>
              </w:rPr>
            </w:pPr>
          </w:p>
        </w:tc>
        <w:tc>
          <w:tcPr>
            <w:tcW w:w="7220" w:type="dxa"/>
            <w:vAlign w:val="bottom"/>
            <w:shd w:val="clear" w:color="auto" w:fill="CCEEFF"/>
          </w:tcPr>
          <w:p>
            <w:pPr>
              <w:ind w:left="700"/>
              <w:spacing w:after="0"/>
              <w:rPr>
                <w:sz w:val="20"/>
                <w:szCs w:val="20"/>
                <w:color w:val="auto"/>
              </w:rPr>
            </w:pPr>
            <w:r>
              <w:rPr>
                <w:rFonts w:ascii="Arial" w:cs="Arial" w:eastAsia="Arial" w:hAnsi="Arial"/>
                <w:sz w:val="18"/>
                <w:szCs w:val="18"/>
                <w:color w:val="auto"/>
              </w:rPr>
              <w:t xml:space="preserve">Prepaid expenses and other assets </w:t>
            </w:r>
            <w:r>
              <w:rPr>
                <w:rFonts w:ascii="Arial" w:cs="Arial" w:eastAsia="Arial" w:hAnsi="Arial"/>
                <w:sz w:val="18"/>
                <w:szCs w:val="18"/>
                <w:i w:val="1"/>
                <w:iCs w:val="1"/>
                <w:color w:val="auto"/>
              </w:rPr>
              <w:t>(a)</w:t>
            </w:r>
          </w:p>
        </w:tc>
        <w:tc>
          <w:tcPr>
            <w:tcW w:w="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6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6,457</w:t>
            </w:r>
          </w:p>
        </w:tc>
        <w:tc>
          <w:tcPr>
            <w:tcW w:w="20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20" w:type="dxa"/>
            <w:vAlign w:val="bottom"/>
            <w:gridSpan w:val="2"/>
            <w:shd w:val="clear" w:color="auto" w:fill="CCEEFF"/>
          </w:tcPr>
          <w:p>
            <w:pPr>
              <w:jc w:val="right"/>
              <w:ind w:right="180"/>
              <w:spacing w:after="0"/>
              <w:rPr>
                <w:sz w:val="20"/>
                <w:szCs w:val="20"/>
                <w:color w:val="auto"/>
              </w:rPr>
            </w:pPr>
            <w:r>
              <w:rPr>
                <w:rFonts w:ascii="Arial" w:cs="Arial" w:eastAsia="Arial" w:hAnsi="Arial"/>
                <w:sz w:val="18"/>
                <w:szCs w:val="18"/>
                <w:color w:val="auto"/>
              </w:rPr>
              <w:t>6,804</w:t>
            </w:r>
          </w:p>
        </w:tc>
        <w:tc>
          <w:tcPr>
            <w:tcW w:w="1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900" w:type="dxa"/>
            <w:vAlign w:val="bottom"/>
            <w:gridSpan w:val="2"/>
            <w:shd w:val="clear" w:color="auto" w:fill="CCEEFF"/>
          </w:tcPr>
          <w:p>
            <w:pPr>
              <w:jc w:val="right"/>
              <w:ind w:right="120"/>
              <w:spacing w:after="0"/>
              <w:rPr>
                <w:sz w:val="20"/>
                <w:szCs w:val="20"/>
                <w:color w:val="auto"/>
              </w:rPr>
            </w:pPr>
            <w:r>
              <w:rPr>
                <w:rFonts w:ascii="Arial" w:cs="Arial" w:eastAsia="Arial" w:hAnsi="Arial"/>
                <w:sz w:val="18"/>
                <w:szCs w:val="18"/>
                <w:color w:val="auto"/>
              </w:rPr>
              <w:t>(2,578)</w:t>
            </w:r>
          </w:p>
        </w:tc>
        <w:tc>
          <w:tcPr>
            <w:tcW w:w="1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4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18,132</w:t>
            </w:r>
          </w:p>
        </w:tc>
      </w:tr>
      <w:tr>
        <w:trPr>
          <w:trHeight w:val="216"/>
        </w:trPr>
        <w:tc>
          <w:tcPr>
            <w:tcW w:w="20" w:type="dxa"/>
            <w:vAlign w:val="bottom"/>
          </w:tcPr>
          <w:p>
            <w:pPr>
              <w:spacing w:after="0"/>
              <w:rPr>
                <w:sz w:val="18"/>
                <w:szCs w:val="18"/>
                <w:color w:val="auto"/>
              </w:rPr>
            </w:pPr>
          </w:p>
        </w:tc>
        <w:tc>
          <w:tcPr>
            <w:tcW w:w="7220" w:type="dxa"/>
            <w:vAlign w:val="bottom"/>
          </w:tcPr>
          <w:p>
            <w:pPr>
              <w:ind w:left="700"/>
              <w:spacing w:after="0"/>
              <w:rPr>
                <w:sz w:val="20"/>
                <w:szCs w:val="20"/>
                <w:color w:val="auto"/>
              </w:rPr>
            </w:pPr>
            <w:r>
              <w:rPr>
                <w:rFonts w:ascii="Arial" w:cs="Arial" w:eastAsia="Arial" w:hAnsi="Arial"/>
                <w:sz w:val="18"/>
                <w:szCs w:val="18"/>
                <w:color w:val="auto"/>
              </w:rPr>
              <w:t>Accounts payable</w:t>
            </w:r>
          </w:p>
        </w:tc>
        <w:tc>
          <w:tcPr>
            <w:tcW w:w="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840" w:type="dxa"/>
            <w:vAlign w:val="bottom"/>
            <w:gridSpan w:val="2"/>
          </w:tcPr>
          <w:p>
            <w:pPr>
              <w:jc w:val="right"/>
              <w:ind w:right="140"/>
              <w:spacing w:after="0"/>
              <w:rPr>
                <w:sz w:val="20"/>
                <w:szCs w:val="20"/>
                <w:color w:val="auto"/>
              </w:rPr>
            </w:pPr>
            <w:r>
              <w:rPr>
                <w:rFonts w:ascii="Arial" w:cs="Arial" w:eastAsia="Arial" w:hAnsi="Arial"/>
                <w:sz w:val="18"/>
                <w:szCs w:val="18"/>
                <w:color w:val="auto"/>
              </w:rPr>
              <w:t>(29,818)</w:t>
            </w:r>
          </w:p>
        </w:tc>
        <w:tc>
          <w:tcPr>
            <w:tcW w:w="1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820" w:type="dxa"/>
            <w:vAlign w:val="bottom"/>
            <w:gridSpan w:val="2"/>
          </w:tcPr>
          <w:p>
            <w:pPr>
              <w:jc w:val="right"/>
              <w:ind w:right="120"/>
              <w:spacing w:after="0"/>
              <w:rPr>
                <w:sz w:val="20"/>
                <w:szCs w:val="20"/>
                <w:color w:val="auto"/>
              </w:rPr>
            </w:pPr>
            <w:r>
              <w:rPr>
                <w:rFonts w:ascii="Arial" w:cs="Arial" w:eastAsia="Arial" w:hAnsi="Arial"/>
                <w:sz w:val="18"/>
                <w:szCs w:val="18"/>
                <w:color w:val="auto"/>
              </w:rPr>
              <w:t>(55,693)</w:t>
            </w:r>
          </w:p>
        </w:tc>
        <w:tc>
          <w:tcPr>
            <w:tcW w:w="1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900" w:type="dxa"/>
            <w:vAlign w:val="bottom"/>
            <w:gridSpan w:val="2"/>
          </w:tcPr>
          <w:p>
            <w:pPr>
              <w:jc w:val="right"/>
              <w:ind w:right="180"/>
              <w:spacing w:after="0"/>
              <w:rPr>
                <w:sz w:val="20"/>
                <w:szCs w:val="20"/>
                <w:color w:val="auto"/>
              </w:rPr>
            </w:pPr>
            <w:r>
              <w:rPr>
                <w:rFonts w:ascii="Arial" w:cs="Arial" w:eastAsia="Arial" w:hAnsi="Arial"/>
                <w:sz w:val="18"/>
                <w:szCs w:val="18"/>
                <w:color w:val="auto"/>
              </w:rPr>
              <w:t>10,541</w:t>
            </w:r>
          </w:p>
        </w:tc>
        <w:tc>
          <w:tcPr>
            <w:tcW w:w="1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840" w:type="dxa"/>
            <w:vAlign w:val="bottom"/>
            <w:gridSpan w:val="2"/>
          </w:tcPr>
          <w:p>
            <w:pPr>
              <w:jc w:val="right"/>
              <w:ind w:right="40"/>
              <w:spacing w:after="0"/>
              <w:rPr>
                <w:sz w:val="20"/>
                <w:szCs w:val="20"/>
                <w:color w:val="auto"/>
              </w:rPr>
            </w:pPr>
            <w:r>
              <w:rPr>
                <w:rFonts w:ascii="Arial" w:cs="Arial" w:eastAsia="Arial" w:hAnsi="Arial"/>
                <w:sz w:val="18"/>
                <w:szCs w:val="18"/>
                <w:color w:val="auto"/>
              </w:rPr>
              <w:t>(43,735)</w:t>
            </w:r>
          </w:p>
        </w:tc>
      </w:tr>
      <w:tr>
        <w:trPr>
          <w:trHeight w:val="216"/>
        </w:trPr>
        <w:tc>
          <w:tcPr>
            <w:tcW w:w="20" w:type="dxa"/>
            <w:vAlign w:val="bottom"/>
          </w:tcPr>
          <w:p>
            <w:pPr>
              <w:spacing w:after="0"/>
              <w:rPr>
                <w:sz w:val="18"/>
                <w:szCs w:val="18"/>
                <w:color w:val="auto"/>
              </w:rPr>
            </w:pPr>
          </w:p>
        </w:tc>
        <w:tc>
          <w:tcPr>
            <w:tcW w:w="7220" w:type="dxa"/>
            <w:vAlign w:val="bottom"/>
            <w:shd w:val="clear" w:color="auto" w:fill="CCEEFF"/>
          </w:tcPr>
          <w:p>
            <w:pPr>
              <w:ind w:left="700"/>
              <w:spacing w:after="0"/>
              <w:rPr>
                <w:sz w:val="20"/>
                <w:szCs w:val="20"/>
                <w:color w:val="auto"/>
              </w:rPr>
            </w:pPr>
            <w:r>
              <w:rPr>
                <w:rFonts w:ascii="Arial" w:cs="Arial" w:eastAsia="Arial" w:hAnsi="Arial"/>
                <w:sz w:val="18"/>
                <w:szCs w:val="18"/>
                <w:color w:val="auto"/>
              </w:rPr>
              <w:t xml:space="preserve">Accrued liabilities and other non-current liabilities </w:t>
            </w:r>
            <w:r>
              <w:rPr>
                <w:rFonts w:ascii="Arial" w:cs="Arial" w:eastAsia="Arial" w:hAnsi="Arial"/>
                <w:sz w:val="18"/>
                <w:szCs w:val="18"/>
                <w:i w:val="1"/>
                <w:iCs w:val="1"/>
                <w:color w:val="auto"/>
              </w:rPr>
              <w:t>(a)</w:t>
            </w:r>
          </w:p>
        </w:tc>
        <w:tc>
          <w:tcPr>
            <w:tcW w:w="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6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6,508</w:t>
            </w:r>
          </w:p>
        </w:tc>
        <w:tc>
          <w:tcPr>
            <w:tcW w:w="20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20" w:type="dxa"/>
            <w:vAlign w:val="bottom"/>
            <w:gridSpan w:val="2"/>
            <w:shd w:val="clear" w:color="auto" w:fill="CCEEFF"/>
          </w:tcPr>
          <w:p>
            <w:pPr>
              <w:jc w:val="right"/>
              <w:ind w:right="180"/>
              <w:spacing w:after="0"/>
              <w:rPr>
                <w:sz w:val="20"/>
                <w:szCs w:val="20"/>
                <w:color w:val="auto"/>
              </w:rPr>
            </w:pPr>
            <w:r>
              <w:rPr>
                <w:rFonts w:ascii="Arial" w:cs="Arial" w:eastAsia="Arial" w:hAnsi="Arial"/>
                <w:sz w:val="18"/>
                <w:szCs w:val="18"/>
                <w:color w:val="auto"/>
              </w:rPr>
              <w:t>5,116</w:t>
            </w:r>
          </w:p>
        </w:tc>
        <w:tc>
          <w:tcPr>
            <w:tcW w:w="1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900" w:type="dxa"/>
            <w:vAlign w:val="bottom"/>
            <w:gridSpan w:val="2"/>
            <w:shd w:val="clear" w:color="auto" w:fill="CCEEFF"/>
          </w:tcPr>
          <w:p>
            <w:pPr>
              <w:jc w:val="right"/>
              <w:ind w:right="120"/>
              <w:spacing w:after="0"/>
              <w:rPr>
                <w:sz w:val="20"/>
                <w:szCs w:val="20"/>
                <w:color w:val="auto"/>
              </w:rPr>
            </w:pPr>
            <w:r>
              <w:rPr>
                <w:rFonts w:ascii="Arial" w:cs="Arial" w:eastAsia="Arial" w:hAnsi="Arial"/>
                <w:sz w:val="18"/>
                <w:szCs w:val="18"/>
                <w:color w:val="auto"/>
                <w:w w:val="98"/>
              </w:rPr>
              <w:t>(759,735)</w:t>
            </w:r>
          </w:p>
        </w:tc>
        <w:tc>
          <w:tcPr>
            <w:tcW w:w="1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4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746,731</w:t>
            </w:r>
          </w:p>
        </w:tc>
      </w:tr>
      <w:tr>
        <w:trPr>
          <w:trHeight w:val="216"/>
        </w:trPr>
        <w:tc>
          <w:tcPr>
            <w:tcW w:w="20" w:type="dxa"/>
            <w:vAlign w:val="bottom"/>
          </w:tcPr>
          <w:p>
            <w:pPr>
              <w:spacing w:after="0"/>
              <w:rPr>
                <w:sz w:val="18"/>
                <w:szCs w:val="18"/>
                <w:color w:val="auto"/>
              </w:rPr>
            </w:pPr>
          </w:p>
        </w:tc>
        <w:tc>
          <w:tcPr>
            <w:tcW w:w="7220" w:type="dxa"/>
            <w:vAlign w:val="bottom"/>
          </w:tcPr>
          <w:p>
            <w:pPr>
              <w:ind w:left="700"/>
              <w:spacing w:after="0"/>
              <w:rPr>
                <w:sz w:val="20"/>
                <w:szCs w:val="20"/>
                <w:color w:val="auto"/>
              </w:rPr>
            </w:pPr>
            <w:r>
              <w:rPr>
                <w:rFonts w:ascii="Arial" w:cs="Arial" w:eastAsia="Arial" w:hAnsi="Arial"/>
                <w:sz w:val="18"/>
                <w:szCs w:val="18"/>
                <w:color w:val="auto"/>
              </w:rPr>
              <w:t>Accrued employee compensation</w:t>
            </w:r>
          </w:p>
        </w:tc>
        <w:tc>
          <w:tcPr>
            <w:tcW w:w="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840" w:type="dxa"/>
            <w:vAlign w:val="bottom"/>
            <w:gridSpan w:val="2"/>
          </w:tcPr>
          <w:p>
            <w:pPr>
              <w:jc w:val="right"/>
              <w:ind w:right="200"/>
              <w:spacing w:after="0"/>
              <w:rPr>
                <w:sz w:val="20"/>
                <w:szCs w:val="20"/>
                <w:color w:val="auto"/>
              </w:rPr>
            </w:pPr>
            <w:r>
              <w:rPr>
                <w:rFonts w:ascii="Arial" w:cs="Arial" w:eastAsia="Arial" w:hAnsi="Arial"/>
                <w:sz w:val="18"/>
                <w:szCs w:val="18"/>
                <w:color w:val="auto"/>
              </w:rPr>
              <w:t>25,537</w:t>
            </w:r>
          </w:p>
        </w:tc>
        <w:tc>
          <w:tcPr>
            <w:tcW w:w="1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820" w:type="dxa"/>
            <w:vAlign w:val="bottom"/>
            <w:gridSpan w:val="2"/>
          </w:tcPr>
          <w:p>
            <w:pPr>
              <w:jc w:val="right"/>
              <w:ind w:right="180"/>
              <w:spacing w:after="0"/>
              <w:rPr>
                <w:sz w:val="20"/>
                <w:szCs w:val="20"/>
                <w:color w:val="auto"/>
              </w:rPr>
            </w:pPr>
            <w:r>
              <w:rPr>
                <w:rFonts w:ascii="Arial" w:cs="Arial" w:eastAsia="Arial" w:hAnsi="Arial"/>
                <w:sz w:val="18"/>
                <w:szCs w:val="18"/>
                <w:color w:val="auto"/>
              </w:rPr>
              <w:t>14,295</w:t>
            </w:r>
          </w:p>
        </w:tc>
        <w:tc>
          <w:tcPr>
            <w:tcW w:w="1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900" w:type="dxa"/>
            <w:vAlign w:val="bottom"/>
            <w:gridSpan w:val="2"/>
          </w:tcPr>
          <w:p>
            <w:pPr>
              <w:jc w:val="right"/>
              <w:ind w:right="180"/>
              <w:spacing w:after="0"/>
              <w:rPr>
                <w:sz w:val="20"/>
                <w:szCs w:val="20"/>
                <w:color w:val="auto"/>
              </w:rPr>
            </w:pPr>
            <w:r>
              <w:rPr>
                <w:rFonts w:ascii="Arial" w:cs="Arial" w:eastAsia="Arial" w:hAnsi="Arial"/>
                <w:sz w:val="18"/>
                <w:szCs w:val="18"/>
                <w:color w:val="auto"/>
              </w:rPr>
              <w:t>10,419</w:t>
            </w:r>
          </w:p>
        </w:tc>
        <w:tc>
          <w:tcPr>
            <w:tcW w:w="1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840" w:type="dxa"/>
            <w:vAlign w:val="bottom"/>
            <w:gridSpan w:val="2"/>
          </w:tcPr>
          <w:p>
            <w:pPr>
              <w:jc w:val="right"/>
              <w:ind w:right="40"/>
              <w:spacing w:after="0"/>
              <w:rPr>
                <w:sz w:val="20"/>
                <w:szCs w:val="20"/>
                <w:color w:val="auto"/>
              </w:rPr>
            </w:pPr>
            <w:r>
              <w:rPr>
                <w:rFonts w:ascii="Arial" w:cs="Arial" w:eastAsia="Arial" w:hAnsi="Arial"/>
                <w:sz w:val="18"/>
                <w:szCs w:val="18"/>
                <w:color w:val="auto"/>
              </w:rPr>
              <w:t>(14,636)</w:t>
            </w:r>
          </w:p>
        </w:tc>
      </w:tr>
      <w:tr>
        <w:trPr>
          <w:trHeight w:val="216"/>
        </w:trPr>
        <w:tc>
          <w:tcPr>
            <w:tcW w:w="20" w:type="dxa"/>
            <w:vAlign w:val="bottom"/>
          </w:tcPr>
          <w:p>
            <w:pPr>
              <w:spacing w:after="0"/>
              <w:rPr>
                <w:sz w:val="18"/>
                <w:szCs w:val="18"/>
                <w:color w:val="auto"/>
              </w:rPr>
            </w:pPr>
          </w:p>
        </w:tc>
        <w:tc>
          <w:tcPr>
            <w:tcW w:w="7220" w:type="dxa"/>
            <w:vAlign w:val="bottom"/>
            <w:shd w:val="clear" w:color="auto" w:fill="CCEEFF"/>
          </w:tcPr>
          <w:p>
            <w:pPr>
              <w:ind w:left="700"/>
              <w:spacing w:after="0"/>
              <w:rPr>
                <w:sz w:val="20"/>
                <w:szCs w:val="20"/>
                <w:color w:val="auto"/>
              </w:rPr>
            </w:pPr>
            <w:r>
              <w:rPr>
                <w:rFonts w:ascii="Arial" w:cs="Arial" w:eastAsia="Arial" w:hAnsi="Arial"/>
                <w:sz w:val="18"/>
                <w:szCs w:val="18"/>
                <w:color w:val="auto"/>
              </w:rPr>
              <w:t>Deferred income</w:t>
            </w:r>
          </w:p>
        </w:tc>
        <w:tc>
          <w:tcPr>
            <w:tcW w:w="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840" w:type="dxa"/>
            <w:vAlign w:val="bottom"/>
            <w:gridSpan w:val="2"/>
            <w:shd w:val="clear" w:color="auto" w:fill="CCEEFF"/>
          </w:tcPr>
          <w:p>
            <w:pPr>
              <w:jc w:val="right"/>
              <w:ind w:right="140"/>
              <w:spacing w:after="0"/>
              <w:rPr>
                <w:sz w:val="20"/>
                <w:szCs w:val="20"/>
                <w:color w:val="auto"/>
              </w:rPr>
            </w:pPr>
            <w:r>
              <w:rPr>
                <w:rFonts w:ascii="Arial" w:cs="Arial" w:eastAsia="Arial" w:hAnsi="Arial"/>
                <w:sz w:val="18"/>
                <w:szCs w:val="18"/>
                <w:color w:val="auto"/>
              </w:rPr>
              <w:t>(8,393)</w:t>
            </w:r>
          </w:p>
        </w:tc>
        <w:tc>
          <w:tcPr>
            <w:tcW w:w="1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20" w:type="dxa"/>
            <w:vAlign w:val="bottom"/>
            <w:gridSpan w:val="2"/>
            <w:shd w:val="clear" w:color="auto" w:fill="CCEEFF"/>
          </w:tcPr>
          <w:p>
            <w:pPr>
              <w:jc w:val="right"/>
              <w:ind w:right="120"/>
              <w:spacing w:after="0"/>
              <w:rPr>
                <w:sz w:val="20"/>
                <w:szCs w:val="20"/>
                <w:color w:val="auto"/>
              </w:rPr>
            </w:pPr>
            <w:r>
              <w:rPr>
                <w:rFonts w:ascii="Arial" w:cs="Arial" w:eastAsia="Arial" w:hAnsi="Arial"/>
                <w:sz w:val="18"/>
                <w:szCs w:val="18"/>
                <w:color w:val="auto"/>
              </w:rPr>
              <w:t>(1,566)</w:t>
            </w:r>
          </w:p>
        </w:tc>
        <w:tc>
          <w:tcPr>
            <w:tcW w:w="1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900" w:type="dxa"/>
            <w:vAlign w:val="bottom"/>
            <w:gridSpan w:val="2"/>
            <w:shd w:val="clear" w:color="auto" w:fill="CCEEFF"/>
          </w:tcPr>
          <w:p>
            <w:pPr>
              <w:jc w:val="right"/>
              <w:ind w:right="180"/>
              <w:spacing w:after="0"/>
              <w:rPr>
                <w:sz w:val="20"/>
                <w:szCs w:val="20"/>
                <w:color w:val="auto"/>
              </w:rPr>
            </w:pPr>
            <w:r>
              <w:rPr>
                <w:rFonts w:ascii="Arial" w:cs="Arial" w:eastAsia="Arial" w:hAnsi="Arial"/>
                <w:sz w:val="18"/>
                <w:szCs w:val="18"/>
                <w:color w:val="auto"/>
              </w:rPr>
              <w:t>7,934</w:t>
            </w:r>
          </w:p>
        </w:tc>
        <w:tc>
          <w:tcPr>
            <w:tcW w:w="1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4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(10,034)</w:t>
            </w:r>
          </w:p>
        </w:tc>
      </w:tr>
      <w:tr>
        <w:trPr>
          <w:trHeight w:val="223"/>
        </w:trPr>
        <w:tc>
          <w:tcPr>
            <w:tcW w:w="20" w:type="dxa"/>
            <w:vAlign w:val="bottom"/>
          </w:tcPr>
          <w:p>
            <w:pPr>
              <w:spacing w:after="0"/>
              <w:rPr>
                <w:sz w:val="19"/>
                <w:szCs w:val="19"/>
                <w:color w:val="auto"/>
              </w:rPr>
            </w:pPr>
          </w:p>
        </w:tc>
        <w:tc>
          <w:tcPr>
            <w:tcW w:w="7220" w:type="dxa"/>
            <w:vAlign w:val="bottom"/>
          </w:tcPr>
          <w:p>
            <w:pPr>
              <w:ind w:left="1060"/>
              <w:spacing w:after="0"/>
              <w:rPr>
                <w:sz w:val="20"/>
                <w:szCs w:val="20"/>
                <w:color w:val="auto"/>
              </w:rPr>
            </w:pPr>
            <w:r>
              <w:rPr>
                <w:rFonts w:ascii="Arial" w:cs="Arial" w:eastAsia="Arial" w:hAnsi="Arial"/>
                <w:sz w:val="18"/>
                <w:szCs w:val="18"/>
                <w:color w:val="auto"/>
              </w:rPr>
              <w:t>Net cash provided by (used in) operating activities</w:t>
            </w:r>
          </w:p>
        </w:tc>
        <w:tc>
          <w:tcPr>
            <w:tcW w:w="20" w:type="dxa"/>
            <w:vAlign w:val="bottom"/>
          </w:tcPr>
          <w:p>
            <w:pPr>
              <w:spacing w:after="0"/>
              <w:rPr>
                <w:sz w:val="19"/>
                <w:szCs w:val="19"/>
                <w:color w:val="auto"/>
              </w:rPr>
            </w:pPr>
          </w:p>
        </w:tc>
        <w:tc>
          <w:tcPr>
            <w:tcW w:w="80" w:type="dxa"/>
            <w:vAlign w:val="bottom"/>
            <w:tcBorders>
              <w:top w:val="single" w:sz="8" w:color="auto"/>
            </w:tcBorders>
          </w:tcPr>
          <w:p>
            <w:pPr>
              <w:spacing w:after="0"/>
              <w:rPr>
                <w:sz w:val="19"/>
                <w:szCs w:val="19"/>
                <w:color w:val="auto"/>
              </w:rPr>
            </w:pPr>
          </w:p>
        </w:tc>
        <w:tc>
          <w:tcPr>
            <w:tcW w:w="64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w w:val="95"/>
              </w:rPr>
              <w:t>121,461</w:t>
            </w:r>
          </w:p>
        </w:tc>
        <w:tc>
          <w:tcPr>
            <w:tcW w:w="20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100" w:type="dxa"/>
            <w:vAlign w:val="bottom"/>
            <w:tcBorders>
              <w:top w:val="single" w:sz="8" w:color="auto"/>
            </w:tcBorders>
          </w:tcPr>
          <w:p>
            <w:pPr>
              <w:spacing w:after="0"/>
              <w:rPr>
                <w:sz w:val="19"/>
                <w:szCs w:val="19"/>
                <w:color w:val="auto"/>
              </w:rPr>
            </w:pPr>
          </w:p>
        </w:tc>
        <w:tc>
          <w:tcPr>
            <w:tcW w:w="64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rPr>
              <w:t>66,594</w:t>
            </w:r>
          </w:p>
        </w:tc>
        <w:tc>
          <w:tcPr>
            <w:tcW w:w="180" w:type="dxa"/>
            <w:vAlign w:val="bottom"/>
          </w:tcPr>
          <w:p>
            <w:pPr>
              <w:spacing w:after="0"/>
              <w:rPr>
                <w:sz w:val="19"/>
                <w:szCs w:val="19"/>
                <w:color w:val="auto"/>
              </w:rPr>
            </w:pPr>
          </w:p>
        </w:tc>
        <w:tc>
          <w:tcPr>
            <w:tcW w:w="140" w:type="dxa"/>
            <w:vAlign w:val="bottom"/>
          </w:tcPr>
          <w:p>
            <w:pPr>
              <w:spacing w:after="0"/>
              <w:rPr>
                <w:sz w:val="19"/>
                <w:szCs w:val="19"/>
                <w:color w:val="auto"/>
              </w:rPr>
            </w:pPr>
          </w:p>
        </w:tc>
        <w:tc>
          <w:tcPr>
            <w:tcW w:w="100" w:type="dxa"/>
            <w:vAlign w:val="bottom"/>
            <w:tcBorders>
              <w:top w:val="single" w:sz="8" w:color="auto"/>
            </w:tcBorders>
          </w:tcPr>
          <w:p>
            <w:pPr>
              <w:spacing w:after="0"/>
              <w:rPr>
                <w:sz w:val="19"/>
                <w:szCs w:val="19"/>
                <w:color w:val="auto"/>
              </w:rPr>
            </w:pPr>
          </w:p>
        </w:tc>
        <w:tc>
          <w:tcPr>
            <w:tcW w:w="72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w w:val="90"/>
              </w:rPr>
              <w:t>(477,281)</w:t>
            </w:r>
          </w:p>
        </w:tc>
        <w:tc>
          <w:tcPr>
            <w:tcW w:w="18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100" w:type="dxa"/>
            <w:vAlign w:val="bottom"/>
            <w:tcBorders>
              <w:top w:val="single" w:sz="8" w:color="auto"/>
            </w:tcBorders>
          </w:tcPr>
          <w:p>
            <w:pPr>
              <w:spacing w:after="0"/>
              <w:rPr>
                <w:sz w:val="19"/>
                <w:szCs w:val="19"/>
                <w:color w:val="auto"/>
              </w:rPr>
            </w:pPr>
          </w:p>
        </w:tc>
        <w:tc>
          <w:tcPr>
            <w:tcW w:w="74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rPr>
              <w:t>152,046</w:t>
            </w:r>
          </w:p>
        </w:tc>
        <w:tc>
          <w:tcPr>
            <w:tcW w:w="100" w:type="dxa"/>
            <w:vAlign w:val="bottom"/>
          </w:tcPr>
          <w:p>
            <w:pPr>
              <w:spacing w:after="0"/>
              <w:rPr>
                <w:sz w:val="19"/>
                <w:szCs w:val="19"/>
                <w:color w:val="auto"/>
              </w:rPr>
            </w:pPr>
          </w:p>
        </w:tc>
      </w:tr>
      <w:tr>
        <w:trPr>
          <w:trHeight w:val="216"/>
        </w:trPr>
        <w:tc>
          <w:tcPr>
            <w:tcW w:w="20" w:type="dxa"/>
            <w:vAlign w:val="bottom"/>
          </w:tcPr>
          <w:p>
            <w:pPr>
              <w:spacing w:after="0"/>
              <w:rPr>
                <w:sz w:val="18"/>
                <w:szCs w:val="18"/>
                <w:color w:val="auto"/>
              </w:rPr>
            </w:pPr>
          </w:p>
        </w:tc>
        <w:tc>
          <w:tcPr>
            <w:tcW w:w="7220" w:type="dxa"/>
            <w:vAlign w:val="bottom"/>
            <w:shd w:val="clear" w:color="auto" w:fill="CCEEFF"/>
          </w:tcPr>
          <w:p>
            <w:pPr>
              <w:spacing w:after="0"/>
              <w:rPr>
                <w:sz w:val="20"/>
                <w:szCs w:val="20"/>
                <w:color w:val="auto"/>
              </w:rPr>
            </w:pPr>
            <w:r>
              <w:rPr>
                <w:rFonts w:ascii="Arial" w:cs="Arial" w:eastAsia="Arial" w:hAnsi="Arial"/>
                <w:sz w:val="18"/>
                <w:szCs w:val="18"/>
                <w:color w:val="auto"/>
              </w:rPr>
              <w:t>Cash flows from investing activities:</w:t>
            </w:r>
          </w:p>
        </w:tc>
        <w:tc>
          <w:tcPr>
            <w:tcW w:w="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64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64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2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r>
      <w:tr>
        <w:trPr>
          <w:trHeight w:val="216"/>
        </w:trPr>
        <w:tc>
          <w:tcPr>
            <w:tcW w:w="20" w:type="dxa"/>
            <w:vAlign w:val="bottom"/>
          </w:tcPr>
          <w:p>
            <w:pPr>
              <w:spacing w:after="0"/>
              <w:rPr>
                <w:sz w:val="18"/>
                <w:szCs w:val="18"/>
                <w:color w:val="auto"/>
              </w:rPr>
            </w:pPr>
          </w:p>
        </w:tc>
        <w:tc>
          <w:tcPr>
            <w:tcW w:w="7220" w:type="dxa"/>
            <w:vAlign w:val="bottom"/>
          </w:tcPr>
          <w:p>
            <w:pPr>
              <w:ind w:left="340"/>
              <w:spacing w:after="0"/>
              <w:rPr>
                <w:sz w:val="20"/>
                <w:szCs w:val="20"/>
                <w:color w:val="auto"/>
              </w:rPr>
            </w:pPr>
            <w:r>
              <w:rPr>
                <w:rFonts w:ascii="Arial" w:cs="Arial" w:eastAsia="Arial" w:hAnsi="Arial"/>
                <w:sz w:val="18"/>
                <w:szCs w:val="18"/>
                <w:color w:val="auto"/>
              </w:rPr>
              <w:t>Purchases of available-for-sale securities</w:t>
            </w:r>
          </w:p>
        </w:tc>
        <w:tc>
          <w:tcPr>
            <w:tcW w:w="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840" w:type="dxa"/>
            <w:vAlign w:val="bottom"/>
            <w:gridSpan w:val="2"/>
          </w:tcPr>
          <w:p>
            <w:pPr>
              <w:jc w:val="right"/>
              <w:ind w:right="140"/>
              <w:spacing w:after="0"/>
              <w:rPr>
                <w:sz w:val="20"/>
                <w:szCs w:val="20"/>
                <w:color w:val="auto"/>
              </w:rPr>
            </w:pPr>
            <w:r>
              <w:rPr>
                <w:rFonts w:ascii="Arial" w:cs="Arial" w:eastAsia="Arial" w:hAnsi="Arial"/>
                <w:sz w:val="18"/>
                <w:szCs w:val="18"/>
                <w:color w:val="auto"/>
                <w:w w:val="88"/>
              </w:rPr>
              <w:t>(140,087)</w:t>
            </w:r>
          </w:p>
        </w:tc>
        <w:tc>
          <w:tcPr>
            <w:tcW w:w="1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820" w:type="dxa"/>
            <w:vAlign w:val="bottom"/>
            <w:gridSpan w:val="2"/>
          </w:tcPr>
          <w:p>
            <w:pPr>
              <w:jc w:val="right"/>
              <w:ind w:right="120"/>
              <w:spacing w:after="0"/>
              <w:rPr>
                <w:sz w:val="20"/>
                <w:szCs w:val="20"/>
                <w:color w:val="auto"/>
              </w:rPr>
            </w:pPr>
            <w:r>
              <w:rPr>
                <w:rFonts w:ascii="Arial" w:cs="Arial" w:eastAsia="Arial" w:hAnsi="Arial"/>
                <w:sz w:val="18"/>
                <w:szCs w:val="18"/>
                <w:color w:val="auto"/>
                <w:w w:val="88"/>
              </w:rPr>
              <w:t>(356,465)</w:t>
            </w:r>
          </w:p>
        </w:tc>
        <w:tc>
          <w:tcPr>
            <w:tcW w:w="1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900" w:type="dxa"/>
            <w:vAlign w:val="bottom"/>
            <w:gridSpan w:val="2"/>
          </w:tcPr>
          <w:p>
            <w:pPr>
              <w:jc w:val="right"/>
              <w:ind w:right="120"/>
              <w:spacing w:after="0"/>
              <w:rPr>
                <w:sz w:val="20"/>
                <w:szCs w:val="20"/>
                <w:color w:val="auto"/>
              </w:rPr>
            </w:pPr>
            <w:r>
              <w:rPr>
                <w:rFonts w:ascii="Arial" w:cs="Arial" w:eastAsia="Arial" w:hAnsi="Arial"/>
                <w:sz w:val="18"/>
                <w:szCs w:val="18"/>
                <w:color w:val="auto"/>
                <w:w w:val="98"/>
              </w:rPr>
              <w:t>(343,810)</w:t>
            </w:r>
          </w:p>
        </w:tc>
        <w:tc>
          <w:tcPr>
            <w:tcW w:w="1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840" w:type="dxa"/>
            <w:vAlign w:val="bottom"/>
            <w:gridSpan w:val="2"/>
          </w:tcPr>
          <w:p>
            <w:pPr>
              <w:jc w:val="right"/>
              <w:ind w:right="40"/>
              <w:spacing w:after="0"/>
              <w:rPr>
                <w:sz w:val="20"/>
                <w:szCs w:val="20"/>
                <w:color w:val="auto"/>
              </w:rPr>
            </w:pPr>
            <w:r>
              <w:rPr>
                <w:rFonts w:ascii="Arial" w:cs="Arial" w:eastAsia="Arial" w:hAnsi="Arial"/>
                <w:sz w:val="18"/>
                <w:szCs w:val="18"/>
                <w:color w:val="auto"/>
              </w:rPr>
              <w:t>(922,830)</w:t>
            </w:r>
          </w:p>
        </w:tc>
      </w:tr>
      <w:tr>
        <w:trPr>
          <w:trHeight w:val="216"/>
        </w:trPr>
        <w:tc>
          <w:tcPr>
            <w:tcW w:w="20" w:type="dxa"/>
            <w:vAlign w:val="bottom"/>
          </w:tcPr>
          <w:p>
            <w:pPr>
              <w:spacing w:after="0"/>
              <w:rPr>
                <w:sz w:val="18"/>
                <w:szCs w:val="18"/>
                <w:color w:val="auto"/>
              </w:rPr>
            </w:pPr>
          </w:p>
        </w:tc>
        <w:tc>
          <w:tcPr>
            <w:tcW w:w="7220" w:type="dxa"/>
            <w:vAlign w:val="bottom"/>
            <w:shd w:val="clear" w:color="auto" w:fill="CCEEFF"/>
          </w:tcPr>
          <w:p>
            <w:pPr>
              <w:ind w:left="340"/>
              <w:spacing w:after="0"/>
              <w:rPr>
                <w:sz w:val="20"/>
                <w:szCs w:val="20"/>
                <w:color w:val="auto"/>
              </w:rPr>
            </w:pPr>
            <w:r>
              <w:rPr>
                <w:rFonts w:ascii="Arial" w:cs="Arial" w:eastAsia="Arial" w:hAnsi="Arial"/>
                <w:sz w:val="18"/>
                <w:szCs w:val="18"/>
                <w:color w:val="auto"/>
              </w:rPr>
              <w:t>Sales and maturities of available-for-sale securities</w:t>
            </w:r>
          </w:p>
        </w:tc>
        <w:tc>
          <w:tcPr>
            <w:tcW w:w="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640" w:type="dxa"/>
            <w:vAlign w:val="bottom"/>
            <w:shd w:val="clear" w:color="auto" w:fill="CCEEFF"/>
          </w:tcPr>
          <w:p>
            <w:pPr>
              <w:jc w:val="right"/>
              <w:spacing w:after="0"/>
              <w:rPr>
                <w:sz w:val="20"/>
                <w:szCs w:val="20"/>
                <w:color w:val="auto"/>
              </w:rPr>
            </w:pPr>
            <w:r>
              <w:rPr>
                <w:rFonts w:ascii="Arial" w:cs="Arial" w:eastAsia="Arial" w:hAnsi="Arial"/>
                <w:sz w:val="18"/>
                <w:szCs w:val="18"/>
                <w:color w:val="auto"/>
                <w:w w:val="95"/>
              </w:rPr>
              <w:t>170,472</w:t>
            </w:r>
          </w:p>
        </w:tc>
        <w:tc>
          <w:tcPr>
            <w:tcW w:w="20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20" w:type="dxa"/>
            <w:vAlign w:val="bottom"/>
            <w:gridSpan w:val="2"/>
            <w:shd w:val="clear" w:color="auto" w:fill="CCEEFF"/>
          </w:tcPr>
          <w:p>
            <w:pPr>
              <w:jc w:val="right"/>
              <w:ind w:right="180"/>
              <w:spacing w:after="0"/>
              <w:rPr>
                <w:sz w:val="20"/>
                <w:szCs w:val="20"/>
                <w:color w:val="auto"/>
              </w:rPr>
            </w:pPr>
            <w:r>
              <w:rPr>
                <w:rFonts w:ascii="Arial" w:cs="Arial" w:eastAsia="Arial" w:hAnsi="Arial"/>
                <w:sz w:val="18"/>
                <w:szCs w:val="18"/>
                <w:color w:val="auto"/>
                <w:w w:val="95"/>
              </w:rPr>
              <w:t>356,409</w:t>
            </w:r>
          </w:p>
        </w:tc>
        <w:tc>
          <w:tcPr>
            <w:tcW w:w="1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900" w:type="dxa"/>
            <w:vAlign w:val="bottom"/>
            <w:gridSpan w:val="2"/>
            <w:shd w:val="clear" w:color="auto" w:fill="CCEEFF"/>
          </w:tcPr>
          <w:p>
            <w:pPr>
              <w:jc w:val="right"/>
              <w:ind w:right="180"/>
              <w:spacing w:after="0"/>
              <w:rPr>
                <w:sz w:val="20"/>
                <w:szCs w:val="20"/>
                <w:color w:val="auto"/>
              </w:rPr>
            </w:pPr>
            <w:r>
              <w:rPr>
                <w:rFonts w:ascii="Arial" w:cs="Arial" w:eastAsia="Arial" w:hAnsi="Arial"/>
                <w:sz w:val="18"/>
                <w:szCs w:val="18"/>
                <w:color w:val="auto"/>
              </w:rPr>
              <w:t>657,037</w:t>
            </w:r>
          </w:p>
        </w:tc>
        <w:tc>
          <w:tcPr>
            <w:tcW w:w="1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4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826,199</w:t>
            </w:r>
          </w:p>
        </w:tc>
      </w:tr>
      <w:tr>
        <w:trPr>
          <w:trHeight w:val="216"/>
        </w:trPr>
        <w:tc>
          <w:tcPr>
            <w:tcW w:w="20" w:type="dxa"/>
            <w:vAlign w:val="bottom"/>
          </w:tcPr>
          <w:p>
            <w:pPr>
              <w:spacing w:after="0"/>
              <w:rPr>
                <w:sz w:val="18"/>
                <w:szCs w:val="18"/>
                <w:color w:val="auto"/>
              </w:rPr>
            </w:pPr>
          </w:p>
        </w:tc>
        <w:tc>
          <w:tcPr>
            <w:tcW w:w="7220" w:type="dxa"/>
            <w:vAlign w:val="bottom"/>
          </w:tcPr>
          <w:p>
            <w:pPr>
              <w:ind w:left="340"/>
              <w:spacing w:after="0"/>
              <w:rPr>
                <w:sz w:val="20"/>
                <w:szCs w:val="20"/>
                <w:color w:val="auto"/>
              </w:rPr>
            </w:pPr>
            <w:r>
              <w:rPr>
                <w:rFonts w:ascii="Arial" w:cs="Arial" w:eastAsia="Arial" w:hAnsi="Arial"/>
                <w:sz w:val="18"/>
                <w:szCs w:val="18"/>
                <w:color w:val="auto"/>
              </w:rPr>
              <w:t>Purchase of time deposits</w:t>
            </w:r>
          </w:p>
        </w:tc>
        <w:tc>
          <w:tcPr>
            <w:tcW w:w="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840" w:type="dxa"/>
            <w:vAlign w:val="bottom"/>
            <w:gridSpan w:val="2"/>
          </w:tcPr>
          <w:p>
            <w:pPr>
              <w:jc w:val="right"/>
              <w:ind w:right="140"/>
              <w:spacing w:after="0"/>
              <w:rPr>
                <w:sz w:val="20"/>
                <w:szCs w:val="20"/>
                <w:color w:val="auto"/>
              </w:rPr>
            </w:pPr>
            <w:r>
              <w:rPr>
                <w:rFonts w:ascii="Arial" w:cs="Arial" w:eastAsia="Arial" w:hAnsi="Arial"/>
                <w:sz w:val="18"/>
                <w:szCs w:val="18"/>
                <w:color w:val="auto"/>
              </w:rPr>
              <w:t>(75,000)</w:t>
            </w:r>
          </w:p>
        </w:tc>
        <w:tc>
          <w:tcPr>
            <w:tcW w:w="1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820" w:type="dxa"/>
            <w:vAlign w:val="bottom"/>
            <w:gridSpan w:val="2"/>
          </w:tcPr>
          <w:p>
            <w:pPr>
              <w:jc w:val="right"/>
              <w:ind w:right="260"/>
              <w:spacing w:after="0"/>
              <w:rPr>
                <w:sz w:val="20"/>
                <w:szCs w:val="20"/>
                <w:color w:val="auto"/>
              </w:rPr>
            </w:pPr>
            <w:r>
              <w:rPr>
                <w:rFonts w:ascii="Arial" w:cs="Arial" w:eastAsia="Arial" w:hAnsi="Arial"/>
                <w:sz w:val="18"/>
                <w:szCs w:val="18"/>
                <w:color w:val="auto"/>
              </w:rPr>
              <w:t>—</w:t>
            </w:r>
          </w:p>
        </w:tc>
        <w:tc>
          <w:tcPr>
            <w:tcW w:w="1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900" w:type="dxa"/>
            <w:vAlign w:val="bottom"/>
            <w:gridSpan w:val="2"/>
          </w:tcPr>
          <w:p>
            <w:pPr>
              <w:jc w:val="right"/>
              <w:ind w:right="120"/>
              <w:spacing w:after="0"/>
              <w:rPr>
                <w:sz w:val="20"/>
                <w:szCs w:val="20"/>
                <w:color w:val="auto"/>
              </w:rPr>
            </w:pPr>
            <w:r>
              <w:rPr>
                <w:rFonts w:ascii="Arial" w:cs="Arial" w:eastAsia="Arial" w:hAnsi="Arial"/>
                <w:sz w:val="18"/>
                <w:szCs w:val="18"/>
                <w:color w:val="auto"/>
                <w:w w:val="98"/>
              </w:rPr>
              <w:t>(200,000)</w:t>
            </w:r>
          </w:p>
        </w:tc>
        <w:tc>
          <w:tcPr>
            <w:tcW w:w="1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840" w:type="dxa"/>
            <w:vAlign w:val="bottom"/>
            <w:gridSpan w:val="2"/>
          </w:tcPr>
          <w:p>
            <w:pPr>
              <w:jc w:val="right"/>
              <w:ind w:right="200"/>
              <w:spacing w:after="0"/>
              <w:rPr>
                <w:sz w:val="20"/>
                <w:szCs w:val="20"/>
                <w:color w:val="auto"/>
              </w:rPr>
            </w:pPr>
            <w:r>
              <w:rPr>
                <w:rFonts w:ascii="Arial" w:cs="Arial" w:eastAsia="Arial" w:hAnsi="Arial"/>
                <w:sz w:val="18"/>
                <w:szCs w:val="18"/>
                <w:color w:val="auto"/>
              </w:rPr>
              <w:t>—</w:t>
            </w:r>
          </w:p>
        </w:tc>
      </w:tr>
      <w:tr>
        <w:trPr>
          <w:trHeight w:val="216"/>
        </w:trPr>
        <w:tc>
          <w:tcPr>
            <w:tcW w:w="20" w:type="dxa"/>
            <w:vAlign w:val="bottom"/>
          </w:tcPr>
          <w:p>
            <w:pPr>
              <w:spacing w:after="0"/>
              <w:rPr>
                <w:sz w:val="18"/>
                <w:szCs w:val="18"/>
                <w:color w:val="auto"/>
              </w:rPr>
            </w:pPr>
          </w:p>
        </w:tc>
        <w:tc>
          <w:tcPr>
            <w:tcW w:w="7220" w:type="dxa"/>
            <w:vAlign w:val="bottom"/>
            <w:shd w:val="clear" w:color="auto" w:fill="CCEEFF"/>
          </w:tcPr>
          <w:p>
            <w:pPr>
              <w:ind w:left="340"/>
              <w:spacing w:after="0"/>
              <w:rPr>
                <w:sz w:val="20"/>
                <w:szCs w:val="20"/>
                <w:color w:val="auto"/>
              </w:rPr>
            </w:pPr>
            <w:r>
              <w:rPr>
                <w:rFonts w:ascii="Arial" w:cs="Arial" w:eastAsia="Arial" w:hAnsi="Arial"/>
                <w:sz w:val="18"/>
                <w:szCs w:val="18"/>
                <w:color w:val="auto"/>
              </w:rPr>
              <w:t>Maturities of time deposits</w:t>
            </w:r>
          </w:p>
        </w:tc>
        <w:tc>
          <w:tcPr>
            <w:tcW w:w="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84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50,000</w:t>
            </w:r>
          </w:p>
        </w:tc>
        <w:tc>
          <w:tcPr>
            <w:tcW w:w="1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20" w:type="dxa"/>
            <w:vAlign w:val="bottom"/>
            <w:gridSpan w:val="2"/>
            <w:shd w:val="clear" w:color="auto" w:fill="CCEEFF"/>
          </w:tcPr>
          <w:p>
            <w:pPr>
              <w:jc w:val="right"/>
              <w:ind w:right="260"/>
              <w:spacing w:after="0"/>
              <w:rPr>
                <w:sz w:val="20"/>
                <w:szCs w:val="20"/>
                <w:color w:val="auto"/>
              </w:rPr>
            </w:pPr>
            <w:r>
              <w:rPr>
                <w:rFonts w:ascii="Arial" w:cs="Arial" w:eastAsia="Arial" w:hAnsi="Arial"/>
                <w:sz w:val="18"/>
                <w:szCs w:val="18"/>
                <w:color w:val="auto"/>
              </w:rPr>
              <w:t>—</w:t>
            </w:r>
          </w:p>
        </w:tc>
        <w:tc>
          <w:tcPr>
            <w:tcW w:w="1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900" w:type="dxa"/>
            <w:vAlign w:val="bottom"/>
            <w:gridSpan w:val="2"/>
            <w:shd w:val="clear" w:color="auto" w:fill="CCEEFF"/>
          </w:tcPr>
          <w:p>
            <w:pPr>
              <w:jc w:val="right"/>
              <w:ind w:right="180"/>
              <w:spacing w:after="0"/>
              <w:rPr>
                <w:sz w:val="20"/>
                <w:szCs w:val="20"/>
                <w:color w:val="auto"/>
              </w:rPr>
            </w:pPr>
            <w:r>
              <w:rPr>
                <w:rFonts w:ascii="Arial" w:cs="Arial" w:eastAsia="Arial" w:hAnsi="Arial"/>
                <w:sz w:val="18"/>
                <w:szCs w:val="18"/>
                <w:color w:val="auto"/>
              </w:rPr>
              <w:t>50,000</w:t>
            </w:r>
          </w:p>
        </w:tc>
        <w:tc>
          <w:tcPr>
            <w:tcW w:w="1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4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w:t>
            </w:r>
          </w:p>
        </w:tc>
      </w:tr>
      <w:tr>
        <w:trPr>
          <w:trHeight w:val="216"/>
        </w:trPr>
        <w:tc>
          <w:tcPr>
            <w:tcW w:w="20" w:type="dxa"/>
            <w:vAlign w:val="bottom"/>
          </w:tcPr>
          <w:p>
            <w:pPr>
              <w:spacing w:after="0"/>
              <w:rPr>
                <w:sz w:val="18"/>
                <w:szCs w:val="18"/>
                <w:color w:val="auto"/>
              </w:rPr>
            </w:pPr>
          </w:p>
        </w:tc>
        <w:tc>
          <w:tcPr>
            <w:tcW w:w="7220" w:type="dxa"/>
            <w:vAlign w:val="bottom"/>
          </w:tcPr>
          <w:p>
            <w:pPr>
              <w:ind w:left="340"/>
              <w:spacing w:after="0"/>
              <w:rPr>
                <w:sz w:val="20"/>
                <w:szCs w:val="20"/>
                <w:color w:val="auto"/>
              </w:rPr>
            </w:pPr>
            <w:r>
              <w:rPr>
                <w:rFonts w:ascii="Arial" w:cs="Arial" w:eastAsia="Arial" w:hAnsi="Arial"/>
                <w:sz w:val="18"/>
                <w:szCs w:val="18"/>
                <w:color w:val="auto"/>
              </w:rPr>
              <w:t>Distribution from (investments in) privately-held companies</w:t>
            </w:r>
          </w:p>
        </w:tc>
        <w:tc>
          <w:tcPr>
            <w:tcW w:w="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840" w:type="dxa"/>
            <w:vAlign w:val="bottom"/>
            <w:gridSpan w:val="2"/>
          </w:tcPr>
          <w:p>
            <w:pPr>
              <w:jc w:val="right"/>
              <w:ind w:right="200"/>
              <w:spacing w:after="0"/>
              <w:rPr>
                <w:sz w:val="20"/>
                <w:szCs w:val="20"/>
                <w:color w:val="auto"/>
              </w:rPr>
            </w:pPr>
            <w:r>
              <w:rPr>
                <w:rFonts w:ascii="Arial" w:cs="Arial" w:eastAsia="Arial" w:hAnsi="Arial"/>
                <w:sz w:val="18"/>
                <w:szCs w:val="18"/>
                <w:color w:val="auto"/>
              </w:rPr>
              <w:t>274</w:t>
            </w:r>
          </w:p>
        </w:tc>
        <w:tc>
          <w:tcPr>
            <w:tcW w:w="1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820" w:type="dxa"/>
            <w:vAlign w:val="bottom"/>
            <w:gridSpan w:val="2"/>
          </w:tcPr>
          <w:p>
            <w:pPr>
              <w:jc w:val="right"/>
              <w:ind w:right="120"/>
              <w:spacing w:after="0"/>
              <w:rPr>
                <w:sz w:val="20"/>
                <w:szCs w:val="20"/>
                <w:color w:val="auto"/>
              </w:rPr>
            </w:pPr>
            <w:r>
              <w:rPr>
                <w:rFonts w:ascii="Arial" w:cs="Arial" w:eastAsia="Arial" w:hAnsi="Arial"/>
                <w:sz w:val="18"/>
                <w:szCs w:val="18"/>
                <w:color w:val="auto"/>
              </w:rPr>
              <w:t>(130)</w:t>
            </w:r>
          </w:p>
        </w:tc>
        <w:tc>
          <w:tcPr>
            <w:tcW w:w="1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900" w:type="dxa"/>
            <w:vAlign w:val="bottom"/>
            <w:gridSpan w:val="2"/>
          </w:tcPr>
          <w:p>
            <w:pPr>
              <w:jc w:val="right"/>
              <w:ind w:right="180"/>
              <w:spacing w:after="0"/>
              <w:rPr>
                <w:sz w:val="20"/>
                <w:szCs w:val="20"/>
                <w:color w:val="auto"/>
              </w:rPr>
            </w:pPr>
            <w:r>
              <w:rPr>
                <w:rFonts w:ascii="Arial" w:cs="Arial" w:eastAsia="Arial" w:hAnsi="Arial"/>
                <w:sz w:val="18"/>
                <w:szCs w:val="18"/>
                <w:color w:val="auto"/>
              </w:rPr>
              <w:t>274</w:t>
            </w:r>
          </w:p>
        </w:tc>
        <w:tc>
          <w:tcPr>
            <w:tcW w:w="1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840" w:type="dxa"/>
            <w:vAlign w:val="bottom"/>
            <w:gridSpan w:val="2"/>
          </w:tcPr>
          <w:p>
            <w:pPr>
              <w:jc w:val="right"/>
              <w:ind w:right="100"/>
              <w:spacing w:after="0"/>
              <w:rPr>
                <w:sz w:val="20"/>
                <w:szCs w:val="20"/>
                <w:color w:val="auto"/>
              </w:rPr>
            </w:pPr>
            <w:r>
              <w:rPr>
                <w:rFonts w:ascii="Arial" w:cs="Arial" w:eastAsia="Arial" w:hAnsi="Arial"/>
                <w:sz w:val="18"/>
                <w:szCs w:val="18"/>
                <w:color w:val="auto"/>
              </w:rPr>
              <w:t>78</w:t>
            </w:r>
          </w:p>
        </w:tc>
      </w:tr>
      <w:tr>
        <w:trPr>
          <w:trHeight w:val="216"/>
        </w:trPr>
        <w:tc>
          <w:tcPr>
            <w:tcW w:w="20" w:type="dxa"/>
            <w:vAlign w:val="bottom"/>
          </w:tcPr>
          <w:p>
            <w:pPr>
              <w:spacing w:after="0"/>
              <w:rPr>
                <w:sz w:val="18"/>
                <w:szCs w:val="18"/>
                <w:color w:val="auto"/>
              </w:rPr>
            </w:pPr>
          </w:p>
        </w:tc>
        <w:tc>
          <w:tcPr>
            <w:tcW w:w="7220" w:type="dxa"/>
            <w:vAlign w:val="bottom"/>
            <w:shd w:val="clear" w:color="auto" w:fill="CCEEFF"/>
          </w:tcPr>
          <w:p>
            <w:pPr>
              <w:ind w:left="340"/>
              <w:spacing w:after="0"/>
              <w:rPr>
                <w:sz w:val="20"/>
                <w:szCs w:val="20"/>
                <w:color w:val="auto"/>
              </w:rPr>
            </w:pPr>
            <w:r>
              <w:rPr>
                <w:rFonts w:ascii="Arial" w:cs="Arial" w:eastAsia="Arial" w:hAnsi="Arial"/>
                <w:sz w:val="18"/>
                <w:szCs w:val="18"/>
                <w:color w:val="auto"/>
              </w:rPr>
              <w:t>Purchases of technology licenses</w:t>
            </w:r>
          </w:p>
        </w:tc>
        <w:tc>
          <w:tcPr>
            <w:tcW w:w="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840" w:type="dxa"/>
            <w:vAlign w:val="bottom"/>
            <w:gridSpan w:val="2"/>
            <w:shd w:val="clear" w:color="auto" w:fill="CCEEFF"/>
          </w:tcPr>
          <w:p>
            <w:pPr>
              <w:jc w:val="right"/>
              <w:ind w:right="140"/>
              <w:spacing w:after="0"/>
              <w:rPr>
                <w:sz w:val="20"/>
                <w:szCs w:val="20"/>
                <w:color w:val="auto"/>
              </w:rPr>
            </w:pPr>
            <w:r>
              <w:rPr>
                <w:rFonts w:ascii="Arial" w:cs="Arial" w:eastAsia="Arial" w:hAnsi="Arial"/>
                <w:sz w:val="18"/>
                <w:szCs w:val="18"/>
                <w:color w:val="auto"/>
              </w:rPr>
              <w:t>(394)</w:t>
            </w:r>
          </w:p>
        </w:tc>
        <w:tc>
          <w:tcPr>
            <w:tcW w:w="1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20" w:type="dxa"/>
            <w:vAlign w:val="bottom"/>
            <w:gridSpan w:val="2"/>
            <w:shd w:val="clear" w:color="auto" w:fill="CCEEFF"/>
          </w:tcPr>
          <w:p>
            <w:pPr>
              <w:jc w:val="right"/>
              <w:ind w:right="120"/>
              <w:spacing w:after="0"/>
              <w:rPr>
                <w:sz w:val="20"/>
                <w:szCs w:val="20"/>
                <w:color w:val="auto"/>
              </w:rPr>
            </w:pPr>
            <w:r>
              <w:rPr>
                <w:rFonts w:ascii="Arial" w:cs="Arial" w:eastAsia="Arial" w:hAnsi="Arial"/>
                <w:sz w:val="18"/>
                <w:szCs w:val="18"/>
                <w:color w:val="auto"/>
              </w:rPr>
              <w:t>(980)</w:t>
            </w:r>
          </w:p>
        </w:tc>
        <w:tc>
          <w:tcPr>
            <w:tcW w:w="1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900" w:type="dxa"/>
            <w:vAlign w:val="bottom"/>
            <w:gridSpan w:val="2"/>
            <w:shd w:val="clear" w:color="auto" w:fill="CCEEFF"/>
          </w:tcPr>
          <w:p>
            <w:pPr>
              <w:jc w:val="right"/>
              <w:ind w:right="120"/>
              <w:spacing w:after="0"/>
              <w:rPr>
                <w:sz w:val="20"/>
                <w:szCs w:val="20"/>
                <w:color w:val="auto"/>
              </w:rPr>
            </w:pPr>
            <w:r>
              <w:rPr>
                <w:rFonts w:ascii="Arial" w:cs="Arial" w:eastAsia="Arial" w:hAnsi="Arial"/>
                <w:sz w:val="18"/>
                <w:szCs w:val="18"/>
                <w:color w:val="auto"/>
              </w:rPr>
              <w:t>(8,439)</w:t>
            </w:r>
          </w:p>
        </w:tc>
        <w:tc>
          <w:tcPr>
            <w:tcW w:w="1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4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(6,657)</w:t>
            </w:r>
          </w:p>
        </w:tc>
      </w:tr>
      <w:tr>
        <w:trPr>
          <w:trHeight w:val="216"/>
        </w:trPr>
        <w:tc>
          <w:tcPr>
            <w:tcW w:w="20" w:type="dxa"/>
            <w:vAlign w:val="bottom"/>
          </w:tcPr>
          <w:p>
            <w:pPr>
              <w:spacing w:after="0"/>
              <w:rPr>
                <w:sz w:val="18"/>
                <w:szCs w:val="18"/>
                <w:color w:val="auto"/>
              </w:rPr>
            </w:pPr>
          </w:p>
        </w:tc>
        <w:tc>
          <w:tcPr>
            <w:tcW w:w="7220" w:type="dxa"/>
            <w:vAlign w:val="bottom"/>
          </w:tcPr>
          <w:p>
            <w:pPr>
              <w:ind w:left="340"/>
              <w:spacing w:after="0"/>
              <w:rPr>
                <w:sz w:val="20"/>
                <w:szCs w:val="20"/>
                <w:color w:val="auto"/>
              </w:rPr>
            </w:pPr>
            <w:r>
              <w:rPr>
                <w:rFonts w:ascii="Arial" w:cs="Arial" w:eastAsia="Arial" w:hAnsi="Arial"/>
                <w:sz w:val="18"/>
                <w:szCs w:val="18"/>
                <w:color w:val="auto"/>
              </w:rPr>
              <w:t>Purchases of property and equipment</w:t>
            </w:r>
          </w:p>
        </w:tc>
        <w:tc>
          <w:tcPr>
            <w:tcW w:w="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840" w:type="dxa"/>
            <w:vAlign w:val="bottom"/>
            <w:gridSpan w:val="2"/>
          </w:tcPr>
          <w:p>
            <w:pPr>
              <w:jc w:val="right"/>
              <w:ind w:right="140"/>
              <w:spacing w:after="0"/>
              <w:rPr>
                <w:sz w:val="20"/>
                <w:szCs w:val="20"/>
                <w:color w:val="auto"/>
              </w:rPr>
            </w:pPr>
            <w:r>
              <w:rPr>
                <w:rFonts w:ascii="Arial" w:cs="Arial" w:eastAsia="Arial" w:hAnsi="Arial"/>
                <w:sz w:val="18"/>
                <w:szCs w:val="18"/>
                <w:color w:val="auto"/>
              </w:rPr>
              <w:t>(13,347)</w:t>
            </w:r>
          </w:p>
        </w:tc>
        <w:tc>
          <w:tcPr>
            <w:tcW w:w="1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820" w:type="dxa"/>
            <w:vAlign w:val="bottom"/>
            <w:gridSpan w:val="2"/>
          </w:tcPr>
          <w:p>
            <w:pPr>
              <w:jc w:val="right"/>
              <w:ind w:right="120"/>
              <w:spacing w:after="0"/>
              <w:rPr>
                <w:sz w:val="20"/>
                <w:szCs w:val="20"/>
                <w:color w:val="auto"/>
              </w:rPr>
            </w:pPr>
            <w:r>
              <w:rPr>
                <w:rFonts w:ascii="Arial" w:cs="Arial" w:eastAsia="Arial" w:hAnsi="Arial"/>
                <w:sz w:val="18"/>
                <w:szCs w:val="18"/>
                <w:color w:val="auto"/>
              </w:rPr>
              <w:t>(9,041)</w:t>
            </w:r>
          </w:p>
        </w:tc>
        <w:tc>
          <w:tcPr>
            <w:tcW w:w="1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900" w:type="dxa"/>
            <w:vAlign w:val="bottom"/>
            <w:gridSpan w:val="2"/>
          </w:tcPr>
          <w:p>
            <w:pPr>
              <w:jc w:val="right"/>
              <w:ind w:right="120"/>
              <w:spacing w:after="0"/>
              <w:rPr>
                <w:sz w:val="20"/>
                <w:szCs w:val="20"/>
                <w:color w:val="auto"/>
              </w:rPr>
            </w:pPr>
            <w:r>
              <w:rPr>
                <w:rFonts w:ascii="Arial" w:cs="Arial" w:eastAsia="Arial" w:hAnsi="Arial"/>
                <w:sz w:val="18"/>
                <w:szCs w:val="18"/>
                <w:color w:val="auto"/>
              </w:rPr>
              <w:t>(37,724)</w:t>
            </w:r>
          </w:p>
        </w:tc>
        <w:tc>
          <w:tcPr>
            <w:tcW w:w="1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840" w:type="dxa"/>
            <w:vAlign w:val="bottom"/>
            <w:gridSpan w:val="2"/>
          </w:tcPr>
          <w:p>
            <w:pPr>
              <w:jc w:val="right"/>
              <w:ind w:right="40"/>
              <w:spacing w:after="0"/>
              <w:rPr>
                <w:sz w:val="20"/>
                <w:szCs w:val="20"/>
                <w:color w:val="auto"/>
              </w:rPr>
            </w:pPr>
            <w:r>
              <w:rPr>
                <w:rFonts w:ascii="Arial" w:cs="Arial" w:eastAsia="Arial" w:hAnsi="Arial"/>
                <w:sz w:val="18"/>
                <w:szCs w:val="18"/>
                <w:color w:val="auto"/>
              </w:rPr>
              <w:t>(33,361)</w:t>
            </w:r>
          </w:p>
        </w:tc>
      </w:tr>
      <w:tr>
        <w:trPr>
          <w:trHeight w:val="216"/>
        </w:trPr>
        <w:tc>
          <w:tcPr>
            <w:tcW w:w="20" w:type="dxa"/>
            <w:vAlign w:val="bottom"/>
          </w:tcPr>
          <w:p>
            <w:pPr>
              <w:spacing w:after="0"/>
              <w:rPr>
                <w:sz w:val="18"/>
                <w:szCs w:val="18"/>
                <w:color w:val="auto"/>
              </w:rPr>
            </w:pPr>
          </w:p>
        </w:tc>
        <w:tc>
          <w:tcPr>
            <w:tcW w:w="7220" w:type="dxa"/>
            <w:vAlign w:val="bottom"/>
            <w:shd w:val="clear" w:color="auto" w:fill="CCEEFF"/>
          </w:tcPr>
          <w:p>
            <w:pPr>
              <w:ind w:left="340"/>
              <w:spacing w:after="0"/>
              <w:rPr>
                <w:sz w:val="20"/>
                <w:szCs w:val="20"/>
                <w:color w:val="auto"/>
              </w:rPr>
            </w:pPr>
            <w:r>
              <w:rPr>
                <w:rFonts w:ascii="Arial" w:cs="Arial" w:eastAsia="Arial" w:hAnsi="Arial"/>
                <w:sz w:val="18"/>
                <w:szCs w:val="18"/>
                <w:color w:val="auto"/>
              </w:rPr>
              <w:t>Purchase of equipment previously leased</w:t>
            </w:r>
          </w:p>
        </w:tc>
        <w:tc>
          <w:tcPr>
            <w:tcW w:w="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840" w:type="dxa"/>
            <w:vAlign w:val="bottom"/>
            <w:gridSpan w:val="2"/>
            <w:shd w:val="clear" w:color="auto" w:fill="CCEEFF"/>
          </w:tcPr>
          <w:p>
            <w:pPr>
              <w:jc w:val="right"/>
              <w:ind w:right="280"/>
              <w:spacing w:after="0"/>
              <w:rPr>
                <w:sz w:val="20"/>
                <w:szCs w:val="20"/>
                <w:color w:val="auto"/>
              </w:rPr>
            </w:pPr>
            <w:r>
              <w:rPr>
                <w:rFonts w:ascii="Arial" w:cs="Arial" w:eastAsia="Arial" w:hAnsi="Arial"/>
                <w:sz w:val="18"/>
                <w:szCs w:val="18"/>
                <w:color w:val="auto"/>
              </w:rPr>
              <w:t>—</w:t>
            </w:r>
          </w:p>
        </w:tc>
        <w:tc>
          <w:tcPr>
            <w:tcW w:w="1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20" w:type="dxa"/>
            <w:vAlign w:val="bottom"/>
            <w:gridSpan w:val="2"/>
            <w:shd w:val="clear" w:color="auto" w:fill="CCEEFF"/>
          </w:tcPr>
          <w:p>
            <w:pPr>
              <w:jc w:val="right"/>
              <w:ind w:right="260"/>
              <w:spacing w:after="0"/>
              <w:rPr>
                <w:sz w:val="20"/>
                <w:szCs w:val="20"/>
                <w:color w:val="auto"/>
              </w:rPr>
            </w:pPr>
            <w:r>
              <w:rPr>
                <w:rFonts w:ascii="Arial" w:cs="Arial" w:eastAsia="Arial" w:hAnsi="Arial"/>
                <w:sz w:val="18"/>
                <w:szCs w:val="18"/>
                <w:color w:val="auto"/>
              </w:rPr>
              <w:t>—</w:t>
            </w:r>
          </w:p>
        </w:tc>
        <w:tc>
          <w:tcPr>
            <w:tcW w:w="1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900" w:type="dxa"/>
            <w:vAlign w:val="bottom"/>
            <w:gridSpan w:val="2"/>
            <w:shd w:val="clear" w:color="auto" w:fill="CCEEFF"/>
          </w:tcPr>
          <w:p>
            <w:pPr>
              <w:jc w:val="right"/>
              <w:ind w:right="280"/>
              <w:spacing w:after="0"/>
              <w:rPr>
                <w:sz w:val="20"/>
                <w:szCs w:val="20"/>
                <w:color w:val="auto"/>
              </w:rPr>
            </w:pPr>
            <w:r>
              <w:rPr>
                <w:rFonts w:ascii="Arial" w:cs="Arial" w:eastAsia="Arial" w:hAnsi="Arial"/>
                <w:sz w:val="18"/>
                <w:szCs w:val="18"/>
                <w:color w:val="auto"/>
              </w:rPr>
              <w:t>—</w:t>
            </w:r>
          </w:p>
        </w:tc>
        <w:tc>
          <w:tcPr>
            <w:tcW w:w="1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4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(10,240)</w:t>
            </w:r>
          </w:p>
        </w:tc>
      </w:tr>
      <w:tr>
        <w:trPr>
          <w:trHeight w:val="216"/>
        </w:trPr>
        <w:tc>
          <w:tcPr>
            <w:tcW w:w="20" w:type="dxa"/>
            <w:vAlign w:val="bottom"/>
          </w:tcPr>
          <w:p>
            <w:pPr>
              <w:spacing w:after="0"/>
              <w:rPr>
                <w:sz w:val="18"/>
                <w:szCs w:val="18"/>
                <w:color w:val="auto"/>
              </w:rPr>
            </w:pPr>
          </w:p>
        </w:tc>
        <w:tc>
          <w:tcPr>
            <w:tcW w:w="7220" w:type="dxa"/>
            <w:vAlign w:val="bottom"/>
          </w:tcPr>
          <w:p>
            <w:pPr>
              <w:ind w:left="340"/>
              <w:spacing w:after="0"/>
              <w:rPr>
                <w:sz w:val="20"/>
                <w:szCs w:val="20"/>
                <w:color w:val="auto"/>
              </w:rPr>
            </w:pPr>
            <w:r>
              <w:rPr>
                <w:rFonts w:ascii="Arial" w:cs="Arial" w:eastAsia="Arial" w:hAnsi="Arial"/>
                <w:sz w:val="18"/>
                <w:szCs w:val="18"/>
                <w:color w:val="auto"/>
              </w:rPr>
              <w:t>Net proceeds from sale of equipment held for sale</w:t>
            </w:r>
          </w:p>
        </w:tc>
        <w:tc>
          <w:tcPr>
            <w:tcW w:w="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640" w:type="dxa"/>
            <w:vAlign w:val="bottom"/>
          </w:tcPr>
          <w:p>
            <w:pPr>
              <w:jc w:val="right"/>
              <w:spacing w:after="0"/>
              <w:rPr>
                <w:sz w:val="20"/>
                <w:szCs w:val="20"/>
                <w:color w:val="auto"/>
              </w:rPr>
            </w:pPr>
            <w:r>
              <w:rPr>
                <w:rFonts w:ascii="Arial" w:cs="Arial" w:eastAsia="Arial" w:hAnsi="Arial"/>
                <w:sz w:val="18"/>
                <w:szCs w:val="18"/>
                <w:color w:val="auto"/>
              </w:rPr>
              <w:t>—</w:t>
            </w:r>
          </w:p>
        </w:tc>
        <w:tc>
          <w:tcPr>
            <w:tcW w:w="20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820" w:type="dxa"/>
            <w:vAlign w:val="bottom"/>
            <w:gridSpan w:val="2"/>
          </w:tcPr>
          <w:p>
            <w:pPr>
              <w:jc w:val="right"/>
              <w:ind w:right="180"/>
              <w:spacing w:after="0"/>
              <w:rPr>
                <w:sz w:val="20"/>
                <w:szCs w:val="20"/>
                <w:color w:val="auto"/>
              </w:rPr>
            </w:pPr>
            <w:r>
              <w:rPr>
                <w:rFonts w:ascii="Arial" w:cs="Arial" w:eastAsia="Arial" w:hAnsi="Arial"/>
                <w:sz w:val="18"/>
                <w:szCs w:val="18"/>
                <w:color w:val="auto"/>
              </w:rPr>
              <w:t>10,007</w:t>
            </w:r>
          </w:p>
        </w:tc>
        <w:tc>
          <w:tcPr>
            <w:tcW w:w="1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900" w:type="dxa"/>
            <w:vAlign w:val="bottom"/>
            <w:gridSpan w:val="2"/>
          </w:tcPr>
          <w:p>
            <w:pPr>
              <w:jc w:val="right"/>
              <w:ind w:right="280"/>
              <w:spacing w:after="0"/>
              <w:rPr>
                <w:sz w:val="20"/>
                <w:szCs w:val="20"/>
                <w:color w:val="auto"/>
              </w:rPr>
            </w:pPr>
            <w:r>
              <w:rPr>
                <w:rFonts w:ascii="Arial" w:cs="Arial" w:eastAsia="Arial" w:hAnsi="Arial"/>
                <w:sz w:val="18"/>
                <w:szCs w:val="18"/>
                <w:color w:val="auto"/>
              </w:rPr>
              <w:t>—</w:t>
            </w:r>
          </w:p>
        </w:tc>
        <w:tc>
          <w:tcPr>
            <w:tcW w:w="1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840" w:type="dxa"/>
            <w:vAlign w:val="bottom"/>
            <w:gridSpan w:val="2"/>
          </w:tcPr>
          <w:p>
            <w:pPr>
              <w:jc w:val="right"/>
              <w:ind w:right="100"/>
              <w:spacing w:after="0"/>
              <w:rPr>
                <w:sz w:val="20"/>
                <w:szCs w:val="20"/>
                <w:color w:val="auto"/>
              </w:rPr>
            </w:pPr>
            <w:r>
              <w:rPr>
                <w:rFonts w:ascii="Arial" w:cs="Arial" w:eastAsia="Arial" w:hAnsi="Arial"/>
                <w:sz w:val="18"/>
                <w:szCs w:val="18"/>
                <w:color w:val="auto"/>
              </w:rPr>
              <w:t>10,007</w:t>
            </w:r>
          </w:p>
        </w:tc>
      </w:tr>
      <w:tr>
        <w:trPr>
          <w:trHeight w:val="27"/>
        </w:trPr>
        <w:tc>
          <w:tcPr>
            <w:tcW w:w="20" w:type="dxa"/>
            <w:vAlign w:val="bottom"/>
          </w:tcPr>
          <w:p>
            <w:pPr>
              <w:spacing w:after="0"/>
              <w:rPr>
                <w:sz w:val="2"/>
                <w:szCs w:val="2"/>
                <w:color w:val="auto"/>
              </w:rPr>
            </w:pPr>
          </w:p>
        </w:tc>
        <w:tc>
          <w:tcPr>
            <w:tcW w:w="7220" w:type="dxa"/>
            <w:vAlign w:val="bottom"/>
          </w:tcPr>
          <w:p>
            <w:pPr>
              <w:spacing w:after="0"/>
              <w:rPr>
                <w:sz w:val="2"/>
                <w:szCs w:val="2"/>
                <w:color w:val="auto"/>
              </w:rPr>
            </w:pPr>
          </w:p>
        </w:tc>
        <w:tc>
          <w:tcPr>
            <w:tcW w:w="20" w:type="dxa"/>
            <w:vAlign w:val="bottom"/>
          </w:tcPr>
          <w:p>
            <w:pPr>
              <w:spacing w:after="0"/>
              <w:rPr>
                <w:sz w:val="2"/>
                <w:szCs w:val="2"/>
                <w:color w:val="auto"/>
              </w:rPr>
            </w:pPr>
          </w:p>
        </w:tc>
        <w:tc>
          <w:tcPr>
            <w:tcW w:w="80" w:type="dxa"/>
            <w:vAlign w:val="bottom"/>
            <w:shd w:val="clear" w:color="auto" w:fill="000000"/>
          </w:tcPr>
          <w:p>
            <w:pPr>
              <w:spacing w:after="0"/>
              <w:rPr>
                <w:sz w:val="2"/>
                <w:szCs w:val="2"/>
                <w:color w:val="auto"/>
              </w:rPr>
            </w:pPr>
          </w:p>
        </w:tc>
        <w:tc>
          <w:tcPr>
            <w:tcW w:w="640" w:type="dxa"/>
            <w:vAlign w:val="bottom"/>
            <w:shd w:val="clear" w:color="auto" w:fill="000000"/>
          </w:tcPr>
          <w:p>
            <w:pPr>
              <w:spacing w:after="0"/>
              <w:rPr>
                <w:sz w:val="2"/>
                <w:szCs w:val="2"/>
                <w:color w:val="auto"/>
              </w:rPr>
            </w:pPr>
          </w:p>
        </w:tc>
        <w:tc>
          <w:tcPr>
            <w:tcW w:w="200" w:type="dxa"/>
            <w:vAlign w:val="bottom"/>
          </w:tcPr>
          <w:p>
            <w:pPr>
              <w:spacing w:after="0"/>
              <w:rPr>
                <w:sz w:val="2"/>
                <w:szCs w:val="2"/>
                <w:color w:val="auto"/>
              </w:rPr>
            </w:pPr>
          </w:p>
        </w:tc>
        <w:tc>
          <w:tcPr>
            <w:tcW w:w="12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640" w:type="dxa"/>
            <w:vAlign w:val="bottom"/>
            <w:shd w:val="clear" w:color="auto" w:fill="000000"/>
          </w:tcPr>
          <w:p>
            <w:pPr>
              <w:spacing w:after="0"/>
              <w:rPr>
                <w:sz w:val="2"/>
                <w:szCs w:val="2"/>
                <w:color w:val="auto"/>
              </w:rPr>
            </w:pPr>
          </w:p>
        </w:tc>
        <w:tc>
          <w:tcPr>
            <w:tcW w:w="180" w:type="dxa"/>
            <w:vAlign w:val="bottom"/>
          </w:tcPr>
          <w:p>
            <w:pPr>
              <w:spacing w:after="0"/>
              <w:rPr>
                <w:sz w:val="2"/>
                <w:szCs w:val="2"/>
                <w:color w:val="auto"/>
              </w:rPr>
            </w:pPr>
          </w:p>
        </w:tc>
        <w:tc>
          <w:tcPr>
            <w:tcW w:w="14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720" w:type="dxa"/>
            <w:vAlign w:val="bottom"/>
            <w:shd w:val="clear" w:color="auto" w:fill="000000"/>
          </w:tcPr>
          <w:p>
            <w:pPr>
              <w:spacing w:after="0"/>
              <w:rPr>
                <w:sz w:val="2"/>
                <w:szCs w:val="2"/>
                <w:color w:val="auto"/>
              </w:rPr>
            </w:pPr>
          </w:p>
        </w:tc>
        <w:tc>
          <w:tcPr>
            <w:tcW w:w="180" w:type="dxa"/>
            <w:vAlign w:val="bottom"/>
          </w:tcPr>
          <w:p>
            <w:pPr>
              <w:spacing w:after="0"/>
              <w:rPr>
                <w:sz w:val="2"/>
                <w:szCs w:val="2"/>
                <w:color w:val="auto"/>
              </w:rPr>
            </w:pPr>
          </w:p>
        </w:tc>
        <w:tc>
          <w:tcPr>
            <w:tcW w:w="12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740" w:type="dxa"/>
            <w:vAlign w:val="bottom"/>
            <w:shd w:val="clear" w:color="auto" w:fill="000000"/>
          </w:tcPr>
          <w:p>
            <w:pPr>
              <w:spacing w:after="0"/>
              <w:rPr>
                <w:sz w:val="2"/>
                <w:szCs w:val="2"/>
                <w:color w:val="auto"/>
              </w:rPr>
            </w:pPr>
          </w:p>
        </w:tc>
        <w:tc>
          <w:tcPr>
            <w:tcW w:w="100" w:type="dxa"/>
            <w:vAlign w:val="bottom"/>
          </w:tcPr>
          <w:p>
            <w:pPr>
              <w:spacing w:after="0"/>
              <w:rPr>
                <w:sz w:val="2"/>
                <w:szCs w:val="2"/>
                <w:color w:val="auto"/>
              </w:rPr>
            </w:pPr>
          </w:p>
        </w:tc>
      </w:tr>
      <w:tr>
        <w:trPr>
          <w:trHeight w:val="216"/>
        </w:trPr>
        <w:tc>
          <w:tcPr>
            <w:tcW w:w="20" w:type="dxa"/>
            <w:vAlign w:val="bottom"/>
          </w:tcPr>
          <w:p>
            <w:pPr>
              <w:spacing w:after="0"/>
              <w:rPr>
                <w:sz w:val="18"/>
                <w:szCs w:val="18"/>
                <w:color w:val="auto"/>
              </w:rPr>
            </w:pPr>
          </w:p>
        </w:tc>
        <w:tc>
          <w:tcPr>
            <w:tcW w:w="7220" w:type="dxa"/>
            <w:vAlign w:val="bottom"/>
            <w:shd w:val="clear" w:color="auto" w:fill="CCEEFF"/>
          </w:tcPr>
          <w:p>
            <w:pPr>
              <w:ind w:left="1060"/>
              <w:spacing w:after="0"/>
              <w:rPr>
                <w:sz w:val="20"/>
                <w:szCs w:val="20"/>
                <w:color w:val="auto"/>
              </w:rPr>
            </w:pPr>
            <w:r>
              <w:rPr>
                <w:rFonts w:ascii="Arial" w:cs="Arial" w:eastAsia="Arial" w:hAnsi="Arial"/>
                <w:sz w:val="18"/>
                <w:szCs w:val="18"/>
                <w:color w:val="auto"/>
              </w:rPr>
              <w:t>Net cash provided by (used in) investing activities</w:t>
            </w:r>
          </w:p>
        </w:tc>
        <w:tc>
          <w:tcPr>
            <w:tcW w:w="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840" w:type="dxa"/>
            <w:vAlign w:val="bottom"/>
            <w:gridSpan w:val="2"/>
            <w:shd w:val="clear" w:color="auto" w:fill="CCEEFF"/>
          </w:tcPr>
          <w:p>
            <w:pPr>
              <w:jc w:val="right"/>
              <w:ind w:right="140"/>
              <w:spacing w:after="0"/>
              <w:rPr>
                <w:sz w:val="20"/>
                <w:szCs w:val="20"/>
                <w:color w:val="auto"/>
              </w:rPr>
            </w:pPr>
            <w:r>
              <w:rPr>
                <w:rFonts w:ascii="Arial" w:cs="Arial" w:eastAsia="Arial" w:hAnsi="Arial"/>
                <w:sz w:val="18"/>
                <w:szCs w:val="18"/>
                <w:color w:val="auto"/>
              </w:rPr>
              <w:t>(8,082)</w:t>
            </w:r>
          </w:p>
        </w:tc>
        <w:tc>
          <w:tcPr>
            <w:tcW w:w="1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20" w:type="dxa"/>
            <w:vAlign w:val="bottom"/>
            <w:gridSpan w:val="2"/>
            <w:shd w:val="clear" w:color="auto" w:fill="CCEEFF"/>
          </w:tcPr>
          <w:p>
            <w:pPr>
              <w:jc w:val="right"/>
              <w:ind w:right="120"/>
              <w:spacing w:after="0"/>
              <w:rPr>
                <w:sz w:val="20"/>
                <w:szCs w:val="20"/>
                <w:color w:val="auto"/>
              </w:rPr>
            </w:pPr>
            <w:r>
              <w:rPr>
                <w:rFonts w:ascii="Arial" w:cs="Arial" w:eastAsia="Arial" w:hAnsi="Arial"/>
                <w:sz w:val="18"/>
                <w:szCs w:val="18"/>
                <w:color w:val="auto"/>
              </w:rPr>
              <w:t>(200)</w:t>
            </w:r>
          </w:p>
        </w:tc>
        <w:tc>
          <w:tcPr>
            <w:tcW w:w="1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900" w:type="dxa"/>
            <w:vAlign w:val="bottom"/>
            <w:gridSpan w:val="2"/>
            <w:shd w:val="clear" w:color="auto" w:fill="CCEEFF"/>
          </w:tcPr>
          <w:p>
            <w:pPr>
              <w:jc w:val="right"/>
              <w:ind w:right="180"/>
              <w:spacing w:after="0"/>
              <w:rPr>
                <w:sz w:val="20"/>
                <w:szCs w:val="20"/>
                <w:color w:val="auto"/>
              </w:rPr>
            </w:pPr>
            <w:r>
              <w:rPr>
                <w:rFonts w:ascii="Arial" w:cs="Arial" w:eastAsia="Arial" w:hAnsi="Arial"/>
                <w:sz w:val="18"/>
                <w:szCs w:val="18"/>
                <w:color w:val="auto"/>
              </w:rPr>
              <w:t>117,338</w:t>
            </w:r>
          </w:p>
        </w:tc>
        <w:tc>
          <w:tcPr>
            <w:tcW w:w="1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4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(136,804)</w:t>
            </w:r>
          </w:p>
        </w:tc>
      </w:tr>
      <w:tr>
        <w:trPr>
          <w:trHeight w:val="216"/>
        </w:trPr>
        <w:tc>
          <w:tcPr>
            <w:tcW w:w="20" w:type="dxa"/>
            <w:vAlign w:val="bottom"/>
          </w:tcPr>
          <w:p>
            <w:pPr>
              <w:spacing w:after="0"/>
              <w:rPr>
                <w:sz w:val="18"/>
                <w:szCs w:val="18"/>
                <w:color w:val="auto"/>
              </w:rPr>
            </w:pPr>
          </w:p>
        </w:tc>
        <w:tc>
          <w:tcPr>
            <w:tcW w:w="7220" w:type="dxa"/>
            <w:vAlign w:val="bottom"/>
          </w:tcPr>
          <w:p>
            <w:pPr>
              <w:spacing w:after="0"/>
              <w:rPr>
                <w:sz w:val="20"/>
                <w:szCs w:val="20"/>
                <w:color w:val="auto"/>
              </w:rPr>
            </w:pPr>
            <w:r>
              <w:rPr>
                <w:rFonts w:ascii="Arial" w:cs="Arial" w:eastAsia="Arial" w:hAnsi="Arial"/>
                <w:sz w:val="18"/>
                <w:szCs w:val="18"/>
                <w:color w:val="auto"/>
              </w:rPr>
              <w:t>Cash flows from financing activities:</w:t>
            </w:r>
          </w:p>
        </w:tc>
        <w:tc>
          <w:tcPr>
            <w:tcW w:w="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64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64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2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40" w:type="dxa"/>
            <w:vAlign w:val="bottom"/>
          </w:tcPr>
          <w:p>
            <w:pPr>
              <w:spacing w:after="0"/>
              <w:rPr>
                <w:sz w:val="18"/>
                <w:szCs w:val="18"/>
                <w:color w:val="auto"/>
              </w:rPr>
            </w:pPr>
          </w:p>
        </w:tc>
        <w:tc>
          <w:tcPr>
            <w:tcW w:w="100" w:type="dxa"/>
            <w:vAlign w:val="bottom"/>
          </w:tcPr>
          <w:p>
            <w:pPr>
              <w:spacing w:after="0"/>
              <w:rPr>
                <w:sz w:val="18"/>
                <w:szCs w:val="18"/>
                <w:color w:val="auto"/>
              </w:rPr>
            </w:pPr>
          </w:p>
        </w:tc>
      </w:tr>
      <w:tr>
        <w:trPr>
          <w:trHeight w:val="216"/>
        </w:trPr>
        <w:tc>
          <w:tcPr>
            <w:tcW w:w="20" w:type="dxa"/>
            <w:vAlign w:val="bottom"/>
          </w:tcPr>
          <w:p>
            <w:pPr>
              <w:spacing w:after="0"/>
              <w:rPr>
                <w:sz w:val="18"/>
                <w:szCs w:val="18"/>
                <w:color w:val="auto"/>
              </w:rPr>
            </w:pPr>
          </w:p>
        </w:tc>
        <w:tc>
          <w:tcPr>
            <w:tcW w:w="7220" w:type="dxa"/>
            <w:vAlign w:val="bottom"/>
            <w:shd w:val="clear" w:color="auto" w:fill="CCEEFF"/>
          </w:tcPr>
          <w:p>
            <w:pPr>
              <w:ind w:left="340"/>
              <w:spacing w:after="0"/>
              <w:rPr>
                <w:sz w:val="20"/>
                <w:szCs w:val="20"/>
                <w:color w:val="auto"/>
              </w:rPr>
            </w:pPr>
            <w:r>
              <w:rPr>
                <w:rFonts w:ascii="Arial" w:cs="Arial" w:eastAsia="Arial" w:hAnsi="Arial"/>
                <w:sz w:val="18"/>
                <w:szCs w:val="18"/>
                <w:color w:val="auto"/>
              </w:rPr>
              <w:t xml:space="preserve">Repurchase of common stock </w:t>
            </w:r>
            <w:r>
              <w:rPr>
                <w:rFonts w:ascii="Arial" w:cs="Arial" w:eastAsia="Arial" w:hAnsi="Arial"/>
                <w:sz w:val="18"/>
                <w:szCs w:val="18"/>
                <w:i w:val="1"/>
                <w:iCs w:val="1"/>
                <w:color w:val="auto"/>
              </w:rPr>
              <w:t>(b)</w:t>
            </w:r>
          </w:p>
        </w:tc>
        <w:tc>
          <w:tcPr>
            <w:tcW w:w="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840" w:type="dxa"/>
            <w:vAlign w:val="bottom"/>
            <w:gridSpan w:val="2"/>
            <w:shd w:val="clear" w:color="auto" w:fill="CCEEFF"/>
          </w:tcPr>
          <w:p>
            <w:pPr>
              <w:jc w:val="right"/>
              <w:ind w:right="140"/>
              <w:spacing w:after="0"/>
              <w:rPr>
                <w:sz w:val="20"/>
                <w:szCs w:val="20"/>
                <w:color w:val="auto"/>
              </w:rPr>
            </w:pPr>
            <w:r>
              <w:rPr>
                <w:rFonts w:ascii="Arial" w:cs="Arial" w:eastAsia="Arial" w:hAnsi="Arial"/>
                <w:sz w:val="18"/>
                <w:szCs w:val="18"/>
                <w:color w:val="auto"/>
              </w:rPr>
              <w:t>(56,531)</w:t>
            </w:r>
          </w:p>
        </w:tc>
        <w:tc>
          <w:tcPr>
            <w:tcW w:w="1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20" w:type="dxa"/>
            <w:vAlign w:val="bottom"/>
            <w:gridSpan w:val="2"/>
            <w:shd w:val="clear" w:color="auto" w:fill="CCEEFF"/>
          </w:tcPr>
          <w:p>
            <w:pPr>
              <w:jc w:val="right"/>
              <w:ind w:right="120"/>
              <w:spacing w:after="0"/>
              <w:rPr>
                <w:sz w:val="20"/>
                <w:szCs w:val="20"/>
                <w:color w:val="auto"/>
              </w:rPr>
            </w:pPr>
            <w:r>
              <w:rPr>
                <w:rFonts w:ascii="Arial" w:cs="Arial" w:eastAsia="Arial" w:hAnsi="Arial"/>
                <w:sz w:val="18"/>
                <w:szCs w:val="18"/>
                <w:color w:val="auto"/>
              </w:rPr>
              <w:t>(65,291)</w:t>
            </w:r>
          </w:p>
        </w:tc>
        <w:tc>
          <w:tcPr>
            <w:tcW w:w="1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900" w:type="dxa"/>
            <w:vAlign w:val="bottom"/>
            <w:gridSpan w:val="2"/>
            <w:shd w:val="clear" w:color="auto" w:fill="CCEEFF"/>
          </w:tcPr>
          <w:p>
            <w:pPr>
              <w:jc w:val="right"/>
              <w:ind w:right="120"/>
              <w:spacing w:after="0"/>
              <w:rPr>
                <w:sz w:val="20"/>
                <w:szCs w:val="20"/>
                <w:color w:val="auto"/>
              </w:rPr>
            </w:pPr>
            <w:r>
              <w:rPr>
                <w:rFonts w:ascii="Arial" w:cs="Arial" w:eastAsia="Arial" w:hAnsi="Arial"/>
                <w:sz w:val="18"/>
                <w:szCs w:val="18"/>
                <w:color w:val="auto"/>
              </w:rPr>
              <w:t>(56,531)</w:t>
            </w:r>
          </w:p>
        </w:tc>
        <w:tc>
          <w:tcPr>
            <w:tcW w:w="1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4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(260,875)</w:t>
            </w:r>
          </w:p>
        </w:tc>
      </w:tr>
      <w:tr>
        <w:trPr>
          <w:trHeight w:val="216"/>
        </w:trPr>
        <w:tc>
          <w:tcPr>
            <w:tcW w:w="20" w:type="dxa"/>
            <w:vAlign w:val="bottom"/>
          </w:tcPr>
          <w:p>
            <w:pPr>
              <w:spacing w:after="0"/>
              <w:rPr>
                <w:sz w:val="18"/>
                <w:szCs w:val="18"/>
                <w:color w:val="auto"/>
              </w:rPr>
            </w:pPr>
          </w:p>
        </w:tc>
        <w:tc>
          <w:tcPr>
            <w:tcW w:w="7220" w:type="dxa"/>
            <w:vAlign w:val="bottom"/>
          </w:tcPr>
          <w:p>
            <w:pPr>
              <w:ind w:left="340"/>
              <w:spacing w:after="0"/>
              <w:rPr>
                <w:sz w:val="20"/>
                <w:szCs w:val="20"/>
                <w:color w:val="auto"/>
              </w:rPr>
            </w:pPr>
            <w:r>
              <w:rPr>
                <w:rFonts w:ascii="Arial" w:cs="Arial" w:eastAsia="Arial" w:hAnsi="Arial"/>
                <w:sz w:val="18"/>
                <w:szCs w:val="18"/>
                <w:color w:val="auto"/>
              </w:rPr>
              <w:t>Proceeds from employee stock plans</w:t>
            </w:r>
          </w:p>
        </w:tc>
        <w:tc>
          <w:tcPr>
            <w:tcW w:w="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640" w:type="dxa"/>
            <w:vAlign w:val="bottom"/>
          </w:tcPr>
          <w:p>
            <w:pPr>
              <w:jc w:val="right"/>
              <w:spacing w:after="0"/>
              <w:rPr>
                <w:sz w:val="20"/>
                <w:szCs w:val="20"/>
                <w:color w:val="auto"/>
              </w:rPr>
            </w:pPr>
            <w:r>
              <w:rPr>
                <w:rFonts w:ascii="Arial" w:cs="Arial" w:eastAsia="Arial" w:hAnsi="Arial"/>
                <w:sz w:val="18"/>
                <w:szCs w:val="18"/>
                <w:color w:val="auto"/>
              </w:rPr>
              <w:t>11,277</w:t>
            </w:r>
          </w:p>
        </w:tc>
        <w:tc>
          <w:tcPr>
            <w:tcW w:w="20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820" w:type="dxa"/>
            <w:vAlign w:val="bottom"/>
            <w:gridSpan w:val="2"/>
          </w:tcPr>
          <w:p>
            <w:pPr>
              <w:jc w:val="right"/>
              <w:ind w:right="180"/>
              <w:spacing w:after="0"/>
              <w:rPr>
                <w:sz w:val="20"/>
                <w:szCs w:val="20"/>
                <w:color w:val="auto"/>
              </w:rPr>
            </w:pPr>
            <w:r>
              <w:rPr>
                <w:rFonts w:ascii="Arial" w:cs="Arial" w:eastAsia="Arial" w:hAnsi="Arial"/>
                <w:sz w:val="18"/>
                <w:szCs w:val="18"/>
                <w:color w:val="auto"/>
              </w:rPr>
              <w:t>2,174</w:t>
            </w:r>
          </w:p>
        </w:tc>
        <w:tc>
          <w:tcPr>
            <w:tcW w:w="1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900" w:type="dxa"/>
            <w:vAlign w:val="bottom"/>
            <w:gridSpan w:val="2"/>
          </w:tcPr>
          <w:p>
            <w:pPr>
              <w:jc w:val="right"/>
              <w:ind w:right="180"/>
              <w:spacing w:after="0"/>
              <w:rPr>
                <w:sz w:val="20"/>
                <w:szCs w:val="20"/>
                <w:color w:val="auto"/>
              </w:rPr>
            </w:pPr>
            <w:r>
              <w:rPr>
                <w:rFonts w:ascii="Arial" w:cs="Arial" w:eastAsia="Arial" w:hAnsi="Arial"/>
                <w:sz w:val="18"/>
                <w:szCs w:val="18"/>
                <w:color w:val="auto"/>
              </w:rPr>
              <w:t>11,836</w:t>
            </w:r>
          </w:p>
        </w:tc>
        <w:tc>
          <w:tcPr>
            <w:tcW w:w="1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840" w:type="dxa"/>
            <w:vAlign w:val="bottom"/>
            <w:gridSpan w:val="2"/>
          </w:tcPr>
          <w:p>
            <w:pPr>
              <w:jc w:val="right"/>
              <w:ind w:right="100"/>
              <w:spacing w:after="0"/>
              <w:rPr>
                <w:sz w:val="20"/>
                <w:szCs w:val="20"/>
                <w:color w:val="auto"/>
              </w:rPr>
            </w:pPr>
            <w:r>
              <w:rPr>
                <w:rFonts w:ascii="Arial" w:cs="Arial" w:eastAsia="Arial" w:hAnsi="Arial"/>
                <w:sz w:val="18"/>
                <w:szCs w:val="18"/>
                <w:color w:val="auto"/>
              </w:rPr>
              <w:t>59,348</w:t>
            </w:r>
          </w:p>
        </w:tc>
      </w:tr>
      <w:tr>
        <w:trPr>
          <w:trHeight w:val="216"/>
        </w:trPr>
        <w:tc>
          <w:tcPr>
            <w:tcW w:w="20" w:type="dxa"/>
            <w:vAlign w:val="bottom"/>
          </w:tcPr>
          <w:p>
            <w:pPr>
              <w:spacing w:after="0"/>
              <w:rPr>
                <w:sz w:val="18"/>
                <w:szCs w:val="18"/>
                <w:color w:val="auto"/>
              </w:rPr>
            </w:pPr>
          </w:p>
        </w:tc>
        <w:tc>
          <w:tcPr>
            <w:tcW w:w="7220" w:type="dxa"/>
            <w:vAlign w:val="bottom"/>
            <w:shd w:val="clear" w:color="auto" w:fill="CCEEFF"/>
          </w:tcPr>
          <w:p>
            <w:pPr>
              <w:ind w:left="340"/>
              <w:spacing w:after="0"/>
              <w:rPr>
                <w:sz w:val="20"/>
                <w:szCs w:val="20"/>
                <w:color w:val="auto"/>
              </w:rPr>
            </w:pPr>
            <w:r>
              <w:rPr>
                <w:rFonts w:ascii="Arial" w:cs="Arial" w:eastAsia="Arial" w:hAnsi="Arial"/>
                <w:sz w:val="18"/>
                <w:szCs w:val="18"/>
                <w:color w:val="auto"/>
              </w:rPr>
              <w:t>Minimum tax withholding paid on behalf of employees for net share settlement</w:t>
            </w:r>
          </w:p>
        </w:tc>
        <w:tc>
          <w:tcPr>
            <w:tcW w:w="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840" w:type="dxa"/>
            <w:vAlign w:val="bottom"/>
            <w:gridSpan w:val="2"/>
            <w:shd w:val="clear" w:color="auto" w:fill="CCEEFF"/>
          </w:tcPr>
          <w:p>
            <w:pPr>
              <w:jc w:val="right"/>
              <w:ind w:right="140"/>
              <w:spacing w:after="0"/>
              <w:rPr>
                <w:sz w:val="20"/>
                <w:szCs w:val="20"/>
                <w:color w:val="auto"/>
              </w:rPr>
            </w:pPr>
            <w:r>
              <w:rPr>
                <w:rFonts w:ascii="Arial" w:cs="Arial" w:eastAsia="Arial" w:hAnsi="Arial"/>
                <w:sz w:val="18"/>
                <w:szCs w:val="18"/>
                <w:color w:val="auto"/>
              </w:rPr>
              <w:t>(899)</w:t>
            </w:r>
          </w:p>
        </w:tc>
        <w:tc>
          <w:tcPr>
            <w:tcW w:w="1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20" w:type="dxa"/>
            <w:vAlign w:val="bottom"/>
            <w:gridSpan w:val="2"/>
            <w:shd w:val="clear" w:color="auto" w:fill="CCEEFF"/>
          </w:tcPr>
          <w:p>
            <w:pPr>
              <w:jc w:val="right"/>
              <w:ind w:right="120"/>
              <w:spacing w:after="0"/>
              <w:rPr>
                <w:sz w:val="20"/>
                <w:szCs w:val="20"/>
                <w:color w:val="auto"/>
              </w:rPr>
            </w:pPr>
            <w:r>
              <w:rPr>
                <w:rFonts w:ascii="Arial" w:cs="Arial" w:eastAsia="Arial" w:hAnsi="Arial"/>
                <w:sz w:val="18"/>
                <w:szCs w:val="18"/>
                <w:color w:val="auto"/>
              </w:rPr>
              <w:t>(869)</w:t>
            </w:r>
          </w:p>
        </w:tc>
        <w:tc>
          <w:tcPr>
            <w:tcW w:w="1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900" w:type="dxa"/>
            <w:vAlign w:val="bottom"/>
            <w:gridSpan w:val="2"/>
            <w:shd w:val="clear" w:color="auto" w:fill="CCEEFF"/>
          </w:tcPr>
          <w:p>
            <w:pPr>
              <w:jc w:val="right"/>
              <w:ind w:right="120"/>
              <w:spacing w:after="0"/>
              <w:rPr>
                <w:sz w:val="20"/>
                <w:szCs w:val="20"/>
                <w:color w:val="auto"/>
              </w:rPr>
            </w:pPr>
            <w:r>
              <w:rPr>
                <w:rFonts w:ascii="Arial" w:cs="Arial" w:eastAsia="Arial" w:hAnsi="Arial"/>
                <w:sz w:val="18"/>
                <w:szCs w:val="18"/>
                <w:color w:val="auto"/>
              </w:rPr>
              <w:t>(16,281)</w:t>
            </w:r>
          </w:p>
        </w:tc>
        <w:tc>
          <w:tcPr>
            <w:tcW w:w="1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4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(23,876)</w:t>
            </w:r>
          </w:p>
        </w:tc>
      </w:tr>
      <w:tr>
        <w:trPr>
          <w:trHeight w:val="216"/>
        </w:trPr>
        <w:tc>
          <w:tcPr>
            <w:tcW w:w="20" w:type="dxa"/>
            <w:vAlign w:val="bottom"/>
          </w:tcPr>
          <w:p>
            <w:pPr>
              <w:spacing w:after="0"/>
              <w:rPr>
                <w:sz w:val="18"/>
                <w:szCs w:val="18"/>
                <w:color w:val="auto"/>
              </w:rPr>
            </w:pPr>
          </w:p>
        </w:tc>
        <w:tc>
          <w:tcPr>
            <w:tcW w:w="7220" w:type="dxa"/>
            <w:vAlign w:val="bottom"/>
          </w:tcPr>
          <w:p>
            <w:pPr>
              <w:ind w:left="340"/>
              <w:spacing w:after="0"/>
              <w:rPr>
                <w:sz w:val="20"/>
                <w:szCs w:val="20"/>
                <w:color w:val="auto"/>
              </w:rPr>
            </w:pPr>
            <w:r>
              <w:rPr>
                <w:rFonts w:ascii="Arial" w:cs="Arial" w:eastAsia="Arial" w:hAnsi="Arial"/>
                <w:sz w:val="18"/>
                <w:szCs w:val="18"/>
                <w:color w:val="auto"/>
              </w:rPr>
              <w:t>Dividend payments to shareholders</w:t>
            </w:r>
          </w:p>
        </w:tc>
        <w:tc>
          <w:tcPr>
            <w:tcW w:w="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840" w:type="dxa"/>
            <w:vAlign w:val="bottom"/>
            <w:gridSpan w:val="2"/>
          </w:tcPr>
          <w:p>
            <w:pPr>
              <w:jc w:val="right"/>
              <w:ind w:right="140"/>
              <w:spacing w:after="0"/>
              <w:rPr>
                <w:sz w:val="20"/>
                <w:szCs w:val="20"/>
                <w:color w:val="auto"/>
              </w:rPr>
            </w:pPr>
            <w:r>
              <w:rPr>
                <w:rFonts w:ascii="Arial" w:cs="Arial" w:eastAsia="Arial" w:hAnsi="Arial"/>
                <w:sz w:val="18"/>
                <w:szCs w:val="18"/>
                <w:color w:val="auto"/>
              </w:rPr>
              <w:t>(30,699)</w:t>
            </w:r>
          </w:p>
        </w:tc>
        <w:tc>
          <w:tcPr>
            <w:tcW w:w="1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820" w:type="dxa"/>
            <w:vAlign w:val="bottom"/>
            <w:gridSpan w:val="2"/>
          </w:tcPr>
          <w:p>
            <w:pPr>
              <w:jc w:val="right"/>
              <w:ind w:right="120"/>
              <w:spacing w:after="0"/>
              <w:rPr>
                <w:sz w:val="20"/>
                <w:szCs w:val="20"/>
                <w:color w:val="auto"/>
              </w:rPr>
            </w:pPr>
            <w:r>
              <w:rPr>
                <w:rFonts w:ascii="Arial" w:cs="Arial" w:eastAsia="Arial" w:hAnsi="Arial"/>
                <w:sz w:val="18"/>
                <w:szCs w:val="18"/>
                <w:color w:val="auto"/>
              </w:rPr>
              <w:t>(30,270)</w:t>
            </w:r>
          </w:p>
        </w:tc>
        <w:tc>
          <w:tcPr>
            <w:tcW w:w="1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900" w:type="dxa"/>
            <w:vAlign w:val="bottom"/>
            <w:gridSpan w:val="2"/>
          </w:tcPr>
          <w:p>
            <w:pPr>
              <w:jc w:val="right"/>
              <w:ind w:right="120"/>
              <w:spacing w:after="0"/>
              <w:rPr>
                <w:sz w:val="20"/>
                <w:szCs w:val="20"/>
                <w:color w:val="auto"/>
              </w:rPr>
            </w:pPr>
            <w:r>
              <w:rPr>
                <w:rFonts w:ascii="Arial" w:cs="Arial" w:eastAsia="Arial" w:hAnsi="Arial"/>
                <w:sz w:val="18"/>
                <w:szCs w:val="18"/>
                <w:color w:val="auto"/>
              </w:rPr>
              <w:t>(91,835)</w:t>
            </w:r>
          </w:p>
        </w:tc>
        <w:tc>
          <w:tcPr>
            <w:tcW w:w="1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840" w:type="dxa"/>
            <w:vAlign w:val="bottom"/>
            <w:gridSpan w:val="2"/>
          </w:tcPr>
          <w:p>
            <w:pPr>
              <w:jc w:val="right"/>
              <w:ind w:right="40"/>
              <w:spacing w:after="0"/>
              <w:rPr>
                <w:sz w:val="20"/>
                <w:szCs w:val="20"/>
                <w:color w:val="auto"/>
              </w:rPr>
            </w:pPr>
            <w:r>
              <w:rPr>
                <w:rFonts w:ascii="Arial" w:cs="Arial" w:eastAsia="Arial" w:hAnsi="Arial"/>
                <w:sz w:val="18"/>
                <w:szCs w:val="18"/>
                <w:color w:val="auto"/>
              </w:rPr>
              <w:t>(92,374)</w:t>
            </w:r>
          </w:p>
        </w:tc>
      </w:tr>
      <w:tr>
        <w:trPr>
          <w:trHeight w:val="216"/>
        </w:trPr>
        <w:tc>
          <w:tcPr>
            <w:tcW w:w="20" w:type="dxa"/>
            <w:vAlign w:val="bottom"/>
          </w:tcPr>
          <w:p>
            <w:pPr>
              <w:spacing w:after="0"/>
              <w:rPr>
                <w:sz w:val="18"/>
                <w:szCs w:val="18"/>
                <w:color w:val="auto"/>
              </w:rPr>
            </w:pPr>
          </w:p>
        </w:tc>
        <w:tc>
          <w:tcPr>
            <w:tcW w:w="7220" w:type="dxa"/>
            <w:vAlign w:val="bottom"/>
            <w:shd w:val="clear" w:color="auto" w:fill="CCEEFF"/>
          </w:tcPr>
          <w:p>
            <w:pPr>
              <w:ind w:left="340"/>
              <w:spacing w:after="0"/>
              <w:rPr>
                <w:sz w:val="20"/>
                <w:szCs w:val="20"/>
                <w:color w:val="auto"/>
              </w:rPr>
            </w:pPr>
            <w:r>
              <w:rPr>
                <w:rFonts w:ascii="Arial" w:cs="Arial" w:eastAsia="Arial" w:hAnsi="Arial"/>
                <w:sz w:val="18"/>
                <w:szCs w:val="18"/>
                <w:color w:val="auto"/>
              </w:rPr>
              <w:t>Payments on technology license obligations</w:t>
            </w:r>
          </w:p>
        </w:tc>
        <w:tc>
          <w:tcPr>
            <w:tcW w:w="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840" w:type="dxa"/>
            <w:vAlign w:val="bottom"/>
            <w:gridSpan w:val="2"/>
            <w:shd w:val="clear" w:color="auto" w:fill="CCEEFF"/>
          </w:tcPr>
          <w:p>
            <w:pPr>
              <w:jc w:val="right"/>
              <w:ind w:right="140"/>
              <w:spacing w:after="0"/>
              <w:rPr>
                <w:sz w:val="20"/>
                <w:szCs w:val="20"/>
                <w:color w:val="auto"/>
              </w:rPr>
            </w:pPr>
            <w:r>
              <w:rPr>
                <w:rFonts w:ascii="Arial" w:cs="Arial" w:eastAsia="Arial" w:hAnsi="Arial"/>
                <w:sz w:val="18"/>
                <w:szCs w:val="18"/>
                <w:color w:val="auto"/>
              </w:rPr>
              <w:t>(3,696)</w:t>
            </w:r>
          </w:p>
        </w:tc>
        <w:tc>
          <w:tcPr>
            <w:tcW w:w="1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20" w:type="dxa"/>
            <w:vAlign w:val="bottom"/>
            <w:gridSpan w:val="2"/>
            <w:shd w:val="clear" w:color="auto" w:fill="CCEEFF"/>
          </w:tcPr>
          <w:p>
            <w:pPr>
              <w:jc w:val="right"/>
              <w:ind w:right="120"/>
              <w:spacing w:after="0"/>
              <w:rPr>
                <w:sz w:val="20"/>
                <w:szCs w:val="20"/>
                <w:color w:val="auto"/>
              </w:rPr>
            </w:pPr>
            <w:r>
              <w:rPr>
                <w:rFonts w:ascii="Arial" w:cs="Arial" w:eastAsia="Arial" w:hAnsi="Arial"/>
                <w:sz w:val="18"/>
                <w:szCs w:val="18"/>
                <w:color w:val="auto"/>
              </w:rPr>
              <w:t>(2,617)</w:t>
            </w:r>
          </w:p>
        </w:tc>
        <w:tc>
          <w:tcPr>
            <w:tcW w:w="1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900" w:type="dxa"/>
            <w:vAlign w:val="bottom"/>
            <w:gridSpan w:val="2"/>
            <w:shd w:val="clear" w:color="auto" w:fill="CCEEFF"/>
          </w:tcPr>
          <w:p>
            <w:pPr>
              <w:jc w:val="right"/>
              <w:ind w:right="120"/>
              <w:spacing w:after="0"/>
              <w:rPr>
                <w:sz w:val="20"/>
                <w:szCs w:val="20"/>
                <w:color w:val="auto"/>
              </w:rPr>
            </w:pPr>
            <w:r>
              <w:rPr>
                <w:rFonts w:ascii="Arial" w:cs="Arial" w:eastAsia="Arial" w:hAnsi="Arial"/>
                <w:sz w:val="18"/>
                <w:szCs w:val="18"/>
                <w:color w:val="auto"/>
              </w:rPr>
              <w:t>(13,848)</w:t>
            </w:r>
          </w:p>
        </w:tc>
        <w:tc>
          <w:tcPr>
            <w:tcW w:w="1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4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(11,416)</w:t>
            </w:r>
          </w:p>
        </w:tc>
      </w:tr>
      <w:tr>
        <w:trPr>
          <w:trHeight w:val="216"/>
        </w:trPr>
        <w:tc>
          <w:tcPr>
            <w:tcW w:w="20" w:type="dxa"/>
            <w:vAlign w:val="bottom"/>
          </w:tcPr>
          <w:p>
            <w:pPr>
              <w:spacing w:after="0"/>
              <w:rPr>
                <w:sz w:val="18"/>
                <w:szCs w:val="18"/>
                <w:color w:val="auto"/>
              </w:rPr>
            </w:pPr>
          </w:p>
        </w:tc>
        <w:tc>
          <w:tcPr>
            <w:tcW w:w="7220" w:type="dxa"/>
            <w:vAlign w:val="bottom"/>
          </w:tcPr>
          <w:p>
            <w:pPr>
              <w:ind w:left="340"/>
              <w:spacing w:after="0"/>
              <w:rPr>
                <w:sz w:val="20"/>
                <w:szCs w:val="20"/>
                <w:color w:val="auto"/>
              </w:rPr>
            </w:pPr>
            <w:r>
              <w:rPr>
                <w:rFonts w:ascii="Arial" w:cs="Arial" w:eastAsia="Arial" w:hAnsi="Arial"/>
                <w:sz w:val="18"/>
                <w:szCs w:val="18"/>
                <w:color w:val="auto"/>
              </w:rPr>
              <w:t>Excess tax benefits from share-based compensation</w:t>
            </w:r>
          </w:p>
        </w:tc>
        <w:tc>
          <w:tcPr>
            <w:tcW w:w="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840" w:type="dxa"/>
            <w:vAlign w:val="bottom"/>
            <w:gridSpan w:val="2"/>
          </w:tcPr>
          <w:p>
            <w:pPr>
              <w:jc w:val="right"/>
              <w:ind w:right="200"/>
              <w:spacing w:after="0"/>
              <w:rPr>
                <w:sz w:val="20"/>
                <w:szCs w:val="20"/>
                <w:color w:val="auto"/>
              </w:rPr>
            </w:pPr>
            <w:r>
              <w:rPr>
                <w:rFonts w:ascii="Arial" w:cs="Arial" w:eastAsia="Arial" w:hAnsi="Arial"/>
                <w:sz w:val="18"/>
                <w:szCs w:val="18"/>
                <w:color w:val="auto"/>
              </w:rPr>
              <w:t>5</w:t>
            </w:r>
          </w:p>
        </w:tc>
        <w:tc>
          <w:tcPr>
            <w:tcW w:w="1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820" w:type="dxa"/>
            <w:vAlign w:val="bottom"/>
            <w:gridSpan w:val="2"/>
          </w:tcPr>
          <w:p>
            <w:pPr>
              <w:jc w:val="right"/>
              <w:ind w:right="180"/>
              <w:spacing w:after="0"/>
              <w:rPr>
                <w:sz w:val="20"/>
                <w:szCs w:val="20"/>
                <w:color w:val="auto"/>
              </w:rPr>
            </w:pPr>
            <w:r>
              <w:rPr>
                <w:rFonts w:ascii="Arial" w:cs="Arial" w:eastAsia="Arial" w:hAnsi="Arial"/>
                <w:sz w:val="18"/>
                <w:szCs w:val="18"/>
                <w:color w:val="auto"/>
              </w:rPr>
              <w:t>2</w:t>
            </w:r>
          </w:p>
        </w:tc>
        <w:tc>
          <w:tcPr>
            <w:tcW w:w="1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20" w:type="dxa"/>
            <w:vAlign w:val="bottom"/>
          </w:tcPr>
          <w:p>
            <w:pPr>
              <w:jc w:val="right"/>
              <w:spacing w:after="0"/>
              <w:rPr>
                <w:sz w:val="20"/>
                <w:szCs w:val="20"/>
                <w:color w:val="auto"/>
              </w:rPr>
            </w:pPr>
            <w:r>
              <w:rPr>
                <w:rFonts w:ascii="Arial" w:cs="Arial" w:eastAsia="Arial" w:hAnsi="Arial"/>
                <w:sz w:val="18"/>
                <w:szCs w:val="18"/>
                <w:color w:val="auto"/>
              </w:rPr>
              <w:t>10</w:t>
            </w:r>
          </w:p>
        </w:tc>
        <w:tc>
          <w:tcPr>
            <w:tcW w:w="18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840" w:type="dxa"/>
            <w:vAlign w:val="bottom"/>
            <w:gridSpan w:val="2"/>
          </w:tcPr>
          <w:p>
            <w:pPr>
              <w:jc w:val="right"/>
              <w:ind w:right="100"/>
              <w:spacing w:after="0"/>
              <w:rPr>
                <w:sz w:val="20"/>
                <w:szCs w:val="20"/>
                <w:color w:val="auto"/>
              </w:rPr>
            </w:pPr>
            <w:r>
              <w:rPr>
                <w:rFonts w:ascii="Arial" w:cs="Arial" w:eastAsia="Arial" w:hAnsi="Arial"/>
                <w:sz w:val="18"/>
                <w:szCs w:val="18"/>
                <w:color w:val="auto"/>
              </w:rPr>
              <w:t>27</w:t>
            </w:r>
          </w:p>
        </w:tc>
      </w:tr>
      <w:tr>
        <w:trPr>
          <w:trHeight w:val="27"/>
        </w:trPr>
        <w:tc>
          <w:tcPr>
            <w:tcW w:w="20" w:type="dxa"/>
            <w:vAlign w:val="bottom"/>
          </w:tcPr>
          <w:p>
            <w:pPr>
              <w:spacing w:after="0"/>
              <w:rPr>
                <w:sz w:val="2"/>
                <w:szCs w:val="2"/>
                <w:color w:val="auto"/>
              </w:rPr>
            </w:pPr>
          </w:p>
        </w:tc>
        <w:tc>
          <w:tcPr>
            <w:tcW w:w="7220" w:type="dxa"/>
            <w:vAlign w:val="bottom"/>
          </w:tcPr>
          <w:p>
            <w:pPr>
              <w:spacing w:after="0"/>
              <w:rPr>
                <w:sz w:val="2"/>
                <w:szCs w:val="2"/>
                <w:color w:val="auto"/>
              </w:rPr>
            </w:pPr>
          </w:p>
        </w:tc>
        <w:tc>
          <w:tcPr>
            <w:tcW w:w="20" w:type="dxa"/>
            <w:vAlign w:val="bottom"/>
          </w:tcPr>
          <w:p>
            <w:pPr>
              <w:spacing w:after="0"/>
              <w:rPr>
                <w:sz w:val="2"/>
                <w:szCs w:val="2"/>
                <w:color w:val="auto"/>
              </w:rPr>
            </w:pPr>
          </w:p>
        </w:tc>
        <w:tc>
          <w:tcPr>
            <w:tcW w:w="80" w:type="dxa"/>
            <w:vAlign w:val="bottom"/>
            <w:shd w:val="clear" w:color="auto" w:fill="000000"/>
          </w:tcPr>
          <w:p>
            <w:pPr>
              <w:spacing w:after="0"/>
              <w:rPr>
                <w:sz w:val="2"/>
                <w:szCs w:val="2"/>
                <w:color w:val="auto"/>
              </w:rPr>
            </w:pPr>
          </w:p>
        </w:tc>
        <w:tc>
          <w:tcPr>
            <w:tcW w:w="640" w:type="dxa"/>
            <w:vAlign w:val="bottom"/>
            <w:shd w:val="clear" w:color="auto" w:fill="000000"/>
          </w:tcPr>
          <w:p>
            <w:pPr>
              <w:spacing w:after="0"/>
              <w:rPr>
                <w:sz w:val="2"/>
                <w:szCs w:val="2"/>
                <w:color w:val="auto"/>
              </w:rPr>
            </w:pPr>
          </w:p>
        </w:tc>
        <w:tc>
          <w:tcPr>
            <w:tcW w:w="200" w:type="dxa"/>
            <w:vAlign w:val="bottom"/>
          </w:tcPr>
          <w:p>
            <w:pPr>
              <w:spacing w:after="0"/>
              <w:rPr>
                <w:sz w:val="2"/>
                <w:szCs w:val="2"/>
                <w:color w:val="auto"/>
              </w:rPr>
            </w:pPr>
          </w:p>
        </w:tc>
        <w:tc>
          <w:tcPr>
            <w:tcW w:w="12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640" w:type="dxa"/>
            <w:vAlign w:val="bottom"/>
            <w:shd w:val="clear" w:color="auto" w:fill="000000"/>
          </w:tcPr>
          <w:p>
            <w:pPr>
              <w:spacing w:after="0"/>
              <w:rPr>
                <w:sz w:val="2"/>
                <w:szCs w:val="2"/>
                <w:color w:val="auto"/>
              </w:rPr>
            </w:pPr>
          </w:p>
        </w:tc>
        <w:tc>
          <w:tcPr>
            <w:tcW w:w="180" w:type="dxa"/>
            <w:vAlign w:val="bottom"/>
          </w:tcPr>
          <w:p>
            <w:pPr>
              <w:spacing w:after="0"/>
              <w:rPr>
                <w:sz w:val="2"/>
                <w:szCs w:val="2"/>
                <w:color w:val="auto"/>
              </w:rPr>
            </w:pPr>
          </w:p>
        </w:tc>
        <w:tc>
          <w:tcPr>
            <w:tcW w:w="14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720" w:type="dxa"/>
            <w:vAlign w:val="bottom"/>
            <w:shd w:val="clear" w:color="auto" w:fill="000000"/>
          </w:tcPr>
          <w:p>
            <w:pPr>
              <w:spacing w:after="0"/>
              <w:rPr>
                <w:sz w:val="2"/>
                <w:szCs w:val="2"/>
                <w:color w:val="auto"/>
              </w:rPr>
            </w:pPr>
          </w:p>
        </w:tc>
        <w:tc>
          <w:tcPr>
            <w:tcW w:w="180" w:type="dxa"/>
            <w:vAlign w:val="bottom"/>
          </w:tcPr>
          <w:p>
            <w:pPr>
              <w:spacing w:after="0"/>
              <w:rPr>
                <w:sz w:val="2"/>
                <w:szCs w:val="2"/>
                <w:color w:val="auto"/>
              </w:rPr>
            </w:pPr>
          </w:p>
        </w:tc>
        <w:tc>
          <w:tcPr>
            <w:tcW w:w="12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740" w:type="dxa"/>
            <w:vAlign w:val="bottom"/>
            <w:shd w:val="clear" w:color="auto" w:fill="000000"/>
          </w:tcPr>
          <w:p>
            <w:pPr>
              <w:spacing w:after="0"/>
              <w:rPr>
                <w:sz w:val="2"/>
                <w:szCs w:val="2"/>
                <w:color w:val="auto"/>
              </w:rPr>
            </w:pPr>
          </w:p>
        </w:tc>
        <w:tc>
          <w:tcPr>
            <w:tcW w:w="100" w:type="dxa"/>
            <w:vAlign w:val="bottom"/>
          </w:tcPr>
          <w:p>
            <w:pPr>
              <w:spacing w:after="0"/>
              <w:rPr>
                <w:sz w:val="2"/>
                <w:szCs w:val="2"/>
                <w:color w:val="auto"/>
              </w:rPr>
            </w:pPr>
          </w:p>
        </w:tc>
      </w:tr>
      <w:tr>
        <w:trPr>
          <w:trHeight w:val="216"/>
        </w:trPr>
        <w:tc>
          <w:tcPr>
            <w:tcW w:w="20" w:type="dxa"/>
            <w:vAlign w:val="bottom"/>
          </w:tcPr>
          <w:p>
            <w:pPr>
              <w:spacing w:after="0"/>
              <w:rPr>
                <w:sz w:val="18"/>
                <w:szCs w:val="18"/>
                <w:color w:val="auto"/>
              </w:rPr>
            </w:pPr>
          </w:p>
        </w:tc>
        <w:tc>
          <w:tcPr>
            <w:tcW w:w="7220" w:type="dxa"/>
            <w:vAlign w:val="bottom"/>
            <w:shd w:val="clear" w:color="auto" w:fill="CCEEFF"/>
          </w:tcPr>
          <w:p>
            <w:pPr>
              <w:ind w:left="1060"/>
              <w:spacing w:after="0"/>
              <w:rPr>
                <w:sz w:val="20"/>
                <w:szCs w:val="20"/>
                <w:color w:val="auto"/>
              </w:rPr>
            </w:pPr>
            <w:r>
              <w:rPr>
                <w:rFonts w:ascii="Arial" w:cs="Arial" w:eastAsia="Arial" w:hAnsi="Arial"/>
                <w:sz w:val="18"/>
                <w:szCs w:val="18"/>
                <w:color w:val="auto"/>
              </w:rPr>
              <w:t>Net cash used in financing activities</w:t>
            </w:r>
          </w:p>
        </w:tc>
        <w:tc>
          <w:tcPr>
            <w:tcW w:w="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840" w:type="dxa"/>
            <w:vAlign w:val="bottom"/>
            <w:gridSpan w:val="2"/>
            <w:shd w:val="clear" w:color="auto" w:fill="CCEEFF"/>
          </w:tcPr>
          <w:p>
            <w:pPr>
              <w:jc w:val="right"/>
              <w:ind w:right="140"/>
              <w:spacing w:after="0"/>
              <w:rPr>
                <w:sz w:val="20"/>
                <w:szCs w:val="20"/>
                <w:color w:val="auto"/>
              </w:rPr>
            </w:pPr>
            <w:r>
              <w:rPr>
                <w:rFonts w:ascii="Arial" w:cs="Arial" w:eastAsia="Arial" w:hAnsi="Arial"/>
                <w:sz w:val="18"/>
                <w:szCs w:val="18"/>
                <w:color w:val="auto"/>
              </w:rPr>
              <w:t>(80,543)</w:t>
            </w:r>
          </w:p>
        </w:tc>
        <w:tc>
          <w:tcPr>
            <w:tcW w:w="1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20" w:type="dxa"/>
            <w:vAlign w:val="bottom"/>
            <w:gridSpan w:val="2"/>
            <w:shd w:val="clear" w:color="auto" w:fill="CCEEFF"/>
          </w:tcPr>
          <w:p>
            <w:pPr>
              <w:jc w:val="right"/>
              <w:ind w:right="120"/>
              <w:spacing w:after="0"/>
              <w:rPr>
                <w:sz w:val="20"/>
                <w:szCs w:val="20"/>
                <w:color w:val="auto"/>
              </w:rPr>
            </w:pPr>
            <w:r>
              <w:rPr>
                <w:rFonts w:ascii="Arial" w:cs="Arial" w:eastAsia="Arial" w:hAnsi="Arial"/>
                <w:sz w:val="18"/>
                <w:szCs w:val="18"/>
                <w:color w:val="auto"/>
              </w:rPr>
              <w:t>(96,871)</w:t>
            </w:r>
          </w:p>
        </w:tc>
        <w:tc>
          <w:tcPr>
            <w:tcW w:w="1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900" w:type="dxa"/>
            <w:vAlign w:val="bottom"/>
            <w:gridSpan w:val="2"/>
            <w:shd w:val="clear" w:color="auto" w:fill="CCEEFF"/>
          </w:tcPr>
          <w:p>
            <w:pPr>
              <w:jc w:val="right"/>
              <w:ind w:right="120"/>
              <w:spacing w:after="0"/>
              <w:rPr>
                <w:sz w:val="20"/>
                <w:szCs w:val="20"/>
                <w:color w:val="auto"/>
              </w:rPr>
            </w:pPr>
            <w:r>
              <w:rPr>
                <w:rFonts w:ascii="Arial" w:cs="Arial" w:eastAsia="Arial" w:hAnsi="Arial"/>
                <w:sz w:val="18"/>
                <w:szCs w:val="18"/>
                <w:color w:val="auto"/>
                <w:w w:val="98"/>
              </w:rPr>
              <w:t>(166,649)</w:t>
            </w:r>
          </w:p>
        </w:tc>
        <w:tc>
          <w:tcPr>
            <w:tcW w:w="1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4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(329,166)</w:t>
            </w:r>
          </w:p>
        </w:tc>
      </w:tr>
      <w:tr>
        <w:trPr>
          <w:trHeight w:val="230"/>
        </w:trPr>
        <w:tc>
          <w:tcPr>
            <w:tcW w:w="7240" w:type="dxa"/>
            <w:vAlign w:val="bottom"/>
            <w:gridSpan w:val="2"/>
          </w:tcPr>
          <w:p>
            <w:pPr>
              <w:spacing w:after="0"/>
              <w:rPr>
                <w:sz w:val="20"/>
                <w:szCs w:val="20"/>
                <w:color w:val="auto"/>
              </w:rPr>
            </w:pPr>
            <w:r>
              <w:rPr>
                <w:rFonts w:ascii="Arial" w:cs="Arial" w:eastAsia="Arial" w:hAnsi="Arial"/>
                <w:sz w:val="18"/>
                <w:szCs w:val="18"/>
                <w:color w:val="auto"/>
              </w:rPr>
              <w:t>Net increase (decrease) in cash and cash equivalents</w:t>
            </w:r>
          </w:p>
        </w:tc>
        <w:tc>
          <w:tcPr>
            <w:tcW w:w="20" w:type="dxa"/>
            <w:vAlign w:val="bottom"/>
          </w:tcPr>
          <w:p>
            <w:pPr>
              <w:spacing w:after="0"/>
              <w:rPr>
                <w:sz w:val="20"/>
                <w:szCs w:val="20"/>
                <w:color w:val="auto"/>
              </w:rPr>
            </w:pPr>
          </w:p>
        </w:tc>
        <w:tc>
          <w:tcPr>
            <w:tcW w:w="80" w:type="dxa"/>
            <w:vAlign w:val="bottom"/>
            <w:tcBorders>
              <w:top w:val="single" w:sz="8" w:color="auto"/>
              <w:bottom w:val="single" w:sz="8" w:color="auto"/>
            </w:tcBorders>
          </w:tcPr>
          <w:p>
            <w:pPr>
              <w:spacing w:after="0"/>
              <w:rPr>
                <w:sz w:val="20"/>
                <w:szCs w:val="20"/>
                <w:color w:val="auto"/>
              </w:rPr>
            </w:pPr>
          </w:p>
        </w:tc>
        <w:tc>
          <w:tcPr>
            <w:tcW w:w="64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32,836</w:t>
            </w:r>
          </w:p>
        </w:tc>
        <w:tc>
          <w:tcPr>
            <w:tcW w:w="200" w:type="dxa"/>
            <w:vAlign w:val="bottom"/>
          </w:tcPr>
          <w:p>
            <w:pPr>
              <w:spacing w:after="0"/>
              <w:rPr>
                <w:sz w:val="20"/>
                <w:szCs w:val="20"/>
                <w:color w:val="auto"/>
              </w:rPr>
            </w:pPr>
          </w:p>
        </w:tc>
        <w:tc>
          <w:tcPr>
            <w:tcW w:w="120" w:type="dxa"/>
            <w:vAlign w:val="bottom"/>
          </w:tcPr>
          <w:p>
            <w:pPr>
              <w:spacing w:after="0"/>
              <w:rPr>
                <w:sz w:val="20"/>
                <w:szCs w:val="20"/>
                <w:color w:val="auto"/>
              </w:rPr>
            </w:pPr>
          </w:p>
        </w:tc>
        <w:tc>
          <w:tcPr>
            <w:tcW w:w="100" w:type="dxa"/>
            <w:vAlign w:val="bottom"/>
            <w:tcBorders>
              <w:top w:val="single" w:sz="8" w:color="auto"/>
              <w:bottom w:val="single" w:sz="8" w:color="auto"/>
            </w:tcBorders>
          </w:tcPr>
          <w:p>
            <w:pPr>
              <w:spacing w:after="0"/>
              <w:rPr>
                <w:sz w:val="20"/>
                <w:szCs w:val="20"/>
                <w:color w:val="auto"/>
              </w:rPr>
            </w:pPr>
          </w:p>
        </w:tc>
        <w:tc>
          <w:tcPr>
            <w:tcW w:w="64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w w:val="92"/>
              </w:rPr>
              <w:t>(30,477)</w:t>
            </w:r>
          </w:p>
        </w:tc>
        <w:tc>
          <w:tcPr>
            <w:tcW w:w="180" w:type="dxa"/>
            <w:vAlign w:val="bottom"/>
          </w:tcPr>
          <w:p>
            <w:pPr>
              <w:spacing w:after="0"/>
              <w:rPr>
                <w:sz w:val="20"/>
                <w:szCs w:val="20"/>
                <w:color w:val="auto"/>
              </w:rPr>
            </w:pPr>
          </w:p>
        </w:tc>
        <w:tc>
          <w:tcPr>
            <w:tcW w:w="140" w:type="dxa"/>
            <w:vAlign w:val="bottom"/>
          </w:tcPr>
          <w:p>
            <w:pPr>
              <w:spacing w:after="0"/>
              <w:rPr>
                <w:sz w:val="20"/>
                <w:szCs w:val="20"/>
                <w:color w:val="auto"/>
              </w:rPr>
            </w:pPr>
          </w:p>
        </w:tc>
        <w:tc>
          <w:tcPr>
            <w:tcW w:w="100" w:type="dxa"/>
            <w:vAlign w:val="bottom"/>
            <w:tcBorders>
              <w:top w:val="single" w:sz="8" w:color="auto"/>
              <w:bottom w:val="single" w:sz="8" w:color="auto"/>
            </w:tcBorders>
          </w:tcPr>
          <w:p>
            <w:pPr>
              <w:spacing w:after="0"/>
              <w:rPr>
                <w:sz w:val="20"/>
                <w:szCs w:val="20"/>
                <w:color w:val="auto"/>
              </w:rPr>
            </w:pPr>
          </w:p>
        </w:tc>
        <w:tc>
          <w:tcPr>
            <w:tcW w:w="72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w w:val="90"/>
              </w:rPr>
              <w:t>(526,592)</w:t>
            </w:r>
          </w:p>
        </w:tc>
        <w:tc>
          <w:tcPr>
            <w:tcW w:w="180" w:type="dxa"/>
            <w:vAlign w:val="bottom"/>
          </w:tcPr>
          <w:p>
            <w:pPr>
              <w:spacing w:after="0"/>
              <w:rPr>
                <w:sz w:val="20"/>
                <w:szCs w:val="20"/>
                <w:color w:val="auto"/>
              </w:rPr>
            </w:pPr>
          </w:p>
        </w:tc>
        <w:tc>
          <w:tcPr>
            <w:tcW w:w="120" w:type="dxa"/>
            <w:vAlign w:val="bottom"/>
          </w:tcPr>
          <w:p>
            <w:pPr>
              <w:spacing w:after="0"/>
              <w:rPr>
                <w:sz w:val="20"/>
                <w:szCs w:val="20"/>
                <w:color w:val="auto"/>
              </w:rPr>
            </w:pPr>
          </w:p>
        </w:tc>
        <w:tc>
          <w:tcPr>
            <w:tcW w:w="100" w:type="dxa"/>
            <w:vAlign w:val="bottom"/>
            <w:tcBorders>
              <w:top w:val="single" w:sz="8" w:color="auto"/>
              <w:bottom w:val="single" w:sz="8" w:color="auto"/>
            </w:tcBorders>
          </w:tcPr>
          <w:p>
            <w:pPr>
              <w:spacing w:after="0"/>
              <w:rPr>
                <w:sz w:val="20"/>
                <w:szCs w:val="20"/>
                <w:color w:val="auto"/>
              </w:rPr>
            </w:pPr>
          </w:p>
        </w:tc>
        <w:tc>
          <w:tcPr>
            <w:tcW w:w="74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w w:val="93"/>
              </w:rPr>
              <w:t>(313,924)</w:t>
            </w:r>
          </w:p>
        </w:tc>
        <w:tc>
          <w:tcPr>
            <w:tcW w:w="100" w:type="dxa"/>
            <w:vAlign w:val="bottom"/>
          </w:tcPr>
          <w:p>
            <w:pPr>
              <w:spacing w:after="0"/>
              <w:rPr>
                <w:sz w:val="20"/>
                <w:szCs w:val="20"/>
                <w:color w:val="auto"/>
              </w:rPr>
            </w:pPr>
          </w:p>
        </w:tc>
      </w:tr>
      <w:tr>
        <w:trPr>
          <w:trHeight w:val="216"/>
        </w:trPr>
        <w:tc>
          <w:tcPr>
            <w:tcW w:w="20" w:type="dxa"/>
            <w:vAlign w:val="bottom"/>
          </w:tcPr>
          <w:p>
            <w:pPr>
              <w:spacing w:after="0"/>
              <w:rPr>
                <w:sz w:val="18"/>
                <w:szCs w:val="18"/>
                <w:color w:val="auto"/>
              </w:rPr>
            </w:pPr>
          </w:p>
        </w:tc>
        <w:tc>
          <w:tcPr>
            <w:tcW w:w="7220" w:type="dxa"/>
            <w:vAlign w:val="bottom"/>
            <w:shd w:val="clear" w:color="auto" w:fill="CCEEFF"/>
          </w:tcPr>
          <w:p>
            <w:pPr>
              <w:spacing w:after="0"/>
              <w:rPr>
                <w:sz w:val="20"/>
                <w:szCs w:val="20"/>
                <w:color w:val="auto"/>
              </w:rPr>
            </w:pPr>
            <w:r>
              <w:rPr>
                <w:rFonts w:ascii="Arial" w:cs="Arial" w:eastAsia="Arial" w:hAnsi="Arial"/>
                <w:sz w:val="18"/>
                <w:szCs w:val="18"/>
                <w:color w:val="auto"/>
              </w:rPr>
              <w:t>Cash and cash equivalents at beginning of period</w:t>
            </w:r>
          </w:p>
        </w:tc>
        <w:tc>
          <w:tcPr>
            <w:tcW w:w="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640" w:type="dxa"/>
            <w:vAlign w:val="bottom"/>
            <w:shd w:val="clear" w:color="auto" w:fill="CCEEFF"/>
          </w:tcPr>
          <w:p>
            <w:pPr>
              <w:jc w:val="right"/>
              <w:spacing w:after="0"/>
              <w:rPr>
                <w:sz w:val="20"/>
                <w:szCs w:val="20"/>
                <w:color w:val="auto"/>
              </w:rPr>
            </w:pPr>
            <w:r>
              <w:rPr>
                <w:rFonts w:ascii="Arial" w:cs="Arial" w:eastAsia="Arial" w:hAnsi="Arial"/>
                <w:sz w:val="18"/>
                <w:szCs w:val="18"/>
                <w:color w:val="auto"/>
                <w:w w:val="95"/>
              </w:rPr>
              <w:t>718,752</w:t>
            </w:r>
          </w:p>
        </w:tc>
        <w:tc>
          <w:tcPr>
            <w:tcW w:w="20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20" w:type="dxa"/>
            <w:vAlign w:val="bottom"/>
            <w:gridSpan w:val="2"/>
            <w:shd w:val="clear" w:color="auto" w:fill="CCEEFF"/>
          </w:tcPr>
          <w:p>
            <w:pPr>
              <w:jc w:val="right"/>
              <w:ind w:right="180"/>
              <w:spacing w:after="0"/>
              <w:rPr>
                <w:sz w:val="20"/>
                <w:szCs w:val="20"/>
                <w:color w:val="auto"/>
              </w:rPr>
            </w:pPr>
            <w:r>
              <w:rPr>
                <w:rFonts w:ascii="Arial" w:cs="Arial" w:eastAsia="Arial" w:hAnsi="Arial"/>
                <w:sz w:val="18"/>
                <w:szCs w:val="18"/>
                <w:color w:val="auto"/>
                <w:w w:val="95"/>
              </w:rPr>
              <w:t>927,530</w:t>
            </w:r>
          </w:p>
        </w:tc>
        <w:tc>
          <w:tcPr>
            <w:tcW w:w="1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2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7"/>
              </w:rPr>
              <w:t>1,278,180</w:t>
            </w:r>
          </w:p>
        </w:tc>
        <w:tc>
          <w:tcPr>
            <w:tcW w:w="18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4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w w:val="89"/>
              </w:rPr>
              <w:t>1,210,977</w:t>
            </w:r>
          </w:p>
        </w:tc>
      </w:tr>
      <w:tr>
        <w:trPr>
          <w:trHeight w:val="223"/>
        </w:trPr>
        <w:tc>
          <w:tcPr>
            <w:tcW w:w="7240" w:type="dxa"/>
            <w:vAlign w:val="bottom"/>
            <w:gridSpan w:val="2"/>
          </w:tcPr>
          <w:p>
            <w:pPr>
              <w:spacing w:after="0"/>
              <w:rPr>
                <w:sz w:val="20"/>
                <w:szCs w:val="20"/>
                <w:color w:val="auto"/>
              </w:rPr>
            </w:pPr>
            <w:r>
              <w:rPr>
                <w:rFonts w:ascii="Arial" w:cs="Arial" w:eastAsia="Arial" w:hAnsi="Arial"/>
                <w:sz w:val="18"/>
                <w:szCs w:val="18"/>
                <w:color w:val="auto"/>
              </w:rPr>
              <w:t>Cash and cash equivalents at end of period</w:t>
            </w:r>
          </w:p>
        </w:tc>
        <w:tc>
          <w:tcPr>
            <w:tcW w:w="20" w:type="dxa"/>
            <w:vAlign w:val="bottom"/>
            <w:tcBorders>
              <w:bottom w:val="single" w:sz="8" w:color="auto"/>
            </w:tcBorders>
          </w:tcPr>
          <w:p>
            <w:pPr>
              <w:spacing w:after="0"/>
              <w:rPr>
                <w:sz w:val="19"/>
                <w:szCs w:val="19"/>
                <w:color w:val="auto"/>
              </w:rPr>
            </w:pPr>
          </w:p>
        </w:tc>
        <w:tc>
          <w:tcPr>
            <w:tcW w:w="80" w:type="dxa"/>
            <w:vAlign w:val="bottom"/>
            <w:tcBorders>
              <w:top w:val="single" w:sz="8" w:color="auto"/>
              <w:bottom w:val="single" w:sz="8" w:color="auto"/>
            </w:tcBorders>
          </w:tcPr>
          <w:p>
            <w:pPr>
              <w:spacing w:after="0"/>
              <w:rPr>
                <w:sz w:val="20"/>
                <w:szCs w:val="20"/>
                <w:color w:val="auto"/>
              </w:rPr>
            </w:pPr>
            <w:r>
              <w:rPr>
                <w:rFonts w:ascii="Arial" w:cs="Arial" w:eastAsia="Arial" w:hAnsi="Arial"/>
                <w:sz w:val="15"/>
                <w:szCs w:val="15"/>
                <w:color w:val="auto"/>
                <w:w w:val="71"/>
              </w:rPr>
              <w:t>$</w:t>
            </w:r>
          </w:p>
        </w:tc>
        <w:tc>
          <w:tcPr>
            <w:tcW w:w="64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w w:val="95"/>
              </w:rPr>
              <w:t>751,588</w:t>
            </w:r>
          </w:p>
        </w:tc>
        <w:tc>
          <w:tcPr>
            <w:tcW w:w="20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100" w:type="dxa"/>
            <w:vAlign w:val="bottom"/>
            <w:tcBorders>
              <w:top w:val="single" w:sz="8" w:color="auto"/>
              <w:bottom w:val="single" w:sz="8" w:color="auto"/>
            </w:tcBorders>
          </w:tcPr>
          <w:p>
            <w:pPr>
              <w:spacing w:after="0"/>
              <w:rPr>
                <w:sz w:val="20"/>
                <w:szCs w:val="20"/>
                <w:color w:val="auto"/>
              </w:rPr>
            </w:pPr>
            <w:r>
              <w:rPr>
                <w:rFonts w:ascii="Arial" w:cs="Arial" w:eastAsia="Arial" w:hAnsi="Arial"/>
                <w:sz w:val="18"/>
                <w:szCs w:val="18"/>
                <w:color w:val="auto"/>
                <w:w w:val="79"/>
              </w:rPr>
              <w:t>$</w:t>
            </w:r>
          </w:p>
        </w:tc>
        <w:tc>
          <w:tcPr>
            <w:tcW w:w="64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w w:val="95"/>
              </w:rPr>
              <w:t>897,053</w:t>
            </w:r>
          </w:p>
        </w:tc>
        <w:tc>
          <w:tcPr>
            <w:tcW w:w="180" w:type="dxa"/>
            <w:vAlign w:val="bottom"/>
          </w:tcPr>
          <w:p>
            <w:pPr>
              <w:spacing w:after="0"/>
              <w:rPr>
                <w:sz w:val="19"/>
                <w:szCs w:val="19"/>
                <w:color w:val="auto"/>
              </w:rPr>
            </w:pPr>
          </w:p>
        </w:tc>
        <w:tc>
          <w:tcPr>
            <w:tcW w:w="140" w:type="dxa"/>
            <w:vAlign w:val="bottom"/>
          </w:tcPr>
          <w:p>
            <w:pPr>
              <w:spacing w:after="0"/>
              <w:rPr>
                <w:sz w:val="19"/>
                <w:szCs w:val="19"/>
                <w:color w:val="auto"/>
              </w:rPr>
            </w:pPr>
          </w:p>
        </w:tc>
        <w:tc>
          <w:tcPr>
            <w:tcW w:w="10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5"/>
                <w:szCs w:val="15"/>
                <w:color w:val="auto"/>
                <w:w w:val="71"/>
              </w:rPr>
              <w:t>$</w:t>
            </w:r>
          </w:p>
        </w:tc>
        <w:tc>
          <w:tcPr>
            <w:tcW w:w="72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751,588</w:t>
            </w:r>
          </w:p>
        </w:tc>
        <w:tc>
          <w:tcPr>
            <w:tcW w:w="18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10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w w:val="79"/>
              </w:rPr>
              <w:t>$</w:t>
            </w:r>
          </w:p>
        </w:tc>
        <w:tc>
          <w:tcPr>
            <w:tcW w:w="74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897,053</w:t>
            </w:r>
          </w:p>
        </w:tc>
        <w:tc>
          <w:tcPr>
            <w:tcW w:w="100" w:type="dxa"/>
            <w:vAlign w:val="bottom"/>
          </w:tcPr>
          <w:p>
            <w:pPr>
              <w:spacing w:after="0"/>
              <w:rPr>
                <w:sz w:val="19"/>
                <w:szCs w:val="19"/>
                <w:color w:val="auto"/>
              </w:rPr>
            </w:pPr>
          </w:p>
        </w:tc>
      </w:tr>
      <w:tr>
        <w:trPr>
          <w:trHeight w:val="20"/>
        </w:trPr>
        <w:tc>
          <w:tcPr>
            <w:tcW w:w="20" w:type="dxa"/>
            <w:vAlign w:val="bottom"/>
          </w:tcPr>
          <w:p>
            <w:pPr>
              <w:spacing w:after="0" w:line="20" w:lineRule="exact"/>
              <w:rPr>
                <w:sz w:val="1"/>
                <w:szCs w:val="1"/>
                <w:color w:val="auto"/>
              </w:rPr>
            </w:pPr>
          </w:p>
        </w:tc>
        <w:tc>
          <w:tcPr>
            <w:tcW w:w="72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80" w:type="dxa"/>
            <w:vAlign w:val="bottom"/>
            <w:tcBorders>
              <w:bottom w:val="single" w:sz="8" w:color="auto"/>
            </w:tcBorders>
          </w:tcPr>
          <w:p>
            <w:pPr>
              <w:spacing w:after="0" w:line="20" w:lineRule="exact"/>
              <w:rPr>
                <w:sz w:val="1"/>
                <w:szCs w:val="1"/>
                <w:color w:val="auto"/>
              </w:rPr>
            </w:pPr>
          </w:p>
        </w:tc>
        <w:tc>
          <w:tcPr>
            <w:tcW w:w="640" w:type="dxa"/>
            <w:vAlign w:val="bottom"/>
            <w:tcBorders>
              <w:bottom w:val="single" w:sz="8" w:color="auto"/>
            </w:tcBorders>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640" w:type="dxa"/>
            <w:vAlign w:val="bottom"/>
            <w:tcBorders>
              <w:bottom w:val="single" w:sz="8" w:color="auto"/>
            </w:tcBorders>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720" w:type="dxa"/>
            <w:vAlign w:val="bottom"/>
            <w:tcBorders>
              <w:bottom w:val="single" w:sz="8" w:color="auto"/>
            </w:tcBorders>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74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r>
    </w:tbl>
    <w:p>
      <w:pPr>
        <w:spacing w:after="0" w:line="242" w:lineRule="exact"/>
        <w:rPr>
          <w:sz w:val="20"/>
          <w:szCs w:val="20"/>
          <w:color w:val="auto"/>
        </w:rPr>
      </w:pPr>
    </w:p>
    <w:p>
      <w:pPr>
        <w:ind w:left="460" w:right="80" w:hanging="452"/>
        <w:spacing w:after="0" w:line="253" w:lineRule="auto"/>
        <w:tabs>
          <w:tab w:leader="none" w:pos="460" w:val="left"/>
        </w:tabs>
        <w:numPr>
          <w:ilvl w:val="0"/>
          <w:numId w:val="6"/>
        </w:numPr>
        <w:rPr>
          <w:rFonts w:ascii="Arial" w:cs="Arial" w:eastAsia="Arial" w:hAnsi="Arial"/>
          <w:sz w:val="18"/>
          <w:szCs w:val="18"/>
          <w:i w:val="1"/>
          <w:iCs w:val="1"/>
          <w:color w:val="auto"/>
        </w:rPr>
      </w:pPr>
      <w:r>
        <w:rPr>
          <w:rFonts w:ascii="Arial" w:cs="Arial" w:eastAsia="Arial" w:hAnsi="Arial"/>
          <w:sz w:val="18"/>
          <w:szCs w:val="18"/>
          <w:color w:val="auto"/>
        </w:rPr>
        <w:t>In the nine months ended October 29, 2016, the Company paid a total of $750.0 million to CMU in connection with the settlement agreement that was reached in February 2016. Of this settlement, the Company recognized a charge of $736.0 million in fiscal 2016. The remaining $14.0 million was recorded in prepaid expenses and other assets, to be recognized in cost of goods sold over the remaining term of the license from February 2016 through April 2018. For further detail of the accounting for the settlement, see “Note 13 — Carnegie Mellon University Settlement” in the Notes to the Unaudited Condensed Consolidated Financial Statements included in the Company’s Quarterly Report on Form 10-Q for the quarter ended July 30, 2016.</w:t>
      </w:r>
    </w:p>
    <w:p>
      <w:pPr>
        <w:spacing w:after="0" w:line="1" w:lineRule="exact"/>
        <w:rPr>
          <w:rFonts w:ascii="Arial" w:cs="Arial" w:eastAsia="Arial" w:hAnsi="Arial"/>
          <w:sz w:val="18"/>
          <w:szCs w:val="18"/>
          <w:i w:val="1"/>
          <w:iCs w:val="1"/>
          <w:color w:val="auto"/>
        </w:rPr>
      </w:pPr>
    </w:p>
    <w:p>
      <w:pPr>
        <w:ind w:left="460" w:right="140" w:hanging="452"/>
        <w:spacing w:after="0" w:line="261" w:lineRule="auto"/>
        <w:tabs>
          <w:tab w:leader="none" w:pos="460" w:val="left"/>
        </w:tabs>
        <w:numPr>
          <w:ilvl w:val="0"/>
          <w:numId w:val="6"/>
        </w:numPr>
        <w:rPr>
          <w:rFonts w:ascii="Arial" w:cs="Arial" w:eastAsia="Arial" w:hAnsi="Arial"/>
          <w:sz w:val="18"/>
          <w:szCs w:val="18"/>
          <w:i w:val="1"/>
          <w:iCs w:val="1"/>
          <w:color w:val="auto"/>
        </w:rPr>
      </w:pPr>
      <w:r>
        <w:rPr>
          <w:rFonts w:ascii="Arial" w:cs="Arial" w:eastAsia="Arial" w:hAnsi="Arial"/>
          <w:sz w:val="18"/>
          <w:szCs w:val="18"/>
          <w:color w:val="auto"/>
        </w:rPr>
        <w:t>Marvell records all repurchases of common stock consistent with the way it records investment purchases and sales, based on trade date in accordance with U.S. GAAP.</w:t>
      </w:r>
    </w:p>
    <w:p>
      <w:pPr>
        <w:sectPr>
          <w:pgSz w:w="11900" w:h="16838" w:orient="portrait"/>
          <w:cols w:equalWidth="0" w:num="1">
            <w:col w:w="11420"/>
          </w:cols>
          <w:pgMar w:left="240" w:top="270" w:right="239" w:bottom="1440" w:gutter="0" w:footer="0" w:header="0"/>
        </w:sectPr>
      </w:pPr>
    </w:p>
    <w:bookmarkStart w:id="11" w:name="page12"/>
    <w:bookmarkEnd w:id="11"/>
    <w:p>
      <w:pPr>
        <w:jc w:val="center"/>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28">
                      <a:extLst>
                        <a:ext uri="{28A0092B-C50C-407E-A947-70E740481C1C}"/>
                      </a:extLst>
                    </a:blip>
                    <a:srcRect/>
                    <a:stretch>
                      <a:fillRect/>
                    </a:stretch>
                  </pic:blipFill>
                  <pic:spPr bwMode="auto">
                    <a:xfrm>
                      <a:off x="0" y="0"/>
                      <a:ext cx="7289165" cy="38735"/>
                    </a:xfrm>
                    <a:prstGeom prst="rect">
                      <a:avLst/>
                    </a:prstGeom>
                    <a:noFill/>
                  </pic:spPr>
                </pic:pic>
              </a:graphicData>
            </a:graphic>
          </wp:anchor>
        </w:drawing>
        <w:t>Marvell Technology Group Ltd.</w:t>
      </w:r>
    </w:p>
    <w:p>
      <w:pPr>
        <w:spacing w:after="0" w:line="27"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Reconciliations from GAAP to Non-GAAP</w:t>
      </w:r>
    </w:p>
    <w:p>
      <w:pPr>
        <w:spacing w:after="0" w:line="9"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(Unaudited)</w:t>
      </w:r>
    </w:p>
    <w:p>
      <w:pPr>
        <w:spacing w:after="0" w:line="9"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(In thousands, except per share amounts)</w:t>
      </w:r>
    </w:p>
    <w:p>
      <w:pPr>
        <w:spacing w:after="0" w:line="229" w:lineRule="exact"/>
        <w:rPr>
          <w:sz w:val="20"/>
          <w:szCs w:val="20"/>
          <w:color w:val="auto"/>
        </w:rPr>
      </w:pPr>
    </w:p>
    <w:tbl>
      <w:tblPr>
        <w:tblLayout w:type="fixed"/>
        <w:tblInd w:w="0" w:type="dxa"/>
        <w:tblCellMar>
          <w:top w:w="0" w:type="dxa"/>
          <w:left w:w="0" w:type="dxa"/>
          <w:bottom w:w="0" w:type="dxa"/>
          <w:right w:w="0" w:type="dxa"/>
        </w:tblCellMar>
      </w:tblPr>
      <w:tr>
        <w:trPr>
          <w:trHeight w:val="171"/>
        </w:trPr>
        <w:tc>
          <w:tcPr>
            <w:tcW w:w="20" w:type="dxa"/>
            <w:vAlign w:val="bottom"/>
          </w:tcPr>
          <w:p>
            <w:pPr>
              <w:spacing w:after="0"/>
              <w:rPr>
                <w:sz w:val="14"/>
                <w:szCs w:val="14"/>
                <w:color w:val="auto"/>
              </w:rPr>
            </w:pPr>
          </w:p>
        </w:tc>
        <w:tc>
          <w:tcPr>
            <w:tcW w:w="5000" w:type="dxa"/>
            <w:vAlign w:val="bottom"/>
          </w:tcPr>
          <w:p>
            <w:pPr>
              <w:spacing w:after="0"/>
              <w:rPr>
                <w:sz w:val="14"/>
                <w:szCs w:val="14"/>
                <w:color w:val="auto"/>
              </w:rPr>
            </w:pPr>
          </w:p>
        </w:tc>
        <w:tc>
          <w:tcPr>
            <w:tcW w:w="60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620" w:type="dxa"/>
            <w:vAlign w:val="bottom"/>
          </w:tcPr>
          <w:p>
            <w:pPr>
              <w:spacing w:after="0"/>
              <w:rPr>
                <w:sz w:val="14"/>
                <w:szCs w:val="14"/>
                <w:color w:val="auto"/>
              </w:rPr>
            </w:pPr>
          </w:p>
        </w:tc>
        <w:tc>
          <w:tcPr>
            <w:tcW w:w="160" w:type="dxa"/>
            <w:vAlign w:val="bottom"/>
          </w:tcPr>
          <w:p>
            <w:pPr>
              <w:spacing w:after="0"/>
              <w:rPr>
                <w:sz w:val="14"/>
                <w:szCs w:val="14"/>
                <w:color w:val="auto"/>
              </w:rPr>
            </w:pPr>
          </w:p>
        </w:tc>
        <w:tc>
          <w:tcPr>
            <w:tcW w:w="1380" w:type="dxa"/>
            <w:vAlign w:val="bottom"/>
            <w:gridSpan w:val="4"/>
          </w:tcPr>
          <w:p>
            <w:pPr>
              <w:jc w:val="right"/>
              <w:ind w:right="80"/>
              <w:spacing w:after="0"/>
              <w:rPr>
                <w:sz w:val="20"/>
                <w:szCs w:val="20"/>
                <w:color w:val="auto"/>
              </w:rPr>
            </w:pPr>
            <w:r>
              <w:rPr>
                <w:rFonts w:ascii="Arial" w:cs="Arial" w:eastAsia="Arial" w:hAnsi="Arial"/>
                <w:sz w:val="14"/>
                <w:szCs w:val="14"/>
                <w:b w:val="1"/>
                <w:bCs w:val="1"/>
                <w:color w:val="auto"/>
                <w:w w:val="92"/>
              </w:rPr>
              <w:t>Three Months Ended</w:t>
            </w:r>
          </w:p>
        </w:tc>
        <w:tc>
          <w:tcPr>
            <w:tcW w:w="8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620" w:type="dxa"/>
            <w:vAlign w:val="bottom"/>
          </w:tcPr>
          <w:p>
            <w:pPr>
              <w:spacing w:after="0"/>
              <w:rPr>
                <w:sz w:val="14"/>
                <w:szCs w:val="14"/>
                <w:color w:val="auto"/>
              </w:rPr>
            </w:pPr>
          </w:p>
        </w:tc>
        <w:tc>
          <w:tcPr>
            <w:tcW w:w="48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2120" w:type="dxa"/>
            <w:vAlign w:val="bottom"/>
            <w:gridSpan w:val="5"/>
          </w:tcPr>
          <w:p>
            <w:pPr>
              <w:jc w:val="right"/>
              <w:ind w:right="600"/>
              <w:spacing w:after="0"/>
              <w:rPr>
                <w:sz w:val="20"/>
                <w:szCs w:val="20"/>
                <w:color w:val="auto"/>
              </w:rPr>
            </w:pPr>
            <w:r>
              <w:rPr>
                <w:rFonts w:ascii="Arial" w:cs="Arial" w:eastAsia="Arial" w:hAnsi="Arial"/>
                <w:sz w:val="14"/>
                <w:szCs w:val="14"/>
                <w:b w:val="1"/>
                <w:bCs w:val="1"/>
                <w:color w:val="auto"/>
              </w:rPr>
              <w:t>Nine Months Ended</w:t>
            </w:r>
          </w:p>
        </w:tc>
        <w:tc>
          <w:tcPr>
            <w:tcW w:w="0" w:type="dxa"/>
            <w:vAlign w:val="bottom"/>
          </w:tcPr>
          <w:p>
            <w:pPr>
              <w:spacing w:after="0"/>
              <w:rPr>
                <w:sz w:val="1"/>
                <w:szCs w:val="1"/>
                <w:color w:val="auto"/>
              </w:rPr>
            </w:pPr>
          </w:p>
        </w:tc>
      </w:tr>
      <w:tr>
        <w:trPr>
          <w:trHeight w:val="119"/>
        </w:trPr>
        <w:tc>
          <w:tcPr>
            <w:tcW w:w="20" w:type="dxa"/>
            <w:vAlign w:val="bottom"/>
          </w:tcPr>
          <w:p>
            <w:pPr>
              <w:spacing w:after="0"/>
              <w:rPr>
                <w:sz w:val="10"/>
                <w:szCs w:val="10"/>
                <w:color w:val="auto"/>
              </w:rPr>
            </w:pPr>
          </w:p>
        </w:tc>
        <w:tc>
          <w:tcPr>
            <w:tcW w:w="5000" w:type="dxa"/>
            <w:vAlign w:val="bottom"/>
          </w:tcPr>
          <w:p>
            <w:pPr>
              <w:spacing w:after="0"/>
              <w:rPr>
                <w:sz w:val="10"/>
                <w:szCs w:val="10"/>
                <w:color w:val="auto"/>
              </w:rPr>
            </w:pPr>
          </w:p>
        </w:tc>
        <w:tc>
          <w:tcPr>
            <w:tcW w:w="600" w:type="dxa"/>
            <w:vAlign w:val="bottom"/>
          </w:tcPr>
          <w:p>
            <w:pPr>
              <w:spacing w:after="0"/>
              <w:rPr>
                <w:sz w:val="10"/>
                <w:szCs w:val="10"/>
                <w:color w:val="auto"/>
              </w:rPr>
            </w:pPr>
          </w:p>
        </w:tc>
        <w:tc>
          <w:tcPr>
            <w:tcW w:w="900" w:type="dxa"/>
            <w:vAlign w:val="bottom"/>
            <w:tcBorders>
              <w:top w:val="single" w:sz="8" w:color="auto"/>
            </w:tcBorders>
            <w:gridSpan w:val="3"/>
          </w:tcPr>
          <w:p>
            <w:pPr>
              <w:ind w:left="20"/>
              <w:spacing w:after="0" w:line="119" w:lineRule="exact"/>
              <w:rPr>
                <w:sz w:val="20"/>
                <w:szCs w:val="20"/>
                <w:color w:val="auto"/>
              </w:rPr>
            </w:pPr>
            <w:r>
              <w:rPr>
                <w:rFonts w:ascii="Arial" w:cs="Arial" w:eastAsia="Arial" w:hAnsi="Arial"/>
                <w:sz w:val="13"/>
                <w:szCs w:val="13"/>
                <w:b w:val="1"/>
                <w:bCs w:val="1"/>
                <w:color w:val="auto"/>
              </w:rPr>
              <w:t>October 29,</w:t>
            </w:r>
          </w:p>
        </w:tc>
        <w:tc>
          <w:tcPr>
            <w:tcW w:w="300" w:type="dxa"/>
            <w:vAlign w:val="bottom"/>
            <w:tcBorders>
              <w:top w:val="single" w:sz="8" w:color="auto"/>
            </w:tcBorders>
          </w:tcPr>
          <w:p>
            <w:pPr>
              <w:spacing w:after="0"/>
              <w:rPr>
                <w:sz w:val="10"/>
                <w:szCs w:val="10"/>
                <w:color w:val="auto"/>
              </w:rPr>
            </w:pPr>
          </w:p>
        </w:tc>
        <w:tc>
          <w:tcPr>
            <w:tcW w:w="100" w:type="dxa"/>
            <w:vAlign w:val="bottom"/>
            <w:tcBorders>
              <w:top w:val="single" w:sz="8" w:color="auto"/>
            </w:tcBorders>
          </w:tcPr>
          <w:p>
            <w:pPr>
              <w:spacing w:after="0"/>
              <w:rPr>
                <w:sz w:val="10"/>
                <w:szCs w:val="10"/>
                <w:color w:val="auto"/>
              </w:rPr>
            </w:pPr>
          </w:p>
        </w:tc>
        <w:tc>
          <w:tcPr>
            <w:tcW w:w="980" w:type="dxa"/>
            <w:vAlign w:val="bottom"/>
            <w:tcBorders>
              <w:top w:val="single" w:sz="8" w:color="auto"/>
            </w:tcBorders>
            <w:gridSpan w:val="2"/>
          </w:tcPr>
          <w:p>
            <w:pPr>
              <w:jc w:val="right"/>
              <w:ind w:right="480"/>
              <w:spacing w:after="0" w:line="119" w:lineRule="exact"/>
              <w:rPr>
                <w:sz w:val="20"/>
                <w:szCs w:val="20"/>
                <w:color w:val="auto"/>
              </w:rPr>
            </w:pPr>
            <w:r>
              <w:rPr>
                <w:rFonts w:ascii="Arial" w:cs="Arial" w:eastAsia="Arial" w:hAnsi="Arial"/>
                <w:sz w:val="13"/>
                <w:szCs w:val="13"/>
                <w:b w:val="1"/>
                <w:bCs w:val="1"/>
                <w:color w:val="auto"/>
              </w:rPr>
              <w:t>July 30,</w:t>
            </w:r>
          </w:p>
        </w:tc>
        <w:tc>
          <w:tcPr>
            <w:tcW w:w="80" w:type="dxa"/>
            <w:vAlign w:val="bottom"/>
            <w:tcBorders>
              <w:top w:val="single" w:sz="8" w:color="auto"/>
            </w:tcBorders>
          </w:tcPr>
          <w:p>
            <w:pPr>
              <w:spacing w:after="0"/>
              <w:rPr>
                <w:sz w:val="10"/>
                <w:szCs w:val="10"/>
                <w:color w:val="auto"/>
              </w:rPr>
            </w:pPr>
          </w:p>
        </w:tc>
        <w:tc>
          <w:tcPr>
            <w:tcW w:w="740" w:type="dxa"/>
            <w:vAlign w:val="bottom"/>
            <w:tcBorders>
              <w:top w:val="single" w:sz="8" w:color="auto"/>
            </w:tcBorders>
            <w:gridSpan w:val="2"/>
          </w:tcPr>
          <w:p>
            <w:pPr>
              <w:ind w:left="20"/>
              <w:spacing w:after="0" w:line="119" w:lineRule="exact"/>
              <w:rPr>
                <w:sz w:val="20"/>
                <w:szCs w:val="20"/>
                <w:color w:val="auto"/>
              </w:rPr>
            </w:pPr>
            <w:r>
              <w:rPr>
                <w:rFonts w:ascii="Arial" w:cs="Arial" w:eastAsia="Arial" w:hAnsi="Arial"/>
                <w:sz w:val="13"/>
                <w:szCs w:val="13"/>
                <w:b w:val="1"/>
                <w:bCs w:val="1"/>
                <w:color w:val="auto"/>
                <w:w w:val="97"/>
              </w:rPr>
              <w:t>October 31,</w:t>
            </w:r>
          </w:p>
        </w:tc>
        <w:tc>
          <w:tcPr>
            <w:tcW w:w="480" w:type="dxa"/>
            <w:vAlign w:val="bottom"/>
          </w:tcPr>
          <w:p>
            <w:pPr>
              <w:spacing w:after="0"/>
              <w:rPr>
                <w:sz w:val="10"/>
                <w:szCs w:val="10"/>
                <w:color w:val="auto"/>
              </w:rPr>
            </w:pPr>
          </w:p>
        </w:tc>
        <w:tc>
          <w:tcPr>
            <w:tcW w:w="1200" w:type="dxa"/>
            <w:vAlign w:val="bottom"/>
            <w:tcBorders>
              <w:top w:val="single" w:sz="8" w:color="auto"/>
            </w:tcBorders>
            <w:gridSpan w:val="3"/>
          </w:tcPr>
          <w:p>
            <w:pPr>
              <w:spacing w:after="0" w:line="119" w:lineRule="exact"/>
              <w:rPr>
                <w:sz w:val="20"/>
                <w:szCs w:val="20"/>
                <w:color w:val="auto"/>
              </w:rPr>
            </w:pPr>
            <w:r>
              <w:rPr>
                <w:rFonts w:ascii="Arial" w:cs="Arial" w:eastAsia="Arial" w:hAnsi="Arial"/>
                <w:sz w:val="13"/>
                <w:szCs w:val="13"/>
                <w:b w:val="1"/>
                <w:bCs w:val="1"/>
                <w:color w:val="auto"/>
              </w:rPr>
              <w:t>October 29,</w:t>
            </w:r>
          </w:p>
        </w:tc>
        <w:tc>
          <w:tcPr>
            <w:tcW w:w="820" w:type="dxa"/>
            <w:vAlign w:val="bottom"/>
            <w:tcBorders>
              <w:top w:val="single" w:sz="8" w:color="auto"/>
            </w:tcBorders>
            <w:gridSpan w:val="2"/>
          </w:tcPr>
          <w:p>
            <w:pPr>
              <w:jc w:val="right"/>
              <w:spacing w:after="0" w:line="119" w:lineRule="exact"/>
              <w:rPr>
                <w:sz w:val="20"/>
                <w:szCs w:val="20"/>
                <w:color w:val="auto"/>
              </w:rPr>
            </w:pPr>
            <w:r>
              <w:rPr>
                <w:rFonts w:ascii="Arial" w:cs="Arial" w:eastAsia="Arial" w:hAnsi="Arial"/>
                <w:sz w:val="13"/>
                <w:szCs w:val="13"/>
                <w:b w:val="1"/>
                <w:bCs w:val="1"/>
                <w:color w:val="auto"/>
              </w:rPr>
              <w:t>October 31,</w:t>
            </w:r>
          </w:p>
        </w:tc>
        <w:tc>
          <w:tcPr>
            <w:tcW w:w="20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171"/>
        </w:trPr>
        <w:tc>
          <w:tcPr>
            <w:tcW w:w="20" w:type="dxa"/>
            <w:vAlign w:val="bottom"/>
          </w:tcPr>
          <w:p>
            <w:pPr>
              <w:spacing w:after="0"/>
              <w:rPr>
                <w:sz w:val="14"/>
                <w:szCs w:val="14"/>
                <w:color w:val="auto"/>
              </w:rPr>
            </w:pPr>
          </w:p>
        </w:tc>
        <w:tc>
          <w:tcPr>
            <w:tcW w:w="5000" w:type="dxa"/>
            <w:vAlign w:val="bottom"/>
          </w:tcPr>
          <w:p>
            <w:pPr>
              <w:spacing w:after="0"/>
              <w:rPr>
                <w:sz w:val="14"/>
                <w:szCs w:val="14"/>
                <w:color w:val="auto"/>
              </w:rPr>
            </w:pPr>
          </w:p>
        </w:tc>
        <w:tc>
          <w:tcPr>
            <w:tcW w:w="60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620" w:type="dxa"/>
            <w:vAlign w:val="bottom"/>
          </w:tcPr>
          <w:p>
            <w:pPr>
              <w:jc w:val="right"/>
              <w:ind w:right="131"/>
              <w:spacing w:after="0"/>
              <w:rPr>
                <w:sz w:val="20"/>
                <w:szCs w:val="20"/>
                <w:color w:val="auto"/>
              </w:rPr>
            </w:pPr>
            <w:r>
              <w:rPr>
                <w:rFonts w:ascii="Arial" w:cs="Arial" w:eastAsia="Arial" w:hAnsi="Arial"/>
                <w:sz w:val="14"/>
                <w:szCs w:val="14"/>
                <w:b w:val="1"/>
                <w:bCs w:val="1"/>
                <w:color w:val="auto"/>
              </w:rPr>
              <w:t>2016</w:t>
            </w:r>
          </w:p>
        </w:tc>
        <w:tc>
          <w:tcPr>
            <w:tcW w:w="160" w:type="dxa"/>
            <w:vAlign w:val="bottom"/>
          </w:tcPr>
          <w:p>
            <w:pPr>
              <w:spacing w:after="0"/>
              <w:rPr>
                <w:sz w:val="14"/>
                <w:szCs w:val="14"/>
                <w:color w:val="auto"/>
              </w:rPr>
            </w:pPr>
          </w:p>
        </w:tc>
        <w:tc>
          <w:tcPr>
            <w:tcW w:w="30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980" w:type="dxa"/>
            <w:vAlign w:val="bottom"/>
            <w:gridSpan w:val="2"/>
          </w:tcPr>
          <w:p>
            <w:pPr>
              <w:jc w:val="right"/>
              <w:ind w:right="480"/>
              <w:spacing w:after="0"/>
              <w:rPr>
                <w:sz w:val="20"/>
                <w:szCs w:val="20"/>
                <w:color w:val="auto"/>
              </w:rPr>
            </w:pPr>
            <w:r>
              <w:rPr>
                <w:rFonts w:ascii="Arial" w:cs="Arial" w:eastAsia="Arial" w:hAnsi="Arial"/>
                <w:sz w:val="14"/>
                <w:szCs w:val="14"/>
                <w:b w:val="1"/>
                <w:bCs w:val="1"/>
                <w:color w:val="auto"/>
                <w:w w:val="91"/>
              </w:rPr>
              <w:t xml:space="preserve">2016 </w:t>
            </w:r>
            <w:r>
              <w:rPr>
                <w:rFonts w:ascii="Arial" w:cs="Arial" w:eastAsia="Arial" w:hAnsi="Arial"/>
                <w:sz w:val="14"/>
                <w:szCs w:val="14"/>
                <w:b w:val="1"/>
                <w:bCs w:val="1"/>
                <w:i w:val="1"/>
                <w:iCs w:val="1"/>
                <w:color w:val="auto"/>
                <w:w w:val="91"/>
              </w:rPr>
              <w:t>(e)</w:t>
            </w:r>
          </w:p>
        </w:tc>
        <w:tc>
          <w:tcPr>
            <w:tcW w:w="8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620" w:type="dxa"/>
            <w:vAlign w:val="bottom"/>
          </w:tcPr>
          <w:p>
            <w:pPr>
              <w:jc w:val="right"/>
              <w:ind w:right="131"/>
              <w:spacing w:after="0"/>
              <w:rPr>
                <w:sz w:val="20"/>
                <w:szCs w:val="20"/>
                <w:color w:val="auto"/>
              </w:rPr>
            </w:pPr>
            <w:r>
              <w:rPr>
                <w:rFonts w:ascii="Arial" w:cs="Arial" w:eastAsia="Arial" w:hAnsi="Arial"/>
                <w:sz w:val="14"/>
                <w:szCs w:val="14"/>
                <w:b w:val="1"/>
                <w:bCs w:val="1"/>
                <w:color w:val="auto"/>
              </w:rPr>
              <w:t>2015</w:t>
            </w:r>
          </w:p>
        </w:tc>
        <w:tc>
          <w:tcPr>
            <w:tcW w:w="48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620" w:type="dxa"/>
            <w:vAlign w:val="bottom"/>
          </w:tcPr>
          <w:p>
            <w:pPr>
              <w:jc w:val="right"/>
              <w:ind w:right="131"/>
              <w:spacing w:after="0"/>
              <w:rPr>
                <w:sz w:val="20"/>
                <w:szCs w:val="20"/>
                <w:color w:val="auto"/>
              </w:rPr>
            </w:pPr>
            <w:r>
              <w:rPr>
                <w:rFonts w:ascii="Arial" w:cs="Arial" w:eastAsia="Arial" w:hAnsi="Arial"/>
                <w:sz w:val="14"/>
                <w:szCs w:val="14"/>
                <w:b w:val="1"/>
                <w:bCs w:val="1"/>
                <w:color w:val="auto"/>
              </w:rPr>
              <w:t>2016</w:t>
            </w:r>
          </w:p>
        </w:tc>
        <w:tc>
          <w:tcPr>
            <w:tcW w:w="48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720" w:type="dxa"/>
            <w:vAlign w:val="bottom"/>
          </w:tcPr>
          <w:p>
            <w:pPr>
              <w:jc w:val="right"/>
              <w:ind w:right="191"/>
              <w:spacing w:after="0"/>
              <w:rPr>
                <w:sz w:val="20"/>
                <w:szCs w:val="20"/>
                <w:color w:val="auto"/>
              </w:rPr>
            </w:pPr>
            <w:r>
              <w:rPr>
                <w:rFonts w:ascii="Arial" w:cs="Arial" w:eastAsia="Arial" w:hAnsi="Arial"/>
                <w:sz w:val="14"/>
                <w:szCs w:val="14"/>
                <w:b w:val="1"/>
                <w:bCs w:val="1"/>
                <w:color w:val="auto"/>
              </w:rPr>
              <w:t>2015</w:t>
            </w:r>
          </w:p>
        </w:tc>
        <w:tc>
          <w:tcPr>
            <w:tcW w:w="2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210"/>
        </w:trPr>
        <w:tc>
          <w:tcPr>
            <w:tcW w:w="20" w:type="dxa"/>
            <w:vAlign w:val="bottom"/>
          </w:tcPr>
          <w:p>
            <w:pPr>
              <w:spacing w:after="0"/>
              <w:rPr>
                <w:sz w:val="18"/>
                <w:szCs w:val="18"/>
                <w:color w:val="auto"/>
              </w:rPr>
            </w:pPr>
          </w:p>
        </w:tc>
        <w:tc>
          <w:tcPr>
            <w:tcW w:w="5000" w:type="dxa"/>
            <w:vAlign w:val="bottom"/>
            <w:tcBorders>
              <w:top w:val="single" w:sz="8" w:color="CCEEFF"/>
            </w:tcBorders>
            <w:shd w:val="clear" w:color="auto" w:fill="CCEEFF"/>
          </w:tcPr>
          <w:p>
            <w:pPr>
              <w:spacing w:after="0"/>
              <w:rPr>
                <w:sz w:val="20"/>
                <w:szCs w:val="20"/>
                <w:color w:val="auto"/>
              </w:rPr>
            </w:pPr>
            <w:r>
              <w:rPr>
                <w:rFonts w:ascii="Arial" w:cs="Arial" w:eastAsia="Arial" w:hAnsi="Arial"/>
                <w:sz w:val="18"/>
                <w:szCs w:val="18"/>
                <w:color w:val="auto"/>
              </w:rPr>
              <w:t>GAAP gross profit:</w:t>
            </w:r>
          </w:p>
        </w:tc>
        <w:tc>
          <w:tcPr>
            <w:tcW w:w="600" w:type="dxa"/>
            <w:vAlign w:val="bottom"/>
            <w:tcBorders>
              <w:top w:val="single" w:sz="8" w:color="CCEEFF"/>
            </w:tcBorders>
            <w:shd w:val="clear" w:color="auto" w:fill="CCEEFF"/>
          </w:tcPr>
          <w:p>
            <w:pPr>
              <w:spacing w:after="0"/>
              <w:rPr>
                <w:sz w:val="18"/>
                <w:szCs w:val="18"/>
                <w:color w:val="auto"/>
              </w:rPr>
            </w:pPr>
          </w:p>
        </w:tc>
        <w:tc>
          <w:tcPr>
            <w:tcW w:w="120" w:type="dxa"/>
            <w:vAlign w:val="bottom"/>
            <w:tcBorders>
              <w:top w:val="single" w:sz="8" w:color="auto"/>
            </w:tcBorders>
            <w:shd w:val="clear" w:color="auto" w:fill="CCEEFF"/>
          </w:tcPr>
          <w:p>
            <w:pPr>
              <w:spacing w:after="0"/>
              <w:rPr>
                <w:sz w:val="20"/>
                <w:szCs w:val="20"/>
                <w:color w:val="auto"/>
              </w:rPr>
            </w:pPr>
            <w:r>
              <w:rPr>
                <w:rFonts w:ascii="Arial" w:cs="Arial" w:eastAsia="Arial" w:hAnsi="Arial"/>
                <w:sz w:val="18"/>
                <w:szCs w:val="18"/>
                <w:color w:val="auto"/>
                <w:w w:val="99"/>
              </w:rPr>
              <w:t>$</w:t>
            </w:r>
          </w:p>
        </w:tc>
        <w:tc>
          <w:tcPr>
            <w:tcW w:w="62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92"/>
              </w:rPr>
              <w:t>368,359</w:t>
            </w:r>
          </w:p>
        </w:tc>
        <w:tc>
          <w:tcPr>
            <w:tcW w:w="160" w:type="dxa"/>
            <w:vAlign w:val="bottom"/>
            <w:tcBorders>
              <w:top w:val="single" w:sz="8" w:color="CCEEFF"/>
            </w:tcBorders>
            <w:shd w:val="clear" w:color="auto" w:fill="CCEEFF"/>
          </w:tcPr>
          <w:p>
            <w:pPr>
              <w:spacing w:after="0"/>
              <w:rPr>
                <w:sz w:val="18"/>
                <w:szCs w:val="18"/>
                <w:color w:val="auto"/>
              </w:rPr>
            </w:pPr>
          </w:p>
        </w:tc>
        <w:tc>
          <w:tcPr>
            <w:tcW w:w="300" w:type="dxa"/>
            <w:vAlign w:val="bottom"/>
            <w:tcBorders>
              <w:top w:val="single" w:sz="8" w:color="CCEEFF"/>
            </w:tcBorders>
            <w:shd w:val="clear" w:color="auto" w:fill="CCEEFF"/>
          </w:tcPr>
          <w:p>
            <w:pPr>
              <w:spacing w:after="0"/>
              <w:rPr>
                <w:sz w:val="18"/>
                <w:szCs w:val="18"/>
                <w:color w:val="auto"/>
              </w:rPr>
            </w:pPr>
          </w:p>
        </w:tc>
        <w:tc>
          <w:tcPr>
            <w:tcW w:w="10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60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89"/>
              </w:rPr>
              <w:t>338,796</w:t>
            </w:r>
          </w:p>
        </w:tc>
        <w:tc>
          <w:tcPr>
            <w:tcW w:w="380" w:type="dxa"/>
            <w:vAlign w:val="bottom"/>
            <w:tcBorders>
              <w:top w:val="single" w:sz="8" w:color="CCEEFF"/>
            </w:tcBorders>
            <w:shd w:val="clear" w:color="auto" w:fill="CCEEFF"/>
          </w:tcPr>
          <w:p>
            <w:pPr>
              <w:spacing w:after="0"/>
              <w:rPr>
                <w:sz w:val="18"/>
                <w:szCs w:val="18"/>
                <w:color w:val="auto"/>
              </w:rPr>
            </w:pPr>
          </w:p>
        </w:tc>
        <w:tc>
          <w:tcPr>
            <w:tcW w:w="80" w:type="dxa"/>
            <w:vAlign w:val="bottom"/>
            <w:tcBorders>
              <w:top w:val="single" w:sz="8" w:color="CCEEFF"/>
            </w:tcBorders>
            <w:shd w:val="clear" w:color="auto" w:fill="CCEEFF"/>
          </w:tcPr>
          <w:p>
            <w:pPr>
              <w:spacing w:after="0"/>
              <w:rPr>
                <w:sz w:val="18"/>
                <w:szCs w:val="18"/>
                <w:color w:val="auto"/>
              </w:rPr>
            </w:pPr>
          </w:p>
        </w:tc>
        <w:tc>
          <w:tcPr>
            <w:tcW w:w="120" w:type="dxa"/>
            <w:vAlign w:val="bottom"/>
            <w:tcBorders>
              <w:top w:val="single" w:sz="8" w:color="auto"/>
            </w:tcBorders>
            <w:shd w:val="clear" w:color="auto" w:fill="CCEEFF"/>
          </w:tcPr>
          <w:p>
            <w:pPr>
              <w:spacing w:after="0"/>
              <w:rPr>
                <w:sz w:val="20"/>
                <w:szCs w:val="20"/>
                <w:color w:val="auto"/>
              </w:rPr>
            </w:pPr>
            <w:r>
              <w:rPr>
                <w:rFonts w:ascii="Arial" w:cs="Arial" w:eastAsia="Arial" w:hAnsi="Arial"/>
                <w:sz w:val="18"/>
                <w:szCs w:val="18"/>
                <w:color w:val="auto"/>
                <w:w w:val="99"/>
              </w:rPr>
              <w:t>$</w:t>
            </w:r>
          </w:p>
        </w:tc>
        <w:tc>
          <w:tcPr>
            <w:tcW w:w="62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92"/>
              </w:rPr>
              <w:t>295,636</w:t>
            </w:r>
          </w:p>
        </w:tc>
        <w:tc>
          <w:tcPr>
            <w:tcW w:w="480" w:type="dxa"/>
            <w:vAlign w:val="bottom"/>
            <w:tcBorders>
              <w:top w:val="single" w:sz="8" w:color="CCEEFF"/>
            </w:tcBorders>
            <w:shd w:val="clear" w:color="auto" w:fill="CCEEFF"/>
          </w:tcPr>
          <w:p>
            <w:pPr>
              <w:spacing w:after="0"/>
              <w:rPr>
                <w:sz w:val="18"/>
                <w:szCs w:val="18"/>
                <w:color w:val="auto"/>
              </w:rPr>
            </w:pPr>
          </w:p>
        </w:tc>
        <w:tc>
          <w:tcPr>
            <w:tcW w:w="100" w:type="dxa"/>
            <w:vAlign w:val="bottom"/>
            <w:tcBorders>
              <w:top w:val="single" w:sz="8" w:color="auto"/>
            </w:tcBorders>
            <w:shd w:val="clear" w:color="auto" w:fill="CCEEFF"/>
          </w:tcPr>
          <w:p>
            <w:pPr>
              <w:spacing w:after="0"/>
              <w:rPr>
                <w:sz w:val="20"/>
                <w:szCs w:val="20"/>
                <w:color w:val="auto"/>
              </w:rPr>
            </w:pPr>
            <w:r>
              <w:rPr>
                <w:rFonts w:ascii="Arial" w:cs="Arial" w:eastAsia="Arial" w:hAnsi="Arial"/>
                <w:sz w:val="18"/>
                <w:szCs w:val="18"/>
                <w:color w:val="auto"/>
                <w:w w:val="79"/>
              </w:rPr>
              <w:t>$</w:t>
            </w:r>
          </w:p>
        </w:tc>
        <w:tc>
          <w:tcPr>
            <w:tcW w:w="62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92"/>
              </w:rPr>
              <w:t>988,767</w:t>
            </w:r>
          </w:p>
        </w:tc>
        <w:tc>
          <w:tcPr>
            <w:tcW w:w="480" w:type="dxa"/>
            <w:vAlign w:val="bottom"/>
            <w:tcBorders>
              <w:top w:val="single" w:sz="8" w:color="CCEEFF"/>
            </w:tcBorders>
            <w:shd w:val="clear" w:color="auto" w:fill="CCEEFF"/>
          </w:tcPr>
          <w:p>
            <w:pPr>
              <w:spacing w:after="0"/>
              <w:rPr>
                <w:sz w:val="18"/>
                <w:szCs w:val="18"/>
                <w:color w:val="auto"/>
              </w:rPr>
            </w:pPr>
          </w:p>
        </w:tc>
        <w:tc>
          <w:tcPr>
            <w:tcW w:w="10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72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917,544</w:t>
            </w:r>
          </w:p>
        </w:tc>
        <w:tc>
          <w:tcPr>
            <w:tcW w:w="200" w:type="dxa"/>
            <w:vAlign w:val="bottom"/>
            <w:tcBorders>
              <w:top w:val="single" w:sz="8" w:color="CCEEFF"/>
            </w:tcBorders>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000" w:type="dxa"/>
            <w:vAlign w:val="bottom"/>
          </w:tcPr>
          <w:p>
            <w:pPr>
              <w:spacing w:after="0"/>
              <w:rPr>
                <w:sz w:val="20"/>
                <w:szCs w:val="20"/>
                <w:color w:val="auto"/>
              </w:rPr>
            </w:pPr>
            <w:r>
              <w:rPr>
                <w:rFonts w:ascii="Arial" w:cs="Arial" w:eastAsia="Arial" w:hAnsi="Arial"/>
                <w:sz w:val="18"/>
                <w:szCs w:val="18"/>
                <w:color w:val="auto"/>
              </w:rPr>
              <w:t>Special items:</w:t>
            </w:r>
          </w:p>
        </w:tc>
        <w:tc>
          <w:tcPr>
            <w:tcW w:w="60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62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600" w:type="dxa"/>
            <w:vAlign w:val="bottom"/>
          </w:tcPr>
          <w:p>
            <w:pPr>
              <w:spacing w:after="0"/>
              <w:rPr>
                <w:sz w:val="18"/>
                <w:szCs w:val="18"/>
                <w:color w:val="auto"/>
              </w:rPr>
            </w:pPr>
          </w:p>
        </w:tc>
        <w:tc>
          <w:tcPr>
            <w:tcW w:w="38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620" w:type="dxa"/>
            <w:vAlign w:val="bottom"/>
          </w:tcPr>
          <w:p>
            <w:pPr>
              <w:spacing w:after="0"/>
              <w:rPr>
                <w:sz w:val="18"/>
                <w:szCs w:val="18"/>
                <w:color w:val="auto"/>
              </w:rPr>
            </w:pPr>
          </w:p>
        </w:tc>
        <w:tc>
          <w:tcPr>
            <w:tcW w:w="4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620" w:type="dxa"/>
            <w:vAlign w:val="bottom"/>
          </w:tcPr>
          <w:p>
            <w:pPr>
              <w:spacing w:after="0"/>
              <w:rPr>
                <w:sz w:val="18"/>
                <w:szCs w:val="18"/>
                <w:color w:val="auto"/>
              </w:rPr>
            </w:pPr>
          </w:p>
        </w:tc>
        <w:tc>
          <w:tcPr>
            <w:tcW w:w="4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2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000" w:type="dxa"/>
            <w:vAlign w:val="bottom"/>
            <w:shd w:val="clear" w:color="auto" w:fill="CCEEFF"/>
          </w:tcPr>
          <w:p>
            <w:pPr>
              <w:ind w:left="340"/>
              <w:spacing w:after="0"/>
              <w:rPr>
                <w:sz w:val="20"/>
                <w:szCs w:val="20"/>
                <w:color w:val="auto"/>
              </w:rPr>
            </w:pPr>
            <w:r>
              <w:rPr>
                <w:rFonts w:ascii="Arial" w:cs="Arial" w:eastAsia="Arial" w:hAnsi="Arial"/>
                <w:sz w:val="18"/>
                <w:szCs w:val="18"/>
                <w:color w:val="auto"/>
              </w:rPr>
              <w:t>Share-based compensation</w:t>
            </w:r>
          </w:p>
        </w:tc>
        <w:tc>
          <w:tcPr>
            <w:tcW w:w="60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780" w:type="dxa"/>
            <w:vAlign w:val="bottom"/>
            <w:gridSpan w:val="2"/>
            <w:shd w:val="clear" w:color="auto" w:fill="CCEEFF"/>
          </w:tcPr>
          <w:p>
            <w:pPr>
              <w:jc w:val="right"/>
              <w:ind w:right="160"/>
              <w:spacing w:after="0"/>
              <w:rPr>
                <w:sz w:val="20"/>
                <w:szCs w:val="20"/>
                <w:color w:val="auto"/>
              </w:rPr>
            </w:pPr>
            <w:r>
              <w:rPr>
                <w:rFonts w:ascii="Arial" w:cs="Arial" w:eastAsia="Arial" w:hAnsi="Arial"/>
                <w:sz w:val="18"/>
                <w:szCs w:val="18"/>
                <w:color w:val="auto"/>
              </w:rPr>
              <w:t>2,225</w:t>
            </w:r>
          </w:p>
        </w:tc>
        <w:tc>
          <w:tcPr>
            <w:tcW w:w="3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980" w:type="dxa"/>
            <w:vAlign w:val="bottom"/>
            <w:gridSpan w:val="2"/>
            <w:shd w:val="clear" w:color="auto" w:fill="CCEEFF"/>
          </w:tcPr>
          <w:p>
            <w:pPr>
              <w:jc w:val="right"/>
              <w:ind w:right="380"/>
              <w:spacing w:after="0"/>
              <w:rPr>
                <w:sz w:val="20"/>
                <w:szCs w:val="20"/>
                <w:color w:val="auto"/>
              </w:rPr>
            </w:pPr>
            <w:r>
              <w:rPr>
                <w:rFonts w:ascii="Arial" w:cs="Arial" w:eastAsia="Arial" w:hAnsi="Arial"/>
                <w:sz w:val="18"/>
                <w:szCs w:val="18"/>
                <w:color w:val="auto"/>
              </w:rPr>
              <w:t>2,832</w:t>
            </w:r>
          </w:p>
        </w:tc>
        <w:tc>
          <w:tcPr>
            <w:tcW w:w="8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1100" w:type="dxa"/>
            <w:vAlign w:val="bottom"/>
            <w:gridSpan w:val="2"/>
            <w:shd w:val="clear" w:color="auto" w:fill="CCEEFF"/>
          </w:tcPr>
          <w:p>
            <w:pPr>
              <w:jc w:val="right"/>
              <w:ind w:right="400"/>
              <w:spacing w:after="0"/>
              <w:rPr>
                <w:sz w:val="20"/>
                <w:szCs w:val="20"/>
                <w:color w:val="auto"/>
              </w:rPr>
            </w:pPr>
            <w:r>
              <w:rPr>
                <w:rFonts w:ascii="Arial" w:cs="Arial" w:eastAsia="Arial" w:hAnsi="Arial"/>
                <w:sz w:val="18"/>
                <w:szCs w:val="18"/>
                <w:color w:val="auto"/>
              </w:rPr>
              <w:t>2,495</w:t>
            </w:r>
          </w:p>
        </w:tc>
        <w:tc>
          <w:tcPr>
            <w:tcW w:w="100" w:type="dxa"/>
            <w:vAlign w:val="bottom"/>
            <w:shd w:val="clear" w:color="auto" w:fill="CCEEFF"/>
          </w:tcPr>
          <w:p>
            <w:pPr>
              <w:spacing w:after="0"/>
              <w:rPr>
                <w:sz w:val="18"/>
                <w:szCs w:val="18"/>
                <w:color w:val="auto"/>
              </w:rPr>
            </w:pPr>
          </w:p>
        </w:tc>
        <w:tc>
          <w:tcPr>
            <w:tcW w:w="1100" w:type="dxa"/>
            <w:vAlign w:val="bottom"/>
            <w:gridSpan w:val="2"/>
            <w:shd w:val="clear" w:color="auto" w:fill="CCEEFF"/>
          </w:tcPr>
          <w:p>
            <w:pPr>
              <w:jc w:val="right"/>
              <w:ind w:right="480"/>
              <w:spacing w:after="0"/>
              <w:rPr>
                <w:sz w:val="20"/>
                <w:szCs w:val="20"/>
                <w:color w:val="auto"/>
              </w:rPr>
            </w:pPr>
            <w:r>
              <w:rPr>
                <w:rFonts w:ascii="Arial" w:cs="Arial" w:eastAsia="Arial" w:hAnsi="Arial"/>
                <w:sz w:val="18"/>
                <w:szCs w:val="18"/>
                <w:color w:val="auto"/>
              </w:rPr>
              <w:t>6,859</w:t>
            </w:r>
          </w:p>
        </w:tc>
        <w:tc>
          <w:tcPr>
            <w:tcW w:w="100" w:type="dxa"/>
            <w:vAlign w:val="bottom"/>
            <w:shd w:val="clear" w:color="auto" w:fill="CCEEFF"/>
          </w:tcPr>
          <w:p>
            <w:pPr>
              <w:spacing w:after="0"/>
              <w:rPr>
                <w:sz w:val="18"/>
                <w:szCs w:val="18"/>
                <w:color w:val="auto"/>
              </w:rPr>
            </w:pPr>
          </w:p>
        </w:tc>
        <w:tc>
          <w:tcPr>
            <w:tcW w:w="92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6,054</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000" w:type="dxa"/>
            <w:vAlign w:val="bottom"/>
          </w:tcPr>
          <w:p>
            <w:pPr>
              <w:ind w:left="340"/>
              <w:spacing w:after="0"/>
              <w:rPr>
                <w:sz w:val="20"/>
                <w:szCs w:val="20"/>
                <w:color w:val="auto"/>
              </w:rPr>
            </w:pPr>
            <w:r>
              <w:rPr>
                <w:rFonts w:ascii="Arial" w:cs="Arial" w:eastAsia="Arial" w:hAnsi="Arial"/>
                <w:sz w:val="18"/>
                <w:szCs w:val="18"/>
                <w:color w:val="auto"/>
              </w:rPr>
              <w:t xml:space="preserve">Restructuring and other related charges </w:t>
            </w:r>
            <w:r>
              <w:rPr>
                <w:rFonts w:ascii="Arial" w:cs="Arial" w:eastAsia="Arial" w:hAnsi="Arial"/>
                <w:sz w:val="18"/>
                <w:szCs w:val="18"/>
                <w:i w:val="1"/>
                <w:iCs w:val="1"/>
                <w:color w:val="auto"/>
              </w:rPr>
              <w:t>(a)</w:t>
            </w:r>
          </w:p>
        </w:tc>
        <w:tc>
          <w:tcPr>
            <w:tcW w:w="60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780" w:type="dxa"/>
            <w:vAlign w:val="bottom"/>
            <w:gridSpan w:val="2"/>
          </w:tcPr>
          <w:p>
            <w:pPr>
              <w:jc w:val="right"/>
              <w:ind w:right="260"/>
              <w:spacing w:after="0"/>
              <w:rPr>
                <w:sz w:val="20"/>
                <w:szCs w:val="20"/>
                <w:color w:val="auto"/>
              </w:rPr>
            </w:pPr>
            <w:r>
              <w:rPr>
                <w:rFonts w:ascii="Arial" w:cs="Arial" w:eastAsia="Arial" w:hAnsi="Arial"/>
                <w:sz w:val="18"/>
                <w:szCs w:val="18"/>
                <w:color w:val="auto"/>
              </w:rPr>
              <w:t>—</w:t>
            </w:r>
          </w:p>
        </w:tc>
        <w:tc>
          <w:tcPr>
            <w:tcW w:w="3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980" w:type="dxa"/>
            <w:vAlign w:val="bottom"/>
            <w:gridSpan w:val="2"/>
          </w:tcPr>
          <w:p>
            <w:pPr>
              <w:jc w:val="right"/>
              <w:ind w:right="480"/>
              <w:spacing w:after="0"/>
              <w:rPr>
                <w:sz w:val="20"/>
                <w:szCs w:val="20"/>
                <w:color w:val="auto"/>
              </w:rPr>
            </w:pPr>
            <w:r>
              <w:rPr>
                <w:rFonts w:ascii="Arial" w:cs="Arial" w:eastAsia="Arial" w:hAnsi="Arial"/>
                <w:sz w:val="18"/>
                <w:szCs w:val="18"/>
                <w:color w:val="auto"/>
              </w:rPr>
              <w:t>—</w:t>
            </w:r>
          </w:p>
        </w:tc>
        <w:tc>
          <w:tcPr>
            <w:tcW w:w="8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1100" w:type="dxa"/>
            <w:vAlign w:val="bottom"/>
            <w:gridSpan w:val="2"/>
          </w:tcPr>
          <w:p>
            <w:pPr>
              <w:jc w:val="right"/>
              <w:ind w:right="400"/>
              <w:spacing w:after="0"/>
              <w:rPr>
                <w:sz w:val="20"/>
                <w:szCs w:val="20"/>
                <w:color w:val="auto"/>
              </w:rPr>
            </w:pPr>
            <w:r>
              <w:rPr>
                <w:rFonts w:ascii="Arial" w:cs="Arial" w:eastAsia="Arial" w:hAnsi="Arial"/>
                <w:sz w:val="18"/>
                <w:szCs w:val="18"/>
                <w:color w:val="auto"/>
              </w:rPr>
              <w:t>10,285</w:t>
            </w:r>
          </w:p>
        </w:tc>
        <w:tc>
          <w:tcPr>
            <w:tcW w:w="100" w:type="dxa"/>
            <w:vAlign w:val="bottom"/>
          </w:tcPr>
          <w:p>
            <w:pPr>
              <w:spacing w:after="0"/>
              <w:rPr>
                <w:sz w:val="18"/>
                <w:szCs w:val="18"/>
                <w:color w:val="auto"/>
              </w:rPr>
            </w:pPr>
          </w:p>
        </w:tc>
        <w:tc>
          <w:tcPr>
            <w:tcW w:w="1100" w:type="dxa"/>
            <w:vAlign w:val="bottom"/>
            <w:gridSpan w:val="2"/>
          </w:tcPr>
          <w:p>
            <w:pPr>
              <w:jc w:val="right"/>
              <w:ind w:right="560"/>
              <w:spacing w:after="0"/>
              <w:rPr>
                <w:sz w:val="20"/>
                <w:szCs w:val="20"/>
                <w:color w:val="auto"/>
              </w:rPr>
            </w:pPr>
            <w:r>
              <w:rPr>
                <w:rFonts w:ascii="Arial" w:cs="Arial" w:eastAsia="Arial" w:hAnsi="Arial"/>
                <w:sz w:val="18"/>
                <w:szCs w:val="18"/>
                <w:color w:val="auto"/>
              </w:rPr>
              <w:t>—</w:t>
            </w:r>
          </w:p>
        </w:tc>
        <w:tc>
          <w:tcPr>
            <w:tcW w:w="100" w:type="dxa"/>
            <w:vAlign w:val="bottom"/>
          </w:tcPr>
          <w:p>
            <w:pPr>
              <w:spacing w:after="0"/>
              <w:rPr>
                <w:sz w:val="18"/>
                <w:szCs w:val="18"/>
                <w:color w:val="auto"/>
              </w:rPr>
            </w:pPr>
          </w:p>
        </w:tc>
        <w:tc>
          <w:tcPr>
            <w:tcW w:w="920" w:type="dxa"/>
            <w:vAlign w:val="bottom"/>
            <w:gridSpan w:val="2"/>
          </w:tcPr>
          <w:p>
            <w:pPr>
              <w:jc w:val="right"/>
              <w:ind w:right="200"/>
              <w:spacing w:after="0"/>
              <w:rPr>
                <w:sz w:val="20"/>
                <w:szCs w:val="20"/>
                <w:color w:val="auto"/>
              </w:rPr>
            </w:pPr>
            <w:r>
              <w:rPr>
                <w:rFonts w:ascii="Arial" w:cs="Arial" w:eastAsia="Arial" w:hAnsi="Arial"/>
                <w:sz w:val="18"/>
                <w:szCs w:val="18"/>
                <w:color w:val="auto"/>
              </w:rPr>
              <w:t>10,285</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000" w:type="dxa"/>
            <w:vAlign w:val="bottom"/>
            <w:shd w:val="clear" w:color="auto" w:fill="CCEEFF"/>
          </w:tcPr>
          <w:p>
            <w:pPr>
              <w:ind w:left="340"/>
              <w:spacing w:after="0"/>
              <w:rPr>
                <w:sz w:val="20"/>
                <w:szCs w:val="20"/>
                <w:color w:val="auto"/>
              </w:rPr>
            </w:pPr>
            <w:r>
              <w:rPr>
                <w:rFonts w:ascii="Arial" w:cs="Arial" w:eastAsia="Arial" w:hAnsi="Arial"/>
                <w:sz w:val="18"/>
                <w:szCs w:val="18"/>
                <w:color w:val="auto"/>
              </w:rPr>
              <w:t>Amortization of acquired intangible assets</w:t>
            </w:r>
          </w:p>
        </w:tc>
        <w:tc>
          <w:tcPr>
            <w:tcW w:w="60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780" w:type="dxa"/>
            <w:vAlign w:val="bottom"/>
            <w:gridSpan w:val="2"/>
            <w:shd w:val="clear" w:color="auto" w:fill="CCEEFF"/>
          </w:tcPr>
          <w:p>
            <w:pPr>
              <w:jc w:val="right"/>
              <w:ind w:right="160"/>
              <w:spacing w:after="0"/>
              <w:rPr>
                <w:sz w:val="20"/>
                <w:szCs w:val="20"/>
                <w:color w:val="auto"/>
              </w:rPr>
            </w:pPr>
            <w:r>
              <w:rPr>
                <w:rFonts w:ascii="Arial" w:cs="Arial" w:eastAsia="Arial" w:hAnsi="Arial"/>
                <w:sz w:val="18"/>
                <w:szCs w:val="18"/>
                <w:color w:val="auto"/>
              </w:rPr>
              <w:t>485</w:t>
            </w:r>
          </w:p>
        </w:tc>
        <w:tc>
          <w:tcPr>
            <w:tcW w:w="3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980" w:type="dxa"/>
            <w:vAlign w:val="bottom"/>
            <w:gridSpan w:val="2"/>
            <w:shd w:val="clear" w:color="auto" w:fill="CCEEFF"/>
          </w:tcPr>
          <w:p>
            <w:pPr>
              <w:jc w:val="right"/>
              <w:ind w:right="380"/>
              <w:spacing w:after="0"/>
              <w:rPr>
                <w:sz w:val="20"/>
                <w:szCs w:val="20"/>
                <w:color w:val="auto"/>
              </w:rPr>
            </w:pPr>
            <w:r>
              <w:rPr>
                <w:rFonts w:ascii="Arial" w:cs="Arial" w:eastAsia="Arial" w:hAnsi="Arial"/>
                <w:sz w:val="18"/>
                <w:szCs w:val="18"/>
                <w:color w:val="auto"/>
              </w:rPr>
              <w:t>485</w:t>
            </w:r>
          </w:p>
        </w:tc>
        <w:tc>
          <w:tcPr>
            <w:tcW w:w="8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1100" w:type="dxa"/>
            <w:vAlign w:val="bottom"/>
            <w:gridSpan w:val="2"/>
            <w:shd w:val="clear" w:color="auto" w:fill="CCEEFF"/>
          </w:tcPr>
          <w:p>
            <w:pPr>
              <w:jc w:val="right"/>
              <w:ind w:right="400"/>
              <w:spacing w:after="0"/>
              <w:rPr>
                <w:sz w:val="20"/>
                <w:szCs w:val="20"/>
                <w:color w:val="auto"/>
              </w:rPr>
            </w:pPr>
            <w:r>
              <w:rPr>
                <w:rFonts w:ascii="Arial" w:cs="Arial" w:eastAsia="Arial" w:hAnsi="Arial"/>
                <w:sz w:val="18"/>
                <w:szCs w:val="18"/>
                <w:color w:val="auto"/>
              </w:rPr>
              <w:t>485</w:t>
            </w:r>
          </w:p>
        </w:tc>
        <w:tc>
          <w:tcPr>
            <w:tcW w:w="100" w:type="dxa"/>
            <w:vAlign w:val="bottom"/>
            <w:shd w:val="clear" w:color="auto" w:fill="CCEEFF"/>
          </w:tcPr>
          <w:p>
            <w:pPr>
              <w:spacing w:after="0"/>
              <w:rPr>
                <w:sz w:val="18"/>
                <w:szCs w:val="18"/>
                <w:color w:val="auto"/>
              </w:rPr>
            </w:pPr>
          </w:p>
        </w:tc>
        <w:tc>
          <w:tcPr>
            <w:tcW w:w="1100" w:type="dxa"/>
            <w:vAlign w:val="bottom"/>
            <w:gridSpan w:val="2"/>
            <w:shd w:val="clear" w:color="auto" w:fill="CCEEFF"/>
          </w:tcPr>
          <w:p>
            <w:pPr>
              <w:jc w:val="right"/>
              <w:ind w:right="480"/>
              <w:spacing w:after="0"/>
              <w:rPr>
                <w:sz w:val="20"/>
                <w:szCs w:val="20"/>
                <w:color w:val="auto"/>
              </w:rPr>
            </w:pPr>
            <w:r>
              <w:rPr>
                <w:rFonts w:ascii="Arial" w:cs="Arial" w:eastAsia="Arial" w:hAnsi="Arial"/>
                <w:sz w:val="18"/>
                <w:szCs w:val="18"/>
                <w:color w:val="auto"/>
              </w:rPr>
              <w:t>1,455</w:t>
            </w:r>
          </w:p>
        </w:tc>
        <w:tc>
          <w:tcPr>
            <w:tcW w:w="100" w:type="dxa"/>
            <w:vAlign w:val="bottom"/>
            <w:shd w:val="clear" w:color="auto" w:fill="CCEEFF"/>
          </w:tcPr>
          <w:p>
            <w:pPr>
              <w:spacing w:after="0"/>
              <w:rPr>
                <w:sz w:val="18"/>
                <w:szCs w:val="18"/>
                <w:color w:val="auto"/>
              </w:rPr>
            </w:pPr>
          </w:p>
        </w:tc>
        <w:tc>
          <w:tcPr>
            <w:tcW w:w="92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2,188</w:t>
            </w:r>
          </w:p>
        </w:tc>
        <w:tc>
          <w:tcPr>
            <w:tcW w:w="0" w:type="dxa"/>
            <w:vAlign w:val="bottom"/>
          </w:tcPr>
          <w:p>
            <w:pPr>
              <w:spacing w:after="0"/>
              <w:rPr>
                <w:sz w:val="1"/>
                <w:szCs w:val="1"/>
                <w:color w:val="auto"/>
              </w:rPr>
            </w:pPr>
          </w:p>
        </w:tc>
      </w:tr>
      <w:tr>
        <w:trPr>
          <w:trHeight w:val="223"/>
        </w:trPr>
        <w:tc>
          <w:tcPr>
            <w:tcW w:w="20" w:type="dxa"/>
            <w:vAlign w:val="bottom"/>
          </w:tcPr>
          <w:p>
            <w:pPr>
              <w:spacing w:after="0"/>
              <w:rPr>
                <w:sz w:val="19"/>
                <w:szCs w:val="19"/>
                <w:color w:val="auto"/>
              </w:rPr>
            </w:pPr>
          </w:p>
        </w:tc>
        <w:tc>
          <w:tcPr>
            <w:tcW w:w="5000" w:type="dxa"/>
            <w:vAlign w:val="bottom"/>
          </w:tcPr>
          <w:p>
            <w:pPr>
              <w:ind w:left="340"/>
              <w:spacing w:after="0"/>
              <w:rPr>
                <w:sz w:val="20"/>
                <w:szCs w:val="20"/>
                <w:color w:val="auto"/>
              </w:rPr>
            </w:pPr>
            <w:r>
              <w:rPr>
                <w:rFonts w:ascii="Arial" w:cs="Arial" w:eastAsia="Arial" w:hAnsi="Arial"/>
                <w:sz w:val="18"/>
                <w:szCs w:val="18"/>
                <w:color w:val="auto"/>
              </w:rPr>
              <w:t xml:space="preserve">Other cost of goods sold </w:t>
            </w:r>
            <w:r>
              <w:rPr>
                <w:rFonts w:ascii="Arial" w:cs="Arial" w:eastAsia="Arial" w:hAnsi="Arial"/>
                <w:sz w:val="18"/>
                <w:szCs w:val="18"/>
                <w:i w:val="1"/>
                <w:iCs w:val="1"/>
                <w:color w:val="auto"/>
              </w:rPr>
              <w:t>(b)</w:t>
            </w:r>
          </w:p>
        </w:tc>
        <w:tc>
          <w:tcPr>
            <w:tcW w:w="600" w:type="dxa"/>
            <w:vAlign w:val="bottom"/>
          </w:tcPr>
          <w:p>
            <w:pPr>
              <w:spacing w:after="0"/>
              <w:rPr>
                <w:sz w:val="19"/>
                <w:szCs w:val="19"/>
                <w:color w:val="auto"/>
              </w:rPr>
            </w:pPr>
          </w:p>
        </w:tc>
        <w:tc>
          <w:tcPr>
            <w:tcW w:w="120" w:type="dxa"/>
            <w:vAlign w:val="bottom"/>
            <w:tcBorders>
              <w:bottom w:val="single" w:sz="8" w:color="auto"/>
            </w:tcBorders>
          </w:tcPr>
          <w:p>
            <w:pPr>
              <w:spacing w:after="0"/>
              <w:rPr>
                <w:sz w:val="19"/>
                <w:szCs w:val="19"/>
                <w:color w:val="auto"/>
              </w:rPr>
            </w:pPr>
          </w:p>
        </w:tc>
        <w:tc>
          <w:tcPr>
            <w:tcW w:w="620" w:type="dxa"/>
            <w:vAlign w:val="bottom"/>
            <w:tcBorders>
              <w:bottom w:val="single" w:sz="8" w:color="auto"/>
            </w:tcBorders>
          </w:tcPr>
          <w:p>
            <w:pPr>
              <w:jc w:val="right"/>
              <w:ind w:right="11"/>
              <w:spacing w:after="0"/>
              <w:rPr>
                <w:sz w:val="20"/>
                <w:szCs w:val="20"/>
                <w:color w:val="auto"/>
              </w:rPr>
            </w:pPr>
            <w:r>
              <w:rPr>
                <w:rFonts w:ascii="Arial" w:cs="Arial" w:eastAsia="Arial" w:hAnsi="Arial"/>
                <w:sz w:val="18"/>
                <w:szCs w:val="18"/>
                <w:color w:val="auto"/>
              </w:rPr>
              <w:t>—</w:t>
            </w:r>
          </w:p>
        </w:tc>
        <w:tc>
          <w:tcPr>
            <w:tcW w:w="160" w:type="dxa"/>
            <w:vAlign w:val="bottom"/>
          </w:tcPr>
          <w:p>
            <w:pPr>
              <w:spacing w:after="0"/>
              <w:rPr>
                <w:sz w:val="19"/>
                <w:szCs w:val="19"/>
                <w:color w:val="auto"/>
              </w:rPr>
            </w:pPr>
          </w:p>
        </w:tc>
        <w:tc>
          <w:tcPr>
            <w:tcW w:w="300" w:type="dxa"/>
            <w:vAlign w:val="bottom"/>
          </w:tcPr>
          <w:p>
            <w:pPr>
              <w:spacing w:after="0"/>
              <w:rPr>
                <w:sz w:val="19"/>
                <w:szCs w:val="19"/>
                <w:color w:val="auto"/>
              </w:rPr>
            </w:pPr>
          </w:p>
        </w:tc>
        <w:tc>
          <w:tcPr>
            <w:tcW w:w="100" w:type="dxa"/>
            <w:vAlign w:val="bottom"/>
            <w:tcBorders>
              <w:bottom w:val="single" w:sz="8" w:color="auto"/>
            </w:tcBorders>
          </w:tcPr>
          <w:p>
            <w:pPr>
              <w:spacing w:after="0"/>
              <w:rPr>
                <w:sz w:val="19"/>
                <w:szCs w:val="19"/>
                <w:color w:val="auto"/>
              </w:rPr>
            </w:pPr>
          </w:p>
        </w:tc>
        <w:tc>
          <w:tcPr>
            <w:tcW w:w="600" w:type="dxa"/>
            <w:vAlign w:val="bottom"/>
            <w:tcBorders>
              <w:bottom w:val="single" w:sz="8" w:color="auto"/>
            </w:tcBorders>
          </w:tcPr>
          <w:p>
            <w:pPr>
              <w:jc w:val="right"/>
              <w:ind w:right="11"/>
              <w:spacing w:after="0"/>
              <w:rPr>
                <w:sz w:val="20"/>
                <w:szCs w:val="20"/>
                <w:color w:val="auto"/>
              </w:rPr>
            </w:pPr>
            <w:r>
              <w:rPr>
                <w:rFonts w:ascii="Arial" w:cs="Arial" w:eastAsia="Arial" w:hAnsi="Arial"/>
                <w:sz w:val="18"/>
                <w:szCs w:val="18"/>
                <w:color w:val="auto"/>
              </w:rPr>
              <w:t>—</w:t>
            </w:r>
          </w:p>
        </w:tc>
        <w:tc>
          <w:tcPr>
            <w:tcW w:w="380" w:type="dxa"/>
            <w:vAlign w:val="bottom"/>
          </w:tcPr>
          <w:p>
            <w:pPr>
              <w:spacing w:after="0"/>
              <w:rPr>
                <w:sz w:val="19"/>
                <w:szCs w:val="19"/>
                <w:color w:val="auto"/>
              </w:rPr>
            </w:pPr>
          </w:p>
        </w:tc>
        <w:tc>
          <w:tcPr>
            <w:tcW w:w="80" w:type="dxa"/>
            <w:vAlign w:val="bottom"/>
          </w:tcPr>
          <w:p>
            <w:pPr>
              <w:spacing w:after="0"/>
              <w:rPr>
                <w:sz w:val="19"/>
                <w:szCs w:val="19"/>
                <w:color w:val="auto"/>
              </w:rPr>
            </w:pPr>
          </w:p>
        </w:tc>
        <w:tc>
          <w:tcPr>
            <w:tcW w:w="120" w:type="dxa"/>
            <w:vAlign w:val="bottom"/>
            <w:tcBorders>
              <w:bottom w:val="single" w:sz="8" w:color="auto"/>
            </w:tcBorders>
          </w:tcPr>
          <w:p>
            <w:pPr>
              <w:spacing w:after="0"/>
              <w:rPr>
                <w:sz w:val="19"/>
                <w:szCs w:val="19"/>
                <w:color w:val="auto"/>
              </w:rPr>
            </w:pPr>
          </w:p>
        </w:tc>
        <w:tc>
          <w:tcPr>
            <w:tcW w:w="62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1,158</w:t>
            </w:r>
          </w:p>
        </w:tc>
        <w:tc>
          <w:tcPr>
            <w:tcW w:w="480" w:type="dxa"/>
            <w:vAlign w:val="bottom"/>
          </w:tcPr>
          <w:p>
            <w:pPr>
              <w:spacing w:after="0"/>
              <w:rPr>
                <w:sz w:val="19"/>
                <w:szCs w:val="19"/>
                <w:color w:val="auto"/>
              </w:rPr>
            </w:pPr>
          </w:p>
        </w:tc>
        <w:tc>
          <w:tcPr>
            <w:tcW w:w="100" w:type="dxa"/>
            <w:vAlign w:val="bottom"/>
            <w:tcBorders>
              <w:bottom w:val="single" w:sz="8" w:color="auto"/>
            </w:tcBorders>
          </w:tcPr>
          <w:p>
            <w:pPr>
              <w:spacing w:after="0"/>
              <w:rPr>
                <w:sz w:val="19"/>
                <w:szCs w:val="19"/>
                <w:color w:val="auto"/>
              </w:rPr>
            </w:pPr>
          </w:p>
        </w:tc>
        <w:tc>
          <w:tcPr>
            <w:tcW w:w="62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w:t>
            </w:r>
          </w:p>
        </w:tc>
        <w:tc>
          <w:tcPr>
            <w:tcW w:w="480" w:type="dxa"/>
            <w:vAlign w:val="bottom"/>
          </w:tcPr>
          <w:p>
            <w:pPr>
              <w:spacing w:after="0"/>
              <w:rPr>
                <w:sz w:val="19"/>
                <w:szCs w:val="19"/>
                <w:color w:val="auto"/>
              </w:rPr>
            </w:pPr>
          </w:p>
        </w:tc>
        <w:tc>
          <w:tcPr>
            <w:tcW w:w="100" w:type="dxa"/>
            <w:vAlign w:val="bottom"/>
            <w:tcBorders>
              <w:bottom w:val="single" w:sz="8" w:color="auto"/>
            </w:tcBorders>
          </w:tcPr>
          <w:p>
            <w:pPr>
              <w:spacing w:after="0"/>
              <w:rPr>
                <w:sz w:val="19"/>
                <w:szCs w:val="19"/>
                <w:color w:val="auto"/>
              </w:rPr>
            </w:pPr>
          </w:p>
        </w:tc>
        <w:tc>
          <w:tcPr>
            <w:tcW w:w="72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80,848</w:t>
            </w:r>
          </w:p>
        </w:tc>
        <w:tc>
          <w:tcPr>
            <w:tcW w:w="2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000" w:type="dxa"/>
            <w:vAlign w:val="bottom"/>
            <w:shd w:val="clear" w:color="auto" w:fill="CCEEFF"/>
          </w:tcPr>
          <w:p>
            <w:pPr>
              <w:spacing w:after="0"/>
              <w:rPr>
                <w:sz w:val="20"/>
                <w:szCs w:val="20"/>
                <w:color w:val="auto"/>
              </w:rPr>
            </w:pPr>
            <w:r>
              <w:rPr>
                <w:rFonts w:ascii="Arial" w:cs="Arial" w:eastAsia="Arial" w:hAnsi="Arial"/>
                <w:sz w:val="18"/>
                <w:szCs w:val="18"/>
                <w:color w:val="auto"/>
              </w:rPr>
              <w:t>Total special items</w:t>
            </w:r>
          </w:p>
        </w:tc>
        <w:tc>
          <w:tcPr>
            <w:tcW w:w="60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780" w:type="dxa"/>
            <w:vAlign w:val="bottom"/>
            <w:gridSpan w:val="2"/>
            <w:shd w:val="clear" w:color="auto" w:fill="CCEEFF"/>
          </w:tcPr>
          <w:p>
            <w:pPr>
              <w:jc w:val="right"/>
              <w:ind w:right="160"/>
              <w:spacing w:after="0"/>
              <w:rPr>
                <w:sz w:val="20"/>
                <w:szCs w:val="20"/>
                <w:color w:val="auto"/>
              </w:rPr>
            </w:pPr>
            <w:r>
              <w:rPr>
                <w:rFonts w:ascii="Arial" w:cs="Arial" w:eastAsia="Arial" w:hAnsi="Arial"/>
                <w:sz w:val="18"/>
                <w:szCs w:val="18"/>
                <w:color w:val="auto"/>
              </w:rPr>
              <w:t>2,710</w:t>
            </w:r>
          </w:p>
        </w:tc>
        <w:tc>
          <w:tcPr>
            <w:tcW w:w="3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980" w:type="dxa"/>
            <w:vAlign w:val="bottom"/>
            <w:gridSpan w:val="2"/>
            <w:shd w:val="clear" w:color="auto" w:fill="CCEEFF"/>
          </w:tcPr>
          <w:p>
            <w:pPr>
              <w:jc w:val="right"/>
              <w:ind w:right="380"/>
              <w:spacing w:after="0"/>
              <w:rPr>
                <w:sz w:val="20"/>
                <w:szCs w:val="20"/>
                <w:color w:val="auto"/>
              </w:rPr>
            </w:pPr>
            <w:r>
              <w:rPr>
                <w:rFonts w:ascii="Arial" w:cs="Arial" w:eastAsia="Arial" w:hAnsi="Arial"/>
                <w:sz w:val="18"/>
                <w:szCs w:val="18"/>
                <w:color w:val="auto"/>
              </w:rPr>
              <w:t>3,317</w:t>
            </w:r>
          </w:p>
        </w:tc>
        <w:tc>
          <w:tcPr>
            <w:tcW w:w="8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1100" w:type="dxa"/>
            <w:vAlign w:val="bottom"/>
            <w:gridSpan w:val="2"/>
            <w:shd w:val="clear" w:color="auto" w:fill="CCEEFF"/>
          </w:tcPr>
          <w:p>
            <w:pPr>
              <w:jc w:val="right"/>
              <w:ind w:right="400"/>
              <w:spacing w:after="0"/>
              <w:rPr>
                <w:sz w:val="20"/>
                <w:szCs w:val="20"/>
                <w:color w:val="auto"/>
              </w:rPr>
            </w:pPr>
            <w:r>
              <w:rPr>
                <w:rFonts w:ascii="Arial" w:cs="Arial" w:eastAsia="Arial" w:hAnsi="Arial"/>
                <w:sz w:val="18"/>
                <w:szCs w:val="18"/>
                <w:color w:val="auto"/>
              </w:rPr>
              <w:t>14,423</w:t>
            </w:r>
          </w:p>
        </w:tc>
        <w:tc>
          <w:tcPr>
            <w:tcW w:w="100" w:type="dxa"/>
            <w:vAlign w:val="bottom"/>
            <w:shd w:val="clear" w:color="auto" w:fill="CCEEFF"/>
          </w:tcPr>
          <w:p>
            <w:pPr>
              <w:spacing w:after="0"/>
              <w:rPr>
                <w:sz w:val="18"/>
                <w:szCs w:val="18"/>
                <w:color w:val="auto"/>
              </w:rPr>
            </w:pPr>
          </w:p>
        </w:tc>
        <w:tc>
          <w:tcPr>
            <w:tcW w:w="1100" w:type="dxa"/>
            <w:vAlign w:val="bottom"/>
            <w:gridSpan w:val="2"/>
            <w:shd w:val="clear" w:color="auto" w:fill="CCEEFF"/>
          </w:tcPr>
          <w:p>
            <w:pPr>
              <w:jc w:val="right"/>
              <w:ind w:right="480"/>
              <w:spacing w:after="0"/>
              <w:rPr>
                <w:sz w:val="20"/>
                <w:szCs w:val="20"/>
                <w:color w:val="auto"/>
              </w:rPr>
            </w:pPr>
            <w:r>
              <w:rPr>
                <w:rFonts w:ascii="Arial" w:cs="Arial" w:eastAsia="Arial" w:hAnsi="Arial"/>
                <w:sz w:val="18"/>
                <w:szCs w:val="18"/>
                <w:color w:val="auto"/>
              </w:rPr>
              <w:t>8,314</w:t>
            </w:r>
          </w:p>
        </w:tc>
        <w:tc>
          <w:tcPr>
            <w:tcW w:w="100" w:type="dxa"/>
            <w:vAlign w:val="bottom"/>
            <w:shd w:val="clear" w:color="auto" w:fill="CCEEFF"/>
          </w:tcPr>
          <w:p>
            <w:pPr>
              <w:spacing w:after="0"/>
              <w:rPr>
                <w:sz w:val="18"/>
                <w:szCs w:val="18"/>
                <w:color w:val="auto"/>
              </w:rPr>
            </w:pPr>
          </w:p>
        </w:tc>
        <w:tc>
          <w:tcPr>
            <w:tcW w:w="92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99,375</w:t>
            </w:r>
          </w:p>
        </w:tc>
        <w:tc>
          <w:tcPr>
            <w:tcW w:w="0" w:type="dxa"/>
            <w:vAlign w:val="bottom"/>
          </w:tcPr>
          <w:p>
            <w:pPr>
              <w:spacing w:after="0"/>
              <w:rPr>
                <w:sz w:val="1"/>
                <w:szCs w:val="1"/>
                <w:color w:val="auto"/>
              </w:rPr>
            </w:pPr>
          </w:p>
        </w:tc>
      </w:tr>
      <w:tr>
        <w:trPr>
          <w:trHeight w:val="223"/>
        </w:trPr>
        <w:tc>
          <w:tcPr>
            <w:tcW w:w="5020" w:type="dxa"/>
            <w:vAlign w:val="bottom"/>
            <w:gridSpan w:val="2"/>
          </w:tcPr>
          <w:p>
            <w:pPr>
              <w:spacing w:after="0"/>
              <w:rPr>
                <w:sz w:val="20"/>
                <w:szCs w:val="20"/>
                <w:color w:val="auto"/>
              </w:rPr>
            </w:pPr>
            <w:r>
              <w:rPr>
                <w:rFonts w:ascii="Arial" w:cs="Arial" w:eastAsia="Arial" w:hAnsi="Arial"/>
                <w:sz w:val="18"/>
                <w:szCs w:val="18"/>
                <w:color w:val="auto"/>
              </w:rPr>
              <w:t>Non-GAAP gross profit</w:t>
            </w:r>
          </w:p>
        </w:tc>
        <w:tc>
          <w:tcPr>
            <w:tcW w:w="600" w:type="dxa"/>
            <w:vAlign w:val="bottom"/>
          </w:tcPr>
          <w:p>
            <w:pPr>
              <w:spacing w:after="0"/>
              <w:rPr>
                <w:sz w:val="19"/>
                <w:szCs w:val="19"/>
                <w:color w:val="auto"/>
              </w:rPr>
            </w:pPr>
          </w:p>
        </w:tc>
        <w:tc>
          <w:tcPr>
            <w:tcW w:w="120" w:type="dxa"/>
            <w:vAlign w:val="bottom"/>
            <w:tcBorders>
              <w:top w:val="single" w:sz="8" w:color="auto"/>
              <w:bottom w:val="single" w:sz="8" w:color="auto"/>
            </w:tcBorders>
          </w:tcPr>
          <w:p>
            <w:pPr>
              <w:spacing w:after="0"/>
              <w:rPr>
                <w:sz w:val="20"/>
                <w:szCs w:val="20"/>
                <w:color w:val="auto"/>
              </w:rPr>
            </w:pPr>
            <w:r>
              <w:rPr>
                <w:rFonts w:ascii="Arial" w:cs="Arial" w:eastAsia="Arial" w:hAnsi="Arial"/>
                <w:sz w:val="18"/>
                <w:szCs w:val="18"/>
                <w:color w:val="auto"/>
                <w:w w:val="99"/>
              </w:rPr>
              <w:t>$</w:t>
            </w:r>
          </w:p>
        </w:tc>
        <w:tc>
          <w:tcPr>
            <w:tcW w:w="62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w w:val="92"/>
              </w:rPr>
              <w:t>371,069</w:t>
            </w:r>
          </w:p>
        </w:tc>
        <w:tc>
          <w:tcPr>
            <w:tcW w:w="160" w:type="dxa"/>
            <w:vAlign w:val="bottom"/>
          </w:tcPr>
          <w:p>
            <w:pPr>
              <w:spacing w:after="0"/>
              <w:rPr>
                <w:sz w:val="19"/>
                <w:szCs w:val="19"/>
                <w:color w:val="auto"/>
              </w:rPr>
            </w:pPr>
          </w:p>
        </w:tc>
        <w:tc>
          <w:tcPr>
            <w:tcW w:w="300" w:type="dxa"/>
            <w:vAlign w:val="bottom"/>
          </w:tcPr>
          <w:p>
            <w:pPr>
              <w:spacing w:after="0"/>
              <w:rPr>
                <w:sz w:val="19"/>
                <w:szCs w:val="19"/>
                <w:color w:val="auto"/>
              </w:rPr>
            </w:pPr>
          </w:p>
        </w:tc>
        <w:tc>
          <w:tcPr>
            <w:tcW w:w="10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u w:val="single" w:color="auto"/>
                <w:color w:val="auto"/>
                <w:w w:val="79"/>
              </w:rPr>
              <w:t>$</w:t>
            </w:r>
          </w:p>
        </w:tc>
        <w:tc>
          <w:tcPr>
            <w:tcW w:w="60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w w:val="89"/>
              </w:rPr>
              <w:t>342,113</w:t>
            </w:r>
          </w:p>
        </w:tc>
        <w:tc>
          <w:tcPr>
            <w:tcW w:w="380" w:type="dxa"/>
            <w:vAlign w:val="bottom"/>
          </w:tcPr>
          <w:p>
            <w:pPr>
              <w:spacing w:after="0"/>
              <w:rPr>
                <w:sz w:val="19"/>
                <w:szCs w:val="19"/>
                <w:color w:val="auto"/>
              </w:rPr>
            </w:pPr>
          </w:p>
        </w:tc>
        <w:tc>
          <w:tcPr>
            <w:tcW w:w="80" w:type="dxa"/>
            <w:vAlign w:val="bottom"/>
          </w:tcPr>
          <w:p>
            <w:pPr>
              <w:spacing w:after="0"/>
              <w:rPr>
                <w:sz w:val="19"/>
                <w:szCs w:val="19"/>
                <w:color w:val="auto"/>
              </w:rPr>
            </w:pPr>
          </w:p>
        </w:tc>
        <w:tc>
          <w:tcPr>
            <w:tcW w:w="120" w:type="dxa"/>
            <w:vAlign w:val="bottom"/>
            <w:tcBorders>
              <w:top w:val="single" w:sz="8" w:color="auto"/>
              <w:bottom w:val="single" w:sz="8" w:color="auto"/>
            </w:tcBorders>
          </w:tcPr>
          <w:p>
            <w:pPr>
              <w:spacing w:after="0"/>
              <w:rPr>
                <w:sz w:val="20"/>
                <w:szCs w:val="20"/>
                <w:color w:val="auto"/>
              </w:rPr>
            </w:pPr>
            <w:r>
              <w:rPr>
                <w:rFonts w:ascii="Arial" w:cs="Arial" w:eastAsia="Arial" w:hAnsi="Arial"/>
                <w:sz w:val="18"/>
                <w:szCs w:val="18"/>
                <w:color w:val="auto"/>
                <w:w w:val="99"/>
              </w:rPr>
              <w:t>$</w:t>
            </w:r>
          </w:p>
        </w:tc>
        <w:tc>
          <w:tcPr>
            <w:tcW w:w="62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w w:val="92"/>
              </w:rPr>
              <w:t>310,059</w:t>
            </w:r>
          </w:p>
        </w:tc>
        <w:tc>
          <w:tcPr>
            <w:tcW w:w="480" w:type="dxa"/>
            <w:vAlign w:val="bottom"/>
          </w:tcPr>
          <w:p>
            <w:pPr>
              <w:spacing w:after="0"/>
              <w:rPr>
                <w:sz w:val="19"/>
                <w:szCs w:val="19"/>
                <w:color w:val="auto"/>
              </w:rPr>
            </w:pPr>
          </w:p>
        </w:tc>
        <w:tc>
          <w:tcPr>
            <w:tcW w:w="100" w:type="dxa"/>
            <w:vAlign w:val="bottom"/>
            <w:tcBorders>
              <w:top w:val="single" w:sz="8" w:color="auto"/>
              <w:bottom w:val="single" w:sz="8" w:color="auto"/>
            </w:tcBorders>
          </w:tcPr>
          <w:p>
            <w:pPr>
              <w:spacing w:after="0"/>
              <w:rPr>
                <w:sz w:val="20"/>
                <w:szCs w:val="20"/>
                <w:color w:val="auto"/>
              </w:rPr>
            </w:pPr>
            <w:r>
              <w:rPr>
                <w:rFonts w:ascii="Arial" w:cs="Arial" w:eastAsia="Arial" w:hAnsi="Arial"/>
                <w:sz w:val="18"/>
                <w:szCs w:val="18"/>
                <w:color w:val="auto"/>
                <w:w w:val="79"/>
              </w:rPr>
              <w:t>$</w:t>
            </w:r>
          </w:p>
        </w:tc>
        <w:tc>
          <w:tcPr>
            <w:tcW w:w="62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w w:val="92"/>
              </w:rPr>
              <w:t>997,081</w:t>
            </w:r>
          </w:p>
        </w:tc>
        <w:tc>
          <w:tcPr>
            <w:tcW w:w="480" w:type="dxa"/>
            <w:vAlign w:val="bottom"/>
          </w:tcPr>
          <w:p>
            <w:pPr>
              <w:spacing w:after="0"/>
              <w:rPr>
                <w:sz w:val="19"/>
                <w:szCs w:val="19"/>
                <w:color w:val="auto"/>
              </w:rPr>
            </w:pPr>
          </w:p>
        </w:tc>
        <w:tc>
          <w:tcPr>
            <w:tcW w:w="10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5"/>
                <w:szCs w:val="15"/>
                <w:u w:val="single" w:color="auto"/>
                <w:color w:val="auto"/>
                <w:w w:val="71"/>
              </w:rPr>
              <w:t>$</w:t>
            </w:r>
          </w:p>
        </w:tc>
        <w:tc>
          <w:tcPr>
            <w:tcW w:w="72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w w:val="87"/>
              </w:rPr>
              <w:t>1,016,919</w:t>
            </w:r>
          </w:p>
        </w:tc>
        <w:tc>
          <w:tcPr>
            <w:tcW w:w="2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5000" w:type="dxa"/>
            <w:vAlign w:val="bottom"/>
          </w:tcPr>
          <w:p>
            <w:pPr>
              <w:spacing w:after="0" w:line="20" w:lineRule="exact"/>
              <w:rPr>
                <w:sz w:val="1"/>
                <w:szCs w:val="1"/>
                <w:color w:val="auto"/>
              </w:rPr>
            </w:pPr>
          </w:p>
        </w:tc>
        <w:tc>
          <w:tcPr>
            <w:tcW w:w="600" w:type="dxa"/>
            <w:vAlign w:val="bottom"/>
          </w:tcPr>
          <w:p>
            <w:pPr>
              <w:spacing w:after="0" w:line="20" w:lineRule="exact"/>
              <w:rPr>
                <w:sz w:val="1"/>
                <w:szCs w:val="1"/>
                <w:color w:val="auto"/>
              </w:rPr>
            </w:pPr>
          </w:p>
        </w:tc>
        <w:tc>
          <w:tcPr>
            <w:tcW w:w="120" w:type="dxa"/>
            <w:vAlign w:val="bottom"/>
            <w:tcBorders>
              <w:bottom w:val="single" w:sz="8" w:color="auto"/>
            </w:tcBorders>
          </w:tcPr>
          <w:p>
            <w:pPr>
              <w:spacing w:after="0" w:line="20" w:lineRule="exact"/>
              <w:rPr>
                <w:sz w:val="1"/>
                <w:szCs w:val="1"/>
                <w:color w:val="auto"/>
              </w:rPr>
            </w:pPr>
          </w:p>
        </w:tc>
        <w:tc>
          <w:tcPr>
            <w:tcW w:w="620" w:type="dxa"/>
            <w:vAlign w:val="bottom"/>
            <w:tcBorders>
              <w:bottom w:val="single" w:sz="8" w:color="auto"/>
            </w:tcBorders>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600" w:type="dxa"/>
            <w:vAlign w:val="bottom"/>
            <w:tcBorders>
              <w:bottom w:val="single" w:sz="8" w:color="auto"/>
            </w:tcBorders>
          </w:tcPr>
          <w:p>
            <w:pPr>
              <w:spacing w:after="0" w:line="20" w:lineRule="exact"/>
              <w:rPr>
                <w:sz w:val="1"/>
                <w:szCs w:val="1"/>
                <w:color w:val="auto"/>
              </w:rPr>
            </w:pPr>
          </w:p>
        </w:tc>
        <w:tc>
          <w:tcPr>
            <w:tcW w:w="38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120" w:type="dxa"/>
            <w:vAlign w:val="bottom"/>
            <w:tcBorders>
              <w:bottom w:val="single" w:sz="8" w:color="auto"/>
            </w:tcBorders>
          </w:tcPr>
          <w:p>
            <w:pPr>
              <w:spacing w:after="0" w:line="20" w:lineRule="exact"/>
              <w:rPr>
                <w:sz w:val="1"/>
                <w:szCs w:val="1"/>
                <w:color w:val="auto"/>
              </w:rPr>
            </w:pPr>
          </w:p>
        </w:tc>
        <w:tc>
          <w:tcPr>
            <w:tcW w:w="620" w:type="dxa"/>
            <w:vAlign w:val="bottom"/>
            <w:tcBorders>
              <w:bottom w:val="single" w:sz="8" w:color="auto"/>
            </w:tcBorders>
          </w:tcPr>
          <w:p>
            <w:pPr>
              <w:spacing w:after="0" w:line="20" w:lineRule="exact"/>
              <w:rPr>
                <w:sz w:val="1"/>
                <w:szCs w:val="1"/>
                <w:color w:val="auto"/>
              </w:rPr>
            </w:pPr>
          </w:p>
        </w:tc>
        <w:tc>
          <w:tcPr>
            <w:tcW w:w="480" w:type="dxa"/>
            <w:vAlign w:val="bottom"/>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620" w:type="dxa"/>
            <w:vAlign w:val="bottom"/>
            <w:tcBorders>
              <w:bottom w:val="single" w:sz="8" w:color="auto"/>
            </w:tcBorders>
          </w:tcPr>
          <w:p>
            <w:pPr>
              <w:spacing w:after="0" w:line="20" w:lineRule="exact"/>
              <w:rPr>
                <w:sz w:val="1"/>
                <w:szCs w:val="1"/>
                <w:color w:val="auto"/>
              </w:rPr>
            </w:pPr>
          </w:p>
        </w:tc>
        <w:tc>
          <w:tcPr>
            <w:tcW w:w="480" w:type="dxa"/>
            <w:vAlign w:val="bottom"/>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720" w:type="dxa"/>
            <w:vAlign w:val="bottom"/>
            <w:tcBorders>
              <w:bottom w:val="single" w:sz="8" w:color="auto"/>
            </w:tcBorders>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10"/>
        </w:trPr>
        <w:tc>
          <w:tcPr>
            <w:tcW w:w="20" w:type="dxa"/>
            <w:vAlign w:val="bottom"/>
          </w:tcPr>
          <w:p>
            <w:pPr>
              <w:spacing w:after="0"/>
              <w:rPr>
                <w:sz w:val="18"/>
                <w:szCs w:val="18"/>
                <w:color w:val="auto"/>
              </w:rPr>
            </w:pPr>
          </w:p>
        </w:tc>
        <w:tc>
          <w:tcPr>
            <w:tcW w:w="5000" w:type="dxa"/>
            <w:vAlign w:val="bottom"/>
            <w:shd w:val="clear" w:color="auto" w:fill="CCEEFF"/>
          </w:tcPr>
          <w:p>
            <w:pPr>
              <w:spacing w:after="0"/>
              <w:rPr>
                <w:sz w:val="20"/>
                <w:szCs w:val="20"/>
                <w:color w:val="auto"/>
              </w:rPr>
            </w:pPr>
            <w:r>
              <w:rPr>
                <w:rFonts w:ascii="Arial" w:cs="Arial" w:eastAsia="Arial" w:hAnsi="Arial"/>
                <w:sz w:val="18"/>
                <w:szCs w:val="18"/>
                <w:color w:val="auto"/>
              </w:rPr>
              <w:t>GAAP gross margin</w:t>
            </w:r>
          </w:p>
        </w:tc>
        <w:tc>
          <w:tcPr>
            <w:tcW w:w="60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78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color w:val="auto"/>
              </w:rPr>
              <w:t>56.3%</w:t>
            </w:r>
          </w:p>
        </w:tc>
        <w:tc>
          <w:tcPr>
            <w:tcW w:w="3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980" w:type="dxa"/>
            <w:vAlign w:val="bottom"/>
            <w:gridSpan w:val="2"/>
            <w:shd w:val="clear" w:color="auto" w:fill="CCEEFF"/>
          </w:tcPr>
          <w:p>
            <w:pPr>
              <w:jc w:val="right"/>
              <w:ind w:right="240"/>
              <w:spacing w:after="0"/>
              <w:rPr>
                <w:sz w:val="20"/>
                <w:szCs w:val="20"/>
                <w:color w:val="auto"/>
              </w:rPr>
            </w:pPr>
            <w:r>
              <w:rPr>
                <w:rFonts w:ascii="Arial" w:cs="Arial" w:eastAsia="Arial" w:hAnsi="Arial"/>
                <w:sz w:val="18"/>
                <w:szCs w:val="18"/>
                <w:color w:val="auto"/>
              </w:rPr>
              <w:t>54.1%</w:t>
            </w:r>
          </w:p>
        </w:tc>
        <w:tc>
          <w:tcPr>
            <w:tcW w:w="8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1100" w:type="dxa"/>
            <w:vAlign w:val="bottom"/>
            <w:gridSpan w:val="2"/>
            <w:shd w:val="clear" w:color="auto" w:fill="CCEEFF"/>
          </w:tcPr>
          <w:p>
            <w:pPr>
              <w:jc w:val="right"/>
              <w:ind w:right="260"/>
              <w:spacing w:after="0"/>
              <w:rPr>
                <w:sz w:val="20"/>
                <w:szCs w:val="20"/>
                <w:color w:val="auto"/>
              </w:rPr>
            </w:pPr>
            <w:r>
              <w:rPr>
                <w:rFonts w:ascii="Arial" w:cs="Arial" w:eastAsia="Arial" w:hAnsi="Arial"/>
                <w:sz w:val="18"/>
                <w:szCs w:val="18"/>
                <w:color w:val="auto"/>
              </w:rPr>
              <w:t>43.8%</w:t>
            </w:r>
          </w:p>
        </w:tc>
        <w:tc>
          <w:tcPr>
            <w:tcW w:w="100" w:type="dxa"/>
            <w:vAlign w:val="bottom"/>
            <w:shd w:val="clear" w:color="auto" w:fill="CCEEFF"/>
          </w:tcPr>
          <w:p>
            <w:pPr>
              <w:spacing w:after="0"/>
              <w:rPr>
                <w:sz w:val="18"/>
                <w:szCs w:val="18"/>
                <w:color w:val="auto"/>
              </w:rPr>
            </w:pPr>
          </w:p>
        </w:tc>
        <w:tc>
          <w:tcPr>
            <w:tcW w:w="1100" w:type="dxa"/>
            <w:vAlign w:val="bottom"/>
            <w:gridSpan w:val="2"/>
            <w:shd w:val="clear" w:color="auto" w:fill="CCEEFF"/>
          </w:tcPr>
          <w:p>
            <w:pPr>
              <w:jc w:val="right"/>
              <w:ind w:right="320"/>
              <w:spacing w:after="0"/>
              <w:rPr>
                <w:sz w:val="20"/>
                <w:szCs w:val="20"/>
                <w:color w:val="auto"/>
              </w:rPr>
            </w:pPr>
            <w:r>
              <w:rPr>
                <w:rFonts w:ascii="Arial" w:cs="Arial" w:eastAsia="Arial" w:hAnsi="Arial"/>
                <w:sz w:val="18"/>
                <w:szCs w:val="18"/>
                <w:color w:val="auto"/>
              </w:rPr>
              <w:t>54.3%</w:t>
            </w:r>
          </w:p>
        </w:tc>
        <w:tc>
          <w:tcPr>
            <w:tcW w:w="100" w:type="dxa"/>
            <w:vAlign w:val="bottom"/>
            <w:shd w:val="clear" w:color="auto" w:fill="CCEEFF"/>
          </w:tcPr>
          <w:p>
            <w:pPr>
              <w:spacing w:after="0"/>
              <w:rPr>
                <w:sz w:val="18"/>
                <w:szCs w:val="18"/>
                <w:color w:val="auto"/>
              </w:rPr>
            </w:pPr>
          </w:p>
        </w:tc>
        <w:tc>
          <w:tcPr>
            <w:tcW w:w="92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43.5%</w:t>
            </w:r>
          </w:p>
        </w:tc>
        <w:tc>
          <w:tcPr>
            <w:tcW w:w="0" w:type="dxa"/>
            <w:vAlign w:val="bottom"/>
          </w:tcPr>
          <w:p>
            <w:pPr>
              <w:spacing w:after="0"/>
              <w:rPr>
                <w:sz w:val="1"/>
                <w:szCs w:val="1"/>
                <w:color w:val="auto"/>
              </w:rPr>
            </w:pPr>
          </w:p>
        </w:tc>
      </w:tr>
      <w:tr>
        <w:trPr>
          <w:trHeight w:val="20"/>
        </w:trPr>
        <w:tc>
          <w:tcPr>
            <w:tcW w:w="5020" w:type="dxa"/>
            <w:vAlign w:val="bottom"/>
            <w:gridSpan w:val="2"/>
            <w:vMerge w:val="restart"/>
          </w:tcPr>
          <w:p>
            <w:pPr>
              <w:spacing w:after="0"/>
              <w:rPr>
                <w:sz w:val="20"/>
                <w:szCs w:val="20"/>
                <w:color w:val="auto"/>
              </w:rPr>
            </w:pPr>
            <w:r>
              <w:rPr>
                <w:rFonts w:ascii="Arial" w:cs="Arial" w:eastAsia="Arial" w:hAnsi="Arial"/>
                <w:sz w:val="18"/>
                <w:szCs w:val="18"/>
                <w:color w:val="auto"/>
              </w:rPr>
              <w:t>Non-GAAP gross margin</w:t>
            </w:r>
          </w:p>
        </w:tc>
        <w:tc>
          <w:tcPr>
            <w:tcW w:w="600" w:type="dxa"/>
            <w:vAlign w:val="bottom"/>
          </w:tcPr>
          <w:p>
            <w:pPr>
              <w:spacing w:after="0" w:line="20" w:lineRule="exact"/>
              <w:rPr>
                <w:sz w:val="1"/>
                <w:szCs w:val="1"/>
                <w:color w:val="auto"/>
              </w:rPr>
            </w:pPr>
          </w:p>
        </w:tc>
        <w:tc>
          <w:tcPr>
            <w:tcW w:w="120" w:type="dxa"/>
            <w:vAlign w:val="bottom"/>
            <w:tcBorders>
              <w:top w:val="single" w:sz="8" w:color="auto"/>
              <w:bottom w:val="single" w:sz="8" w:color="auto"/>
            </w:tcBorders>
          </w:tcPr>
          <w:p>
            <w:pPr>
              <w:spacing w:after="0" w:line="20" w:lineRule="exact"/>
              <w:rPr>
                <w:sz w:val="1"/>
                <w:szCs w:val="1"/>
                <w:color w:val="auto"/>
              </w:rPr>
            </w:pPr>
          </w:p>
        </w:tc>
        <w:tc>
          <w:tcPr>
            <w:tcW w:w="620" w:type="dxa"/>
            <w:vAlign w:val="bottom"/>
            <w:tcBorders>
              <w:top w:val="single" w:sz="8" w:color="auto"/>
              <w:bottom w:val="single" w:sz="8" w:color="auto"/>
            </w:tcBorders>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600" w:type="dxa"/>
            <w:vAlign w:val="bottom"/>
            <w:tcBorders>
              <w:top w:val="single" w:sz="8" w:color="auto"/>
              <w:bottom w:val="single" w:sz="8" w:color="auto"/>
            </w:tcBorders>
          </w:tcPr>
          <w:p>
            <w:pPr>
              <w:spacing w:after="0" w:line="20" w:lineRule="exact"/>
              <w:rPr>
                <w:sz w:val="1"/>
                <w:szCs w:val="1"/>
                <w:color w:val="auto"/>
              </w:rPr>
            </w:pPr>
          </w:p>
        </w:tc>
        <w:tc>
          <w:tcPr>
            <w:tcW w:w="38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120" w:type="dxa"/>
            <w:vAlign w:val="bottom"/>
            <w:tcBorders>
              <w:top w:val="single" w:sz="8" w:color="auto"/>
              <w:bottom w:val="single" w:sz="8" w:color="auto"/>
            </w:tcBorders>
          </w:tcPr>
          <w:p>
            <w:pPr>
              <w:spacing w:after="0" w:line="20" w:lineRule="exact"/>
              <w:rPr>
                <w:sz w:val="1"/>
                <w:szCs w:val="1"/>
                <w:color w:val="auto"/>
              </w:rPr>
            </w:pPr>
          </w:p>
        </w:tc>
        <w:tc>
          <w:tcPr>
            <w:tcW w:w="620" w:type="dxa"/>
            <w:vAlign w:val="bottom"/>
            <w:tcBorders>
              <w:top w:val="single" w:sz="8" w:color="auto"/>
              <w:bottom w:val="single" w:sz="8" w:color="auto"/>
            </w:tcBorders>
          </w:tcPr>
          <w:p>
            <w:pPr>
              <w:spacing w:after="0" w:line="20" w:lineRule="exact"/>
              <w:rPr>
                <w:sz w:val="1"/>
                <w:szCs w:val="1"/>
                <w:color w:val="auto"/>
              </w:rPr>
            </w:pPr>
          </w:p>
        </w:tc>
        <w:tc>
          <w:tcPr>
            <w:tcW w:w="48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620" w:type="dxa"/>
            <w:vAlign w:val="bottom"/>
            <w:tcBorders>
              <w:top w:val="single" w:sz="8" w:color="auto"/>
              <w:bottom w:val="single" w:sz="8" w:color="auto"/>
            </w:tcBorders>
          </w:tcPr>
          <w:p>
            <w:pPr>
              <w:spacing w:after="0" w:line="20" w:lineRule="exact"/>
              <w:rPr>
                <w:sz w:val="1"/>
                <w:szCs w:val="1"/>
                <w:color w:val="auto"/>
              </w:rPr>
            </w:pPr>
          </w:p>
        </w:tc>
        <w:tc>
          <w:tcPr>
            <w:tcW w:w="48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720" w:type="dxa"/>
            <w:vAlign w:val="bottom"/>
            <w:tcBorders>
              <w:top w:val="single" w:sz="8" w:color="auto"/>
              <w:bottom w:val="single" w:sz="8" w:color="auto"/>
            </w:tcBorders>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10"/>
        </w:trPr>
        <w:tc>
          <w:tcPr>
            <w:tcW w:w="5020" w:type="dxa"/>
            <w:vAlign w:val="bottom"/>
            <w:gridSpan w:val="2"/>
            <w:vMerge w:val="continue"/>
          </w:tcPr>
          <w:p>
            <w:pPr>
              <w:spacing w:after="0"/>
              <w:rPr>
                <w:sz w:val="18"/>
                <w:szCs w:val="18"/>
                <w:color w:val="auto"/>
              </w:rPr>
            </w:pPr>
          </w:p>
        </w:tc>
        <w:tc>
          <w:tcPr>
            <w:tcW w:w="60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780" w:type="dxa"/>
            <w:vAlign w:val="bottom"/>
            <w:gridSpan w:val="2"/>
          </w:tcPr>
          <w:p>
            <w:pPr>
              <w:jc w:val="right"/>
              <w:ind w:right="20"/>
              <w:spacing w:after="0"/>
              <w:rPr>
                <w:sz w:val="20"/>
                <w:szCs w:val="20"/>
                <w:color w:val="auto"/>
              </w:rPr>
            </w:pPr>
            <w:r>
              <w:rPr>
                <w:rFonts w:ascii="Arial" w:cs="Arial" w:eastAsia="Arial" w:hAnsi="Arial"/>
                <w:sz w:val="18"/>
                <w:szCs w:val="18"/>
                <w:color w:val="auto"/>
              </w:rPr>
              <w:t>56.7%</w:t>
            </w:r>
          </w:p>
        </w:tc>
        <w:tc>
          <w:tcPr>
            <w:tcW w:w="3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980" w:type="dxa"/>
            <w:vAlign w:val="bottom"/>
            <w:gridSpan w:val="2"/>
          </w:tcPr>
          <w:p>
            <w:pPr>
              <w:jc w:val="right"/>
              <w:ind w:right="240"/>
              <w:spacing w:after="0"/>
              <w:rPr>
                <w:sz w:val="20"/>
                <w:szCs w:val="20"/>
                <w:color w:val="auto"/>
              </w:rPr>
            </w:pPr>
            <w:r>
              <w:rPr>
                <w:rFonts w:ascii="Arial" w:cs="Arial" w:eastAsia="Arial" w:hAnsi="Arial"/>
                <w:sz w:val="18"/>
                <w:szCs w:val="18"/>
                <w:color w:val="auto"/>
              </w:rPr>
              <w:t>54.6%</w:t>
            </w:r>
          </w:p>
        </w:tc>
        <w:tc>
          <w:tcPr>
            <w:tcW w:w="8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1100" w:type="dxa"/>
            <w:vAlign w:val="bottom"/>
            <w:gridSpan w:val="2"/>
          </w:tcPr>
          <w:p>
            <w:pPr>
              <w:jc w:val="right"/>
              <w:ind w:right="260"/>
              <w:spacing w:after="0"/>
              <w:rPr>
                <w:sz w:val="20"/>
                <w:szCs w:val="20"/>
                <w:color w:val="auto"/>
              </w:rPr>
            </w:pPr>
            <w:r>
              <w:rPr>
                <w:rFonts w:ascii="Arial" w:cs="Arial" w:eastAsia="Arial" w:hAnsi="Arial"/>
                <w:sz w:val="18"/>
                <w:szCs w:val="18"/>
                <w:color w:val="auto"/>
              </w:rPr>
              <w:t>45.9%</w:t>
            </w:r>
          </w:p>
        </w:tc>
        <w:tc>
          <w:tcPr>
            <w:tcW w:w="100" w:type="dxa"/>
            <w:vAlign w:val="bottom"/>
          </w:tcPr>
          <w:p>
            <w:pPr>
              <w:spacing w:after="0"/>
              <w:rPr>
                <w:sz w:val="18"/>
                <w:szCs w:val="18"/>
                <w:color w:val="auto"/>
              </w:rPr>
            </w:pPr>
          </w:p>
        </w:tc>
        <w:tc>
          <w:tcPr>
            <w:tcW w:w="1100" w:type="dxa"/>
            <w:vAlign w:val="bottom"/>
            <w:gridSpan w:val="2"/>
          </w:tcPr>
          <w:p>
            <w:pPr>
              <w:jc w:val="right"/>
              <w:ind w:right="320"/>
              <w:spacing w:after="0"/>
              <w:rPr>
                <w:sz w:val="20"/>
                <w:szCs w:val="20"/>
                <w:color w:val="auto"/>
              </w:rPr>
            </w:pPr>
            <w:r>
              <w:rPr>
                <w:rFonts w:ascii="Arial" w:cs="Arial" w:eastAsia="Arial" w:hAnsi="Arial"/>
                <w:sz w:val="18"/>
                <w:szCs w:val="18"/>
                <w:color w:val="auto"/>
              </w:rPr>
              <w:t>54.7%</w:t>
            </w:r>
          </w:p>
        </w:tc>
        <w:tc>
          <w:tcPr>
            <w:tcW w:w="100" w:type="dxa"/>
            <w:vAlign w:val="bottom"/>
          </w:tcPr>
          <w:p>
            <w:pPr>
              <w:spacing w:after="0"/>
              <w:rPr>
                <w:sz w:val="18"/>
                <w:szCs w:val="18"/>
                <w:color w:val="auto"/>
              </w:rPr>
            </w:pPr>
          </w:p>
        </w:tc>
        <w:tc>
          <w:tcPr>
            <w:tcW w:w="920" w:type="dxa"/>
            <w:vAlign w:val="bottom"/>
            <w:gridSpan w:val="2"/>
          </w:tcPr>
          <w:p>
            <w:pPr>
              <w:jc w:val="right"/>
              <w:ind w:right="60"/>
              <w:spacing w:after="0"/>
              <w:rPr>
                <w:sz w:val="20"/>
                <w:szCs w:val="20"/>
                <w:color w:val="auto"/>
              </w:rPr>
            </w:pPr>
            <w:r>
              <w:rPr>
                <w:rFonts w:ascii="Arial" w:cs="Arial" w:eastAsia="Arial" w:hAnsi="Arial"/>
                <w:sz w:val="18"/>
                <w:szCs w:val="18"/>
                <w:color w:val="auto"/>
              </w:rPr>
              <w:t>48.2%</w:t>
            </w: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5000" w:type="dxa"/>
            <w:vAlign w:val="bottom"/>
          </w:tcPr>
          <w:p>
            <w:pPr>
              <w:spacing w:after="0" w:line="20" w:lineRule="exact"/>
              <w:rPr>
                <w:sz w:val="1"/>
                <w:szCs w:val="1"/>
                <w:color w:val="auto"/>
              </w:rPr>
            </w:pPr>
          </w:p>
        </w:tc>
        <w:tc>
          <w:tcPr>
            <w:tcW w:w="600" w:type="dxa"/>
            <w:vAlign w:val="bottom"/>
          </w:tcPr>
          <w:p>
            <w:pPr>
              <w:spacing w:after="0" w:line="20" w:lineRule="exact"/>
              <w:rPr>
                <w:sz w:val="1"/>
                <w:szCs w:val="1"/>
                <w:color w:val="auto"/>
              </w:rPr>
            </w:pPr>
          </w:p>
        </w:tc>
        <w:tc>
          <w:tcPr>
            <w:tcW w:w="120" w:type="dxa"/>
            <w:vAlign w:val="bottom"/>
            <w:tcBorders>
              <w:top w:val="single" w:sz="8" w:color="auto"/>
              <w:bottom w:val="single" w:sz="8" w:color="auto"/>
            </w:tcBorders>
          </w:tcPr>
          <w:p>
            <w:pPr>
              <w:spacing w:after="0" w:line="20" w:lineRule="exact"/>
              <w:rPr>
                <w:sz w:val="1"/>
                <w:szCs w:val="1"/>
                <w:color w:val="auto"/>
              </w:rPr>
            </w:pPr>
          </w:p>
        </w:tc>
        <w:tc>
          <w:tcPr>
            <w:tcW w:w="620" w:type="dxa"/>
            <w:vAlign w:val="bottom"/>
            <w:tcBorders>
              <w:top w:val="single" w:sz="8" w:color="auto"/>
              <w:bottom w:val="single" w:sz="8" w:color="auto"/>
            </w:tcBorders>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600" w:type="dxa"/>
            <w:vAlign w:val="bottom"/>
            <w:tcBorders>
              <w:top w:val="single" w:sz="8" w:color="auto"/>
              <w:bottom w:val="single" w:sz="8" w:color="auto"/>
            </w:tcBorders>
          </w:tcPr>
          <w:p>
            <w:pPr>
              <w:spacing w:after="0" w:line="20" w:lineRule="exact"/>
              <w:rPr>
                <w:sz w:val="1"/>
                <w:szCs w:val="1"/>
                <w:color w:val="auto"/>
              </w:rPr>
            </w:pPr>
          </w:p>
        </w:tc>
        <w:tc>
          <w:tcPr>
            <w:tcW w:w="38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120" w:type="dxa"/>
            <w:vAlign w:val="bottom"/>
            <w:tcBorders>
              <w:top w:val="single" w:sz="8" w:color="auto"/>
              <w:bottom w:val="single" w:sz="8" w:color="auto"/>
            </w:tcBorders>
          </w:tcPr>
          <w:p>
            <w:pPr>
              <w:spacing w:after="0" w:line="20" w:lineRule="exact"/>
              <w:rPr>
                <w:sz w:val="1"/>
                <w:szCs w:val="1"/>
                <w:color w:val="auto"/>
              </w:rPr>
            </w:pPr>
          </w:p>
        </w:tc>
        <w:tc>
          <w:tcPr>
            <w:tcW w:w="620" w:type="dxa"/>
            <w:vAlign w:val="bottom"/>
            <w:tcBorders>
              <w:top w:val="single" w:sz="8" w:color="auto"/>
              <w:bottom w:val="single" w:sz="8" w:color="auto"/>
            </w:tcBorders>
          </w:tcPr>
          <w:p>
            <w:pPr>
              <w:spacing w:after="0" w:line="20" w:lineRule="exact"/>
              <w:rPr>
                <w:sz w:val="1"/>
                <w:szCs w:val="1"/>
                <w:color w:val="auto"/>
              </w:rPr>
            </w:pPr>
          </w:p>
        </w:tc>
        <w:tc>
          <w:tcPr>
            <w:tcW w:w="48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620" w:type="dxa"/>
            <w:vAlign w:val="bottom"/>
            <w:tcBorders>
              <w:top w:val="single" w:sz="8" w:color="auto"/>
              <w:bottom w:val="single" w:sz="8" w:color="auto"/>
            </w:tcBorders>
          </w:tcPr>
          <w:p>
            <w:pPr>
              <w:spacing w:after="0" w:line="20" w:lineRule="exact"/>
              <w:rPr>
                <w:sz w:val="1"/>
                <w:szCs w:val="1"/>
                <w:color w:val="auto"/>
              </w:rPr>
            </w:pPr>
          </w:p>
        </w:tc>
        <w:tc>
          <w:tcPr>
            <w:tcW w:w="48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720" w:type="dxa"/>
            <w:vAlign w:val="bottom"/>
            <w:tcBorders>
              <w:top w:val="single" w:sz="8" w:color="auto"/>
              <w:bottom w:val="single" w:sz="8" w:color="auto"/>
            </w:tcBorders>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10"/>
        </w:trPr>
        <w:tc>
          <w:tcPr>
            <w:tcW w:w="20" w:type="dxa"/>
            <w:vAlign w:val="bottom"/>
          </w:tcPr>
          <w:p>
            <w:pPr>
              <w:spacing w:after="0"/>
              <w:rPr>
                <w:sz w:val="18"/>
                <w:szCs w:val="18"/>
                <w:color w:val="auto"/>
              </w:rPr>
            </w:pPr>
          </w:p>
        </w:tc>
        <w:tc>
          <w:tcPr>
            <w:tcW w:w="5000" w:type="dxa"/>
            <w:vAlign w:val="bottom"/>
            <w:shd w:val="clear" w:color="auto" w:fill="CCEEFF"/>
          </w:tcPr>
          <w:p>
            <w:pPr>
              <w:spacing w:after="0"/>
              <w:rPr>
                <w:sz w:val="20"/>
                <w:szCs w:val="20"/>
                <w:color w:val="auto"/>
              </w:rPr>
            </w:pPr>
            <w:r>
              <w:rPr>
                <w:rFonts w:ascii="Arial" w:cs="Arial" w:eastAsia="Arial" w:hAnsi="Arial"/>
                <w:sz w:val="18"/>
                <w:szCs w:val="18"/>
                <w:color w:val="auto"/>
              </w:rPr>
              <w:t>Total GAAP operating expenses</w:t>
            </w:r>
          </w:p>
        </w:tc>
        <w:tc>
          <w:tcPr>
            <w:tcW w:w="720" w:type="dxa"/>
            <w:vAlign w:val="bottom"/>
            <w:gridSpan w:val="2"/>
            <w:shd w:val="clear" w:color="auto" w:fill="CCEEFF"/>
          </w:tcPr>
          <w:p>
            <w:pPr>
              <w:ind w:left="600"/>
              <w:spacing w:after="0"/>
              <w:rPr>
                <w:sz w:val="20"/>
                <w:szCs w:val="20"/>
                <w:color w:val="auto"/>
              </w:rPr>
            </w:pPr>
            <w:r>
              <w:rPr>
                <w:rFonts w:ascii="Arial" w:cs="Arial" w:eastAsia="Arial" w:hAnsi="Arial"/>
                <w:sz w:val="18"/>
                <w:szCs w:val="18"/>
                <w:color w:val="auto"/>
                <w:w w:val="99"/>
              </w:rPr>
              <w:t>$</w:t>
            </w:r>
          </w:p>
        </w:tc>
        <w:tc>
          <w:tcPr>
            <w:tcW w:w="780" w:type="dxa"/>
            <w:vAlign w:val="bottom"/>
            <w:gridSpan w:val="2"/>
            <w:shd w:val="clear" w:color="auto" w:fill="CCEEFF"/>
          </w:tcPr>
          <w:p>
            <w:pPr>
              <w:jc w:val="right"/>
              <w:ind w:right="160"/>
              <w:spacing w:after="0"/>
              <w:rPr>
                <w:sz w:val="20"/>
                <w:szCs w:val="20"/>
                <w:color w:val="auto"/>
              </w:rPr>
            </w:pPr>
            <w:r>
              <w:rPr>
                <w:rFonts w:ascii="Arial" w:cs="Arial" w:eastAsia="Arial" w:hAnsi="Arial"/>
                <w:sz w:val="18"/>
                <w:szCs w:val="18"/>
                <w:color w:val="auto"/>
                <w:w w:val="92"/>
              </w:rPr>
              <w:t>285,406</w:t>
            </w:r>
          </w:p>
        </w:tc>
        <w:tc>
          <w:tcPr>
            <w:tcW w:w="40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980" w:type="dxa"/>
            <w:vAlign w:val="bottom"/>
            <w:gridSpan w:val="2"/>
            <w:shd w:val="clear" w:color="auto" w:fill="CCEEFF"/>
          </w:tcPr>
          <w:p>
            <w:pPr>
              <w:jc w:val="right"/>
              <w:ind w:right="380"/>
              <w:spacing w:after="0"/>
              <w:rPr>
                <w:sz w:val="20"/>
                <w:szCs w:val="20"/>
                <w:color w:val="auto"/>
              </w:rPr>
            </w:pPr>
            <w:r>
              <w:rPr>
                <w:rFonts w:ascii="Arial" w:cs="Arial" w:eastAsia="Arial" w:hAnsi="Arial"/>
                <w:sz w:val="18"/>
                <w:szCs w:val="18"/>
                <w:color w:val="auto"/>
                <w:w w:val="89"/>
              </w:rPr>
              <w:t>299,290</w:t>
            </w:r>
          </w:p>
        </w:tc>
        <w:tc>
          <w:tcPr>
            <w:tcW w:w="200" w:type="dxa"/>
            <w:vAlign w:val="bottom"/>
            <w:gridSpan w:val="2"/>
            <w:shd w:val="clear" w:color="auto" w:fill="CCEEFF"/>
          </w:tcPr>
          <w:p>
            <w:pPr>
              <w:ind w:left="80"/>
              <w:spacing w:after="0"/>
              <w:rPr>
                <w:sz w:val="20"/>
                <w:szCs w:val="20"/>
                <w:color w:val="auto"/>
              </w:rPr>
            </w:pPr>
            <w:r>
              <w:rPr>
                <w:rFonts w:ascii="Arial" w:cs="Arial" w:eastAsia="Arial" w:hAnsi="Arial"/>
                <w:sz w:val="18"/>
                <w:szCs w:val="18"/>
                <w:color w:val="auto"/>
                <w:w w:val="99"/>
              </w:rPr>
              <w:t>$</w:t>
            </w:r>
          </w:p>
        </w:tc>
        <w:tc>
          <w:tcPr>
            <w:tcW w:w="1100" w:type="dxa"/>
            <w:vAlign w:val="bottom"/>
            <w:gridSpan w:val="2"/>
            <w:shd w:val="clear" w:color="auto" w:fill="CCEEFF"/>
          </w:tcPr>
          <w:p>
            <w:pPr>
              <w:jc w:val="right"/>
              <w:ind w:right="400"/>
              <w:spacing w:after="0"/>
              <w:rPr>
                <w:sz w:val="20"/>
                <w:szCs w:val="20"/>
                <w:color w:val="auto"/>
              </w:rPr>
            </w:pPr>
            <w:r>
              <w:rPr>
                <w:rFonts w:ascii="Arial" w:cs="Arial" w:eastAsia="Arial" w:hAnsi="Arial"/>
                <w:sz w:val="18"/>
                <w:szCs w:val="18"/>
                <w:color w:val="auto"/>
                <w:w w:val="92"/>
              </w:rPr>
              <w:t>354,710</w:t>
            </w:r>
          </w:p>
        </w:tc>
        <w:tc>
          <w:tcPr>
            <w:tcW w:w="100" w:type="dxa"/>
            <w:vAlign w:val="bottom"/>
            <w:shd w:val="clear" w:color="auto" w:fill="CCEEFF"/>
          </w:tcPr>
          <w:p>
            <w:pPr>
              <w:spacing w:after="0"/>
              <w:rPr>
                <w:sz w:val="20"/>
                <w:szCs w:val="20"/>
                <w:color w:val="auto"/>
              </w:rPr>
            </w:pPr>
            <w:r>
              <w:rPr>
                <w:rFonts w:ascii="Arial" w:cs="Arial" w:eastAsia="Arial" w:hAnsi="Arial"/>
                <w:sz w:val="18"/>
                <w:szCs w:val="18"/>
                <w:color w:val="auto"/>
                <w:w w:val="79"/>
              </w:rPr>
              <w:t>$</w:t>
            </w:r>
          </w:p>
        </w:tc>
        <w:tc>
          <w:tcPr>
            <w:tcW w:w="1100" w:type="dxa"/>
            <w:vAlign w:val="bottom"/>
            <w:gridSpan w:val="2"/>
            <w:shd w:val="clear" w:color="auto" w:fill="CCEEFF"/>
          </w:tcPr>
          <w:p>
            <w:pPr>
              <w:jc w:val="right"/>
              <w:ind w:right="480"/>
              <w:spacing w:after="0"/>
              <w:rPr>
                <w:sz w:val="20"/>
                <w:szCs w:val="20"/>
                <w:color w:val="auto"/>
              </w:rPr>
            </w:pPr>
            <w:r>
              <w:rPr>
                <w:rFonts w:ascii="Arial" w:cs="Arial" w:eastAsia="Arial" w:hAnsi="Arial"/>
                <w:sz w:val="18"/>
                <w:szCs w:val="18"/>
                <w:color w:val="auto"/>
                <w:w w:val="92"/>
              </w:rPr>
              <w:t>895,430</w:t>
            </w:r>
          </w:p>
        </w:tc>
        <w:tc>
          <w:tcPr>
            <w:tcW w:w="100" w:type="dxa"/>
            <w:vAlign w:val="bottom"/>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92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w w:val="87"/>
              </w:rPr>
              <w:t>1,736,553</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000" w:type="dxa"/>
            <w:vAlign w:val="bottom"/>
          </w:tcPr>
          <w:p>
            <w:pPr>
              <w:spacing w:after="0"/>
              <w:rPr>
                <w:sz w:val="20"/>
                <w:szCs w:val="20"/>
                <w:color w:val="auto"/>
              </w:rPr>
            </w:pPr>
            <w:r>
              <w:rPr>
                <w:rFonts w:ascii="Arial" w:cs="Arial" w:eastAsia="Arial" w:hAnsi="Arial"/>
                <w:sz w:val="18"/>
                <w:szCs w:val="18"/>
                <w:color w:val="auto"/>
              </w:rPr>
              <w:t>Special items:</w:t>
            </w:r>
          </w:p>
        </w:tc>
        <w:tc>
          <w:tcPr>
            <w:tcW w:w="60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62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600" w:type="dxa"/>
            <w:vAlign w:val="bottom"/>
          </w:tcPr>
          <w:p>
            <w:pPr>
              <w:spacing w:after="0"/>
              <w:rPr>
                <w:sz w:val="18"/>
                <w:szCs w:val="18"/>
                <w:color w:val="auto"/>
              </w:rPr>
            </w:pPr>
          </w:p>
        </w:tc>
        <w:tc>
          <w:tcPr>
            <w:tcW w:w="38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620" w:type="dxa"/>
            <w:vAlign w:val="bottom"/>
          </w:tcPr>
          <w:p>
            <w:pPr>
              <w:spacing w:after="0"/>
              <w:rPr>
                <w:sz w:val="18"/>
                <w:szCs w:val="18"/>
                <w:color w:val="auto"/>
              </w:rPr>
            </w:pPr>
          </w:p>
        </w:tc>
        <w:tc>
          <w:tcPr>
            <w:tcW w:w="4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620" w:type="dxa"/>
            <w:vAlign w:val="bottom"/>
          </w:tcPr>
          <w:p>
            <w:pPr>
              <w:spacing w:after="0"/>
              <w:rPr>
                <w:sz w:val="18"/>
                <w:szCs w:val="18"/>
                <w:color w:val="auto"/>
              </w:rPr>
            </w:pPr>
          </w:p>
        </w:tc>
        <w:tc>
          <w:tcPr>
            <w:tcW w:w="4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2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000" w:type="dxa"/>
            <w:vAlign w:val="bottom"/>
            <w:shd w:val="clear" w:color="auto" w:fill="CCEEFF"/>
          </w:tcPr>
          <w:p>
            <w:pPr>
              <w:ind w:left="340"/>
              <w:spacing w:after="0"/>
              <w:rPr>
                <w:sz w:val="20"/>
                <w:szCs w:val="20"/>
                <w:color w:val="auto"/>
              </w:rPr>
            </w:pPr>
            <w:r>
              <w:rPr>
                <w:rFonts w:ascii="Arial" w:cs="Arial" w:eastAsia="Arial" w:hAnsi="Arial"/>
                <w:sz w:val="18"/>
                <w:szCs w:val="18"/>
                <w:color w:val="auto"/>
              </w:rPr>
              <w:t>Share-based compensation</w:t>
            </w:r>
          </w:p>
        </w:tc>
        <w:tc>
          <w:tcPr>
            <w:tcW w:w="60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78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w w:val="98"/>
              </w:rPr>
              <w:t>(26,038)</w:t>
            </w:r>
          </w:p>
        </w:tc>
        <w:tc>
          <w:tcPr>
            <w:tcW w:w="3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980" w:type="dxa"/>
            <w:vAlign w:val="bottom"/>
            <w:gridSpan w:val="2"/>
            <w:shd w:val="clear" w:color="auto" w:fill="CCEEFF"/>
          </w:tcPr>
          <w:p>
            <w:pPr>
              <w:jc w:val="right"/>
              <w:ind w:right="320"/>
              <w:spacing w:after="0"/>
              <w:rPr>
                <w:sz w:val="20"/>
                <w:szCs w:val="20"/>
                <w:color w:val="auto"/>
              </w:rPr>
            </w:pPr>
            <w:r>
              <w:rPr>
                <w:rFonts w:ascii="Arial" w:cs="Arial" w:eastAsia="Arial" w:hAnsi="Arial"/>
                <w:sz w:val="18"/>
                <w:szCs w:val="18"/>
                <w:color w:val="auto"/>
                <w:w w:val="95"/>
              </w:rPr>
              <w:t>(34,364)</w:t>
            </w:r>
          </w:p>
        </w:tc>
        <w:tc>
          <w:tcPr>
            <w:tcW w:w="8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1100" w:type="dxa"/>
            <w:vAlign w:val="bottom"/>
            <w:gridSpan w:val="2"/>
            <w:shd w:val="clear" w:color="auto" w:fill="CCEEFF"/>
          </w:tcPr>
          <w:p>
            <w:pPr>
              <w:jc w:val="right"/>
              <w:ind w:right="340"/>
              <w:spacing w:after="0"/>
              <w:rPr>
                <w:sz w:val="20"/>
                <w:szCs w:val="20"/>
                <w:color w:val="auto"/>
              </w:rPr>
            </w:pPr>
            <w:r>
              <w:rPr>
                <w:rFonts w:ascii="Arial" w:cs="Arial" w:eastAsia="Arial" w:hAnsi="Arial"/>
                <w:sz w:val="18"/>
                <w:szCs w:val="18"/>
                <w:color w:val="auto"/>
                <w:w w:val="98"/>
              </w:rPr>
              <w:t>(28,970)</w:t>
            </w:r>
          </w:p>
        </w:tc>
        <w:tc>
          <w:tcPr>
            <w:tcW w:w="100" w:type="dxa"/>
            <w:vAlign w:val="bottom"/>
            <w:shd w:val="clear" w:color="auto" w:fill="CCEEFF"/>
          </w:tcPr>
          <w:p>
            <w:pPr>
              <w:spacing w:after="0"/>
              <w:rPr>
                <w:sz w:val="18"/>
                <w:szCs w:val="18"/>
                <w:color w:val="auto"/>
              </w:rPr>
            </w:pPr>
          </w:p>
        </w:tc>
        <w:tc>
          <w:tcPr>
            <w:tcW w:w="1100" w:type="dxa"/>
            <w:vAlign w:val="bottom"/>
            <w:gridSpan w:val="2"/>
            <w:shd w:val="clear" w:color="auto" w:fill="CCEEFF"/>
          </w:tcPr>
          <w:p>
            <w:pPr>
              <w:jc w:val="right"/>
              <w:ind w:right="420"/>
              <w:spacing w:after="0"/>
              <w:rPr>
                <w:sz w:val="20"/>
                <w:szCs w:val="20"/>
                <w:color w:val="auto"/>
              </w:rPr>
            </w:pPr>
            <w:r>
              <w:rPr>
                <w:rFonts w:ascii="Arial" w:cs="Arial" w:eastAsia="Arial" w:hAnsi="Arial"/>
                <w:sz w:val="18"/>
                <w:szCs w:val="18"/>
                <w:color w:val="auto"/>
                <w:w w:val="98"/>
              </w:rPr>
              <w:t>(83,053)</w:t>
            </w:r>
          </w:p>
        </w:tc>
        <w:tc>
          <w:tcPr>
            <w:tcW w:w="100" w:type="dxa"/>
            <w:vAlign w:val="bottom"/>
            <w:shd w:val="clear" w:color="auto" w:fill="CCEEFF"/>
          </w:tcPr>
          <w:p>
            <w:pPr>
              <w:spacing w:after="0"/>
              <w:rPr>
                <w:sz w:val="18"/>
                <w:szCs w:val="18"/>
                <w:color w:val="auto"/>
              </w:rPr>
            </w:pPr>
          </w:p>
        </w:tc>
        <w:tc>
          <w:tcPr>
            <w:tcW w:w="920" w:type="dxa"/>
            <w:vAlign w:val="bottom"/>
            <w:gridSpan w:val="2"/>
            <w:shd w:val="clear" w:color="auto" w:fill="CCEEFF"/>
          </w:tcPr>
          <w:p>
            <w:pPr>
              <w:jc w:val="right"/>
              <w:ind w:right="140"/>
              <w:spacing w:after="0"/>
              <w:rPr>
                <w:sz w:val="20"/>
                <w:szCs w:val="20"/>
                <w:color w:val="auto"/>
              </w:rPr>
            </w:pPr>
            <w:r>
              <w:rPr>
                <w:rFonts w:ascii="Arial" w:cs="Arial" w:eastAsia="Arial" w:hAnsi="Arial"/>
                <w:sz w:val="18"/>
                <w:szCs w:val="18"/>
                <w:color w:val="auto"/>
              </w:rPr>
              <w:t>(95,306)</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000" w:type="dxa"/>
            <w:vAlign w:val="bottom"/>
          </w:tcPr>
          <w:p>
            <w:pPr>
              <w:ind w:left="340"/>
              <w:spacing w:after="0"/>
              <w:rPr>
                <w:sz w:val="20"/>
                <w:szCs w:val="20"/>
                <w:color w:val="auto"/>
              </w:rPr>
            </w:pPr>
            <w:r>
              <w:rPr>
                <w:rFonts w:ascii="Arial" w:cs="Arial" w:eastAsia="Arial" w:hAnsi="Arial"/>
                <w:sz w:val="18"/>
                <w:szCs w:val="18"/>
                <w:color w:val="auto"/>
              </w:rPr>
              <w:t xml:space="preserve">Restructuring and other related charges </w:t>
            </w:r>
            <w:r>
              <w:rPr>
                <w:rFonts w:ascii="Arial" w:cs="Arial" w:eastAsia="Arial" w:hAnsi="Arial"/>
                <w:sz w:val="18"/>
                <w:szCs w:val="18"/>
                <w:i w:val="1"/>
                <w:iCs w:val="1"/>
                <w:color w:val="auto"/>
              </w:rPr>
              <w:t>(a)</w:t>
            </w:r>
          </w:p>
        </w:tc>
        <w:tc>
          <w:tcPr>
            <w:tcW w:w="60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780" w:type="dxa"/>
            <w:vAlign w:val="bottom"/>
            <w:gridSpan w:val="2"/>
          </w:tcPr>
          <w:p>
            <w:pPr>
              <w:jc w:val="right"/>
              <w:ind w:right="100"/>
              <w:spacing w:after="0"/>
              <w:rPr>
                <w:sz w:val="20"/>
                <w:szCs w:val="20"/>
                <w:color w:val="auto"/>
              </w:rPr>
            </w:pPr>
            <w:r>
              <w:rPr>
                <w:rFonts w:ascii="Arial" w:cs="Arial" w:eastAsia="Arial" w:hAnsi="Arial"/>
                <w:sz w:val="18"/>
                <w:szCs w:val="18"/>
                <w:color w:val="auto"/>
              </w:rPr>
              <w:t>(1,164)</w:t>
            </w:r>
          </w:p>
        </w:tc>
        <w:tc>
          <w:tcPr>
            <w:tcW w:w="3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980" w:type="dxa"/>
            <w:vAlign w:val="bottom"/>
            <w:gridSpan w:val="2"/>
          </w:tcPr>
          <w:p>
            <w:pPr>
              <w:jc w:val="right"/>
              <w:ind w:right="320"/>
              <w:spacing w:after="0"/>
              <w:rPr>
                <w:sz w:val="20"/>
                <w:szCs w:val="20"/>
                <w:color w:val="auto"/>
              </w:rPr>
            </w:pPr>
            <w:r>
              <w:rPr>
                <w:rFonts w:ascii="Arial" w:cs="Arial" w:eastAsia="Arial" w:hAnsi="Arial"/>
                <w:sz w:val="18"/>
                <w:szCs w:val="18"/>
                <w:color w:val="auto"/>
              </w:rPr>
              <w:t>(721)</w:t>
            </w:r>
          </w:p>
        </w:tc>
        <w:tc>
          <w:tcPr>
            <w:tcW w:w="8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1100" w:type="dxa"/>
            <w:vAlign w:val="bottom"/>
            <w:gridSpan w:val="2"/>
          </w:tcPr>
          <w:p>
            <w:pPr>
              <w:jc w:val="right"/>
              <w:ind w:right="340"/>
              <w:spacing w:after="0"/>
              <w:rPr>
                <w:sz w:val="20"/>
                <w:szCs w:val="20"/>
                <w:color w:val="auto"/>
              </w:rPr>
            </w:pPr>
            <w:r>
              <w:rPr>
                <w:rFonts w:ascii="Arial" w:cs="Arial" w:eastAsia="Arial" w:hAnsi="Arial"/>
                <w:sz w:val="18"/>
                <w:szCs w:val="18"/>
                <w:color w:val="auto"/>
                <w:w w:val="98"/>
              </w:rPr>
              <w:t>(35,270)</w:t>
            </w:r>
          </w:p>
        </w:tc>
        <w:tc>
          <w:tcPr>
            <w:tcW w:w="100" w:type="dxa"/>
            <w:vAlign w:val="bottom"/>
          </w:tcPr>
          <w:p>
            <w:pPr>
              <w:spacing w:after="0"/>
              <w:rPr>
                <w:sz w:val="18"/>
                <w:szCs w:val="18"/>
                <w:color w:val="auto"/>
              </w:rPr>
            </w:pPr>
          </w:p>
        </w:tc>
        <w:tc>
          <w:tcPr>
            <w:tcW w:w="1100" w:type="dxa"/>
            <w:vAlign w:val="bottom"/>
            <w:gridSpan w:val="2"/>
          </w:tcPr>
          <w:p>
            <w:pPr>
              <w:jc w:val="right"/>
              <w:ind w:right="420"/>
              <w:spacing w:after="0"/>
              <w:rPr>
                <w:sz w:val="20"/>
                <w:szCs w:val="20"/>
                <w:color w:val="auto"/>
              </w:rPr>
            </w:pPr>
            <w:r>
              <w:rPr>
                <w:rFonts w:ascii="Arial" w:cs="Arial" w:eastAsia="Arial" w:hAnsi="Arial"/>
                <w:sz w:val="18"/>
                <w:szCs w:val="18"/>
                <w:color w:val="auto"/>
              </w:rPr>
              <w:t>(6,326)</w:t>
            </w:r>
          </w:p>
        </w:tc>
        <w:tc>
          <w:tcPr>
            <w:tcW w:w="100" w:type="dxa"/>
            <w:vAlign w:val="bottom"/>
          </w:tcPr>
          <w:p>
            <w:pPr>
              <w:spacing w:after="0"/>
              <w:rPr>
                <w:sz w:val="18"/>
                <w:szCs w:val="18"/>
                <w:color w:val="auto"/>
              </w:rPr>
            </w:pPr>
          </w:p>
        </w:tc>
        <w:tc>
          <w:tcPr>
            <w:tcW w:w="920" w:type="dxa"/>
            <w:vAlign w:val="bottom"/>
            <w:gridSpan w:val="2"/>
          </w:tcPr>
          <w:p>
            <w:pPr>
              <w:jc w:val="right"/>
              <w:ind w:right="140"/>
              <w:spacing w:after="0"/>
              <w:rPr>
                <w:sz w:val="20"/>
                <w:szCs w:val="20"/>
                <w:color w:val="auto"/>
              </w:rPr>
            </w:pPr>
            <w:r>
              <w:rPr>
                <w:rFonts w:ascii="Arial" w:cs="Arial" w:eastAsia="Arial" w:hAnsi="Arial"/>
                <w:sz w:val="18"/>
                <w:szCs w:val="18"/>
                <w:color w:val="auto"/>
              </w:rPr>
              <w:t>(48,862)</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000" w:type="dxa"/>
            <w:vAlign w:val="bottom"/>
            <w:shd w:val="clear" w:color="auto" w:fill="CCEEFF"/>
          </w:tcPr>
          <w:p>
            <w:pPr>
              <w:ind w:left="340"/>
              <w:spacing w:after="0"/>
              <w:rPr>
                <w:sz w:val="20"/>
                <w:szCs w:val="20"/>
                <w:color w:val="auto"/>
              </w:rPr>
            </w:pPr>
            <w:r>
              <w:rPr>
                <w:rFonts w:ascii="Arial" w:cs="Arial" w:eastAsia="Arial" w:hAnsi="Arial"/>
                <w:sz w:val="18"/>
                <w:szCs w:val="18"/>
                <w:color w:val="auto"/>
              </w:rPr>
              <w:t>Amortization of and write-off acquired intangible assets</w:t>
            </w:r>
          </w:p>
        </w:tc>
        <w:tc>
          <w:tcPr>
            <w:tcW w:w="60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78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(2,299)</w:t>
            </w:r>
          </w:p>
        </w:tc>
        <w:tc>
          <w:tcPr>
            <w:tcW w:w="3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980" w:type="dxa"/>
            <w:vAlign w:val="bottom"/>
            <w:gridSpan w:val="2"/>
            <w:shd w:val="clear" w:color="auto" w:fill="CCEEFF"/>
          </w:tcPr>
          <w:p>
            <w:pPr>
              <w:jc w:val="right"/>
              <w:ind w:right="320"/>
              <w:spacing w:after="0"/>
              <w:rPr>
                <w:sz w:val="20"/>
                <w:szCs w:val="20"/>
                <w:color w:val="auto"/>
              </w:rPr>
            </w:pPr>
            <w:r>
              <w:rPr>
                <w:rFonts w:ascii="Arial" w:cs="Arial" w:eastAsia="Arial" w:hAnsi="Arial"/>
                <w:sz w:val="18"/>
                <w:szCs w:val="18"/>
                <w:color w:val="auto"/>
              </w:rPr>
              <w:t>(2,461)</w:t>
            </w:r>
          </w:p>
        </w:tc>
        <w:tc>
          <w:tcPr>
            <w:tcW w:w="8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1100" w:type="dxa"/>
            <w:vAlign w:val="bottom"/>
            <w:gridSpan w:val="2"/>
            <w:shd w:val="clear" w:color="auto" w:fill="CCEEFF"/>
          </w:tcPr>
          <w:p>
            <w:pPr>
              <w:jc w:val="right"/>
              <w:ind w:right="340"/>
              <w:spacing w:after="0"/>
              <w:rPr>
                <w:sz w:val="20"/>
                <w:szCs w:val="20"/>
                <w:color w:val="auto"/>
              </w:rPr>
            </w:pPr>
            <w:r>
              <w:rPr>
                <w:rFonts w:ascii="Arial" w:cs="Arial" w:eastAsia="Arial" w:hAnsi="Arial"/>
                <w:sz w:val="18"/>
                <w:szCs w:val="18"/>
                <w:color w:val="auto"/>
              </w:rPr>
              <w:t>(3,150)</w:t>
            </w:r>
          </w:p>
        </w:tc>
        <w:tc>
          <w:tcPr>
            <w:tcW w:w="100" w:type="dxa"/>
            <w:vAlign w:val="bottom"/>
            <w:shd w:val="clear" w:color="auto" w:fill="CCEEFF"/>
          </w:tcPr>
          <w:p>
            <w:pPr>
              <w:spacing w:after="0"/>
              <w:rPr>
                <w:sz w:val="18"/>
                <w:szCs w:val="18"/>
                <w:color w:val="auto"/>
              </w:rPr>
            </w:pPr>
          </w:p>
        </w:tc>
        <w:tc>
          <w:tcPr>
            <w:tcW w:w="1100" w:type="dxa"/>
            <w:vAlign w:val="bottom"/>
            <w:gridSpan w:val="2"/>
            <w:shd w:val="clear" w:color="auto" w:fill="CCEEFF"/>
          </w:tcPr>
          <w:p>
            <w:pPr>
              <w:jc w:val="right"/>
              <w:ind w:right="420"/>
              <w:spacing w:after="0"/>
              <w:rPr>
                <w:sz w:val="20"/>
                <w:szCs w:val="20"/>
                <w:color w:val="auto"/>
              </w:rPr>
            </w:pPr>
            <w:r>
              <w:rPr>
                <w:rFonts w:ascii="Arial" w:cs="Arial" w:eastAsia="Arial" w:hAnsi="Arial"/>
                <w:sz w:val="18"/>
                <w:szCs w:val="18"/>
                <w:color w:val="auto"/>
              </w:rPr>
              <w:t>(7,221)</w:t>
            </w:r>
          </w:p>
        </w:tc>
        <w:tc>
          <w:tcPr>
            <w:tcW w:w="100" w:type="dxa"/>
            <w:vAlign w:val="bottom"/>
            <w:shd w:val="clear" w:color="auto" w:fill="CCEEFF"/>
          </w:tcPr>
          <w:p>
            <w:pPr>
              <w:spacing w:after="0"/>
              <w:rPr>
                <w:sz w:val="18"/>
                <w:szCs w:val="18"/>
                <w:color w:val="auto"/>
              </w:rPr>
            </w:pPr>
          </w:p>
        </w:tc>
        <w:tc>
          <w:tcPr>
            <w:tcW w:w="920" w:type="dxa"/>
            <w:vAlign w:val="bottom"/>
            <w:gridSpan w:val="2"/>
            <w:shd w:val="clear" w:color="auto" w:fill="CCEEFF"/>
          </w:tcPr>
          <w:p>
            <w:pPr>
              <w:jc w:val="right"/>
              <w:ind w:right="140"/>
              <w:spacing w:after="0"/>
              <w:rPr>
                <w:sz w:val="20"/>
                <w:szCs w:val="20"/>
                <w:color w:val="auto"/>
              </w:rPr>
            </w:pPr>
            <w:r>
              <w:rPr>
                <w:rFonts w:ascii="Arial" w:cs="Arial" w:eastAsia="Arial" w:hAnsi="Arial"/>
                <w:sz w:val="18"/>
                <w:szCs w:val="18"/>
                <w:color w:val="auto"/>
              </w:rPr>
              <w:t>(8,286)</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000" w:type="dxa"/>
            <w:vAlign w:val="bottom"/>
          </w:tcPr>
          <w:p>
            <w:pPr>
              <w:ind w:left="340"/>
              <w:spacing w:after="0"/>
              <w:rPr>
                <w:sz w:val="20"/>
                <w:szCs w:val="20"/>
                <w:color w:val="auto"/>
              </w:rPr>
            </w:pPr>
            <w:r>
              <w:rPr>
                <w:rFonts w:ascii="Arial" w:cs="Arial" w:eastAsia="Arial" w:hAnsi="Arial"/>
                <w:sz w:val="18"/>
                <w:szCs w:val="18"/>
                <w:color w:val="auto"/>
              </w:rPr>
              <w:t xml:space="preserve">Other operating expenses </w:t>
            </w:r>
            <w:r>
              <w:rPr>
                <w:rFonts w:ascii="Arial" w:cs="Arial" w:eastAsia="Arial" w:hAnsi="Arial"/>
                <w:sz w:val="18"/>
                <w:szCs w:val="18"/>
                <w:i w:val="1"/>
                <w:iCs w:val="1"/>
                <w:color w:val="auto"/>
              </w:rPr>
              <w:t>(c)</w:t>
            </w:r>
          </w:p>
        </w:tc>
        <w:tc>
          <w:tcPr>
            <w:tcW w:w="60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620" w:type="dxa"/>
            <w:vAlign w:val="bottom"/>
          </w:tcPr>
          <w:p>
            <w:pPr>
              <w:jc w:val="right"/>
              <w:ind w:right="11"/>
              <w:spacing w:after="0"/>
              <w:rPr>
                <w:sz w:val="20"/>
                <w:szCs w:val="20"/>
                <w:color w:val="auto"/>
              </w:rPr>
            </w:pPr>
            <w:r>
              <w:rPr>
                <w:rFonts w:ascii="Arial" w:cs="Arial" w:eastAsia="Arial" w:hAnsi="Arial"/>
                <w:sz w:val="18"/>
                <w:szCs w:val="18"/>
                <w:color w:val="auto"/>
              </w:rPr>
              <w:t>—</w:t>
            </w:r>
          </w:p>
        </w:tc>
        <w:tc>
          <w:tcPr>
            <w:tcW w:w="16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600" w:type="dxa"/>
            <w:vAlign w:val="bottom"/>
          </w:tcPr>
          <w:p>
            <w:pPr>
              <w:jc w:val="right"/>
              <w:spacing w:after="0"/>
              <w:rPr>
                <w:sz w:val="20"/>
                <w:szCs w:val="20"/>
                <w:color w:val="auto"/>
              </w:rPr>
            </w:pPr>
            <w:r>
              <w:rPr>
                <w:rFonts w:ascii="Arial" w:cs="Arial" w:eastAsia="Arial" w:hAnsi="Arial"/>
                <w:sz w:val="18"/>
                <w:szCs w:val="18"/>
                <w:color w:val="auto"/>
              </w:rPr>
              <w:t>12</w:t>
            </w:r>
          </w:p>
        </w:tc>
        <w:tc>
          <w:tcPr>
            <w:tcW w:w="38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1100" w:type="dxa"/>
            <w:vAlign w:val="bottom"/>
            <w:gridSpan w:val="2"/>
          </w:tcPr>
          <w:p>
            <w:pPr>
              <w:jc w:val="right"/>
              <w:ind w:right="340"/>
              <w:spacing w:after="0"/>
              <w:rPr>
                <w:sz w:val="20"/>
                <w:szCs w:val="20"/>
                <w:color w:val="auto"/>
              </w:rPr>
            </w:pPr>
            <w:r>
              <w:rPr>
                <w:rFonts w:ascii="Arial" w:cs="Arial" w:eastAsia="Arial" w:hAnsi="Arial"/>
                <w:sz w:val="18"/>
                <w:szCs w:val="18"/>
                <w:color w:val="auto"/>
              </w:rPr>
              <w:t>(3,834)</w:t>
            </w:r>
          </w:p>
        </w:tc>
        <w:tc>
          <w:tcPr>
            <w:tcW w:w="100" w:type="dxa"/>
            <w:vAlign w:val="bottom"/>
          </w:tcPr>
          <w:p>
            <w:pPr>
              <w:spacing w:after="0"/>
              <w:rPr>
                <w:sz w:val="18"/>
                <w:szCs w:val="18"/>
                <w:color w:val="auto"/>
              </w:rPr>
            </w:pPr>
          </w:p>
        </w:tc>
        <w:tc>
          <w:tcPr>
            <w:tcW w:w="1100" w:type="dxa"/>
            <w:vAlign w:val="bottom"/>
            <w:gridSpan w:val="2"/>
          </w:tcPr>
          <w:p>
            <w:pPr>
              <w:jc w:val="right"/>
              <w:ind w:right="420"/>
              <w:spacing w:after="0"/>
              <w:rPr>
                <w:sz w:val="20"/>
                <w:szCs w:val="20"/>
                <w:color w:val="auto"/>
              </w:rPr>
            </w:pPr>
            <w:r>
              <w:rPr>
                <w:rFonts w:ascii="Arial" w:cs="Arial" w:eastAsia="Arial" w:hAnsi="Arial"/>
                <w:sz w:val="18"/>
                <w:szCs w:val="18"/>
                <w:color w:val="auto"/>
              </w:rPr>
              <w:t>(1,229)</w:t>
            </w:r>
          </w:p>
        </w:tc>
        <w:tc>
          <w:tcPr>
            <w:tcW w:w="100" w:type="dxa"/>
            <w:vAlign w:val="bottom"/>
          </w:tcPr>
          <w:p>
            <w:pPr>
              <w:spacing w:after="0"/>
              <w:rPr>
                <w:sz w:val="18"/>
                <w:szCs w:val="18"/>
                <w:color w:val="auto"/>
              </w:rPr>
            </w:pPr>
          </w:p>
        </w:tc>
        <w:tc>
          <w:tcPr>
            <w:tcW w:w="920" w:type="dxa"/>
            <w:vAlign w:val="bottom"/>
            <w:gridSpan w:val="2"/>
          </w:tcPr>
          <w:p>
            <w:pPr>
              <w:jc w:val="right"/>
              <w:ind w:right="140"/>
              <w:spacing w:after="0"/>
              <w:rPr>
                <w:sz w:val="20"/>
                <w:szCs w:val="20"/>
                <w:color w:val="auto"/>
              </w:rPr>
            </w:pPr>
            <w:r>
              <w:rPr>
                <w:rFonts w:ascii="Arial" w:cs="Arial" w:eastAsia="Arial" w:hAnsi="Arial"/>
                <w:sz w:val="18"/>
                <w:szCs w:val="18"/>
                <w:color w:val="auto"/>
                <w:w w:val="98"/>
              </w:rPr>
              <w:t>(691,745)</w:t>
            </w:r>
          </w:p>
        </w:tc>
        <w:tc>
          <w:tcPr>
            <w:tcW w:w="0" w:type="dxa"/>
            <w:vAlign w:val="bottom"/>
          </w:tcPr>
          <w:p>
            <w:pPr>
              <w:spacing w:after="0"/>
              <w:rPr>
                <w:sz w:val="1"/>
                <w:szCs w:val="1"/>
                <w:color w:val="auto"/>
              </w:rPr>
            </w:pPr>
          </w:p>
        </w:tc>
      </w:tr>
      <w:tr>
        <w:trPr>
          <w:trHeight w:val="27"/>
        </w:trPr>
        <w:tc>
          <w:tcPr>
            <w:tcW w:w="20" w:type="dxa"/>
            <w:vAlign w:val="bottom"/>
            <w:vMerge w:val="restart"/>
          </w:tcPr>
          <w:p>
            <w:pPr>
              <w:spacing w:after="0"/>
              <w:rPr>
                <w:sz w:val="2"/>
                <w:szCs w:val="2"/>
                <w:color w:val="auto"/>
              </w:rPr>
            </w:pPr>
          </w:p>
        </w:tc>
        <w:tc>
          <w:tcPr>
            <w:tcW w:w="5000" w:type="dxa"/>
            <w:vAlign w:val="bottom"/>
          </w:tcPr>
          <w:p>
            <w:pPr>
              <w:spacing w:after="0"/>
              <w:rPr>
                <w:sz w:val="2"/>
                <w:szCs w:val="2"/>
                <w:color w:val="auto"/>
              </w:rPr>
            </w:pPr>
          </w:p>
        </w:tc>
        <w:tc>
          <w:tcPr>
            <w:tcW w:w="600" w:type="dxa"/>
            <w:vAlign w:val="bottom"/>
          </w:tcPr>
          <w:p>
            <w:pPr>
              <w:spacing w:after="0"/>
              <w:rPr>
                <w:sz w:val="2"/>
                <w:szCs w:val="2"/>
                <w:color w:val="auto"/>
              </w:rPr>
            </w:pPr>
          </w:p>
        </w:tc>
        <w:tc>
          <w:tcPr>
            <w:tcW w:w="120" w:type="dxa"/>
            <w:vAlign w:val="bottom"/>
            <w:shd w:val="clear" w:color="auto" w:fill="000000"/>
          </w:tcPr>
          <w:p>
            <w:pPr>
              <w:spacing w:after="0"/>
              <w:rPr>
                <w:sz w:val="2"/>
                <w:szCs w:val="2"/>
                <w:color w:val="auto"/>
              </w:rPr>
            </w:pPr>
          </w:p>
        </w:tc>
        <w:tc>
          <w:tcPr>
            <w:tcW w:w="620" w:type="dxa"/>
            <w:vAlign w:val="bottom"/>
            <w:shd w:val="clear" w:color="auto" w:fill="000000"/>
          </w:tcPr>
          <w:p>
            <w:pPr>
              <w:spacing w:after="0"/>
              <w:rPr>
                <w:sz w:val="2"/>
                <w:szCs w:val="2"/>
                <w:color w:val="auto"/>
              </w:rPr>
            </w:pPr>
          </w:p>
        </w:tc>
        <w:tc>
          <w:tcPr>
            <w:tcW w:w="160" w:type="dxa"/>
            <w:vAlign w:val="bottom"/>
          </w:tcPr>
          <w:p>
            <w:pPr>
              <w:spacing w:after="0"/>
              <w:rPr>
                <w:sz w:val="2"/>
                <w:szCs w:val="2"/>
                <w:color w:val="auto"/>
              </w:rPr>
            </w:pPr>
          </w:p>
        </w:tc>
        <w:tc>
          <w:tcPr>
            <w:tcW w:w="30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600" w:type="dxa"/>
            <w:vAlign w:val="bottom"/>
            <w:shd w:val="clear" w:color="auto" w:fill="000000"/>
          </w:tcPr>
          <w:p>
            <w:pPr>
              <w:spacing w:after="0"/>
              <w:rPr>
                <w:sz w:val="2"/>
                <w:szCs w:val="2"/>
                <w:color w:val="auto"/>
              </w:rPr>
            </w:pPr>
          </w:p>
        </w:tc>
        <w:tc>
          <w:tcPr>
            <w:tcW w:w="380" w:type="dxa"/>
            <w:vAlign w:val="bottom"/>
          </w:tcPr>
          <w:p>
            <w:pPr>
              <w:spacing w:after="0"/>
              <w:rPr>
                <w:sz w:val="2"/>
                <w:szCs w:val="2"/>
                <w:color w:val="auto"/>
              </w:rPr>
            </w:pPr>
          </w:p>
        </w:tc>
        <w:tc>
          <w:tcPr>
            <w:tcW w:w="80" w:type="dxa"/>
            <w:vAlign w:val="bottom"/>
          </w:tcPr>
          <w:p>
            <w:pPr>
              <w:spacing w:after="0"/>
              <w:rPr>
                <w:sz w:val="2"/>
                <w:szCs w:val="2"/>
                <w:color w:val="auto"/>
              </w:rPr>
            </w:pPr>
          </w:p>
        </w:tc>
        <w:tc>
          <w:tcPr>
            <w:tcW w:w="120" w:type="dxa"/>
            <w:vAlign w:val="bottom"/>
            <w:shd w:val="clear" w:color="auto" w:fill="000000"/>
          </w:tcPr>
          <w:p>
            <w:pPr>
              <w:spacing w:after="0"/>
              <w:rPr>
                <w:sz w:val="2"/>
                <w:szCs w:val="2"/>
                <w:color w:val="auto"/>
              </w:rPr>
            </w:pPr>
          </w:p>
        </w:tc>
        <w:tc>
          <w:tcPr>
            <w:tcW w:w="620" w:type="dxa"/>
            <w:vAlign w:val="bottom"/>
            <w:shd w:val="clear" w:color="auto" w:fill="000000"/>
          </w:tcPr>
          <w:p>
            <w:pPr>
              <w:spacing w:after="0"/>
              <w:rPr>
                <w:sz w:val="2"/>
                <w:szCs w:val="2"/>
                <w:color w:val="auto"/>
              </w:rPr>
            </w:pPr>
          </w:p>
        </w:tc>
        <w:tc>
          <w:tcPr>
            <w:tcW w:w="48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620" w:type="dxa"/>
            <w:vAlign w:val="bottom"/>
            <w:shd w:val="clear" w:color="auto" w:fill="000000"/>
          </w:tcPr>
          <w:p>
            <w:pPr>
              <w:spacing w:after="0"/>
              <w:rPr>
                <w:sz w:val="2"/>
                <w:szCs w:val="2"/>
                <w:color w:val="auto"/>
              </w:rPr>
            </w:pPr>
          </w:p>
        </w:tc>
        <w:tc>
          <w:tcPr>
            <w:tcW w:w="48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720" w:type="dxa"/>
            <w:vAlign w:val="bottom"/>
            <w:shd w:val="clear" w:color="auto" w:fill="000000"/>
          </w:tcPr>
          <w:p>
            <w:pPr>
              <w:spacing w:after="0"/>
              <w:rPr>
                <w:sz w:val="2"/>
                <w:szCs w:val="2"/>
                <w:color w:val="auto"/>
              </w:rPr>
            </w:pPr>
          </w:p>
        </w:tc>
        <w:tc>
          <w:tcPr>
            <w:tcW w:w="20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16"/>
        </w:trPr>
        <w:tc>
          <w:tcPr>
            <w:tcW w:w="20" w:type="dxa"/>
            <w:vAlign w:val="bottom"/>
            <w:vMerge w:val="continue"/>
          </w:tcPr>
          <w:p>
            <w:pPr>
              <w:spacing w:after="0"/>
              <w:rPr>
                <w:sz w:val="18"/>
                <w:szCs w:val="18"/>
                <w:color w:val="auto"/>
              </w:rPr>
            </w:pPr>
          </w:p>
        </w:tc>
        <w:tc>
          <w:tcPr>
            <w:tcW w:w="5000" w:type="dxa"/>
            <w:vAlign w:val="bottom"/>
            <w:shd w:val="clear" w:color="auto" w:fill="CCEEFF"/>
          </w:tcPr>
          <w:p>
            <w:pPr>
              <w:spacing w:after="0"/>
              <w:rPr>
                <w:sz w:val="20"/>
                <w:szCs w:val="20"/>
                <w:color w:val="auto"/>
              </w:rPr>
            </w:pPr>
            <w:r>
              <w:rPr>
                <w:rFonts w:ascii="Arial" w:cs="Arial" w:eastAsia="Arial" w:hAnsi="Arial"/>
                <w:sz w:val="18"/>
                <w:szCs w:val="18"/>
                <w:color w:val="auto"/>
              </w:rPr>
              <w:t>Total special items</w:t>
            </w:r>
          </w:p>
        </w:tc>
        <w:tc>
          <w:tcPr>
            <w:tcW w:w="60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78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w w:val="98"/>
              </w:rPr>
              <w:t>(29,501)</w:t>
            </w:r>
          </w:p>
        </w:tc>
        <w:tc>
          <w:tcPr>
            <w:tcW w:w="3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980" w:type="dxa"/>
            <w:vAlign w:val="bottom"/>
            <w:gridSpan w:val="2"/>
            <w:shd w:val="clear" w:color="auto" w:fill="CCEEFF"/>
          </w:tcPr>
          <w:p>
            <w:pPr>
              <w:jc w:val="right"/>
              <w:ind w:right="320"/>
              <w:spacing w:after="0"/>
              <w:rPr>
                <w:sz w:val="20"/>
                <w:szCs w:val="20"/>
                <w:color w:val="auto"/>
              </w:rPr>
            </w:pPr>
            <w:r>
              <w:rPr>
                <w:rFonts w:ascii="Arial" w:cs="Arial" w:eastAsia="Arial" w:hAnsi="Arial"/>
                <w:sz w:val="18"/>
                <w:szCs w:val="18"/>
                <w:color w:val="auto"/>
                <w:w w:val="95"/>
              </w:rPr>
              <w:t>(37,534)</w:t>
            </w:r>
          </w:p>
        </w:tc>
        <w:tc>
          <w:tcPr>
            <w:tcW w:w="8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1100" w:type="dxa"/>
            <w:vAlign w:val="bottom"/>
            <w:gridSpan w:val="2"/>
            <w:shd w:val="clear" w:color="auto" w:fill="CCEEFF"/>
          </w:tcPr>
          <w:p>
            <w:pPr>
              <w:jc w:val="right"/>
              <w:ind w:right="340"/>
              <w:spacing w:after="0"/>
              <w:rPr>
                <w:sz w:val="20"/>
                <w:szCs w:val="20"/>
                <w:color w:val="auto"/>
              </w:rPr>
            </w:pPr>
            <w:r>
              <w:rPr>
                <w:rFonts w:ascii="Arial" w:cs="Arial" w:eastAsia="Arial" w:hAnsi="Arial"/>
                <w:sz w:val="18"/>
                <w:szCs w:val="18"/>
                <w:color w:val="auto"/>
                <w:w w:val="98"/>
              </w:rPr>
              <w:t>(71,224)</w:t>
            </w:r>
          </w:p>
        </w:tc>
        <w:tc>
          <w:tcPr>
            <w:tcW w:w="100" w:type="dxa"/>
            <w:vAlign w:val="bottom"/>
            <w:shd w:val="clear" w:color="auto" w:fill="CCEEFF"/>
          </w:tcPr>
          <w:p>
            <w:pPr>
              <w:spacing w:after="0"/>
              <w:rPr>
                <w:sz w:val="18"/>
                <w:szCs w:val="18"/>
                <w:color w:val="auto"/>
              </w:rPr>
            </w:pPr>
          </w:p>
        </w:tc>
        <w:tc>
          <w:tcPr>
            <w:tcW w:w="1100" w:type="dxa"/>
            <w:vAlign w:val="bottom"/>
            <w:gridSpan w:val="2"/>
            <w:shd w:val="clear" w:color="auto" w:fill="CCEEFF"/>
          </w:tcPr>
          <w:p>
            <w:pPr>
              <w:jc w:val="right"/>
              <w:ind w:right="420"/>
              <w:spacing w:after="0"/>
              <w:rPr>
                <w:sz w:val="20"/>
                <w:szCs w:val="20"/>
                <w:color w:val="auto"/>
              </w:rPr>
            </w:pPr>
            <w:r>
              <w:rPr>
                <w:rFonts w:ascii="Arial" w:cs="Arial" w:eastAsia="Arial" w:hAnsi="Arial"/>
                <w:sz w:val="18"/>
                <w:szCs w:val="18"/>
                <w:color w:val="auto"/>
                <w:w w:val="98"/>
              </w:rPr>
              <w:t>(97,829)</w:t>
            </w:r>
          </w:p>
        </w:tc>
        <w:tc>
          <w:tcPr>
            <w:tcW w:w="100" w:type="dxa"/>
            <w:vAlign w:val="bottom"/>
            <w:shd w:val="clear" w:color="auto" w:fill="CCEEFF"/>
          </w:tcPr>
          <w:p>
            <w:pPr>
              <w:spacing w:after="0"/>
              <w:rPr>
                <w:sz w:val="18"/>
                <w:szCs w:val="18"/>
                <w:color w:val="auto"/>
              </w:rPr>
            </w:pPr>
          </w:p>
        </w:tc>
        <w:tc>
          <w:tcPr>
            <w:tcW w:w="920" w:type="dxa"/>
            <w:vAlign w:val="bottom"/>
            <w:gridSpan w:val="2"/>
            <w:shd w:val="clear" w:color="auto" w:fill="CCEEFF"/>
          </w:tcPr>
          <w:p>
            <w:pPr>
              <w:jc w:val="right"/>
              <w:ind w:right="140"/>
              <w:spacing w:after="0"/>
              <w:rPr>
                <w:sz w:val="20"/>
                <w:szCs w:val="20"/>
                <w:color w:val="auto"/>
              </w:rPr>
            </w:pPr>
            <w:r>
              <w:rPr>
                <w:rFonts w:ascii="Arial" w:cs="Arial" w:eastAsia="Arial" w:hAnsi="Arial"/>
                <w:sz w:val="18"/>
                <w:szCs w:val="18"/>
                <w:color w:val="auto"/>
                <w:w w:val="98"/>
              </w:rPr>
              <w:t>(844,199)</w:t>
            </w:r>
          </w:p>
        </w:tc>
        <w:tc>
          <w:tcPr>
            <w:tcW w:w="0" w:type="dxa"/>
            <w:vAlign w:val="bottom"/>
          </w:tcPr>
          <w:p>
            <w:pPr>
              <w:spacing w:after="0"/>
              <w:rPr>
                <w:sz w:val="1"/>
                <w:szCs w:val="1"/>
                <w:color w:val="auto"/>
              </w:rPr>
            </w:pPr>
          </w:p>
        </w:tc>
      </w:tr>
      <w:tr>
        <w:trPr>
          <w:trHeight w:val="223"/>
        </w:trPr>
        <w:tc>
          <w:tcPr>
            <w:tcW w:w="5020" w:type="dxa"/>
            <w:vAlign w:val="bottom"/>
            <w:gridSpan w:val="2"/>
          </w:tcPr>
          <w:p>
            <w:pPr>
              <w:spacing w:after="0"/>
              <w:rPr>
                <w:sz w:val="20"/>
                <w:szCs w:val="20"/>
                <w:color w:val="auto"/>
              </w:rPr>
            </w:pPr>
            <w:r>
              <w:rPr>
                <w:rFonts w:ascii="Arial" w:cs="Arial" w:eastAsia="Arial" w:hAnsi="Arial"/>
                <w:sz w:val="18"/>
                <w:szCs w:val="18"/>
                <w:color w:val="auto"/>
              </w:rPr>
              <w:t>Total non-GAAP operating expenses</w:t>
            </w:r>
          </w:p>
        </w:tc>
        <w:tc>
          <w:tcPr>
            <w:tcW w:w="600" w:type="dxa"/>
            <w:vAlign w:val="bottom"/>
          </w:tcPr>
          <w:p>
            <w:pPr>
              <w:spacing w:after="0"/>
              <w:rPr>
                <w:sz w:val="19"/>
                <w:szCs w:val="19"/>
                <w:color w:val="auto"/>
              </w:rPr>
            </w:pPr>
          </w:p>
        </w:tc>
        <w:tc>
          <w:tcPr>
            <w:tcW w:w="120" w:type="dxa"/>
            <w:vAlign w:val="bottom"/>
            <w:tcBorders>
              <w:top w:val="single" w:sz="8" w:color="auto"/>
              <w:bottom w:val="single" w:sz="8" w:color="auto"/>
            </w:tcBorders>
          </w:tcPr>
          <w:p>
            <w:pPr>
              <w:spacing w:after="0"/>
              <w:rPr>
                <w:sz w:val="20"/>
                <w:szCs w:val="20"/>
                <w:color w:val="auto"/>
              </w:rPr>
            </w:pPr>
            <w:r>
              <w:rPr>
                <w:rFonts w:ascii="Arial" w:cs="Arial" w:eastAsia="Arial" w:hAnsi="Arial"/>
                <w:sz w:val="18"/>
                <w:szCs w:val="18"/>
                <w:color w:val="auto"/>
                <w:w w:val="99"/>
              </w:rPr>
              <w:t>$</w:t>
            </w:r>
          </w:p>
        </w:tc>
        <w:tc>
          <w:tcPr>
            <w:tcW w:w="62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w w:val="92"/>
              </w:rPr>
              <w:t>255,905</w:t>
            </w:r>
          </w:p>
        </w:tc>
        <w:tc>
          <w:tcPr>
            <w:tcW w:w="160" w:type="dxa"/>
            <w:vAlign w:val="bottom"/>
          </w:tcPr>
          <w:p>
            <w:pPr>
              <w:spacing w:after="0"/>
              <w:rPr>
                <w:sz w:val="19"/>
                <w:szCs w:val="19"/>
                <w:color w:val="auto"/>
              </w:rPr>
            </w:pPr>
          </w:p>
        </w:tc>
        <w:tc>
          <w:tcPr>
            <w:tcW w:w="300" w:type="dxa"/>
            <w:vAlign w:val="bottom"/>
          </w:tcPr>
          <w:p>
            <w:pPr>
              <w:spacing w:after="0"/>
              <w:rPr>
                <w:sz w:val="19"/>
                <w:szCs w:val="19"/>
                <w:color w:val="auto"/>
              </w:rPr>
            </w:pPr>
          </w:p>
        </w:tc>
        <w:tc>
          <w:tcPr>
            <w:tcW w:w="10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u w:val="single" w:color="auto"/>
                <w:color w:val="auto"/>
                <w:w w:val="79"/>
              </w:rPr>
              <w:t>$</w:t>
            </w:r>
          </w:p>
        </w:tc>
        <w:tc>
          <w:tcPr>
            <w:tcW w:w="60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w w:val="89"/>
              </w:rPr>
              <w:t>261,756</w:t>
            </w:r>
          </w:p>
        </w:tc>
        <w:tc>
          <w:tcPr>
            <w:tcW w:w="380" w:type="dxa"/>
            <w:vAlign w:val="bottom"/>
          </w:tcPr>
          <w:p>
            <w:pPr>
              <w:spacing w:after="0"/>
              <w:rPr>
                <w:sz w:val="19"/>
                <w:szCs w:val="19"/>
                <w:color w:val="auto"/>
              </w:rPr>
            </w:pPr>
          </w:p>
        </w:tc>
        <w:tc>
          <w:tcPr>
            <w:tcW w:w="80" w:type="dxa"/>
            <w:vAlign w:val="bottom"/>
          </w:tcPr>
          <w:p>
            <w:pPr>
              <w:spacing w:after="0"/>
              <w:rPr>
                <w:sz w:val="19"/>
                <w:szCs w:val="19"/>
                <w:color w:val="auto"/>
              </w:rPr>
            </w:pPr>
          </w:p>
        </w:tc>
        <w:tc>
          <w:tcPr>
            <w:tcW w:w="120" w:type="dxa"/>
            <w:vAlign w:val="bottom"/>
            <w:tcBorders>
              <w:top w:val="single" w:sz="8" w:color="auto"/>
              <w:bottom w:val="single" w:sz="8" w:color="auto"/>
            </w:tcBorders>
          </w:tcPr>
          <w:p>
            <w:pPr>
              <w:spacing w:after="0"/>
              <w:rPr>
                <w:sz w:val="20"/>
                <w:szCs w:val="20"/>
                <w:color w:val="auto"/>
              </w:rPr>
            </w:pPr>
            <w:r>
              <w:rPr>
                <w:rFonts w:ascii="Arial" w:cs="Arial" w:eastAsia="Arial" w:hAnsi="Arial"/>
                <w:sz w:val="18"/>
                <w:szCs w:val="18"/>
                <w:color w:val="auto"/>
                <w:w w:val="99"/>
              </w:rPr>
              <w:t>$</w:t>
            </w:r>
          </w:p>
        </w:tc>
        <w:tc>
          <w:tcPr>
            <w:tcW w:w="62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w w:val="92"/>
              </w:rPr>
              <w:t>283,486</w:t>
            </w:r>
          </w:p>
        </w:tc>
        <w:tc>
          <w:tcPr>
            <w:tcW w:w="480" w:type="dxa"/>
            <w:vAlign w:val="bottom"/>
          </w:tcPr>
          <w:p>
            <w:pPr>
              <w:spacing w:after="0"/>
              <w:rPr>
                <w:sz w:val="19"/>
                <w:szCs w:val="19"/>
                <w:color w:val="auto"/>
              </w:rPr>
            </w:pPr>
          </w:p>
        </w:tc>
        <w:tc>
          <w:tcPr>
            <w:tcW w:w="100" w:type="dxa"/>
            <w:vAlign w:val="bottom"/>
            <w:tcBorders>
              <w:top w:val="single" w:sz="8" w:color="auto"/>
              <w:bottom w:val="single" w:sz="8" w:color="auto"/>
            </w:tcBorders>
          </w:tcPr>
          <w:p>
            <w:pPr>
              <w:spacing w:after="0"/>
              <w:rPr>
                <w:sz w:val="20"/>
                <w:szCs w:val="20"/>
                <w:color w:val="auto"/>
              </w:rPr>
            </w:pPr>
            <w:r>
              <w:rPr>
                <w:rFonts w:ascii="Arial" w:cs="Arial" w:eastAsia="Arial" w:hAnsi="Arial"/>
                <w:sz w:val="18"/>
                <w:szCs w:val="18"/>
                <w:color w:val="auto"/>
                <w:w w:val="79"/>
              </w:rPr>
              <w:t>$</w:t>
            </w:r>
          </w:p>
        </w:tc>
        <w:tc>
          <w:tcPr>
            <w:tcW w:w="62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w w:val="92"/>
              </w:rPr>
              <w:t>797,601</w:t>
            </w:r>
          </w:p>
        </w:tc>
        <w:tc>
          <w:tcPr>
            <w:tcW w:w="480" w:type="dxa"/>
            <w:vAlign w:val="bottom"/>
          </w:tcPr>
          <w:p>
            <w:pPr>
              <w:spacing w:after="0"/>
              <w:rPr>
                <w:sz w:val="19"/>
                <w:szCs w:val="19"/>
                <w:color w:val="auto"/>
              </w:rPr>
            </w:pPr>
          </w:p>
        </w:tc>
        <w:tc>
          <w:tcPr>
            <w:tcW w:w="10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5"/>
                <w:szCs w:val="15"/>
                <w:color w:val="auto"/>
                <w:w w:val="71"/>
              </w:rPr>
              <w:t>$</w:t>
            </w:r>
          </w:p>
        </w:tc>
        <w:tc>
          <w:tcPr>
            <w:tcW w:w="72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892,354</w:t>
            </w:r>
          </w:p>
        </w:tc>
        <w:tc>
          <w:tcPr>
            <w:tcW w:w="2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5000" w:type="dxa"/>
            <w:vAlign w:val="bottom"/>
          </w:tcPr>
          <w:p>
            <w:pPr>
              <w:spacing w:after="0" w:line="20" w:lineRule="exact"/>
              <w:rPr>
                <w:sz w:val="1"/>
                <w:szCs w:val="1"/>
                <w:color w:val="auto"/>
              </w:rPr>
            </w:pPr>
          </w:p>
        </w:tc>
        <w:tc>
          <w:tcPr>
            <w:tcW w:w="600" w:type="dxa"/>
            <w:vAlign w:val="bottom"/>
          </w:tcPr>
          <w:p>
            <w:pPr>
              <w:spacing w:after="0" w:line="20" w:lineRule="exact"/>
              <w:rPr>
                <w:sz w:val="1"/>
                <w:szCs w:val="1"/>
                <w:color w:val="auto"/>
              </w:rPr>
            </w:pPr>
          </w:p>
        </w:tc>
        <w:tc>
          <w:tcPr>
            <w:tcW w:w="120" w:type="dxa"/>
            <w:vAlign w:val="bottom"/>
            <w:tcBorders>
              <w:bottom w:val="single" w:sz="8" w:color="auto"/>
            </w:tcBorders>
          </w:tcPr>
          <w:p>
            <w:pPr>
              <w:spacing w:after="0" w:line="20" w:lineRule="exact"/>
              <w:rPr>
                <w:sz w:val="1"/>
                <w:szCs w:val="1"/>
                <w:color w:val="auto"/>
              </w:rPr>
            </w:pPr>
          </w:p>
        </w:tc>
        <w:tc>
          <w:tcPr>
            <w:tcW w:w="620" w:type="dxa"/>
            <w:vAlign w:val="bottom"/>
            <w:tcBorders>
              <w:bottom w:val="single" w:sz="8" w:color="auto"/>
            </w:tcBorders>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600" w:type="dxa"/>
            <w:vAlign w:val="bottom"/>
            <w:tcBorders>
              <w:bottom w:val="single" w:sz="8" w:color="auto"/>
            </w:tcBorders>
          </w:tcPr>
          <w:p>
            <w:pPr>
              <w:spacing w:after="0" w:line="20" w:lineRule="exact"/>
              <w:rPr>
                <w:sz w:val="1"/>
                <w:szCs w:val="1"/>
                <w:color w:val="auto"/>
              </w:rPr>
            </w:pPr>
          </w:p>
        </w:tc>
        <w:tc>
          <w:tcPr>
            <w:tcW w:w="38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120" w:type="dxa"/>
            <w:vAlign w:val="bottom"/>
            <w:tcBorders>
              <w:bottom w:val="single" w:sz="8" w:color="auto"/>
            </w:tcBorders>
          </w:tcPr>
          <w:p>
            <w:pPr>
              <w:spacing w:after="0" w:line="20" w:lineRule="exact"/>
              <w:rPr>
                <w:sz w:val="1"/>
                <w:szCs w:val="1"/>
                <w:color w:val="auto"/>
              </w:rPr>
            </w:pPr>
          </w:p>
        </w:tc>
        <w:tc>
          <w:tcPr>
            <w:tcW w:w="620" w:type="dxa"/>
            <w:vAlign w:val="bottom"/>
            <w:tcBorders>
              <w:bottom w:val="single" w:sz="8" w:color="auto"/>
            </w:tcBorders>
          </w:tcPr>
          <w:p>
            <w:pPr>
              <w:spacing w:after="0" w:line="20" w:lineRule="exact"/>
              <w:rPr>
                <w:sz w:val="1"/>
                <w:szCs w:val="1"/>
                <w:color w:val="auto"/>
              </w:rPr>
            </w:pPr>
          </w:p>
        </w:tc>
        <w:tc>
          <w:tcPr>
            <w:tcW w:w="480" w:type="dxa"/>
            <w:vAlign w:val="bottom"/>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620" w:type="dxa"/>
            <w:vAlign w:val="bottom"/>
            <w:tcBorders>
              <w:bottom w:val="single" w:sz="8" w:color="auto"/>
            </w:tcBorders>
          </w:tcPr>
          <w:p>
            <w:pPr>
              <w:spacing w:after="0" w:line="20" w:lineRule="exact"/>
              <w:rPr>
                <w:sz w:val="1"/>
                <w:szCs w:val="1"/>
                <w:color w:val="auto"/>
              </w:rPr>
            </w:pPr>
          </w:p>
        </w:tc>
        <w:tc>
          <w:tcPr>
            <w:tcW w:w="480" w:type="dxa"/>
            <w:vAlign w:val="bottom"/>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720" w:type="dxa"/>
            <w:vAlign w:val="bottom"/>
            <w:tcBorders>
              <w:bottom w:val="single" w:sz="8" w:color="auto"/>
            </w:tcBorders>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10"/>
        </w:trPr>
        <w:tc>
          <w:tcPr>
            <w:tcW w:w="20" w:type="dxa"/>
            <w:vAlign w:val="bottom"/>
          </w:tcPr>
          <w:p>
            <w:pPr>
              <w:spacing w:after="0"/>
              <w:rPr>
                <w:sz w:val="18"/>
                <w:szCs w:val="18"/>
                <w:color w:val="auto"/>
              </w:rPr>
            </w:pPr>
          </w:p>
        </w:tc>
        <w:tc>
          <w:tcPr>
            <w:tcW w:w="5000" w:type="dxa"/>
            <w:vAlign w:val="bottom"/>
            <w:shd w:val="clear" w:color="auto" w:fill="CCEEFF"/>
          </w:tcPr>
          <w:p>
            <w:pPr>
              <w:spacing w:after="0"/>
              <w:rPr>
                <w:sz w:val="20"/>
                <w:szCs w:val="20"/>
                <w:color w:val="auto"/>
              </w:rPr>
            </w:pPr>
            <w:r>
              <w:rPr>
                <w:rFonts w:ascii="Arial" w:cs="Arial" w:eastAsia="Arial" w:hAnsi="Arial"/>
                <w:sz w:val="18"/>
                <w:szCs w:val="18"/>
                <w:color w:val="auto"/>
              </w:rPr>
              <w:t>GAAP net income (loss)</w:t>
            </w:r>
          </w:p>
        </w:tc>
        <w:tc>
          <w:tcPr>
            <w:tcW w:w="720" w:type="dxa"/>
            <w:vAlign w:val="bottom"/>
            <w:gridSpan w:val="2"/>
            <w:shd w:val="clear" w:color="auto" w:fill="CCEEFF"/>
          </w:tcPr>
          <w:p>
            <w:pPr>
              <w:ind w:left="600"/>
              <w:spacing w:after="0"/>
              <w:rPr>
                <w:sz w:val="20"/>
                <w:szCs w:val="20"/>
                <w:color w:val="auto"/>
              </w:rPr>
            </w:pPr>
            <w:r>
              <w:rPr>
                <w:rFonts w:ascii="Arial" w:cs="Arial" w:eastAsia="Arial" w:hAnsi="Arial"/>
                <w:sz w:val="18"/>
                <w:szCs w:val="18"/>
                <w:color w:val="auto"/>
                <w:w w:val="99"/>
              </w:rPr>
              <w:t>$</w:t>
            </w:r>
          </w:p>
        </w:tc>
        <w:tc>
          <w:tcPr>
            <w:tcW w:w="780" w:type="dxa"/>
            <w:vAlign w:val="bottom"/>
            <w:gridSpan w:val="2"/>
            <w:shd w:val="clear" w:color="auto" w:fill="CCEEFF"/>
          </w:tcPr>
          <w:p>
            <w:pPr>
              <w:jc w:val="right"/>
              <w:ind w:right="160"/>
              <w:spacing w:after="0"/>
              <w:rPr>
                <w:sz w:val="20"/>
                <w:szCs w:val="20"/>
                <w:color w:val="auto"/>
              </w:rPr>
            </w:pPr>
            <w:r>
              <w:rPr>
                <w:rFonts w:ascii="Arial" w:cs="Arial" w:eastAsia="Arial" w:hAnsi="Arial"/>
                <w:sz w:val="18"/>
                <w:szCs w:val="18"/>
                <w:color w:val="auto"/>
              </w:rPr>
              <w:t>72,616</w:t>
            </w:r>
          </w:p>
        </w:tc>
        <w:tc>
          <w:tcPr>
            <w:tcW w:w="40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980" w:type="dxa"/>
            <w:vAlign w:val="bottom"/>
            <w:gridSpan w:val="2"/>
            <w:shd w:val="clear" w:color="auto" w:fill="CCEEFF"/>
          </w:tcPr>
          <w:p>
            <w:pPr>
              <w:jc w:val="right"/>
              <w:ind w:right="380"/>
              <w:spacing w:after="0"/>
              <w:rPr>
                <w:sz w:val="20"/>
                <w:szCs w:val="20"/>
                <w:color w:val="auto"/>
              </w:rPr>
            </w:pPr>
            <w:r>
              <w:rPr>
                <w:rFonts w:ascii="Arial" w:cs="Arial" w:eastAsia="Arial" w:hAnsi="Arial"/>
                <w:sz w:val="18"/>
                <w:szCs w:val="18"/>
                <w:color w:val="auto"/>
              </w:rPr>
              <w:t>51,305</w:t>
            </w:r>
          </w:p>
        </w:tc>
        <w:tc>
          <w:tcPr>
            <w:tcW w:w="200" w:type="dxa"/>
            <w:vAlign w:val="bottom"/>
            <w:gridSpan w:val="2"/>
            <w:shd w:val="clear" w:color="auto" w:fill="CCEEFF"/>
          </w:tcPr>
          <w:p>
            <w:pPr>
              <w:ind w:left="80"/>
              <w:spacing w:after="0"/>
              <w:rPr>
                <w:sz w:val="20"/>
                <w:szCs w:val="20"/>
                <w:color w:val="auto"/>
              </w:rPr>
            </w:pPr>
            <w:r>
              <w:rPr>
                <w:rFonts w:ascii="Arial" w:cs="Arial" w:eastAsia="Arial" w:hAnsi="Arial"/>
                <w:sz w:val="18"/>
                <w:szCs w:val="18"/>
                <w:color w:val="auto"/>
                <w:w w:val="99"/>
              </w:rPr>
              <w:t>$</w:t>
            </w:r>
          </w:p>
        </w:tc>
        <w:tc>
          <w:tcPr>
            <w:tcW w:w="1100" w:type="dxa"/>
            <w:vAlign w:val="bottom"/>
            <w:gridSpan w:val="2"/>
            <w:shd w:val="clear" w:color="auto" w:fill="CCEEFF"/>
          </w:tcPr>
          <w:p>
            <w:pPr>
              <w:jc w:val="right"/>
              <w:ind w:right="340"/>
              <w:spacing w:after="0"/>
              <w:rPr>
                <w:sz w:val="20"/>
                <w:szCs w:val="20"/>
                <w:color w:val="auto"/>
              </w:rPr>
            </w:pPr>
            <w:r>
              <w:rPr>
                <w:rFonts w:ascii="Arial" w:cs="Arial" w:eastAsia="Arial" w:hAnsi="Arial"/>
                <w:sz w:val="18"/>
                <w:szCs w:val="18"/>
                <w:color w:val="auto"/>
                <w:w w:val="98"/>
              </w:rPr>
              <w:t>(57,750)</w:t>
            </w:r>
          </w:p>
        </w:tc>
        <w:tc>
          <w:tcPr>
            <w:tcW w:w="100" w:type="dxa"/>
            <w:vAlign w:val="bottom"/>
            <w:shd w:val="clear" w:color="auto" w:fill="CCEEFF"/>
          </w:tcPr>
          <w:p>
            <w:pPr>
              <w:spacing w:after="0"/>
              <w:rPr>
                <w:sz w:val="20"/>
                <w:szCs w:val="20"/>
                <w:color w:val="auto"/>
              </w:rPr>
            </w:pPr>
            <w:r>
              <w:rPr>
                <w:rFonts w:ascii="Arial" w:cs="Arial" w:eastAsia="Arial" w:hAnsi="Arial"/>
                <w:sz w:val="18"/>
                <w:szCs w:val="18"/>
                <w:color w:val="auto"/>
                <w:w w:val="79"/>
              </w:rPr>
              <w:t>$</w:t>
            </w:r>
          </w:p>
        </w:tc>
        <w:tc>
          <w:tcPr>
            <w:tcW w:w="1100" w:type="dxa"/>
            <w:vAlign w:val="bottom"/>
            <w:gridSpan w:val="2"/>
            <w:shd w:val="clear" w:color="auto" w:fill="CCEEFF"/>
          </w:tcPr>
          <w:p>
            <w:pPr>
              <w:jc w:val="right"/>
              <w:ind w:right="480"/>
              <w:spacing w:after="0"/>
              <w:rPr>
                <w:sz w:val="20"/>
                <w:szCs w:val="20"/>
                <w:color w:val="auto"/>
              </w:rPr>
            </w:pPr>
            <w:r>
              <w:rPr>
                <w:rFonts w:ascii="Arial" w:cs="Arial" w:eastAsia="Arial" w:hAnsi="Arial"/>
                <w:sz w:val="18"/>
                <w:szCs w:val="18"/>
                <w:color w:val="auto"/>
                <w:w w:val="92"/>
              </w:rPr>
              <w:t>101,242</w:t>
            </w:r>
          </w:p>
        </w:tc>
        <w:tc>
          <w:tcPr>
            <w:tcW w:w="100" w:type="dxa"/>
            <w:vAlign w:val="bottom"/>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920" w:type="dxa"/>
            <w:vAlign w:val="bottom"/>
            <w:gridSpan w:val="2"/>
            <w:shd w:val="clear" w:color="auto" w:fill="CCEEFF"/>
          </w:tcPr>
          <w:p>
            <w:pPr>
              <w:jc w:val="right"/>
              <w:ind w:right="140"/>
              <w:spacing w:after="0"/>
              <w:rPr>
                <w:sz w:val="20"/>
                <w:szCs w:val="20"/>
                <w:color w:val="auto"/>
              </w:rPr>
            </w:pPr>
            <w:r>
              <w:rPr>
                <w:rFonts w:ascii="Arial" w:cs="Arial" w:eastAsia="Arial" w:hAnsi="Arial"/>
                <w:sz w:val="18"/>
                <w:szCs w:val="18"/>
                <w:color w:val="auto"/>
                <w:w w:val="98"/>
              </w:rPr>
              <w:t>(815,600)</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000" w:type="dxa"/>
            <w:vAlign w:val="bottom"/>
          </w:tcPr>
          <w:p>
            <w:pPr>
              <w:spacing w:after="0"/>
              <w:rPr>
                <w:sz w:val="20"/>
                <w:szCs w:val="20"/>
                <w:color w:val="auto"/>
              </w:rPr>
            </w:pPr>
            <w:r>
              <w:rPr>
                <w:rFonts w:ascii="Arial" w:cs="Arial" w:eastAsia="Arial" w:hAnsi="Arial"/>
                <w:sz w:val="18"/>
                <w:szCs w:val="18"/>
                <w:color w:val="auto"/>
              </w:rPr>
              <w:t>Special items:</w:t>
            </w:r>
          </w:p>
        </w:tc>
        <w:tc>
          <w:tcPr>
            <w:tcW w:w="60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62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600" w:type="dxa"/>
            <w:vAlign w:val="bottom"/>
          </w:tcPr>
          <w:p>
            <w:pPr>
              <w:spacing w:after="0"/>
              <w:rPr>
                <w:sz w:val="18"/>
                <w:szCs w:val="18"/>
                <w:color w:val="auto"/>
              </w:rPr>
            </w:pPr>
          </w:p>
        </w:tc>
        <w:tc>
          <w:tcPr>
            <w:tcW w:w="38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620" w:type="dxa"/>
            <w:vAlign w:val="bottom"/>
          </w:tcPr>
          <w:p>
            <w:pPr>
              <w:spacing w:after="0"/>
              <w:rPr>
                <w:sz w:val="18"/>
                <w:szCs w:val="18"/>
                <w:color w:val="auto"/>
              </w:rPr>
            </w:pPr>
          </w:p>
        </w:tc>
        <w:tc>
          <w:tcPr>
            <w:tcW w:w="4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620" w:type="dxa"/>
            <w:vAlign w:val="bottom"/>
          </w:tcPr>
          <w:p>
            <w:pPr>
              <w:spacing w:after="0"/>
              <w:rPr>
                <w:sz w:val="18"/>
                <w:szCs w:val="18"/>
                <w:color w:val="auto"/>
              </w:rPr>
            </w:pPr>
          </w:p>
        </w:tc>
        <w:tc>
          <w:tcPr>
            <w:tcW w:w="4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2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000" w:type="dxa"/>
            <w:vAlign w:val="bottom"/>
            <w:shd w:val="clear" w:color="auto" w:fill="CCEEFF"/>
          </w:tcPr>
          <w:p>
            <w:pPr>
              <w:ind w:left="340"/>
              <w:spacing w:after="0"/>
              <w:rPr>
                <w:sz w:val="20"/>
                <w:szCs w:val="20"/>
                <w:color w:val="auto"/>
              </w:rPr>
            </w:pPr>
            <w:r>
              <w:rPr>
                <w:rFonts w:ascii="Arial" w:cs="Arial" w:eastAsia="Arial" w:hAnsi="Arial"/>
                <w:sz w:val="18"/>
                <w:szCs w:val="18"/>
                <w:color w:val="auto"/>
              </w:rPr>
              <w:t>Share-based compensation</w:t>
            </w:r>
          </w:p>
        </w:tc>
        <w:tc>
          <w:tcPr>
            <w:tcW w:w="60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780" w:type="dxa"/>
            <w:vAlign w:val="bottom"/>
            <w:gridSpan w:val="2"/>
            <w:shd w:val="clear" w:color="auto" w:fill="CCEEFF"/>
          </w:tcPr>
          <w:p>
            <w:pPr>
              <w:jc w:val="right"/>
              <w:ind w:right="160"/>
              <w:spacing w:after="0"/>
              <w:rPr>
                <w:sz w:val="20"/>
                <w:szCs w:val="20"/>
                <w:color w:val="auto"/>
              </w:rPr>
            </w:pPr>
            <w:r>
              <w:rPr>
                <w:rFonts w:ascii="Arial" w:cs="Arial" w:eastAsia="Arial" w:hAnsi="Arial"/>
                <w:sz w:val="18"/>
                <w:szCs w:val="18"/>
                <w:color w:val="auto"/>
              </w:rPr>
              <w:t>28,263</w:t>
            </w:r>
          </w:p>
        </w:tc>
        <w:tc>
          <w:tcPr>
            <w:tcW w:w="3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980" w:type="dxa"/>
            <w:vAlign w:val="bottom"/>
            <w:gridSpan w:val="2"/>
            <w:shd w:val="clear" w:color="auto" w:fill="CCEEFF"/>
          </w:tcPr>
          <w:p>
            <w:pPr>
              <w:jc w:val="right"/>
              <w:ind w:right="380"/>
              <w:spacing w:after="0"/>
              <w:rPr>
                <w:sz w:val="20"/>
                <w:szCs w:val="20"/>
                <w:color w:val="auto"/>
              </w:rPr>
            </w:pPr>
            <w:r>
              <w:rPr>
                <w:rFonts w:ascii="Arial" w:cs="Arial" w:eastAsia="Arial" w:hAnsi="Arial"/>
                <w:sz w:val="18"/>
                <w:szCs w:val="18"/>
                <w:color w:val="auto"/>
              </w:rPr>
              <w:t>37,196</w:t>
            </w:r>
          </w:p>
        </w:tc>
        <w:tc>
          <w:tcPr>
            <w:tcW w:w="8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1100" w:type="dxa"/>
            <w:vAlign w:val="bottom"/>
            <w:gridSpan w:val="2"/>
            <w:shd w:val="clear" w:color="auto" w:fill="CCEEFF"/>
          </w:tcPr>
          <w:p>
            <w:pPr>
              <w:jc w:val="right"/>
              <w:ind w:right="400"/>
              <w:spacing w:after="0"/>
              <w:rPr>
                <w:sz w:val="20"/>
                <w:szCs w:val="20"/>
                <w:color w:val="auto"/>
              </w:rPr>
            </w:pPr>
            <w:r>
              <w:rPr>
                <w:rFonts w:ascii="Arial" w:cs="Arial" w:eastAsia="Arial" w:hAnsi="Arial"/>
                <w:sz w:val="18"/>
                <w:szCs w:val="18"/>
                <w:color w:val="auto"/>
              </w:rPr>
              <w:t>31,465</w:t>
            </w:r>
          </w:p>
        </w:tc>
        <w:tc>
          <w:tcPr>
            <w:tcW w:w="100" w:type="dxa"/>
            <w:vAlign w:val="bottom"/>
            <w:shd w:val="clear" w:color="auto" w:fill="CCEEFF"/>
          </w:tcPr>
          <w:p>
            <w:pPr>
              <w:spacing w:after="0"/>
              <w:rPr>
                <w:sz w:val="18"/>
                <w:szCs w:val="18"/>
                <w:color w:val="auto"/>
              </w:rPr>
            </w:pPr>
          </w:p>
        </w:tc>
        <w:tc>
          <w:tcPr>
            <w:tcW w:w="1100" w:type="dxa"/>
            <w:vAlign w:val="bottom"/>
            <w:gridSpan w:val="2"/>
            <w:shd w:val="clear" w:color="auto" w:fill="CCEEFF"/>
          </w:tcPr>
          <w:p>
            <w:pPr>
              <w:jc w:val="right"/>
              <w:ind w:right="480"/>
              <w:spacing w:after="0"/>
              <w:rPr>
                <w:sz w:val="20"/>
                <w:szCs w:val="20"/>
                <w:color w:val="auto"/>
              </w:rPr>
            </w:pPr>
            <w:r>
              <w:rPr>
                <w:rFonts w:ascii="Arial" w:cs="Arial" w:eastAsia="Arial" w:hAnsi="Arial"/>
                <w:sz w:val="18"/>
                <w:szCs w:val="18"/>
                <w:color w:val="auto"/>
              </w:rPr>
              <w:t>89,912</w:t>
            </w:r>
          </w:p>
        </w:tc>
        <w:tc>
          <w:tcPr>
            <w:tcW w:w="100" w:type="dxa"/>
            <w:vAlign w:val="bottom"/>
            <w:shd w:val="clear" w:color="auto" w:fill="CCEEFF"/>
          </w:tcPr>
          <w:p>
            <w:pPr>
              <w:spacing w:after="0"/>
              <w:rPr>
                <w:sz w:val="18"/>
                <w:szCs w:val="18"/>
                <w:color w:val="auto"/>
              </w:rPr>
            </w:pPr>
          </w:p>
        </w:tc>
        <w:tc>
          <w:tcPr>
            <w:tcW w:w="92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101,360</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000" w:type="dxa"/>
            <w:vAlign w:val="bottom"/>
          </w:tcPr>
          <w:p>
            <w:pPr>
              <w:ind w:left="340"/>
              <w:spacing w:after="0"/>
              <w:rPr>
                <w:sz w:val="20"/>
                <w:szCs w:val="20"/>
                <w:color w:val="auto"/>
              </w:rPr>
            </w:pPr>
            <w:r>
              <w:rPr>
                <w:rFonts w:ascii="Arial" w:cs="Arial" w:eastAsia="Arial" w:hAnsi="Arial"/>
                <w:sz w:val="18"/>
                <w:szCs w:val="18"/>
                <w:color w:val="auto"/>
              </w:rPr>
              <w:t xml:space="preserve">Restructuring and other related charges </w:t>
            </w:r>
            <w:r>
              <w:rPr>
                <w:rFonts w:ascii="Arial" w:cs="Arial" w:eastAsia="Arial" w:hAnsi="Arial"/>
                <w:sz w:val="18"/>
                <w:szCs w:val="18"/>
                <w:i w:val="1"/>
                <w:iCs w:val="1"/>
                <w:color w:val="auto"/>
              </w:rPr>
              <w:t>(a)</w:t>
            </w:r>
          </w:p>
        </w:tc>
        <w:tc>
          <w:tcPr>
            <w:tcW w:w="60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780" w:type="dxa"/>
            <w:vAlign w:val="bottom"/>
            <w:gridSpan w:val="2"/>
          </w:tcPr>
          <w:p>
            <w:pPr>
              <w:jc w:val="right"/>
              <w:ind w:right="160"/>
              <w:spacing w:after="0"/>
              <w:rPr>
                <w:sz w:val="20"/>
                <w:szCs w:val="20"/>
                <w:color w:val="auto"/>
              </w:rPr>
            </w:pPr>
            <w:r>
              <w:rPr>
                <w:rFonts w:ascii="Arial" w:cs="Arial" w:eastAsia="Arial" w:hAnsi="Arial"/>
                <w:sz w:val="18"/>
                <w:szCs w:val="18"/>
                <w:color w:val="auto"/>
              </w:rPr>
              <w:t>1,164</w:t>
            </w:r>
          </w:p>
        </w:tc>
        <w:tc>
          <w:tcPr>
            <w:tcW w:w="3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980" w:type="dxa"/>
            <w:vAlign w:val="bottom"/>
            <w:gridSpan w:val="2"/>
          </w:tcPr>
          <w:p>
            <w:pPr>
              <w:jc w:val="right"/>
              <w:ind w:right="380"/>
              <w:spacing w:after="0"/>
              <w:rPr>
                <w:sz w:val="20"/>
                <w:szCs w:val="20"/>
                <w:color w:val="auto"/>
              </w:rPr>
            </w:pPr>
            <w:r>
              <w:rPr>
                <w:rFonts w:ascii="Arial" w:cs="Arial" w:eastAsia="Arial" w:hAnsi="Arial"/>
                <w:sz w:val="18"/>
                <w:szCs w:val="18"/>
                <w:color w:val="auto"/>
              </w:rPr>
              <w:t>721</w:t>
            </w:r>
          </w:p>
        </w:tc>
        <w:tc>
          <w:tcPr>
            <w:tcW w:w="8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1100" w:type="dxa"/>
            <w:vAlign w:val="bottom"/>
            <w:gridSpan w:val="2"/>
          </w:tcPr>
          <w:p>
            <w:pPr>
              <w:jc w:val="right"/>
              <w:ind w:right="400"/>
              <w:spacing w:after="0"/>
              <w:rPr>
                <w:sz w:val="20"/>
                <w:szCs w:val="20"/>
                <w:color w:val="auto"/>
              </w:rPr>
            </w:pPr>
            <w:r>
              <w:rPr>
                <w:rFonts w:ascii="Arial" w:cs="Arial" w:eastAsia="Arial" w:hAnsi="Arial"/>
                <w:sz w:val="18"/>
                <w:szCs w:val="18"/>
                <w:color w:val="auto"/>
              </w:rPr>
              <w:t>45,555</w:t>
            </w:r>
          </w:p>
        </w:tc>
        <w:tc>
          <w:tcPr>
            <w:tcW w:w="100" w:type="dxa"/>
            <w:vAlign w:val="bottom"/>
          </w:tcPr>
          <w:p>
            <w:pPr>
              <w:spacing w:after="0"/>
              <w:rPr>
                <w:sz w:val="18"/>
                <w:szCs w:val="18"/>
                <w:color w:val="auto"/>
              </w:rPr>
            </w:pPr>
          </w:p>
        </w:tc>
        <w:tc>
          <w:tcPr>
            <w:tcW w:w="1100" w:type="dxa"/>
            <w:vAlign w:val="bottom"/>
            <w:gridSpan w:val="2"/>
          </w:tcPr>
          <w:p>
            <w:pPr>
              <w:jc w:val="right"/>
              <w:ind w:right="480"/>
              <w:spacing w:after="0"/>
              <w:rPr>
                <w:sz w:val="20"/>
                <w:szCs w:val="20"/>
                <w:color w:val="auto"/>
              </w:rPr>
            </w:pPr>
            <w:r>
              <w:rPr>
                <w:rFonts w:ascii="Arial" w:cs="Arial" w:eastAsia="Arial" w:hAnsi="Arial"/>
                <w:sz w:val="18"/>
                <w:szCs w:val="18"/>
                <w:color w:val="auto"/>
              </w:rPr>
              <w:t>6,326</w:t>
            </w:r>
          </w:p>
        </w:tc>
        <w:tc>
          <w:tcPr>
            <w:tcW w:w="100" w:type="dxa"/>
            <w:vAlign w:val="bottom"/>
          </w:tcPr>
          <w:p>
            <w:pPr>
              <w:spacing w:after="0"/>
              <w:rPr>
                <w:sz w:val="18"/>
                <w:szCs w:val="18"/>
                <w:color w:val="auto"/>
              </w:rPr>
            </w:pPr>
          </w:p>
        </w:tc>
        <w:tc>
          <w:tcPr>
            <w:tcW w:w="920" w:type="dxa"/>
            <w:vAlign w:val="bottom"/>
            <w:gridSpan w:val="2"/>
          </w:tcPr>
          <w:p>
            <w:pPr>
              <w:jc w:val="right"/>
              <w:ind w:right="200"/>
              <w:spacing w:after="0"/>
              <w:rPr>
                <w:sz w:val="20"/>
                <w:szCs w:val="20"/>
                <w:color w:val="auto"/>
              </w:rPr>
            </w:pPr>
            <w:r>
              <w:rPr>
                <w:rFonts w:ascii="Arial" w:cs="Arial" w:eastAsia="Arial" w:hAnsi="Arial"/>
                <w:sz w:val="18"/>
                <w:szCs w:val="18"/>
                <w:color w:val="auto"/>
              </w:rPr>
              <w:t>59,147</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000" w:type="dxa"/>
            <w:vAlign w:val="bottom"/>
            <w:shd w:val="clear" w:color="auto" w:fill="CCEEFF"/>
          </w:tcPr>
          <w:p>
            <w:pPr>
              <w:ind w:left="340"/>
              <w:spacing w:after="0"/>
              <w:rPr>
                <w:sz w:val="20"/>
                <w:szCs w:val="20"/>
                <w:color w:val="auto"/>
              </w:rPr>
            </w:pPr>
            <w:r>
              <w:rPr>
                <w:rFonts w:ascii="Arial" w:cs="Arial" w:eastAsia="Arial" w:hAnsi="Arial"/>
                <w:sz w:val="18"/>
                <w:szCs w:val="18"/>
                <w:color w:val="auto"/>
              </w:rPr>
              <w:t>Amortization of and write-off acquired intangible assets</w:t>
            </w:r>
          </w:p>
        </w:tc>
        <w:tc>
          <w:tcPr>
            <w:tcW w:w="60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780" w:type="dxa"/>
            <w:vAlign w:val="bottom"/>
            <w:gridSpan w:val="2"/>
            <w:shd w:val="clear" w:color="auto" w:fill="CCEEFF"/>
          </w:tcPr>
          <w:p>
            <w:pPr>
              <w:jc w:val="right"/>
              <w:ind w:right="160"/>
              <w:spacing w:after="0"/>
              <w:rPr>
                <w:sz w:val="20"/>
                <w:szCs w:val="20"/>
                <w:color w:val="auto"/>
              </w:rPr>
            </w:pPr>
            <w:r>
              <w:rPr>
                <w:rFonts w:ascii="Arial" w:cs="Arial" w:eastAsia="Arial" w:hAnsi="Arial"/>
                <w:sz w:val="18"/>
                <w:szCs w:val="18"/>
                <w:color w:val="auto"/>
              </w:rPr>
              <w:t>2,784</w:t>
            </w:r>
          </w:p>
        </w:tc>
        <w:tc>
          <w:tcPr>
            <w:tcW w:w="3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980" w:type="dxa"/>
            <w:vAlign w:val="bottom"/>
            <w:gridSpan w:val="2"/>
            <w:shd w:val="clear" w:color="auto" w:fill="CCEEFF"/>
          </w:tcPr>
          <w:p>
            <w:pPr>
              <w:jc w:val="right"/>
              <w:ind w:right="380"/>
              <w:spacing w:after="0"/>
              <w:rPr>
                <w:sz w:val="20"/>
                <w:szCs w:val="20"/>
                <w:color w:val="auto"/>
              </w:rPr>
            </w:pPr>
            <w:r>
              <w:rPr>
                <w:rFonts w:ascii="Arial" w:cs="Arial" w:eastAsia="Arial" w:hAnsi="Arial"/>
                <w:sz w:val="18"/>
                <w:szCs w:val="18"/>
                <w:color w:val="auto"/>
              </w:rPr>
              <w:t>2,946</w:t>
            </w:r>
          </w:p>
        </w:tc>
        <w:tc>
          <w:tcPr>
            <w:tcW w:w="8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1100" w:type="dxa"/>
            <w:vAlign w:val="bottom"/>
            <w:gridSpan w:val="2"/>
            <w:shd w:val="clear" w:color="auto" w:fill="CCEEFF"/>
          </w:tcPr>
          <w:p>
            <w:pPr>
              <w:jc w:val="right"/>
              <w:ind w:right="400"/>
              <w:spacing w:after="0"/>
              <w:rPr>
                <w:sz w:val="20"/>
                <w:szCs w:val="20"/>
                <w:color w:val="auto"/>
              </w:rPr>
            </w:pPr>
            <w:r>
              <w:rPr>
                <w:rFonts w:ascii="Arial" w:cs="Arial" w:eastAsia="Arial" w:hAnsi="Arial"/>
                <w:sz w:val="18"/>
                <w:szCs w:val="18"/>
                <w:color w:val="auto"/>
              </w:rPr>
              <w:t>3,635</w:t>
            </w:r>
          </w:p>
        </w:tc>
        <w:tc>
          <w:tcPr>
            <w:tcW w:w="100" w:type="dxa"/>
            <w:vAlign w:val="bottom"/>
            <w:shd w:val="clear" w:color="auto" w:fill="CCEEFF"/>
          </w:tcPr>
          <w:p>
            <w:pPr>
              <w:spacing w:after="0"/>
              <w:rPr>
                <w:sz w:val="18"/>
                <w:szCs w:val="18"/>
                <w:color w:val="auto"/>
              </w:rPr>
            </w:pPr>
          </w:p>
        </w:tc>
        <w:tc>
          <w:tcPr>
            <w:tcW w:w="1100" w:type="dxa"/>
            <w:vAlign w:val="bottom"/>
            <w:gridSpan w:val="2"/>
            <w:shd w:val="clear" w:color="auto" w:fill="CCEEFF"/>
          </w:tcPr>
          <w:p>
            <w:pPr>
              <w:jc w:val="right"/>
              <w:ind w:right="480"/>
              <w:spacing w:after="0"/>
              <w:rPr>
                <w:sz w:val="20"/>
                <w:szCs w:val="20"/>
                <w:color w:val="auto"/>
              </w:rPr>
            </w:pPr>
            <w:r>
              <w:rPr>
                <w:rFonts w:ascii="Arial" w:cs="Arial" w:eastAsia="Arial" w:hAnsi="Arial"/>
                <w:sz w:val="18"/>
                <w:szCs w:val="18"/>
                <w:color w:val="auto"/>
              </w:rPr>
              <w:t>8,676</w:t>
            </w:r>
          </w:p>
        </w:tc>
        <w:tc>
          <w:tcPr>
            <w:tcW w:w="100" w:type="dxa"/>
            <w:vAlign w:val="bottom"/>
            <w:shd w:val="clear" w:color="auto" w:fill="CCEEFF"/>
          </w:tcPr>
          <w:p>
            <w:pPr>
              <w:spacing w:after="0"/>
              <w:rPr>
                <w:sz w:val="18"/>
                <w:szCs w:val="18"/>
                <w:color w:val="auto"/>
              </w:rPr>
            </w:pPr>
          </w:p>
        </w:tc>
        <w:tc>
          <w:tcPr>
            <w:tcW w:w="92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10,474</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000" w:type="dxa"/>
            <w:vAlign w:val="bottom"/>
          </w:tcPr>
          <w:p>
            <w:pPr>
              <w:ind w:left="340"/>
              <w:spacing w:after="0"/>
              <w:rPr>
                <w:sz w:val="20"/>
                <w:szCs w:val="20"/>
                <w:color w:val="auto"/>
              </w:rPr>
            </w:pPr>
            <w:r>
              <w:rPr>
                <w:rFonts w:ascii="Arial" w:cs="Arial" w:eastAsia="Arial" w:hAnsi="Arial"/>
                <w:sz w:val="18"/>
                <w:szCs w:val="18"/>
                <w:color w:val="auto"/>
              </w:rPr>
              <w:t xml:space="preserve">Other operating expenses </w:t>
            </w:r>
            <w:r>
              <w:rPr>
                <w:rFonts w:ascii="Arial" w:cs="Arial" w:eastAsia="Arial" w:hAnsi="Arial"/>
                <w:sz w:val="18"/>
                <w:szCs w:val="18"/>
                <w:i w:val="1"/>
                <w:iCs w:val="1"/>
                <w:color w:val="auto"/>
              </w:rPr>
              <w:t>(c)</w:t>
            </w:r>
          </w:p>
        </w:tc>
        <w:tc>
          <w:tcPr>
            <w:tcW w:w="60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620" w:type="dxa"/>
            <w:vAlign w:val="bottom"/>
          </w:tcPr>
          <w:p>
            <w:pPr>
              <w:jc w:val="right"/>
              <w:ind w:right="11"/>
              <w:spacing w:after="0"/>
              <w:rPr>
                <w:sz w:val="20"/>
                <w:szCs w:val="20"/>
                <w:color w:val="auto"/>
              </w:rPr>
            </w:pPr>
            <w:r>
              <w:rPr>
                <w:rFonts w:ascii="Arial" w:cs="Arial" w:eastAsia="Arial" w:hAnsi="Arial"/>
                <w:sz w:val="18"/>
                <w:szCs w:val="18"/>
                <w:color w:val="auto"/>
              </w:rPr>
              <w:t>—</w:t>
            </w:r>
          </w:p>
        </w:tc>
        <w:tc>
          <w:tcPr>
            <w:tcW w:w="16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980" w:type="dxa"/>
            <w:vAlign w:val="bottom"/>
            <w:gridSpan w:val="2"/>
          </w:tcPr>
          <w:p>
            <w:pPr>
              <w:jc w:val="right"/>
              <w:ind w:right="320"/>
              <w:spacing w:after="0"/>
              <w:rPr>
                <w:sz w:val="20"/>
                <w:szCs w:val="20"/>
                <w:color w:val="auto"/>
              </w:rPr>
            </w:pPr>
            <w:r>
              <w:rPr>
                <w:rFonts w:ascii="Arial" w:cs="Arial" w:eastAsia="Arial" w:hAnsi="Arial"/>
                <w:sz w:val="18"/>
                <w:szCs w:val="18"/>
                <w:color w:val="auto"/>
              </w:rPr>
              <w:t>(12)</w:t>
            </w:r>
          </w:p>
        </w:tc>
        <w:tc>
          <w:tcPr>
            <w:tcW w:w="8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1100" w:type="dxa"/>
            <w:vAlign w:val="bottom"/>
            <w:gridSpan w:val="2"/>
          </w:tcPr>
          <w:p>
            <w:pPr>
              <w:jc w:val="right"/>
              <w:ind w:right="400"/>
              <w:spacing w:after="0"/>
              <w:rPr>
                <w:sz w:val="20"/>
                <w:szCs w:val="20"/>
                <w:color w:val="auto"/>
              </w:rPr>
            </w:pPr>
            <w:r>
              <w:rPr>
                <w:rFonts w:ascii="Arial" w:cs="Arial" w:eastAsia="Arial" w:hAnsi="Arial"/>
                <w:sz w:val="18"/>
                <w:szCs w:val="18"/>
                <w:color w:val="auto"/>
              </w:rPr>
              <w:t>4,992</w:t>
            </w:r>
          </w:p>
        </w:tc>
        <w:tc>
          <w:tcPr>
            <w:tcW w:w="100" w:type="dxa"/>
            <w:vAlign w:val="bottom"/>
          </w:tcPr>
          <w:p>
            <w:pPr>
              <w:spacing w:after="0"/>
              <w:rPr>
                <w:sz w:val="18"/>
                <w:szCs w:val="18"/>
                <w:color w:val="auto"/>
              </w:rPr>
            </w:pPr>
          </w:p>
        </w:tc>
        <w:tc>
          <w:tcPr>
            <w:tcW w:w="1100" w:type="dxa"/>
            <w:vAlign w:val="bottom"/>
            <w:gridSpan w:val="2"/>
          </w:tcPr>
          <w:p>
            <w:pPr>
              <w:jc w:val="right"/>
              <w:ind w:right="480"/>
              <w:spacing w:after="0"/>
              <w:rPr>
                <w:sz w:val="20"/>
                <w:szCs w:val="20"/>
                <w:color w:val="auto"/>
              </w:rPr>
            </w:pPr>
            <w:r>
              <w:rPr>
                <w:rFonts w:ascii="Arial" w:cs="Arial" w:eastAsia="Arial" w:hAnsi="Arial"/>
                <w:sz w:val="18"/>
                <w:szCs w:val="18"/>
                <w:color w:val="auto"/>
              </w:rPr>
              <w:t>1,229</w:t>
            </w:r>
          </w:p>
        </w:tc>
        <w:tc>
          <w:tcPr>
            <w:tcW w:w="100" w:type="dxa"/>
            <w:vAlign w:val="bottom"/>
          </w:tcPr>
          <w:p>
            <w:pPr>
              <w:spacing w:after="0"/>
              <w:rPr>
                <w:sz w:val="18"/>
                <w:szCs w:val="18"/>
                <w:color w:val="auto"/>
              </w:rPr>
            </w:pPr>
          </w:p>
        </w:tc>
        <w:tc>
          <w:tcPr>
            <w:tcW w:w="920" w:type="dxa"/>
            <w:vAlign w:val="bottom"/>
            <w:gridSpan w:val="2"/>
          </w:tcPr>
          <w:p>
            <w:pPr>
              <w:jc w:val="right"/>
              <w:ind w:right="200"/>
              <w:spacing w:after="0"/>
              <w:rPr>
                <w:sz w:val="20"/>
                <w:szCs w:val="20"/>
                <w:color w:val="auto"/>
              </w:rPr>
            </w:pPr>
            <w:r>
              <w:rPr>
                <w:rFonts w:ascii="Arial" w:cs="Arial" w:eastAsia="Arial" w:hAnsi="Arial"/>
                <w:sz w:val="18"/>
                <w:szCs w:val="18"/>
                <w:color w:val="auto"/>
              </w:rPr>
              <w:t>772,593</w:t>
            </w:r>
          </w:p>
        </w:tc>
        <w:tc>
          <w:tcPr>
            <w:tcW w:w="0" w:type="dxa"/>
            <w:vAlign w:val="bottom"/>
          </w:tcPr>
          <w:p>
            <w:pPr>
              <w:spacing w:after="0"/>
              <w:rPr>
                <w:sz w:val="1"/>
                <w:szCs w:val="1"/>
                <w:color w:val="auto"/>
              </w:rPr>
            </w:pPr>
          </w:p>
        </w:tc>
      </w:tr>
      <w:tr>
        <w:trPr>
          <w:trHeight w:val="27"/>
        </w:trPr>
        <w:tc>
          <w:tcPr>
            <w:tcW w:w="20" w:type="dxa"/>
            <w:vAlign w:val="bottom"/>
            <w:vMerge w:val="restart"/>
          </w:tcPr>
          <w:p>
            <w:pPr>
              <w:spacing w:after="0"/>
              <w:rPr>
                <w:sz w:val="2"/>
                <w:szCs w:val="2"/>
                <w:color w:val="auto"/>
              </w:rPr>
            </w:pPr>
          </w:p>
        </w:tc>
        <w:tc>
          <w:tcPr>
            <w:tcW w:w="5000" w:type="dxa"/>
            <w:vAlign w:val="bottom"/>
          </w:tcPr>
          <w:p>
            <w:pPr>
              <w:spacing w:after="0"/>
              <w:rPr>
                <w:sz w:val="2"/>
                <w:szCs w:val="2"/>
                <w:color w:val="auto"/>
              </w:rPr>
            </w:pPr>
          </w:p>
        </w:tc>
        <w:tc>
          <w:tcPr>
            <w:tcW w:w="600" w:type="dxa"/>
            <w:vAlign w:val="bottom"/>
          </w:tcPr>
          <w:p>
            <w:pPr>
              <w:spacing w:after="0"/>
              <w:rPr>
                <w:sz w:val="2"/>
                <w:szCs w:val="2"/>
                <w:color w:val="auto"/>
              </w:rPr>
            </w:pPr>
          </w:p>
        </w:tc>
        <w:tc>
          <w:tcPr>
            <w:tcW w:w="120" w:type="dxa"/>
            <w:vAlign w:val="bottom"/>
            <w:shd w:val="clear" w:color="auto" w:fill="000000"/>
          </w:tcPr>
          <w:p>
            <w:pPr>
              <w:spacing w:after="0"/>
              <w:rPr>
                <w:sz w:val="2"/>
                <w:szCs w:val="2"/>
                <w:color w:val="auto"/>
              </w:rPr>
            </w:pPr>
          </w:p>
        </w:tc>
        <w:tc>
          <w:tcPr>
            <w:tcW w:w="620" w:type="dxa"/>
            <w:vAlign w:val="bottom"/>
            <w:shd w:val="clear" w:color="auto" w:fill="000000"/>
          </w:tcPr>
          <w:p>
            <w:pPr>
              <w:spacing w:after="0"/>
              <w:rPr>
                <w:sz w:val="2"/>
                <w:szCs w:val="2"/>
                <w:color w:val="auto"/>
              </w:rPr>
            </w:pPr>
          </w:p>
        </w:tc>
        <w:tc>
          <w:tcPr>
            <w:tcW w:w="160" w:type="dxa"/>
            <w:vAlign w:val="bottom"/>
          </w:tcPr>
          <w:p>
            <w:pPr>
              <w:spacing w:after="0"/>
              <w:rPr>
                <w:sz w:val="2"/>
                <w:szCs w:val="2"/>
                <w:color w:val="auto"/>
              </w:rPr>
            </w:pPr>
          </w:p>
        </w:tc>
        <w:tc>
          <w:tcPr>
            <w:tcW w:w="30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600" w:type="dxa"/>
            <w:vAlign w:val="bottom"/>
            <w:shd w:val="clear" w:color="auto" w:fill="000000"/>
          </w:tcPr>
          <w:p>
            <w:pPr>
              <w:spacing w:after="0"/>
              <w:rPr>
                <w:sz w:val="2"/>
                <w:szCs w:val="2"/>
                <w:color w:val="auto"/>
              </w:rPr>
            </w:pPr>
          </w:p>
        </w:tc>
        <w:tc>
          <w:tcPr>
            <w:tcW w:w="380" w:type="dxa"/>
            <w:vAlign w:val="bottom"/>
          </w:tcPr>
          <w:p>
            <w:pPr>
              <w:spacing w:after="0"/>
              <w:rPr>
                <w:sz w:val="2"/>
                <w:szCs w:val="2"/>
                <w:color w:val="auto"/>
              </w:rPr>
            </w:pPr>
          </w:p>
        </w:tc>
        <w:tc>
          <w:tcPr>
            <w:tcW w:w="80" w:type="dxa"/>
            <w:vAlign w:val="bottom"/>
          </w:tcPr>
          <w:p>
            <w:pPr>
              <w:spacing w:after="0"/>
              <w:rPr>
                <w:sz w:val="2"/>
                <w:szCs w:val="2"/>
                <w:color w:val="auto"/>
              </w:rPr>
            </w:pPr>
          </w:p>
        </w:tc>
        <w:tc>
          <w:tcPr>
            <w:tcW w:w="120" w:type="dxa"/>
            <w:vAlign w:val="bottom"/>
            <w:shd w:val="clear" w:color="auto" w:fill="000000"/>
          </w:tcPr>
          <w:p>
            <w:pPr>
              <w:spacing w:after="0"/>
              <w:rPr>
                <w:sz w:val="2"/>
                <w:szCs w:val="2"/>
                <w:color w:val="auto"/>
              </w:rPr>
            </w:pPr>
          </w:p>
        </w:tc>
        <w:tc>
          <w:tcPr>
            <w:tcW w:w="620" w:type="dxa"/>
            <w:vAlign w:val="bottom"/>
            <w:shd w:val="clear" w:color="auto" w:fill="000000"/>
          </w:tcPr>
          <w:p>
            <w:pPr>
              <w:spacing w:after="0"/>
              <w:rPr>
                <w:sz w:val="2"/>
                <w:szCs w:val="2"/>
                <w:color w:val="auto"/>
              </w:rPr>
            </w:pPr>
          </w:p>
        </w:tc>
        <w:tc>
          <w:tcPr>
            <w:tcW w:w="48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620" w:type="dxa"/>
            <w:vAlign w:val="bottom"/>
            <w:shd w:val="clear" w:color="auto" w:fill="000000"/>
          </w:tcPr>
          <w:p>
            <w:pPr>
              <w:spacing w:after="0"/>
              <w:rPr>
                <w:sz w:val="2"/>
                <w:szCs w:val="2"/>
                <w:color w:val="auto"/>
              </w:rPr>
            </w:pPr>
          </w:p>
        </w:tc>
        <w:tc>
          <w:tcPr>
            <w:tcW w:w="48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720" w:type="dxa"/>
            <w:vAlign w:val="bottom"/>
            <w:shd w:val="clear" w:color="auto" w:fill="000000"/>
          </w:tcPr>
          <w:p>
            <w:pPr>
              <w:spacing w:after="0"/>
              <w:rPr>
                <w:sz w:val="2"/>
                <w:szCs w:val="2"/>
                <w:color w:val="auto"/>
              </w:rPr>
            </w:pPr>
          </w:p>
        </w:tc>
        <w:tc>
          <w:tcPr>
            <w:tcW w:w="20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16"/>
        </w:trPr>
        <w:tc>
          <w:tcPr>
            <w:tcW w:w="20" w:type="dxa"/>
            <w:vAlign w:val="bottom"/>
            <w:vMerge w:val="continue"/>
          </w:tcPr>
          <w:p>
            <w:pPr>
              <w:spacing w:after="0"/>
              <w:rPr>
                <w:sz w:val="18"/>
                <w:szCs w:val="18"/>
                <w:color w:val="auto"/>
              </w:rPr>
            </w:pPr>
          </w:p>
        </w:tc>
        <w:tc>
          <w:tcPr>
            <w:tcW w:w="5000" w:type="dxa"/>
            <w:vAlign w:val="bottom"/>
            <w:shd w:val="clear" w:color="auto" w:fill="CCEEFF"/>
          </w:tcPr>
          <w:p>
            <w:pPr>
              <w:spacing w:after="0"/>
              <w:rPr>
                <w:sz w:val="20"/>
                <w:szCs w:val="20"/>
                <w:color w:val="auto"/>
              </w:rPr>
            </w:pPr>
            <w:r>
              <w:rPr>
                <w:rFonts w:ascii="Arial" w:cs="Arial" w:eastAsia="Arial" w:hAnsi="Arial"/>
                <w:sz w:val="18"/>
                <w:szCs w:val="18"/>
                <w:color w:val="auto"/>
              </w:rPr>
              <w:t>Pre-tax total special items</w:t>
            </w:r>
          </w:p>
        </w:tc>
        <w:tc>
          <w:tcPr>
            <w:tcW w:w="60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6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32,211</w:t>
            </w:r>
          </w:p>
        </w:tc>
        <w:tc>
          <w:tcPr>
            <w:tcW w:w="160" w:type="dxa"/>
            <w:vAlign w:val="bottom"/>
            <w:shd w:val="clear" w:color="auto" w:fill="CCEEFF"/>
          </w:tcPr>
          <w:p>
            <w:pPr>
              <w:spacing w:after="0"/>
              <w:rPr>
                <w:sz w:val="18"/>
                <w:szCs w:val="18"/>
                <w:color w:val="auto"/>
              </w:rPr>
            </w:pPr>
          </w:p>
        </w:tc>
        <w:tc>
          <w:tcPr>
            <w:tcW w:w="3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6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40,851</w:t>
            </w:r>
          </w:p>
        </w:tc>
        <w:tc>
          <w:tcPr>
            <w:tcW w:w="38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6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85,647</w:t>
            </w:r>
          </w:p>
        </w:tc>
        <w:tc>
          <w:tcPr>
            <w:tcW w:w="4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100" w:type="dxa"/>
            <w:vAlign w:val="bottom"/>
            <w:gridSpan w:val="2"/>
            <w:shd w:val="clear" w:color="auto" w:fill="CCEEFF"/>
          </w:tcPr>
          <w:p>
            <w:pPr>
              <w:jc w:val="right"/>
              <w:ind w:right="480"/>
              <w:spacing w:after="0"/>
              <w:rPr>
                <w:sz w:val="20"/>
                <w:szCs w:val="20"/>
                <w:color w:val="auto"/>
              </w:rPr>
            </w:pPr>
            <w:r>
              <w:rPr>
                <w:rFonts w:ascii="Arial" w:cs="Arial" w:eastAsia="Arial" w:hAnsi="Arial"/>
                <w:sz w:val="18"/>
                <w:szCs w:val="18"/>
                <w:color w:val="auto"/>
                <w:w w:val="92"/>
              </w:rPr>
              <w:t>106,143</w:t>
            </w:r>
          </w:p>
        </w:tc>
        <w:tc>
          <w:tcPr>
            <w:tcW w:w="100" w:type="dxa"/>
            <w:vAlign w:val="bottom"/>
            <w:shd w:val="clear" w:color="auto" w:fill="CCEEFF"/>
          </w:tcPr>
          <w:p>
            <w:pPr>
              <w:spacing w:after="0"/>
              <w:rPr>
                <w:sz w:val="18"/>
                <w:szCs w:val="18"/>
                <w:color w:val="auto"/>
              </w:rPr>
            </w:pPr>
          </w:p>
        </w:tc>
        <w:tc>
          <w:tcPr>
            <w:tcW w:w="92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943,574</w:t>
            </w:r>
          </w:p>
        </w:tc>
        <w:tc>
          <w:tcPr>
            <w:tcW w:w="0" w:type="dxa"/>
            <w:vAlign w:val="bottom"/>
          </w:tcPr>
          <w:p>
            <w:pPr>
              <w:spacing w:after="0"/>
              <w:rPr>
                <w:sz w:val="1"/>
                <w:szCs w:val="1"/>
                <w:color w:val="auto"/>
              </w:rPr>
            </w:pPr>
          </w:p>
        </w:tc>
      </w:tr>
      <w:tr>
        <w:trPr>
          <w:trHeight w:val="223"/>
        </w:trPr>
        <w:tc>
          <w:tcPr>
            <w:tcW w:w="5020" w:type="dxa"/>
            <w:vAlign w:val="bottom"/>
            <w:gridSpan w:val="2"/>
          </w:tcPr>
          <w:p>
            <w:pPr>
              <w:spacing w:after="0"/>
              <w:rPr>
                <w:sz w:val="20"/>
                <w:szCs w:val="20"/>
                <w:color w:val="auto"/>
              </w:rPr>
            </w:pPr>
            <w:r>
              <w:rPr>
                <w:rFonts w:ascii="Arial" w:cs="Arial" w:eastAsia="Arial" w:hAnsi="Arial"/>
                <w:sz w:val="18"/>
                <w:szCs w:val="18"/>
                <w:color w:val="auto"/>
              </w:rPr>
              <w:t>Non-GAAP income before income taxes</w:t>
            </w:r>
          </w:p>
        </w:tc>
        <w:tc>
          <w:tcPr>
            <w:tcW w:w="600" w:type="dxa"/>
            <w:vAlign w:val="bottom"/>
          </w:tcPr>
          <w:p>
            <w:pPr>
              <w:spacing w:after="0"/>
              <w:rPr>
                <w:sz w:val="19"/>
                <w:szCs w:val="19"/>
                <w:color w:val="auto"/>
              </w:rPr>
            </w:pPr>
          </w:p>
        </w:tc>
        <w:tc>
          <w:tcPr>
            <w:tcW w:w="120" w:type="dxa"/>
            <w:vAlign w:val="bottom"/>
            <w:tcBorders>
              <w:top w:val="single" w:sz="8" w:color="auto"/>
            </w:tcBorders>
          </w:tcPr>
          <w:p>
            <w:pPr>
              <w:spacing w:after="0"/>
              <w:rPr>
                <w:sz w:val="19"/>
                <w:szCs w:val="19"/>
                <w:color w:val="auto"/>
              </w:rPr>
            </w:pPr>
          </w:p>
        </w:tc>
        <w:tc>
          <w:tcPr>
            <w:tcW w:w="62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w w:val="92"/>
              </w:rPr>
              <w:t>104,827</w:t>
            </w:r>
          </w:p>
        </w:tc>
        <w:tc>
          <w:tcPr>
            <w:tcW w:w="160" w:type="dxa"/>
            <w:vAlign w:val="bottom"/>
          </w:tcPr>
          <w:p>
            <w:pPr>
              <w:spacing w:after="0"/>
              <w:rPr>
                <w:sz w:val="19"/>
                <w:szCs w:val="19"/>
                <w:color w:val="auto"/>
              </w:rPr>
            </w:pPr>
          </w:p>
        </w:tc>
        <w:tc>
          <w:tcPr>
            <w:tcW w:w="300" w:type="dxa"/>
            <w:vAlign w:val="bottom"/>
          </w:tcPr>
          <w:p>
            <w:pPr>
              <w:spacing w:after="0"/>
              <w:rPr>
                <w:sz w:val="19"/>
                <w:szCs w:val="19"/>
                <w:color w:val="auto"/>
              </w:rPr>
            </w:pPr>
          </w:p>
        </w:tc>
        <w:tc>
          <w:tcPr>
            <w:tcW w:w="100" w:type="dxa"/>
            <w:vAlign w:val="bottom"/>
            <w:tcBorders>
              <w:top w:val="single" w:sz="8" w:color="auto"/>
            </w:tcBorders>
          </w:tcPr>
          <w:p>
            <w:pPr>
              <w:spacing w:after="0"/>
              <w:rPr>
                <w:sz w:val="19"/>
                <w:szCs w:val="19"/>
                <w:color w:val="auto"/>
              </w:rPr>
            </w:pPr>
          </w:p>
        </w:tc>
        <w:tc>
          <w:tcPr>
            <w:tcW w:w="60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rPr>
              <w:t>92,156</w:t>
            </w:r>
          </w:p>
        </w:tc>
        <w:tc>
          <w:tcPr>
            <w:tcW w:w="380" w:type="dxa"/>
            <w:vAlign w:val="bottom"/>
          </w:tcPr>
          <w:p>
            <w:pPr>
              <w:spacing w:after="0"/>
              <w:rPr>
                <w:sz w:val="19"/>
                <w:szCs w:val="19"/>
                <w:color w:val="auto"/>
              </w:rPr>
            </w:pPr>
          </w:p>
        </w:tc>
        <w:tc>
          <w:tcPr>
            <w:tcW w:w="80" w:type="dxa"/>
            <w:vAlign w:val="bottom"/>
          </w:tcPr>
          <w:p>
            <w:pPr>
              <w:spacing w:after="0"/>
              <w:rPr>
                <w:sz w:val="19"/>
                <w:szCs w:val="19"/>
                <w:color w:val="auto"/>
              </w:rPr>
            </w:pPr>
          </w:p>
        </w:tc>
        <w:tc>
          <w:tcPr>
            <w:tcW w:w="120" w:type="dxa"/>
            <w:vAlign w:val="bottom"/>
            <w:tcBorders>
              <w:top w:val="single" w:sz="8" w:color="auto"/>
            </w:tcBorders>
          </w:tcPr>
          <w:p>
            <w:pPr>
              <w:spacing w:after="0"/>
              <w:rPr>
                <w:sz w:val="19"/>
                <w:szCs w:val="19"/>
                <w:color w:val="auto"/>
              </w:rPr>
            </w:pPr>
          </w:p>
        </w:tc>
        <w:tc>
          <w:tcPr>
            <w:tcW w:w="62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rPr>
              <w:t>27,897</w:t>
            </w:r>
          </w:p>
        </w:tc>
        <w:tc>
          <w:tcPr>
            <w:tcW w:w="480" w:type="dxa"/>
            <w:vAlign w:val="bottom"/>
          </w:tcPr>
          <w:p>
            <w:pPr>
              <w:spacing w:after="0"/>
              <w:rPr>
                <w:sz w:val="19"/>
                <w:szCs w:val="19"/>
                <w:color w:val="auto"/>
              </w:rPr>
            </w:pPr>
          </w:p>
        </w:tc>
        <w:tc>
          <w:tcPr>
            <w:tcW w:w="100" w:type="dxa"/>
            <w:vAlign w:val="bottom"/>
            <w:tcBorders>
              <w:top w:val="single" w:sz="8" w:color="auto"/>
            </w:tcBorders>
          </w:tcPr>
          <w:p>
            <w:pPr>
              <w:spacing w:after="0"/>
              <w:rPr>
                <w:sz w:val="19"/>
                <w:szCs w:val="19"/>
                <w:color w:val="auto"/>
              </w:rPr>
            </w:pPr>
          </w:p>
        </w:tc>
        <w:tc>
          <w:tcPr>
            <w:tcW w:w="62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w w:val="92"/>
              </w:rPr>
              <w:t>207,385</w:t>
            </w:r>
          </w:p>
        </w:tc>
        <w:tc>
          <w:tcPr>
            <w:tcW w:w="480" w:type="dxa"/>
            <w:vAlign w:val="bottom"/>
          </w:tcPr>
          <w:p>
            <w:pPr>
              <w:spacing w:after="0"/>
              <w:rPr>
                <w:sz w:val="19"/>
                <w:szCs w:val="19"/>
                <w:color w:val="auto"/>
              </w:rPr>
            </w:pPr>
          </w:p>
        </w:tc>
        <w:tc>
          <w:tcPr>
            <w:tcW w:w="100" w:type="dxa"/>
            <w:vAlign w:val="bottom"/>
            <w:tcBorders>
              <w:top w:val="single" w:sz="8" w:color="auto"/>
            </w:tcBorders>
          </w:tcPr>
          <w:p>
            <w:pPr>
              <w:spacing w:after="0"/>
              <w:rPr>
                <w:sz w:val="19"/>
                <w:szCs w:val="19"/>
                <w:color w:val="auto"/>
              </w:rPr>
            </w:pPr>
          </w:p>
        </w:tc>
        <w:tc>
          <w:tcPr>
            <w:tcW w:w="72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rPr>
              <w:t>127,974</w:t>
            </w:r>
          </w:p>
        </w:tc>
        <w:tc>
          <w:tcPr>
            <w:tcW w:w="2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000" w:type="dxa"/>
            <w:vAlign w:val="bottom"/>
            <w:shd w:val="clear" w:color="auto" w:fill="CCEEFF"/>
          </w:tcPr>
          <w:p>
            <w:pPr>
              <w:spacing w:after="0"/>
              <w:rPr>
                <w:sz w:val="20"/>
                <w:szCs w:val="20"/>
                <w:color w:val="auto"/>
              </w:rPr>
            </w:pPr>
            <w:r>
              <w:rPr>
                <w:rFonts w:ascii="Arial" w:cs="Arial" w:eastAsia="Arial" w:hAnsi="Arial"/>
                <w:sz w:val="18"/>
                <w:szCs w:val="18"/>
                <w:color w:val="auto"/>
              </w:rPr>
              <w:t xml:space="preserve">Tax effect of special items </w:t>
            </w:r>
            <w:r>
              <w:rPr>
                <w:rFonts w:ascii="Arial" w:cs="Arial" w:eastAsia="Arial" w:hAnsi="Arial"/>
                <w:sz w:val="18"/>
                <w:szCs w:val="18"/>
                <w:i w:val="1"/>
                <w:iCs w:val="1"/>
                <w:color w:val="auto"/>
              </w:rPr>
              <w:t>(d)</w:t>
            </w:r>
          </w:p>
        </w:tc>
        <w:tc>
          <w:tcPr>
            <w:tcW w:w="60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780" w:type="dxa"/>
            <w:vAlign w:val="bottom"/>
            <w:gridSpan w:val="2"/>
            <w:shd w:val="clear" w:color="auto" w:fill="CCEEFF"/>
          </w:tcPr>
          <w:p>
            <w:pPr>
              <w:jc w:val="right"/>
              <w:ind w:right="260"/>
              <w:spacing w:after="0"/>
              <w:rPr>
                <w:sz w:val="20"/>
                <w:szCs w:val="20"/>
                <w:color w:val="auto"/>
              </w:rPr>
            </w:pPr>
            <w:r>
              <w:rPr>
                <w:rFonts w:ascii="Arial" w:cs="Arial" w:eastAsia="Arial" w:hAnsi="Arial"/>
                <w:sz w:val="18"/>
                <w:szCs w:val="18"/>
                <w:color w:val="auto"/>
              </w:rPr>
              <w:t>—</w:t>
            </w:r>
          </w:p>
        </w:tc>
        <w:tc>
          <w:tcPr>
            <w:tcW w:w="3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980" w:type="dxa"/>
            <w:vAlign w:val="bottom"/>
            <w:gridSpan w:val="2"/>
            <w:shd w:val="clear" w:color="auto" w:fill="CCEEFF"/>
          </w:tcPr>
          <w:p>
            <w:pPr>
              <w:jc w:val="right"/>
              <w:ind w:right="480"/>
              <w:spacing w:after="0"/>
              <w:rPr>
                <w:sz w:val="20"/>
                <w:szCs w:val="20"/>
                <w:color w:val="auto"/>
              </w:rPr>
            </w:pPr>
            <w:r>
              <w:rPr>
                <w:rFonts w:ascii="Arial" w:cs="Arial" w:eastAsia="Arial" w:hAnsi="Arial"/>
                <w:sz w:val="18"/>
                <w:szCs w:val="18"/>
                <w:color w:val="auto"/>
              </w:rPr>
              <w:t>—</w:t>
            </w:r>
          </w:p>
        </w:tc>
        <w:tc>
          <w:tcPr>
            <w:tcW w:w="8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1100" w:type="dxa"/>
            <w:vAlign w:val="bottom"/>
            <w:gridSpan w:val="2"/>
            <w:shd w:val="clear" w:color="auto" w:fill="CCEEFF"/>
          </w:tcPr>
          <w:p>
            <w:pPr>
              <w:jc w:val="right"/>
              <w:ind w:right="400"/>
              <w:spacing w:after="0"/>
              <w:rPr>
                <w:sz w:val="20"/>
                <w:szCs w:val="20"/>
                <w:color w:val="auto"/>
              </w:rPr>
            </w:pPr>
            <w:r>
              <w:rPr>
                <w:rFonts w:ascii="Arial" w:cs="Arial" w:eastAsia="Arial" w:hAnsi="Arial"/>
                <w:sz w:val="18"/>
                <w:szCs w:val="18"/>
                <w:color w:val="auto"/>
              </w:rPr>
              <w:t>1,108</w:t>
            </w:r>
          </w:p>
        </w:tc>
        <w:tc>
          <w:tcPr>
            <w:tcW w:w="100" w:type="dxa"/>
            <w:vAlign w:val="bottom"/>
            <w:shd w:val="clear" w:color="auto" w:fill="CCEEFF"/>
          </w:tcPr>
          <w:p>
            <w:pPr>
              <w:spacing w:after="0"/>
              <w:rPr>
                <w:sz w:val="18"/>
                <w:szCs w:val="18"/>
                <w:color w:val="auto"/>
              </w:rPr>
            </w:pPr>
          </w:p>
        </w:tc>
        <w:tc>
          <w:tcPr>
            <w:tcW w:w="1100" w:type="dxa"/>
            <w:vAlign w:val="bottom"/>
            <w:gridSpan w:val="2"/>
            <w:shd w:val="clear" w:color="auto" w:fill="CCEEFF"/>
          </w:tcPr>
          <w:p>
            <w:pPr>
              <w:jc w:val="right"/>
              <w:ind w:right="420"/>
              <w:spacing w:after="0"/>
              <w:rPr>
                <w:sz w:val="20"/>
                <w:szCs w:val="20"/>
                <w:color w:val="auto"/>
              </w:rPr>
            </w:pPr>
            <w:r>
              <w:rPr>
                <w:rFonts w:ascii="Arial" w:cs="Arial" w:eastAsia="Arial" w:hAnsi="Arial"/>
                <w:sz w:val="18"/>
                <w:szCs w:val="18"/>
                <w:color w:val="auto"/>
              </w:rPr>
              <w:t>(1,071)</w:t>
            </w:r>
          </w:p>
        </w:tc>
        <w:tc>
          <w:tcPr>
            <w:tcW w:w="100" w:type="dxa"/>
            <w:vAlign w:val="bottom"/>
            <w:shd w:val="clear" w:color="auto" w:fill="CCEEFF"/>
          </w:tcPr>
          <w:p>
            <w:pPr>
              <w:spacing w:after="0"/>
              <w:rPr>
                <w:sz w:val="18"/>
                <w:szCs w:val="18"/>
                <w:color w:val="auto"/>
              </w:rPr>
            </w:pPr>
          </w:p>
        </w:tc>
        <w:tc>
          <w:tcPr>
            <w:tcW w:w="92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11,511</w:t>
            </w:r>
          </w:p>
        </w:tc>
        <w:tc>
          <w:tcPr>
            <w:tcW w:w="0" w:type="dxa"/>
            <w:vAlign w:val="bottom"/>
          </w:tcPr>
          <w:p>
            <w:pPr>
              <w:spacing w:after="0"/>
              <w:rPr>
                <w:sz w:val="1"/>
                <w:szCs w:val="1"/>
                <w:color w:val="auto"/>
              </w:rPr>
            </w:pPr>
          </w:p>
        </w:tc>
      </w:tr>
      <w:tr>
        <w:trPr>
          <w:trHeight w:val="223"/>
        </w:trPr>
        <w:tc>
          <w:tcPr>
            <w:tcW w:w="5020" w:type="dxa"/>
            <w:vAlign w:val="bottom"/>
            <w:gridSpan w:val="2"/>
          </w:tcPr>
          <w:p>
            <w:pPr>
              <w:spacing w:after="0"/>
              <w:rPr>
                <w:sz w:val="20"/>
                <w:szCs w:val="20"/>
                <w:color w:val="auto"/>
              </w:rPr>
            </w:pPr>
            <w:r>
              <w:rPr>
                <w:rFonts w:ascii="Arial" w:cs="Arial" w:eastAsia="Arial" w:hAnsi="Arial"/>
                <w:sz w:val="18"/>
                <w:szCs w:val="18"/>
                <w:color w:val="auto"/>
              </w:rPr>
              <w:t>Non-GAAP net income</w:t>
            </w:r>
          </w:p>
        </w:tc>
        <w:tc>
          <w:tcPr>
            <w:tcW w:w="600" w:type="dxa"/>
            <w:vAlign w:val="bottom"/>
          </w:tcPr>
          <w:p>
            <w:pPr>
              <w:spacing w:after="0"/>
              <w:rPr>
                <w:sz w:val="19"/>
                <w:szCs w:val="19"/>
                <w:color w:val="auto"/>
              </w:rPr>
            </w:pPr>
          </w:p>
        </w:tc>
        <w:tc>
          <w:tcPr>
            <w:tcW w:w="120" w:type="dxa"/>
            <w:vAlign w:val="bottom"/>
            <w:tcBorders>
              <w:top w:val="single" w:sz="8" w:color="auto"/>
              <w:bottom w:val="single" w:sz="8" w:color="auto"/>
            </w:tcBorders>
          </w:tcPr>
          <w:p>
            <w:pPr>
              <w:spacing w:after="0"/>
              <w:rPr>
                <w:sz w:val="20"/>
                <w:szCs w:val="20"/>
                <w:color w:val="auto"/>
              </w:rPr>
            </w:pPr>
            <w:r>
              <w:rPr>
                <w:rFonts w:ascii="Arial" w:cs="Arial" w:eastAsia="Arial" w:hAnsi="Arial"/>
                <w:sz w:val="18"/>
                <w:szCs w:val="18"/>
                <w:color w:val="auto"/>
                <w:w w:val="99"/>
              </w:rPr>
              <w:t>$</w:t>
            </w:r>
          </w:p>
        </w:tc>
        <w:tc>
          <w:tcPr>
            <w:tcW w:w="62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w w:val="92"/>
              </w:rPr>
              <w:t>104,827</w:t>
            </w:r>
          </w:p>
        </w:tc>
        <w:tc>
          <w:tcPr>
            <w:tcW w:w="160" w:type="dxa"/>
            <w:vAlign w:val="bottom"/>
          </w:tcPr>
          <w:p>
            <w:pPr>
              <w:spacing w:after="0"/>
              <w:rPr>
                <w:sz w:val="19"/>
                <w:szCs w:val="19"/>
                <w:color w:val="auto"/>
              </w:rPr>
            </w:pPr>
          </w:p>
        </w:tc>
        <w:tc>
          <w:tcPr>
            <w:tcW w:w="300" w:type="dxa"/>
            <w:vAlign w:val="bottom"/>
          </w:tcPr>
          <w:p>
            <w:pPr>
              <w:spacing w:after="0"/>
              <w:rPr>
                <w:sz w:val="19"/>
                <w:szCs w:val="19"/>
                <w:color w:val="auto"/>
              </w:rPr>
            </w:pPr>
          </w:p>
        </w:tc>
        <w:tc>
          <w:tcPr>
            <w:tcW w:w="10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w w:val="79"/>
              </w:rPr>
              <w:t>$</w:t>
            </w:r>
          </w:p>
        </w:tc>
        <w:tc>
          <w:tcPr>
            <w:tcW w:w="60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92,156</w:t>
            </w:r>
          </w:p>
        </w:tc>
        <w:tc>
          <w:tcPr>
            <w:tcW w:w="380" w:type="dxa"/>
            <w:vAlign w:val="bottom"/>
          </w:tcPr>
          <w:p>
            <w:pPr>
              <w:spacing w:after="0"/>
              <w:rPr>
                <w:sz w:val="19"/>
                <w:szCs w:val="19"/>
                <w:color w:val="auto"/>
              </w:rPr>
            </w:pPr>
          </w:p>
        </w:tc>
        <w:tc>
          <w:tcPr>
            <w:tcW w:w="80" w:type="dxa"/>
            <w:vAlign w:val="bottom"/>
          </w:tcPr>
          <w:p>
            <w:pPr>
              <w:spacing w:after="0"/>
              <w:rPr>
                <w:sz w:val="19"/>
                <w:szCs w:val="19"/>
                <w:color w:val="auto"/>
              </w:rPr>
            </w:pPr>
          </w:p>
        </w:tc>
        <w:tc>
          <w:tcPr>
            <w:tcW w:w="120" w:type="dxa"/>
            <w:vAlign w:val="bottom"/>
            <w:tcBorders>
              <w:top w:val="single" w:sz="8" w:color="auto"/>
              <w:bottom w:val="single" w:sz="8" w:color="auto"/>
            </w:tcBorders>
          </w:tcPr>
          <w:p>
            <w:pPr>
              <w:spacing w:after="0"/>
              <w:rPr>
                <w:sz w:val="20"/>
                <w:szCs w:val="20"/>
                <w:color w:val="auto"/>
              </w:rPr>
            </w:pPr>
            <w:r>
              <w:rPr>
                <w:rFonts w:ascii="Arial" w:cs="Arial" w:eastAsia="Arial" w:hAnsi="Arial"/>
                <w:sz w:val="18"/>
                <w:szCs w:val="18"/>
                <w:color w:val="auto"/>
                <w:w w:val="99"/>
              </w:rPr>
              <w:t>$</w:t>
            </w:r>
          </w:p>
        </w:tc>
        <w:tc>
          <w:tcPr>
            <w:tcW w:w="62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29,005</w:t>
            </w:r>
          </w:p>
        </w:tc>
        <w:tc>
          <w:tcPr>
            <w:tcW w:w="480" w:type="dxa"/>
            <w:vAlign w:val="bottom"/>
          </w:tcPr>
          <w:p>
            <w:pPr>
              <w:spacing w:after="0"/>
              <w:rPr>
                <w:sz w:val="19"/>
                <w:szCs w:val="19"/>
                <w:color w:val="auto"/>
              </w:rPr>
            </w:pPr>
          </w:p>
        </w:tc>
        <w:tc>
          <w:tcPr>
            <w:tcW w:w="100" w:type="dxa"/>
            <w:vAlign w:val="bottom"/>
            <w:tcBorders>
              <w:top w:val="single" w:sz="8" w:color="auto"/>
              <w:bottom w:val="single" w:sz="8" w:color="auto"/>
            </w:tcBorders>
          </w:tcPr>
          <w:p>
            <w:pPr>
              <w:spacing w:after="0"/>
              <w:rPr>
                <w:sz w:val="20"/>
                <w:szCs w:val="20"/>
                <w:color w:val="auto"/>
              </w:rPr>
            </w:pPr>
            <w:r>
              <w:rPr>
                <w:rFonts w:ascii="Arial" w:cs="Arial" w:eastAsia="Arial" w:hAnsi="Arial"/>
                <w:sz w:val="18"/>
                <w:szCs w:val="18"/>
                <w:color w:val="auto"/>
                <w:w w:val="79"/>
              </w:rPr>
              <w:t>$</w:t>
            </w:r>
          </w:p>
        </w:tc>
        <w:tc>
          <w:tcPr>
            <w:tcW w:w="62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w w:val="92"/>
              </w:rPr>
              <w:t>206,314</w:t>
            </w:r>
          </w:p>
        </w:tc>
        <w:tc>
          <w:tcPr>
            <w:tcW w:w="480" w:type="dxa"/>
            <w:vAlign w:val="bottom"/>
          </w:tcPr>
          <w:p>
            <w:pPr>
              <w:spacing w:after="0"/>
              <w:rPr>
                <w:sz w:val="19"/>
                <w:szCs w:val="19"/>
                <w:color w:val="auto"/>
              </w:rPr>
            </w:pPr>
          </w:p>
        </w:tc>
        <w:tc>
          <w:tcPr>
            <w:tcW w:w="10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5"/>
                <w:szCs w:val="15"/>
                <w:color w:val="auto"/>
                <w:w w:val="71"/>
              </w:rPr>
              <w:t>$</w:t>
            </w:r>
          </w:p>
        </w:tc>
        <w:tc>
          <w:tcPr>
            <w:tcW w:w="72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139,485</w:t>
            </w:r>
          </w:p>
        </w:tc>
        <w:tc>
          <w:tcPr>
            <w:tcW w:w="2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5000" w:type="dxa"/>
            <w:vAlign w:val="bottom"/>
          </w:tcPr>
          <w:p>
            <w:pPr>
              <w:spacing w:after="0" w:line="20" w:lineRule="exact"/>
              <w:rPr>
                <w:sz w:val="1"/>
                <w:szCs w:val="1"/>
                <w:color w:val="auto"/>
              </w:rPr>
            </w:pPr>
          </w:p>
        </w:tc>
        <w:tc>
          <w:tcPr>
            <w:tcW w:w="600" w:type="dxa"/>
            <w:vAlign w:val="bottom"/>
          </w:tcPr>
          <w:p>
            <w:pPr>
              <w:spacing w:after="0" w:line="20" w:lineRule="exact"/>
              <w:rPr>
                <w:sz w:val="1"/>
                <w:szCs w:val="1"/>
                <w:color w:val="auto"/>
              </w:rPr>
            </w:pPr>
          </w:p>
        </w:tc>
        <w:tc>
          <w:tcPr>
            <w:tcW w:w="120" w:type="dxa"/>
            <w:vAlign w:val="bottom"/>
            <w:tcBorders>
              <w:bottom w:val="single" w:sz="8" w:color="auto"/>
            </w:tcBorders>
          </w:tcPr>
          <w:p>
            <w:pPr>
              <w:spacing w:after="0" w:line="20" w:lineRule="exact"/>
              <w:rPr>
                <w:sz w:val="1"/>
                <w:szCs w:val="1"/>
                <w:color w:val="auto"/>
              </w:rPr>
            </w:pPr>
          </w:p>
        </w:tc>
        <w:tc>
          <w:tcPr>
            <w:tcW w:w="620" w:type="dxa"/>
            <w:vAlign w:val="bottom"/>
            <w:tcBorders>
              <w:bottom w:val="single" w:sz="8" w:color="auto"/>
            </w:tcBorders>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600" w:type="dxa"/>
            <w:vAlign w:val="bottom"/>
            <w:tcBorders>
              <w:bottom w:val="single" w:sz="8" w:color="auto"/>
            </w:tcBorders>
          </w:tcPr>
          <w:p>
            <w:pPr>
              <w:spacing w:after="0" w:line="20" w:lineRule="exact"/>
              <w:rPr>
                <w:sz w:val="1"/>
                <w:szCs w:val="1"/>
                <w:color w:val="auto"/>
              </w:rPr>
            </w:pPr>
          </w:p>
        </w:tc>
        <w:tc>
          <w:tcPr>
            <w:tcW w:w="38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120" w:type="dxa"/>
            <w:vAlign w:val="bottom"/>
            <w:tcBorders>
              <w:bottom w:val="single" w:sz="8" w:color="auto"/>
            </w:tcBorders>
          </w:tcPr>
          <w:p>
            <w:pPr>
              <w:spacing w:after="0" w:line="20" w:lineRule="exact"/>
              <w:rPr>
                <w:sz w:val="1"/>
                <w:szCs w:val="1"/>
                <w:color w:val="auto"/>
              </w:rPr>
            </w:pPr>
          </w:p>
        </w:tc>
        <w:tc>
          <w:tcPr>
            <w:tcW w:w="620" w:type="dxa"/>
            <w:vAlign w:val="bottom"/>
            <w:tcBorders>
              <w:bottom w:val="single" w:sz="8" w:color="auto"/>
            </w:tcBorders>
          </w:tcPr>
          <w:p>
            <w:pPr>
              <w:spacing w:after="0" w:line="20" w:lineRule="exact"/>
              <w:rPr>
                <w:sz w:val="1"/>
                <w:szCs w:val="1"/>
                <w:color w:val="auto"/>
              </w:rPr>
            </w:pPr>
          </w:p>
        </w:tc>
        <w:tc>
          <w:tcPr>
            <w:tcW w:w="480" w:type="dxa"/>
            <w:vAlign w:val="bottom"/>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620" w:type="dxa"/>
            <w:vAlign w:val="bottom"/>
            <w:tcBorders>
              <w:bottom w:val="single" w:sz="8" w:color="auto"/>
            </w:tcBorders>
          </w:tcPr>
          <w:p>
            <w:pPr>
              <w:spacing w:after="0" w:line="20" w:lineRule="exact"/>
              <w:rPr>
                <w:sz w:val="1"/>
                <w:szCs w:val="1"/>
                <w:color w:val="auto"/>
              </w:rPr>
            </w:pPr>
          </w:p>
        </w:tc>
        <w:tc>
          <w:tcPr>
            <w:tcW w:w="480" w:type="dxa"/>
            <w:vAlign w:val="bottom"/>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720" w:type="dxa"/>
            <w:vAlign w:val="bottom"/>
            <w:tcBorders>
              <w:bottom w:val="single" w:sz="8" w:color="auto"/>
            </w:tcBorders>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10"/>
        </w:trPr>
        <w:tc>
          <w:tcPr>
            <w:tcW w:w="20" w:type="dxa"/>
            <w:vAlign w:val="bottom"/>
          </w:tcPr>
          <w:p>
            <w:pPr>
              <w:spacing w:after="0"/>
              <w:rPr>
                <w:sz w:val="18"/>
                <w:szCs w:val="18"/>
                <w:color w:val="auto"/>
              </w:rPr>
            </w:pPr>
          </w:p>
        </w:tc>
        <w:tc>
          <w:tcPr>
            <w:tcW w:w="5000" w:type="dxa"/>
            <w:vAlign w:val="bottom"/>
            <w:shd w:val="clear" w:color="auto" w:fill="CCEEFF"/>
          </w:tcPr>
          <w:p>
            <w:pPr>
              <w:spacing w:after="0"/>
              <w:rPr>
                <w:sz w:val="20"/>
                <w:szCs w:val="20"/>
                <w:color w:val="auto"/>
              </w:rPr>
            </w:pPr>
            <w:r>
              <w:rPr>
                <w:rFonts w:ascii="Arial" w:cs="Arial" w:eastAsia="Arial" w:hAnsi="Arial"/>
                <w:sz w:val="18"/>
                <w:szCs w:val="18"/>
                <w:color w:val="auto"/>
              </w:rPr>
              <w:t>Weighted average shares — basic</w:t>
            </w:r>
          </w:p>
        </w:tc>
        <w:tc>
          <w:tcPr>
            <w:tcW w:w="60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620" w:type="dxa"/>
            <w:vAlign w:val="bottom"/>
            <w:shd w:val="clear" w:color="auto" w:fill="CCEEFF"/>
          </w:tcPr>
          <w:p>
            <w:pPr>
              <w:jc w:val="right"/>
              <w:spacing w:after="0"/>
              <w:rPr>
                <w:sz w:val="20"/>
                <w:szCs w:val="20"/>
                <w:color w:val="auto"/>
              </w:rPr>
            </w:pPr>
            <w:r>
              <w:rPr>
                <w:rFonts w:ascii="Arial" w:cs="Arial" w:eastAsia="Arial" w:hAnsi="Arial"/>
                <w:sz w:val="18"/>
                <w:szCs w:val="18"/>
                <w:color w:val="auto"/>
                <w:w w:val="92"/>
              </w:rPr>
              <w:t>511,090</w:t>
            </w:r>
          </w:p>
        </w:tc>
        <w:tc>
          <w:tcPr>
            <w:tcW w:w="160" w:type="dxa"/>
            <w:vAlign w:val="bottom"/>
            <w:shd w:val="clear" w:color="auto" w:fill="CCEEFF"/>
          </w:tcPr>
          <w:p>
            <w:pPr>
              <w:spacing w:after="0"/>
              <w:rPr>
                <w:sz w:val="18"/>
                <w:szCs w:val="18"/>
                <w:color w:val="auto"/>
              </w:rPr>
            </w:pPr>
          </w:p>
        </w:tc>
        <w:tc>
          <w:tcPr>
            <w:tcW w:w="3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6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9"/>
              </w:rPr>
              <w:t>511,235</w:t>
            </w:r>
          </w:p>
        </w:tc>
        <w:tc>
          <w:tcPr>
            <w:tcW w:w="38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620" w:type="dxa"/>
            <w:vAlign w:val="bottom"/>
            <w:shd w:val="clear" w:color="auto" w:fill="CCEEFF"/>
          </w:tcPr>
          <w:p>
            <w:pPr>
              <w:jc w:val="right"/>
              <w:spacing w:after="0"/>
              <w:rPr>
                <w:sz w:val="20"/>
                <w:szCs w:val="20"/>
                <w:color w:val="auto"/>
              </w:rPr>
            </w:pPr>
            <w:r>
              <w:rPr>
                <w:rFonts w:ascii="Arial" w:cs="Arial" w:eastAsia="Arial" w:hAnsi="Arial"/>
                <w:sz w:val="18"/>
                <w:szCs w:val="18"/>
                <w:color w:val="auto"/>
                <w:w w:val="92"/>
              </w:rPr>
              <w:t>504,831</w:t>
            </w:r>
          </w:p>
        </w:tc>
        <w:tc>
          <w:tcPr>
            <w:tcW w:w="4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100" w:type="dxa"/>
            <w:vAlign w:val="bottom"/>
            <w:gridSpan w:val="2"/>
            <w:shd w:val="clear" w:color="auto" w:fill="CCEEFF"/>
          </w:tcPr>
          <w:p>
            <w:pPr>
              <w:jc w:val="right"/>
              <w:ind w:right="480"/>
              <w:spacing w:after="0"/>
              <w:rPr>
                <w:sz w:val="20"/>
                <w:szCs w:val="20"/>
                <w:color w:val="auto"/>
              </w:rPr>
            </w:pPr>
            <w:r>
              <w:rPr>
                <w:rFonts w:ascii="Arial" w:cs="Arial" w:eastAsia="Arial" w:hAnsi="Arial"/>
                <w:sz w:val="18"/>
                <w:szCs w:val="18"/>
                <w:color w:val="auto"/>
                <w:w w:val="92"/>
              </w:rPr>
              <w:t>510,373</w:t>
            </w:r>
          </w:p>
        </w:tc>
        <w:tc>
          <w:tcPr>
            <w:tcW w:w="100" w:type="dxa"/>
            <w:vAlign w:val="bottom"/>
            <w:shd w:val="clear" w:color="auto" w:fill="CCEEFF"/>
          </w:tcPr>
          <w:p>
            <w:pPr>
              <w:spacing w:after="0"/>
              <w:rPr>
                <w:sz w:val="18"/>
                <w:szCs w:val="18"/>
                <w:color w:val="auto"/>
              </w:rPr>
            </w:pPr>
          </w:p>
        </w:tc>
        <w:tc>
          <w:tcPr>
            <w:tcW w:w="92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512,476</w:t>
            </w:r>
          </w:p>
        </w:tc>
        <w:tc>
          <w:tcPr>
            <w:tcW w:w="0" w:type="dxa"/>
            <w:vAlign w:val="bottom"/>
          </w:tcPr>
          <w:p>
            <w:pPr>
              <w:spacing w:after="0"/>
              <w:rPr>
                <w:sz w:val="1"/>
                <w:szCs w:val="1"/>
                <w:color w:val="auto"/>
              </w:rPr>
            </w:pPr>
          </w:p>
        </w:tc>
      </w:tr>
      <w:tr>
        <w:trPr>
          <w:trHeight w:val="20"/>
        </w:trPr>
        <w:tc>
          <w:tcPr>
            <w:tcW w:w="5020" w:type="dxa"/>
            <w:vAlign w:val="bottom"/>
            <w:gridSpan w:val="2"/>
            <w:vMerge w:val="restart"/>
          </w:tcPr>
          <w:p>
            <w:pPr>
              <w:spacing w:after="0"/>
              <w:rPr>
                <w:sz w:val="20"/>
                <w:szCs w:val="20"/>
                <w:color w:val="auto"/>
              </w:rPr>
            </w:pPr>
            <w:r>
              <w:rPr>
                <w:rFonts w:ascii="Arial" w:cs="Arial" w:eastAsia="Arial" w:hAnsi="Arial"/>
                <w:sz w:val="18"/>
                <w:szCs w:val="18"/>
                <w:color w:val="auto"/>
              </w:rPr>
              <w:t>Weighted average shares — diluted</w:t>
            </w:r>
          </w:p>
        </w:tc>
        <w:tc>
          <w:tcPr>
            <w:tcW w:w="600" w:type="dxa"/>
            <w:vAlign w:val="bottom"/>
          </w:tcPr>
          <w:p>
            <w:pPr>
              <w:spacing w:after="0" w:line="20" w:lineRule="exact"/>
              <w:rPr>
                <w:sz w:val="1"/>
                <w:szCs w:val="1"/>
                <w:color w:val="auto"/>
              </w:rPr>
            </w:pPr>
          </w:p>
        </w:tc>
        <w:tc>
          <w:tcPr>
            <w:tcW w:w="120" w:type="dxa"/>
            <w:vAlign w:val="bottom"/>
            <w:tcBorders>
              <w:top w:val="single" w:sz="8" w:color="auto"/>
              <w:bottom w:val="single" w:sz="8" w:color="auto"/>
            </w:tcBorders>
          </w:tcPr>
          <w:p>
            <w:pPr>
              <w:spacing w:after="0" w:line="20" w:lineRule="exact"/>
              <w:rPr>
                <w:sz w:val="1"/>
                <w:szCs w:val="1"/>
                <w:color w:val="auto"/>
              </w:rPr>
            </w:pPr>
          </w:p>
        </w:tc>
        <w:tc>
          <w:tcPr>
            <w:tcW w:w="620" w:type="dxa"/>
            <w:vAlign w:val="bottom"/>
            <w:tcBorders>
              <w:top w:val="single" w:sz="8" w:color="auto"/>
              <w:bottom w:val="single" w:sz="8" w:color="auto"/>
            </w:tcBorders>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600" w:type="dxa"/>
            <w:vAlign w:val="bottom"/>
            <w:tcBorders>
              <w:top w:val="single" w:sz="8" w:color="auto"/>
              <w:bottom w:val="single" w:sz="8" w:color="auto"/>
            </w:tcBorders>
          </w:tcPr>
          <w:p>
            <w:pPr>
              <w:spacing w:after="0" w:line="20" w:lineRule="exact"/>
              <w:rPr>
                <w:sz w:val="1"/>
                <w:szCs w:val="1"/>
                <w:color w:val="auto"/>
              </w:rPr>
            </w:pPr>
          </w:p>
        </w:tc>
        <w:tc>
          <w:tcPr>
            <w:tcW w:w="38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120" w:type="dxa"/>
            <w:vAlign w:val="bottom"/>
            <w:tcBorders>
              <w:top w:val="single" w:sz="8" w:color="auto"/>
              <w:bottom w:val="single" w:sz="8" w:color="auto"/>
            </w:tcBorders>
          </w:tcPr>
          <w:p>
            <w:pPr>
              <w:spacing w:after="0" w:line="20" w:lineRule="exact"/>
              <w:rPr>
                <w:sz w:val="1"/>
                <w:szCs w:val="1"/>
                <w:color w:val="auto"/>
              </w:rPr>
            </w:pPr>
          </w:p>
        </w:tc>
        <w:tc>
          <w:tcPr>
            <w:tcW w:w="620" w:type="dxa"/>
            <w:vAlign w:val="bottom"/>
            <w:tcBorders>
              <w:top w:val="single" w:sz="8" w:color="auto"/>
              <w:bottom w:val="single" w:sz="8" w:color="auto"/>
            </w:tcBorders>
          </w:tcPr>
          <w:p>
            <w:pPr>
              <w:spacing w:after="0" w:line="20" w:lineRule="exact"/>
              <w:rPr>
                <w:sz w:val="1"/>
                <w:szCs w:val="1"/>
                <w:color w:val="auto"/>
              </w:rPr>
            </w:pPr>
          </w:p>
        </w:tc>
        <w:tc>
          <w:tcPr>
            <w:tcW w:w="48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620" w:type="dxa"/>
            <w:vAlign w:val="bottom"/>
            <w:tcBorders>
              <w:top w:val="single" w:sz="8" w:color="auto"/>
              <w:bottom w:val="single" w:sz="8" w:color="auto"/>
            </w:tcBorders>
          </w:tcPr>
          <w:p>
            <w:pPr>
              <w:spacing w:after="0" w:line="20" w:lineRule="exact"/>
              <w:rPr>
                <w:sz w:val="1"/>
                <w:szCs w:val="1"/>
                <w:color w:val="auto"/>
              </w:rPr>
            </w:pPr>
          </w:p>
        </w:tc>
        <w:tc>
          <w:tcPr>
            <w:tcW w:w="48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720" w:type="dxa"/>
            <w:vAlign w:val="bottom"/>
            <w:tcBorders>
              <w:top w:val="single" w:sz="8" w:color="auto"/>
              <w:bottom w:val="single" w:sz="8" w:color="auto"/>
            </w:tcBorders>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10"/>
        </w:trPr>
        <w:tc>
          <w:tcPr>
            <w:tcW w:w="5020" w:type="dxa"/>
            <w:vAlign w:val="bottom"/>
            <w:gridSpan w:val="2"/>
            <w:vMerge w:val="continue"/>
          </w:tcPr>
          <w:p>
            <w:pPr>
              <w:spacing w:after="0"/>
              <w:rPr>
                <w:sz w:val="18"/>
                <w:szCs w:val="18"/>
                <w:color w:val="auto"/>
              </w:rPr>
            </w:pPr>
          </w:p>
        </w:tc>
        <w:tc>
          <w:tcPr>
            <w:tcW w:w="600" w:type="dxa"/>
            <w:vAlign w:val="bottom"/>
          </w:tcPr>
          <w:p>
            <w:pPr>
              <w:spacing w:after="0"/>
              <w:rPr>
                <w:sz w:val="18"/>
                <w:szCs w:val="18"/>
                <w:color w:val="auto"/>
              </w:rPr>
            </w:pPr>
          </w:p>
        </w:tc>
        <w:tc>
          <w:tcPr>
            <w:tcW w:w="120" w:type="dxa"/>
            <w:vAlign w:val="bottom"/>
            <w:tcBorders>
              <w:bottom w:val="single" w:sz="8" w:color="auto"/>
            </w:tcBorders>
          </w:tcPr>
          <w:p>
            <w:pPr>
              <w:spacing w:after="0"/>
              <w:rPr>
                <w:sz w:val="18"/>
                <w:szCs w:val="18"/>
                <w:color w:val="auto"/>
              </w:rPr>
            </w:pPr>
          </w:p>
        </w:tc>
        <w:tc>
          <w:tcPr>
            <w:tcW w:w="62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w w:val="92"/>
              </w:rPr>
              <w:t>522,091</w:t>
            </w:r>
          </w:p>
        </w:tc>
        <w:tc>
          <w:tcPr>
            <w:tcW w:w="16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100" w:type="dxa"/>
            <w:vAlign w:val="bottom"/>
            <w:tcBorders>
              <w:bottom w:val="single" w:sz="8" w:color="auto"/>
            </w:tcBorders>
          </w:tcPr>
          <w:p>
            <w:pPr>
              <w:spacing w:after="0"/>
              <w:rPr>
                <w:sz w:val="18"/>
                <w:szCs w:val="18"/>
                <w:color w:val="auto"/>
              </w:rPr>
            </w:pPr>
          </w:p>
        </w:tc>
        <w:tc>
          <w:tcPr>
            <w:tcW w:w="6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w w:val="89"/>
              </w:rPr>
              <w:t>514,314</w:t>
            </w:r>
          </w:p>
        </w:tc>
        <w:tc>
          <w:tcPr>
            <w:tcW w:w="38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120" w:type="dxa"/>
            <w:vAlign w:val="bottom"/>
            <w:tcBorders>
              <w:bottom w:val="single" w:sz="8" w:color="auto"/>
            </w:tcBorders>
          </w:tcPr>
          <w:p>
            <w:pPr>
              <w:spacing w:after="0"/>
              <w:rPr>
                <w:sz w:val="18"/>
                <w:szCs w:val="18"/>
                <w:color w:val="auto"/>
              </w:rPr>
            </w:pPr>
          </w:p>
        </w:tc>
        <w:tc>
          <w:tcPr>
            <w:tcW w:w="62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w w:val="92"/>
              </w:rPr>
              <w:t>504,831</w:t>
            </w:r>
          </w:p>
        </w:tc>
        <w:tc>
          <w:tcPr>
            <w:tcW w:w="480" w:type="dxa"/>
            <w:vAlign w:val="bottom"/>
          </w:tcPr>
          <w:p>
            <w:pPr>
              <w:spacing w:after="0"/>
              <w:rPr>
                <w:sz w:val="18"/>
                <w:szCs w:val="18"/>
                <w:color w:val="auto"/>
              </w:rPr>
            </w:pPr>
          </w:p>
        </w:tc>
        <w:tc>
          <w:tcPr>
            <w:tcW w:w="100" w:type="dxa"/>
            <w:vAlign w:val="bottom"/>
            <w:tcBorders>
              <w:bottom w:val="single" w:sz="8" w:color="auto"/>
            </w:tcBorders>
          </w:tcPr>
          <w:p>
            <w:pPr>
              <w:spacing w:after="0"/>
              <w:rPr>
                <w:sz w:val="18"/>
                <w:szCs w:val="18"/>
                <w:color w:val="auto"/>
              </w:rPr>
            </w:pPr>
          </w:p>
        </w:tc>
        <w:tc>
          <w:tcPr>
            <w:tcW w:w="62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w w:val="92"/>
              </w:rPr>
              <w:t>516,476</w:t>
            </w:r>
          </w:p>
        </w:tc>
        <w:tc>
          <w:tcPr>
            <w:tcW w:w="480" w:type="dxa"/>
            <w:vAlign w:val="bottom"/>
          </w:tcPr>
          <w:p>
            <w:pPr>
              <w:spacing w:after="0"/>
              <w:rPr>
                <w:sz w:val="18"/>
                <w:szCs w:val="18"/>
                <w:color w:val="auto"/>
              </w:rPr>
            </w:pPr>
          </w:p>
        </w:tc>
        <w:tc>
          <w:tcPr>
            <w:tcW w:w="100" w:type="dxa"/>
            <w:vAlign w:val="bottom"/>
            <w:tcBorders>
              <w:bottom w:val="single" w:sz="8" w:color="auto"/>
            </w:tcBorders>
          </w:tcPr>
          <w:p>
            <w:pPr>
              <w:spacing w:after="0"/>
              <w:rPr>
                <w:sz w:val="18"/>
                <w:szCs w:val="18"/>
                <w:color w:val="auto"/>
              </w:rPr>
            </w:pPr>
          </w:p>
        </w:tc>
        <w:tc>
          <w:tcPr>
            <w:tcW w:w="72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512,476</w:t>
            </w:r>
          </w:p>
        </w:tc>
        <w:tc>
          <w:tcPr>
            <w:tcW w:w="2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5000" w:type="dxa"/>
            <w:vAlign w:val="bottom"/>
          </w:tcPr>
          <w:p>
            <w:pPr>
              <w:spacing w:after="0" w:line="20" w:lineRule="exact"/>
              <w:rPr>
                <w:sz w:val="1"/>
                <w:szCs w:val="1"/>
                <w:color w:val="auto"/>
              </w:rPr>
            </w:pPr>
          </w:p>
        </w:tc>
        <w:tc>
          <w:tcPr>
            <w:tcW w:w="600" w:type="dxa"/>
            <w:vAlign w:val="bottom"/>
          </w:tcPr>
          <w:p>
            <w:pPr>
              <w:spacing w:after="0" w:line="20" w:lineRule="exact"/>
              <w:rPr>
                <w:sz w:val="1"/>
                <w:szCs w:val="1"/>
                <w:color w:val="auto"/>
              </w:rPr>
            </w:pPr>
          </w:p>
        </w:tc>
        <w:tc>
          <w:tcPr>
            <w:tcW w:w="120" w:type="dxa"/>
            <w:vAlign w:val="bottom"/>
            <w:tcBorders>
              <w:bottom w:val="single" w:sz="8" w:color="auto"/>
            </w:tcBorders>
          </w:tcPr>
          <w:p>
            <w:pPr>
              <w:spacing w:after="0" w:line="20" w:lineRule="exact"/>
              <w:rPr>
                <w:sz w:val="1"/>
                <w:szCs w:val="1"/>
                <w:color w:val="auto"/>
              </w:rPr>
            </w:pPr>
          </w:p>
        </w:tc>
        <w:tc>
          <w:tcPr>
            <w:tcW w:w="620" w:type="dxa"/>
            <w:vAlign w:val="bottom"/>
            <w:tcBorders>
              <w:bottom w:val="single" w:sz="8" w:color="auto"/>
            </w:tcBorders>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600" w:type="dxa"/>
            <w:vAlign w:val="bottom"/>
            <w:tcBorders>
              <w:bottom w:val="single" w:sz="8" w:color="auto"/>
            </w:tcBorders>
          </w:tcPr>
          <w:p>
            <w:pPr>
              <w:spacing w:after="0" w:line="20" w:lineRule="exact"/>
              <w:rPr>
                <w:sz w:val="1"/>
                <w:szCs w:val="1"/>
                <w:color w:val="auto"/>
              </w:rPr>
            </w:pPr>
          </w:p>
        </w:tc>
        <w:tc>
          <w:tcPr>
            <w:tcW w:w="38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120" w:type="dxa"/>
            <w:vAlign w:val="bottom"/>
            <w:tcBorders>
              <w:bottom w:val="single" w:sz="8" w:color="auto"/>
            </w:tcBorders>
          </w:tcPr>
          <w:p>
            <w:pPr>
              <w:spacing w:after="0" w:line="20" w:lineRule="exact"/>
              <w:rPr>
                <w:sz w:val="1"/>
                <w:szCs w:val="1"/>
                <w:color w:val="auto"/>
              </w:rPr>
            </w:pPr>
          </w:p>
        </w:tc>
        <w:tc>
          <w:tcPr>
            <w:tcW w:w="620" w:type="dxa"/>
            <w:vAlign w:val="bottom"/>
            <w:tcBorders>
              <w:bottom w:val="single" w:sz="8" w:color="auto"/>
            </w:tcBorders>
          </w:tcPr>
          <w:p>
            <w:pPr>
              <w:spacing w:after="0" w:line="20" w:lineRule="exact"/>
              <w:rPr>
                <w:sz w:val="1"/>
                <w:szCs w:val="1"/>
                <w:color w:val="auto"/>
              </w:rPr>
            </w:pPr>
          </w:p>
        </w:tc>
        <w:tc>
          <w:tcPr>
            <w:tcW w:w="480" w:type="dxa"/>
            <w:vAlign w:val="bottom"/>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620" w:type="dxa"/>
            <w:vAlign w:val="bottom"/>
            <w:tcBorders>
              <w:bottom w:val="single" w:sz="8" w:color="auto"/>
            </w:tcBorders>
          </w:tcPr>
          <w:p>
            <w:pPr>
              <w:spacing w:after="0" w:line="20" w:lineRule="exact"/>
              <w:rPr>
                <w:sz w:val="1"/>
                <w:szCs w:val="1"/>
                <w:color w:val="auto"/>
              </w:rPr>
            </w:pPr>
          </w:p>
        </w:tc>
        <w:tc>
          <w:tcPr>
            <w:tcW w:w="480" w:type="dxa"/>
            <w:vAlign w:val="bottom"/>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720" w:type="dxa"/>
            <w:vAlign w:val="bottom"/>
            <w:tcBorders>
              <w:bottom w:val="single" w:sz="8" w:color="auto"/>
            </w:tcBorders>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10"/>
        </w:trPr>
        <w:tc>
          <w:tcPr>
            <w:tcW w:w="20" w:type="dxa"/>
            <w:vAlign w:val="bottom"/>
          </w:tcPr>
          <w:p>
            <w:pPr>
              <w:spacing w:after="0"/>
              <w:rPr>
                <w:sz w:val="18"/>
                <w:szCs w:val="18"/>
                <w:color w:val="auto"/>
              </w:rPr>
            </w:pPr>
          </w:p>
        </w:tc>
        <w:tc>
          <w:tcPr>
            <w:tcW w:w="5000" w:type="dxa"/>
            <w:vAlign w:val="bottom"/>
            <w:shd w:val="clear" w:color="auto" w:fill="CCEEFF"/>
          </w:tcPr>
          <w:p>
            <w:pPr>
              <w:spacing w:after="0"/>
              <w:rPr>
                <w:sz w:val="20"/>
                <w:szCs w:val="20"/>
                <w:color w:val="auto"/>
              </w:rPr>
            </w:pPr>
            <w:r>
              <w:rPr>
                <w:rFonts w:ascii="Arial" w:cs="Arial" w:eastAsia="Arial" w:hAnsi="Arial"/>
                <w:sz w:val="18"/>
                <w:szCs w:val="18"/>
                <w:color w:val="auto"/>
              </w:rPr>
              <w:t>Non-GAAP weighted average shares — diluted</w:t>
            </w:r>
          </w:p>
        </w:tc>
        <w:tc>
          <w:tcPr>
            <w:tcW w:w="60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620" w:type="dxa"/>
            <w:vAlign w:val="bottom"/>
            <w:shd w:val="clear" w:color="auto" w:fill="CCEEFF"/>
          </w:tcPr>
          <w:p>
            <w:pPr>
              <w:jc w:val="right"/>
              <w:spacing w:after="0"/>
              <w:rPr>
                <w:sz w:val="20"/>
                <w:szCs w:val="20"/>
                <w:color w:val="auto"/>
              </w:rPr>
            </w:pPr>
            <w:r>
              <w:rPr>
                <w:rFonts w:ascii="Arial" w:cs="Arial" w:eastAsia="Arial" w:hAnsi="Arial"/>
                <w:sz w:val="18"/>
                <w:szCs w:val="18"/>
                <w:color w:val="auto"/>
                <w:w w:val="92"/>
              </w:rPr>
              <w:t>531,831</w:t>
            </w:r>
          </w:p>
        </w:tc>
        <w:tc>
          <w:tcPr>
            <w:tcW w:w="160" w:type="dxa"/>
            <w:vAlign w:val="bottom"/>
            <w:shd w:val="clear" w:color="auto" w:fill="CCEEFF"/>
          </w:tcPr>
          <w:p>
            <w:pPr>
              <w:spacing w:after="0"/>
              <w:rPr>
                <w:sz w:val="18"/>
                <w:szCs w:val="18"/>
                <w:color w:val="auto"/>
              </w:rPr>
            </w:pPr>
          </w:p>
        </w:tc>
        <w:tc>
          <w:tcPr>
            <w:tcW w:w="3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6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9"/>
              </w:rPr>
              <w:t>526,453</w:t>
            </w:r>
          </w:p>
        </w:tc>
        <w:tc>
          <w:tcPr>
            <w:tcW w:w="38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620" w:type="dxa"/>
            <w:vAlign w:val="bottom"/>
            <w:shd w:val="clear" w:color="auto" w:fill="CCEEFF"/>
          </w:tcPr>
          <w:p>
            <w:pPr>
              <w:jc w:val="right"/>
              <w:spacing w:after="0"/>
              <w:rPr>
                <w:sz w:val="20"/>
                <w:szCs w:val="20"/>
                <w:color w:val="auto"/>
              </w:rPr>
            </w:pPr>
            <w:r>
              <w:rPr>
                <w:rFonts w:ascii="Arial" w:cs="Arial" w:eastAsia="Arial" w:hAnsi="Arial"/>
                <w:sz w:val="18"/>
                <w:szCs w:val="18"/>
                <w:color w:val="auto"/>
                <w:w w:val="92"/>
              </w:rPr>
              <w:t>518,505</w:t>
            </w:r>
          </w:p>
        </w:tc>
        <w:tc>
          <w:tcPr>
            <w:tcW w:w="4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100" w:type="dxa"/>
            <w:vAlign w:val="bottom"/>
            <w:gridSpan w:val="2"/>
            <w:shd w:val="clear" w:color="auto" w:fill="CCEEFF"/>
          </w:tcPr>
          <w:p>
            <w:pPr>
              <w:jc w:val="right"/>
              <w:ind w:right="480"/>
              <w:spacing w:after="0"/>
              <w:rPr>
                <w:sz w:val="20"/>
                <w:szCs w:val="20"/>
                <w:color w:val="auto"/>
              </w:rPr>
            </w:pPr>
            <w:r>
              <w:rPr>
                <w:rFonts w:ascii="Arial" w:cs="Arial" w:eastAsia="Arial" w:hAnsi="Arial"/>
                <w:sz w:val="18"/>
                <w:szCs w:val="18"/>
                <w:color w:val="auto"/>
                <w:w w:val="92"/>
              </w:rPr>
              <w:t>526,883</w:t>
            </w:r>
          </w:p>
        </w:tc>
        <w:tc>
          <w:tcPr>
            <w:tcW w:w="100" w:type="dxa"/>
            <w:vAlign w:val="bottom"/>
            <w:shd w:val="clear" w:color="auto" w:fill="CCEEFF"/>
          </w:tcPr>
          <w:p>
            <w:pPr>
              <w:spacing w:after="0"/>
              <w:rPr>
                <w:sz w:val="18"/>
                <w:szCs w:val="18"/>
                <w:color w:val="auto"/>
              </w:rPr>
            </w:pPr>
          </w:p>
        </w:tc>
        <w:tc>
          <w:tcPr>
            <w:tcW w:w="92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528,869</w:t>
            </w:r>
          </w:p>
        </w:tc>
        <w:tc>
          <w:tcPr>
            <w:tcW w:w="0" w:type="dxa"/>
            <w:vAlign w:val="bottom"/>
          </w:tcPr>
          <w:p>
            <w:pPr>
              <w:spacing w:after="0"/>
              <w:rPr>
                <w:sz w:val="1"/>
                <w:szCs w:val="1"/>
                <w:color w:val="auto"/>
              </w:rPr>
            </w:pPr>
          </w:p>
        </w:tc>
      </w:tr>
      <w:tr>
        <w:trPr>
          <w:trHeight w:val="20"/>
        </w:trPr>
        <w:tc>
          <w:tcPr>
            <w:tcW w:w="5020" w:type="dxa"/>
            <w:vAlign w:val="bottom"/>
            <w:gridSpan w:val="2"/>
            <w:vMerge w:val="restart"/>
          </w:tcPr>
          <w:p>
            <w:pPr>
              <w:spacing w:after="0"/>
              <w:rPr>
                <w:sz w:val="20"/>
                <w:szCs w:val="20"/>
                <w:color w:val="auto"/>
              </w:rPr>
            </w:pPr>
            <w:r>
              <w:rPr>
                <w:rFonts w:ascii="Arial" w:cs="Arial" w:eastAsia="Arial" w:hAnsi="Arial"/>
                <w:sz w:val="18"/>
                <w:szCs w:val="18"/>
                <w:color w:val="auto"/>
              </w:rPr>
              <w:t>GAAP diluted net income per share</w:t>
            </w:r>
          </w:p>
        </w:tc>
        <w:tc>
          <w:tcPr>
            <w:tcW w:w="600" w:type="dxa"/>
            <w:vAlign w:val="bottom"/>
          </w:tcPr>
          <w:p>
            <w:pPr>
              <w:spacing w:after="0" w:line="20" w:lineRule="exact"/>
              <w:rPr>
                <w:sz w:val="1"/>
                <w:szCs w:val="1"/>
                <w:color w:val="auto"/>
              </w:rPr>
            </w:pPr>
          </w:p>
        </w:tc>
        <w:tc>
          <w:tcPr>
            <w:tcW w:w="120" w:type="dxa"/>
            <w:vAlign w:val="bottom"/>
            <w:tcBorders>
              <w:top w:val="single" w:sz="8" w:color="auto"/>
              <w:bottom w:val="single" w:sz="8" w:color="auto"/>
            </w:tcBorders>
          </w:tcPr>
          <w:p>
            <w:pPr>
              <w:spacing w:after="0" w:line="20" w:lineRule="exact"/>
              <w:rPr>
                <w:sz w:val="1"/>
                <w:szCs w:val="1"/>
                <w:color w:val="auto"/>
              </w:rPr>
            </w:pPr>
          </w:p>
        </w:tc>
        <w:tc>
          <w:tcPr>
            <w:tcW w:w="620" w:type="dxa"/>
            <w:vAlign w:val="bottom"/>
            <w:tcBorders>
              <w:top w:val="single" w:sz="8" w:color="auto"/>
              <w:bottom w:val="single" w:sz="8" w:color="auto"/>
            </w:tcBorders>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600" w:type="dxa"/>
            <w:vAlign w:val="bottom"/>
            <w:tcBorders>
              <w:top w:val="single" w:sz="8" w:color="auto"/>
              <w:bottom w:val="single" w:sz="8" w:color="auto"/>
            </w:tcBorders>
          </w:tcPr>
          <w:p>
            <w:pPr>
              <w:spacing w:after="0" w:line="20" w:lineRule="exact"/>
              <w:rPr>
                <w:sz w:val="1"/>
                <w:szCs w:val="1"/>
                <w:color w:val="auto"/>
              </w:rPr>
            </w:pPr>
          </w:p>
        </w:tc>
        <w:tc>
          <w:tcPr>
            <w:tcW w:w="38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120" w:type="dxa"/>
            <w:vAlign w:val="bottom"/>
            <w:tcBorders>
              <w:top w:val="single" w:sz="8" w:color="auto"/>
              <w:bottom w:val="single" w:sz="8" w:color="auto"/>
            </w:tcBorders>
          </w:tcPr>
          <w:p>
            <w:pPr>
              <w:spacing w:after="0" w:line="20" w:lineRule="exact"/>
              <w:rPr>
                <w:sz w:val="1"/>
                <w:szCs w:val="1"/>
                <w:color w:val="auto"/>
              </w:rPr>
            </w:pPr>
          </w:p>
        </w:tc>
        <w:tc>
          <w:tcPr>
            <w:tcW w:w="620" w:type="dxa"/>
            <w:vAlign w:val="bottom"/>
            <w:tcBorders>
              <w:top w:val="single" w:sz="8" w:color="auto"/>
              <w:bottom w:val="single" w:sz="8" w:color="auto"/>
            </w:tcBorders>
          </w:tcPr>
          <w:p>
            <w:pPr>
              <w:spacing w:after="0" w:line="20" w:lineRule="exact"/>
              <w:rPr>
                <w:sz w:val="1"/>
                <w:szCs w:val="1"/>
                <w:color w:val="auto"/>
              </w:rPr>
            </w:pPr>
          </w:p>
        </w:tc>
        <w:tc>
          <w:tcPr>
            <w:tcW w:w="48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620" w:type="dxa"/>
            <w:vAlign w:val="bottom"/>
            <w:tcBorders>
              <w:top w:val="single" w:sz="8" w:color="auto"/>
              <w:bottom w:val="single" w:sz="8" w:color="auto"/>
            </w:tcBorders>
          </w:tcPr>
          <w:p>
            <w:pPr>
              <w:spacing w:after="0" w:line="20" w:lineRule="exact"/>
              <w:rPr>
                <w:sz w:val="1"/>
                <w:szCs w:val="1"/>
                <w:color w:val="auto"/>
              </w:rPr>
            </w:pPr>
          </w:p>
        </w:tc>
        <w:tc>
          <w:tcPr>
            <w:tcW w:w="48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720" w:type="dxa"/>
            <w:vAlign w:val="bottom"/>
            <w:tcBorders>
              <w:top w:val="single" w:sz="8" w:color="auto"/>
              <w:bottom w:val="single" w:sz="8" w:color="auto"/>
            </w:tcBorders>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10"/>
        </w:trPr>
        <w:tc>
          <w:tcPr>
            <w:tcW w:w="5020" w:type="dxa"/>
            <w:vAlign w:val="bottom"/>
            <w:gridSpan w:val="2"/>
            <w:vMerge w:val="continue"/>
          </w:tcPr>
          <w:p>
            <w:pPr>
              <w:spacing w:after="0"/>
              <w:rPr>
                <w:sz w:val="18"/>
                <w:szCs w:val="18"/>
                <w:color w:val="auto"/>
              </w:rPr>
            </w:pPr>
          </w:p>
        </w:tc>
        <w:tc>
          <w:tcPr>
            <w:tcW w:w="600" w:type="dxa"/>
            <w:vAlign w:val="bottom"/>
          </w:tcPr>
          <w:p>
            <w:pPr>
              <w:spacing w:after="0"/>
              <w:rPr>
                <w:sz w:val="18"/>
                <w:szCs w:val="18"/>
                <w:color w:val="auto"/>
              </w:rPr>
            </w:pPr>
          </w:p>
        </w:tc>
        <w:tc>
          <w:tcPr>
            <w:tcW w:w="120" w:type="dxa"/>
            <w:vAlign w:val="bottom"/>
            <w:tcBorders>
              <w:bottom w:val="single" w:sz="8" w:color="auto"/>
            </w:tcBorders>
          </w:tcPr>
          <w:p>
            <w:pPr>
              <w:spacing w:after="0"/>
              <w:rPr>
                <w:sz w:val="20"/>
                <w:szCs w:val="20"/>
                <w:color w:val="auto"/>
              </w:rPr>
            </w:pPr>
            <w:r>
              <w:rPr>
                <w:rFonts w:ascii="Arial" w:cs="Arial" w:eastAsia="Arial" w:hAnsi="Arial"/>
                <w:sz w:val="18"/>
                <w:szCs w:val="18"/>
                <w:color w:val="auto"/>
                <w:w w:val="99"/>
              </w:rPr>
              <w:t>$</w:t>
            </w:r>
          </w:p>
        </w:tc>
        <w:tc>
          <w:tcPr>
            <w:tcW w:w="62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0.14</w:t>
            </w:r>
          </w:p>
        </w:tc>
        <w:tc>
          <w:tcPr>
            <w:tcW w:w="16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1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w w:val="79"/>
              </w:rPr>
              <w:t>$</w:t>
            </w:r>
          </w:p>
        </w:tc>
        <w:tc>
          <w:tcPr>
            <w:tcW w:w="6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0.10</w:t>
            </w:r>
          </w:p>
        </w:tc>
        <w:tc>
          <w:tcPr>
            <w:tcW w:w="38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120" w:type="dxa"/>
            <w:vAlign w:val="bottom"/>
            <w:tcBorders>
              <w:bottom w:val="single" w:sz="8" w:color="auto"/>
            </w:tcBorders>
          </w:tcPr>
          <w:p>
            <w:pPr>
              <w:spacing w:after="0"/>
              <w:rPr>
                <w:sz w:val="20"/>
                <w:szCs w:val="20"/>
                <w:color w:val="auto"/>
              </w:rPr>
            </w:pPr>
            <w:r>
              <w:rPr>
                <w:rFonts w:ascii="Arial" w:cs="Arial" w:eastAsia="Arial" w:hAnsi="Arial"/>
                <w:sz w:val="18"/>
                <w:szCs w:val="18"/>
                <w:color w:val="auto"/>
                <w:w w:val="99"/>
              </w:rPr>
              <w:t>$</w:t>
            </w:r>
          </w:p>
        </w:tc>
        <w:tc>
          <w:tcPr>
            <w:tcW w:w="62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(0.11</w:t>
            </w:r>
          </w:p>
        </w:tc>
        <w:tc>
          <w:tcPr>
            <w:tcW w:w="480" w:type="dxa"/>
            <w:vAlign w:val="bottom"/>
          </w:tcPr>
          <w:p>
            <w:pPr>
              <w:jc w:val="right"/>
              <w:ind w:right="340"/>
              <w:spacing w:after="0"/>
              <w:rPr>
                <w:sz w:val="20"/>
                <w:szCs w:val="20"/>
                <w:color w:val="auto"/>
              </w:rPr>
            </w:pPr>
            <w:r>
              <w:rPr>
                <w:rFonts w:ascii="Arial" w:cs="Arial" w:eastAsia="Arial" w:hAnsi="Arial"/>
                <w:sz w:val="16"/>
                <w:szCs w:val="16"/>
                <w:color w:val="auto"/>
                <w:w w:val="74"/>
              </w:rPr>
              <w:t>)</w:t>
            </w:r>
          </w:p>
        </w:tc>
        <w:tc>
          <w:tcPr>
            <w:tcW w:w="100" w:type="dxa"/>
            <w:vAlign w:val="bottom"/>
            <w:tcBorders>
              <w:bottom w:val="single" w:sz="8" w:color="auto"/>
            </w:tcBorders>
          </w:tcPr>
          <w:p>
            <w:pPr>
              <w:spacing w:after="0"/>
              <w:rPr>
                <w:sz w:val="20"/>
                <w:szCs w:val="20"/>
                <w:color w:val="auto"/>
              </w:rPr>
            </w:pPr>
            <w:r>
              <w:rPr>
                <w:rFonts w:ascii="Arial" w:cs="Arial" w:eastAsia="Arial" w:hAnsi="Arial"/>
                <w:sz w:val="18"/>
                <w:szCs w:val="18"/>
                <w:color w:val="auto"/>
                <w:w w:val="79"/>
              </w:rPr>
              <w:t>$</w:t>
            </w:r>
          </w:p>
        </w:tc>
        <w:tc>
          <w:tcPr>
            <w:tcW w:w="62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0.20</w:t>
            </w:r>
          </w:p>
        </w:tc>
        <w:tc>
          <w:tcPr>
            <w:tcW w:w="480" w:type="dxa"/>
            <w:vAlign w:val="bottom"/>
          </w:tcPr>
          <w:p>
            <w:pPr>
              <w:spacing w:after="0"/>
              <w:rPr>
                <w:sz w:val="18"/>
                <w:szCs w:val="18"/>
                <w:color w:val="auto"/>
              </w:rPr>
            </w:pPr>
          </w:p>
        </w:tc>
        <w:tc>
          <w:tcPr>
            <w:tcW w:w="100" w:type="dxa"/>
            <w:vAlign w:val="bottom"/>
            <w:tcBorders>
              <w:bottom w:val="single" w:sz="8" w:color="auto"/>
            </w:tcBorders>
          </w:tcPr>
          <w:p>
            <w:pPr>
              <w:jc w:val="right"/>
              <w:spacing w:after="0"/>
              <w:rPr>
                <w:sz w:val="20"/>
                <w:szCs w:val="20"/>
                <w:color w:val="auto"/>
              </w:rPr>
            </w:pPr>
            <w:r>
              <w:rPr>
                <w:rFonts w:ascii="Arial" w:cs="Arial" w:eastAsia="Arial" w:hAnsi="Arial"/>
                <w:sz w:val="15"/>
                <w:szCs w:val="15"/>
                <w:color w:val="auto"/>
                <w:w w:val="71"/>
              </w:rPr>
              <w:t>$</w:t>
            </w:r>
          </w:p>
        </w:tc>
        <w:tc>
          <w:tcPr>
            <w:tcW w:w="72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(1.59)</w:t>
            </w:r>
          </w:p>
        </w:tc>
        <w:tc>
          <w:tcPr>
            <w:tcW w:w="2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5000" w:type="dxa"/>
            <w:vAlign w:val="bottom"/>
          </w:tcPr>
          <w:p>
            <w:pPr>
              <w:spacing w:after="0" w:line="20" w:lineRule="exact"/>
              <w:rPr>
                <w:sz w:val="1"/>
                <w:szCs w:val="1"/>
                <w:color w:val="auto"/>
              </w:rPr>
            </w:pPr>
          </w:p>
        </w:tc>
        <w:tc>
          <w:tcPr>
            <w:tcW w:w="600" w:type="dxa"/>
            <w:vAlign w:val="bottom"/>
          </w:tcPr>
          <w:p>
            <w:pPr>
              <w:spacing w:after="0" w:line="20" w:lineRule="exact"/>
              <w:rPr>
                <w:sz w:val="1"/>
                <w:szCs w:val="1"/>
                <w:color w:val="auto"/>
              </w:rPr>
            </w:pPr>
          </w:p>
        </w:tc>
        <w:tc>
          <w:tcPr>
            <w:tcW w:w="120" w:type="dxa"/>
            <w:vAlign w:val="bottom"/>
            <w:tcBorders>
              <w:bottom w:val="single" w:sz="8" w:color="auto"/>
            </w:tcBorders>
          </w:tcPr>
          <w:p>
            <w:pPr>
              <w:spacing w:after="0" w:line="20" w:lineRule="exact"/>
              <w:rPr>
                <w:sz w:val="1"/>
                <w:szCs w:val="1"/>
                <w:color w:val="auto"/>
              </w:rPr>
            </w:pPr>
          </w:p>
        </w:tc>
        <w:tc>
          <w:tcPr>
            <w:tcW w:w="620" w:type="dxa"/>
            <w:vAlign w:val="bottom"/>
            <w:tcBorders>
              <w:bottom w:val="single" w:sz="8" w:color="auto"/>
            </w:tcBorders>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600" w:type="dxa"/>
            <w:vAlign w:val="bottom"/>
            <w:tcBorders>
              <w:bottom w:val="single" w:sz="8" w:color="auto"/>
            </w:tcBorders>
          </w:tcPr>
          <w:p>
            <w:pPr>
              <w:spacing w:after="0" w:line="20" w:lineRule="exact"/>
              <w:rPr>
                <w:sz w:val="1"/>
                <w:szCs w:val="1"/>
                <w:color w:val="auto"/>
              </w:rPr>
            </w:pPr>
          </w:p>
        </w:tc>
        <w:tc>
          <w:tcPr>
            <w:tcW w:w="38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120" w:type="dxa"/>
            <w:vAlign w:val="bottom"/>
            <w:tcBorders>
              <w:bottom w:val="single" w:sz="8" w:color="auto"/>
            </w:tcBorders>
          </w:tcPr>
          <w:p>
            <w:pPr>
              <w:spacing w:after="0" w:line="20" w:lineRule="exact"/>
              <w:rPr>
                <w:sz w:val="1"/>
                <w:szCs w:val="1"/>
                <w:color w:val="auto"/>
              </w:rPr>
            </w:pPr>
          </w:p>
        </w:tc>
        <w:tc>
          <w:tcPr>
            <w:tcW w:w="620" w:type="dxa"/>
            <w:vAlign w:val="bottom"/>
            <w:tcBorders>
              <w:bottom w:val="single" w:sz="8" w:color="auto"/>
            </w:tcBorders>
          </w:tcPr>
          <w:p>
            <w:pPr>
              <w:spacing w:after="0" w:line="20" w:lineRule="exact"/>
              <w:rPr>
                <w:sz w:val="1"/>
                <w:szCs w:val="1"/>
                <w:color w:val="auto"/>
              </w:rPr>
            </w:pPr>
          </w:p>
        </w:tc>
        <w:tc>
          <w:tcPr>
            <w:tcW w:w="480" w:type="dxa"/>
            <w:vAlign w:val="bottom"/>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620" w:type="dxa"/>
            <w:vAlign w:val="bottom"/>
            <w:tcBorders>
              <w:bottom w:val="single" w:sz="8" w:color="auto"/>
            </w:tcBorders>
          </w:tcPr>
          <w:p>
            <w:pPr>
              <w:spacing w:after="0" w:line="20" w:lineRule="exact"/>
              <w:rPr>
                <w:sz w:val="1"/>
                <w:szCs w:val="1"/>
                <w:color w:val="auto"/>
              </w:rPr>
            </w:pPr>
          </w:p>
        </w:tc>
        <w:tc>
          <w:tcPr>
            <w:tcW w:w="480" w:type="dxa"/>
            <w:vAlign w:val="bottom"/>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720" w:type="dxa"/>
            <w:vAlign w:val="bottom"/>
            <w:tcBorders>
              <w:bottom w:val="single" w:sz="8" w:color="auto"/>
            </w:tcBorders>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10"/>
        </w:trPr>
        <w:tc>
          <w:tcPr>
            <w:tcW w:w="20" w:type="dxa"/>
            <w:vAlign w:val="bottom"/>
          </w:tcPr>
          <w:p>
            <w:pPr>
              <w:spacing w:after="0"/>
              <w:rPr>
                <w:sz w:val="18"/>
                <w:szCs w:val="18"/>
                <w:color w:val="auto"/>
              </w:rPr>
            </w:pPr>
          </w:p>
        </w:tc>
        <w:tc>
          <w:tcPr>
            <w:tcW w:w="5000" w:type="dxa"/>
            <w:vAlign w:val="bottom"/>
            <w:shd w:val="clear" w:color="auto" w:fill="CCEEFF"/>
          </w:tcPr>
          <w:p>
            <w:pPr>
              <w:spacing w:after="0"/>
              <w:rPr>
                <w:sz w:val="20"/>
                <w:szCs w:val="20"/>
                <w:color w:val="auto"/>
              </w:rPr>
            </w:pPr>
            <w:r>
              <w:rPr>
                <w:rFonts w:ascii="Arial" w:cs="Arial" w:eastAsia="Arial" w:hAnsi="Arial"/>
                <w:sz w:val="18"/>
                <w:szCs w:val="18"/>
                <w:color w:val="auto"/>
              </w:rPr>
              <w:t>Non-GAAP diluted net income per share</w:t>
            </w:r>
          </w:p>
        </w:tc>
        <w:tc>
          <w:tcPr>
            <w:tcW w:w="720" w:type="dxa"/>
            <w:vAlign w:val="bottom"/>
            <w:gridSpan w:val="2"/>
            <w:shd w:val="clear" w:color="auto" w:fill="CCEEFF"/>
          </w:tcPr>
          <w:p>
            <w:pPr>
              <w:ind w:left="600"/>
              <w:spacing w:after="0"/>
              <w:rPr>
                <w:sz w:val="20"/>
                <w:szCs w:val="20"/>
                <w:color w:val="auto"/>
              </w:rPr>
            </w:pPr>
            <w:r>
              <w:rPr>
                <w:rFonts w:ascii="Arial" w:cs="Arial" w:eastAsia="Arial" w:hAnsi="Arial"/>
                <w:sz w:val="18"/>
                <w:szCs w:val="18"/>
                <w:color w:val="auto"/>
                <w:w w:val="99"/>
              </w:rPr>
              <w:t>$</w:t>
            </w:r>
          </w:p>
        </w:tc>
        <w:tc>
          <w:tcPr>
            <w:tcW w:w="780" w:type="dxa"/>
            <w:vAlign w:val="bottom"/>
            <w:gridSpan w:val="2"/>
            <w:shd w:val="clear" w:color="auto" w:fill="CCEEFF"/>
          </w:tcPr>
          <w:p>
            <w:pPr>
              <w:jc w:val="right"/>
              <w:ind w:right="160"/>
              <w:spacing w:after="0"/>
              <w:rPr>
                <w:sz w:val="20"/>
                <w:szCs w:val="20"/>
                <w:color w:val="auto"/>
              </w:rPr>
            </w:pPr>
            <w:r>
              <w:rPr>
                <w:rFonts w:ascii="Arial" w:cs="Arial" w:eastAsia="Arial" w:hAnsi="Arial"/>
                <w:sz w:val="18"/>
                <w:szCs w:val="18"/>
                <w:color w:val="auto"/>
              </w:rPr>
              <w:t>0.20</w:t>
            </w:r>
          </w:p>
        </w:tc>
        <w:tc>
          <w:tcPr>
            <w:tcW w:w="40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980" w:type="dxa"/>
            <w:vAlign w:val="bottom"/>
            <w:gridSpan w:val="2"/>
            <w:shd w:val="clear" w:color="auto" w:fill="CCEEFF"/>
          </w:tcPr>
          <w:p>
            <w:pPr>
              <w:jc w:val="right"/>
              <w:ind w:right="380"/>
              <w:spacing w:after="0"/>
              <w:rPr>
                <w:sz w:val="20"/>
                <w:szCs w:val="20"/>
                <w:color w:val="auto"/>
              </w:rPr>
            </w:pPr>
            <w:r>
              <w:rPr>
                <w:rFonts w:ascii="Arial" w:cs="Arial" w:eastAsia="Arial" w:hAnsi="Arial"/>
                <w:sz w:val="18"/>
                <w:szCs w:val="18"/>
                <w:color w:val="auto"/>
              </w:rPr>
              <w:t>0.18</w:t>
            </w:r>
          </w:p>
        </w:tc>
        <w:tc>
          <w:tcPr>
            <w:tcW w:w="200" w:type="dxa"/>
            <w:vAlign w:val="bottom"/>
            <w:gridSpan w:val="2"/>
            <w:shd w:val="clear" w:color="auto" w:fill="CCEEFF"/>
          </w:tcPr>
          <w:p>
            <w:pPr>
              <w:ind w:left="80"/>
              <w:spacing w:after="0"/>
              <w:rPr>
                <w:sz w:val="20"/>
                <w:szCs w:val="20"/>
                <w:color w:val="auto"/>
              </w:rPr>
            </w:pPr>
            <w:r>
              <w:rPr>
                <w:rFonts w:ascii="Arial" w:cs="Arial" w:eastAsia="Arial" w:hAnsi="Arial"/>
                <w:sz w:val="18"/>
                <w:szCs w:val="18"/>
                <w:color w:val="auto"/>
                <w:w w:val="99"/>
              </w:rPr>
              <w:t>$</w:t>
            </w:r>
          </w:p>
        </w:tc>
        <w:tc>
          <w:tcPr>
            <w:tcW w:w="1100" w:type="dxa"/>
            <w:vAlign w:val="bottom"/>
            <w:gridSpan w:val="2"/>
            <w:shd w:val="clear" w:color="auto" w:fill="CCEEFF"/>
          </w:tcPr>
          <w:p>
            <w:pPr>
              <w:jc w:val="right"/>
              <w:ind w:right="400"/>
              <w:spacing w:after="0"/>
              <w:rPr>
                <w:sz w:val="20"/>
                <w:szCs w:val="20"/>
                <w:color w:val="auto"/>
              </w:rPr>
            </w:pPr>
            <w:r>
              <w:rPr>
                <w:rFonts w:ascii="Arial" w:cs="Arial" w:eastAsia="Arial" w:hAnsi="Arial"/>
                <w:sz w:val="18"/>
                <w:szCs w:val="18"/>
                <w:color w:val="auto"/>
              </w:rPr>
              <w:t>0.06</w:t>
            </w:r>
          </w:p>
        </w:tc>
        <w:tc>
          <w:tcPr>
            <w:tcW w:w="100" w:type="dxa"/>
            <w:vAlign w:val="bottom"/>
            <w:shd w:val="clear" w:color="auto" w:fill="CCEEFF"/>
          </w:tcPr>
          <w:p>
            <w:pPr>
              <w:spacing w:after="0"/>
              <w:rPr>
                <w:sz w:val="20"/>
                <w:szCs w:val="20"/>
                <w:color w:val="auto"/>
              </w:rPr>
            </w:pPr>
            <w:r>
              <w:rPr>
                <w:rFonts w:ascii="Arial" w:cs="Arial" w:eastAsia="Arial" w:hAnsi="Arial"/>
                <w:sz w:val="18"/>
                <w:szCs w:val="18"/>
                <w:color w:val="auto"/>
                <w:w w:val="79"/>
              </w:rPr>
              <w:t>$</w:t>
            </w:r>
          </w:p>
        </w:tc>
        <w:tc>
          <w:tcPr>
            <w:tcW w:w="1100" w:type="dxa"/>
            <w:vAlign w:val="bottom"/>
            <w:gridSpan w:val="2"/>
            <w:shd w:val="clear" w:color="auto" w:fill="CCEEFF"/>
          </w:tcPr>
          <w:p>
            <w:pPr>
              <w:jc w:val="right"/>
              <w:ind w:right="480"/>
              <w:spacing w:after="0"/>
              <w:rPr>
                <w:sz w:val="20"/>
                <w:szCs w:val="20"/>
                <w:color w:val="auto"/>
              </w:rPr>
            </w:pPr>
            <w:r>
              <w:rPr>
                <w:rFonts w:ascii="Arial" w:cs="Arial" w:eastAsia="Arial" w:hAnsi="Arial"/>
                <w:sz w:val="18"/>
                <w:szCs w:val="18"/>
                <w:color w:val="auto"/>
              </w:rPr>
              <w:t>0.39</w:t>
            </w:r>
          </w:p>
        </w:tc>
        <w:tc>
          <w:tcPr>
            <w:tcW w:w="100" w:type="dxa"/>
            <w:vAlign w:val="bottom"/>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92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0.26</w:t>
            </w: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5000" w:type="dxa"/>
            <w:vAlign w:val="bottom"/>
          </w:tcPr>
          <w:p>
            <w:pPr>
              <w:spacing w:after="0" w:line="20" w:lineRule="exact"/>
              <w:rPr>
                <w:sz w:val="1"/>
                <w:szCs w:val="1"/>
                <w:color w:val="auto"/>
              </w:rPr>
            </w:pPr>
          </w:p>
        </w:tc>
        <w:tc>
          <w:tcPr>
            <w:tcW w:w="600" w:type="dxa"/>
            <w:vAlign w:val="bottom"/>
          </w:tcPr>
          <w:p>
            <w:pPr>
              <w:spacing w:after="0" w:line="20" w:lineRule="exact"/>
              <w:rPr>
                <w:sz w:val="1"/>
                <w:szCs w:val="1"/>
                <w:color w:val="auto"/>
              </w:rPr>
            </w:pPr>
          </w:p>
        </w:tc>
        <w:tc>
          <w:tcPr>
            <w:tcW w:w="120" w:type="dxa"/>
            <w:vAlign w:val="bottom"/>
            <w:tcBorders>
              <w:top w:val="single" w:sz="8" w:color="auto"/>
              <w:bottom w:val="single" w:sz="8" w:color="auto"/>
            </w:tcBorders>
          </w:tcPr>
          <w:p>
            <w:pPr>
              <w:spacing w:after="0" w:line="20" w:lineRule="exact"/>
              <w:rPr>
                <w:sz w:val="1"/>
                <w:szCs w:val="1"/>
                <w:color w:val="auto"/>
              </w:rPr>
            </w:pPr>
          </w:p>
        </w:tc>
        <w:tc>
          <w:tcPr>
            <w:tcW w:w="620" w:type="dxa"/>
            <w:vAlign w:val="bottom"/>
            <w:tcBorders>
              <w:top w:val="single" w:sz="8" w:color="auto"/>
              <w:bottom w:val="single" w:sz="8" w:color="auto"/>
            </w:tcBorders>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600" w:type="dxa"/>
            <w:vAlign w:val="bottom"/>
            <w:tcBorders>
              <w:top w:val="single" w:sz="8" w:color="auto"/>
              <w:bottom w:val="single" w:sz="8" w:color="auto"/>
            </w:tcBorders>
          </w:tcPr>
          <w:p>
            <w:pPr>
              <w:spacing w:after="0" w:line="20" w:lineRule="exact"/>
              <w:rPr>
                <w:sz w:val="1"/>
                <w:szCs w:val="1"/>
                <w:color w:val="auto"/>
              </w:rPr>
            </w:pPr>
          </w:p>
        </w:tc>
        <w:tc>
          <w:tcPr>
            <w:tcW w:w="38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120" w:type="dxa"/>
            <w:vAlign w:val="bottom"/>
            <w:tcBorders>
              <w:top w:val="single" w:sz="8" w:color="auto"/>
              <w:bottom w:val="single" w:sz="8" w:color="auto"/>
            </w:tcBorders>
          </w:tcPr>
          <w:p>
            <w:pPr>
              <w:spacing w:after="0" w:line="20" w:lineRule="exact"/>
              <w:rPr>
                <w:sz w:val="1"/>
                <w:szCs w:val="1"/>
                <w:color w:val="auto"/>
              </w:rPr>
            </w:pPr>
          </w:p>
        </w:tc>
        <w:tc>
          <w:tcPr>
            <w:tcW w:w="620" w:type="dxa"/>
            <w:vAlign w:val="bottom"/>
            <w:tcBorders>
              <w:top w:val="single" w:sz="8" w:color="auto"/>
              <w:bottom w:val="single" w:sz="8" w:color="auto"/>
            </w:tcBorders>
          </w:tcPr>
          <w:p>
            <w:pPr>
              <w:spacing w:after="0" w:line="20" w:lineRule="exact"/>
              <w:rPr>
                <w:sz w:val="1"/>
                <w:szCs w:val="1"/>
                <w:color w:val="auto"/>
              </w:rPr>
            </w:pPr>
          </w:p>
        </w:tc>
        <w:tc>
          <w:tcPr>
            <w:tcW w:w="48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620" w:type="dxa"/>
            <w:vAlign w:val="bottom"/>
            <w:tcBorders>
              <w:top w:val="single" w:sz="8" w:color="auto"/>
              <w:bottom w:val="single" w:sz="8" w:color="auto"/>
            </w:tcBorders>
          </w:tcPr>
          <w:p>
            <w:pPr>
              <w:spacing w:after="0" w:line="20" w:lineRule="exact"/>
              <w:rPr>
                <w:sz w:val="1"/>
                <w:szCs w:val="1"/>
                <w:color w:val="auto"/>
              </w:rPr>
            </w:pPr>
          </w:p>
        </w:tc>
        <w:tc>
          <w:tcPr>
            <w:tcW w:w="48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720" w:type="dxa"/>
            <w:vAlign w:val="bottom"/>
            <w:tcBorders>
              <w:top w:val="single" w:sz="8" w:color="auto"/>
              <w:bottom w:val="single" w:sz="8" w:color="auto"/>
            </w:tcBorders>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ectPr>
          <w:pgSz w:w="11900" w:h="16838" w:orient="portrait"/>
          <w:cols w:equalWidth="0" w:num="1">
            <w:col w:w="11420"/>
          </w:cols>
          <w:pgMar w:left="240" w:top="270" w:right="239" w:bottom="1440" w:gutter="0" w:footer="0" w:header="0"/>
        </w:sectPr>
      </w:pPr>
    </w:p>
    <w:bookmarkStart w:id="12" w:name="page13"/>
    <w:bookmarkEnd w:id="12"/>
    <w:p>
      <w:pPr>
        <w:jc w:val="both"/>
        <w:ind w:left="452" w:hanging="452"/>
        <w:spacing w:after="0" w:line="256" w:lineRule="auto"/>
        <w:tabs>
          <w:tab w:leader="none" w:pos="452" w:val="left"/>
        </w:tabs>
        <w:numPr>
          <w:ilvl w:val="0"/>
          <w:numId w:val="7"/>
        </w:numPr>
        <w:rPr>
          <w:rFonts w:ascii="Arial" w:cs="Arial" w:eastAsia="Arial" w:hAnsi="Arial"/>
          <w:sz w:val="18"/>
          <w:szCs w:val="18"/>
          <w:i w:val="1"/>
          <w:iCs w:val="1"/>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29">
                      <a:extLst>
                        <a:ext uri="{28A0092B-C50C-407E-A947-70E740481C1C}"/>
                      </a:extLst>
                    </a:blip>
                    <a:srcRect/>
                    <a:stretch>
                      <a:fillRect/>
                    </a:stretch>
                  </pic:blipFill>
                  <pic:spPr bwMode="auto">
                    <a:xfrm>
                      <a:off x="0" y="0"/>
                      <a:ext cx="7289165" cy="38735"/>
                    </a:xfrm>
                    <a:prstGeom prst="rect">
                      <a:avLst/>
                    </a:prstGeom>
                    <a:noFill/>
                  </pic:spPr>
                </pic:pic>
              </a:graphicData>
            </a:graphic>
          </wp:anchor>
        </w:drawing>
        <w:t>Restructuring and other related charges include costs that qualify under U.S. GAAP as restructuring costs and other incremental charges that are a direct result of restructuring. Examples of other incremental charges include impairment of equipment specifically identified as part of the restructuring action and the write down of inventories.</w:t>
      </w:r>
    </w:p>
    <w:p>
      <w:pPr>
        <w:ind w:left="452" w:hanging="452"/>
        <w:spacing w:after="0"/>
        <w:tabs>
          <w:tab w:leader="none" w:pos="452" w:val="left"/>
        </w:tabs>
        <w:numPr>
          <w:ilvl w:val="0"/>
          <w:numId w:val="7"/>
        </w:numPr>
        <w:rPr>
          <w:rFonts w:ascii="Arial" w:cs="Arial" w:eastAsia="Arial" w:hAnsi="Arial"/>
          <w:sz w:val="17"/>
          <w:szCs w:val="17"/>
          <w:i w:val="1"/>
          <w:iCs w:val="1"/>
          <w:color w:val="auto"/>
        </w:rPr>
      </w:pPr>
      <w:r>
        <w:rPr>
          <w:rFonts w:ascii="Arial" w:cs="Arial" w:eastAsia="Arial" w:hAnsi="Arial"/>
          <w:sz w:val="17"/>
          <w:szCs w:val="17"/>
          <w:color w:val="auto"/>
        </w:rPr>
        <w:t>Other COGS include charges recognized for pending and settled litigation proceedings in three and nine months ended October 31, 2015.</w:t>
      </w:r>
    </w:p>
    <w:p>
      <w:pPr>
        <w:spacing w:after="0" w:line="20" w:lineRule="exact"/>
        <w:rPr>
          <w:rFonts w:ascii="Arial" w:cs="Arial" w:eastAsia="Arial" w:hAnsi="Arial"/>
          <w:sz w:val="17"/>
          <w:szCs w:val="17"/>
          <w:i w:val="1"/>
          <w:iCs w:val="1"/>
          <w:color w:val="auto"/>
        </w:rPr>
      </w:pPr>
    </w:p>
    <w:p>
      <w:pPr>
        <w:ind w:left="452" w:right="60" w:hanging="452"/>
        <w:spacing w:after="0" w:line="281" w:lineRule="auto"/>
        <w:tabs>
          <w:tab w:leader="none" w:pos="452" w:val="left"/>
        </w:tabs>
        <w:numPr>
          <w:ilvl w:val="0"/>
          <w:numId w:val="7"/>
        </w:numPr>
        <w:rPr>
          <w:rFonts w:ascii="Arial" w:cs="Arial" w:eastAsia="Arial" w:hAnsi="Arial"/>
          <w:sz w:val="16"/>
          <w:szCs w:val="16"/>
          <w:i w:val="1"/>
          <w:iCs w:val="1"/>
          <w:color w:val="auto"/>
        </w:rPr>
      </w:pPr>
      <w:r>
        <w:rPr>
          <w:rFonts w:ascii="Arial" w:cs="Arial" w:eastAsia="Arial" w:hAnsi="Arial"/>
          <w:sz w:val="16"/>
          <w:szCs w:val="16"/>
          <w:color w:val="auto"/>
        </w:rPr>
        <w:t>Other operating expenses include charges recognized for pending and settled litigation proceedings of $747.6 million ($666.7 million of which was reported in operating expenses) in the nine months ended October 31, 2015. Other operating expenses for the nine months ended October 29, 2016, and the three and nine months ended October 31, 2015 also include costs of $0.9 million, $2.9 million and $8.5 million, respectively, for the surety bonds related to the litigation with CMU that was settled in February 2016. Other operating expenses for the nine months ended October 29, 2016, and the three and nine months ended October 31, 2015 also include expenses of $0.3 million, $1.0 million and $1.1 million, respectively, related to retention bonuses offered to employees expected to remain through the ramp down of certain operations related to the mobile business, as well as the closure of certain design center operations in Europe. In addition, other operating expenses for the nine months ended October 31, 2015 include a charge for the payment of $15.4 million due to our former Chief Executive Officer (see “Note 14 —Related Party Transactions” in the Notes to the Consolidated Financial Statements set forth in the Company’s Annual Report on Form 10-K for fiscal 2016).</w:t>
      </w:r>
    </w:p>
    <w:p>
      <w:pPr>
        <w:spacing w:after="0" w:line="6" w:lineRule="exact"/>
        <w:rPr>
          <w:rFonts w:ascii="Arial" w:cs="Arial" w:eastAsia="Arial" w:hAnsi="Arial"/>
          <w:sz w:val="16"/>
          <w:szCs w:val="16"/>
          <w:i w:val="1"/>
          <w:iCs w:val="1"/>
          <w:color w:val="auto"/>
        </w:rPr>
      </w:pPr>
    </w:p>
    <w:p>
      <w:pPr>
        <w:ind w:left="452" w:right="260" w:hanging="452"/>
        <w:spacing w:after="0" w:line="255" w:lineRule="auto"/>
        <w:tabs>
          <w:tab w:leader="none" w:pos="452" w:val="left"/>
        </w:tabs>
        <w:numPr>
          <w:ilvl w:val="0"/>
          <w:numId w:val="7"/>
        </w:numPr>
        <w:rPr>
          <w:rFonts w:ascii="Arial" w:cs="Arial" w:eastAsia="Arial" w:hAnsi="Arial"/>
          <w:sz w:val="18"/>
          <w:szCs w:val="18"/>
          <w:i w:val="1"/>
          <w:iCs w:val="1"/>
          <w:color w:val="auto"/>
        </w:rPr>
      </w:pPr>
      <w:r>
        <w:rPr>
          <w:rFonts w:ascii="Arial" w:cs="Arial" w:eastAsia="Arial" w:hAnsi="Arial"/>
          <w:sz w:val="18"/>
          <w:szCs w:val="18"/>
          <w:color w:val="auto"/>
        </w:rPr>
        <w:t>Tax effect of special items includes the related tax effect of the payment to our former Chief Executive Officer in the nine months ended October 29, 2016 and October 31, 2015. Tax effect of special items also includes the tax effect of certain restructuring charges in three and nine months ended October 31, 2015.</w:t>
      </w:r>
    </w:p>
    <w:p>
      <w:pPr>
        <w:sectPr>
          <w:pgSz w:w="11900" w:h="16838" w:orient="portrait"/>
          <w:cols w:equalWidth="0" w:num="1">
            <w:col w:w="11412"/>
          </w:cols>
          <w:pgMar w:left="248" w:top="274" w:right="239" w:bottom="1440" w:gutter="0" w:footer="0" w:header="0"/>
        </w:sectPr>
      </w:pPr>
    </w:p>
    <w:bookmarkStart w:id="13" w:name="page14"/>
    <w:bookmarkEnd w:id="13"/>
    <w:p>
      <w:pPr>
        <w:jc w:val="right"/>
        <w:spacing w:after="0"/>
        <w:rPr>
          <w:sz w:val="20"/>
          <w:szCs w:val="20"/>
          <w:color w:val="auto"/>
        </w:rPr>
      </w:pPr>
      <w:r>
        <w:rPr>
          <w:rFonts w:ascii="Arial" w:cs="Arial" w:eastAsia="Arial" w:hAnsi="Arial"/>
          <w:sz w:val="18"/>
          <w:szCs w:val="18"/>
          <w:b w:val="1"/>
          <w:bCs w:val="1"/>
          <w:color w:val="auto"/>
        </w:rPr>
        <w:t>Exhibit 99.2</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5459095</wp:posOffset>
            </wp:positionH>
            <wp:positionV relativeFrom="paragraph">
              <wp:posOffset>172085</wp:posOffset>
            </wp:positionV>
            <wp:extent cx="1792605" cy="137160"/>
            <wp:wrapNone/>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30">
                      <a:extLst>
                        <a:ext uri="{28A0092B-C50C-407E-A947-70E740481C1C}"/>
                      </a:extLst>
                    </a:blip>
                    <a:srcRect/>
                    <a:stretch>
                      <a:fillRect/>
                    </a:stretch>
                  </pic:blipFill>
                  <pic:spPr bwMode="auto">
                    <a:xfrm>
                      <a:off x="0" y="0"/>
                      <a:ext cx="1792605" cy="13716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64"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For further information, contact:</w:t>
      </w:r>
    </w:p>
    <w:p>
      <w:pPr>
        <w:spacing w:after="0" w:line="27" w:lineRule="exact"/>
        <w:rPr>
          <w:sz w:val="20"/>
          <w:szCs w:val="20"/>
          <w:color w:val="auto"/>
        </w:rPr>
      </w:pPr>
    </w:p>
    <w:p>
      <w:pPr>
        <w:spacing w:after="0"/>
        <w:rPr>
          <w:sz w:val="20"/>
          <w:szCs w:val="20"/>
          <w:color w:val="auto"/>
        </w:rPr>
      </w:pPr>
      <w:r>
        <w:rPr>
          <w:rFonts w:ascii="Arial" w:cs="Arial" w:eastAsia="Arial" w:hAnsi="Arial"/>
          <w:sz w:val="18"/>
          <w:szCs w:val="18"/>
          <w:color w:val="auto"/>
        </w:rPr>
        <w:t>John Spencer Ahn</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Investor Relations</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408-222-7544</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u w:val="single" w:color="auto"/>
          <w:color w:val="auto"/>
        </w:rPr>
        <w:t>johnahn@marvell.com</w:t>
      </w:r>
    </w:p>
    <w:p>
      <w:pPr>
        <w:spacing w:after="0" w:line="200" w:lineRule="exact"/>
        <w:rPr>
          <w:sz w:val="20"/>
          <w:szCs w:val="20"/>
          <w:color w:val="auto"/>
        </w:rPr>
      </w:pPr>
    </w:p>
    <w:p>
      <w:pPr>
        <w:spacing w:after="0" w:line="223"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Marvell Technology Group Ltd. Announces $1 Billion Share Repurchase Plan;</w:t>
      </w:r>
    </w:p>
    <w:p>
      <w:pPr>
        <w:spacing w:after="0" w:line="27"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Declares Quarterly Dividend Payment</w:t>
      </w:r>
    </w:p>
    <w:p>
      <w:pPr>
        <w:spacing w:after="0" w:line="207" w:lineRule="exact"/>
        <w:rPr>
          <w:sz w:val="20"/>
          <w:szCs w:val="20"/>
          <w:color w:val="auto"/>
        </w:rPr>
      </w:pPr>
    </w:p>
    <w:p>
      <w:pPr>
        <w:ind w:right="220"/>
        <w:spacing w:after="0" w:line="281" w:lineRule="auto"/>
        <w:rPr>
          <w:sz w:val="20"/>
          <w:szCs w:val="20"/>
          <w:color w:val="auto"/>
        </w:rPr>
      </w:pPr>
      <w:r>
        <w:rPr>
          <w:rFonts w:ascii="Arial" w:cs="Arial" w:eastAsia="Arial" w:hAnsi="Arial"/>
          <w:sz w:val="17"/>
          <w:szCs w:val="17"/>
          <w:b w:val="1"/>
          <w:bCs w:val="1"/>
          <w:color w:val="auto"/>
        </w:rPr>
        <w:t xml:space="preserve">Santa Clara, Calif. (November 17, 2016) </w:t>
      </w:r>
      <w:r>
        <w:rPr>
          <w:rFonts w:ascii="Arial" w:cs="Arial" w:eastAsia="Arial" w:hAnsi="Arial"/>
          <w:sz w:val="17"/>
          <w:szCs w:val="17"/>
          <w:color w:val="auto"/>
        </w:rPr>
        <w:t>— Marvell Technology Group Ltd. (NASDAQ: MRVL), a leader in storage, networking, and connectivity</w:t>
      </w:r>
      <w:r>
        <w:rPr>
          <w:rFonts w:ascii="Arial" w:cs="Arial" w:eastAsia="Arial" w:hAnsi="Arial"/>
          <w:sz w:val="17"/>
          <w:szCs w:val="17"/>
          <w:b w:val="1"/>
          <w:bCs w:val="1"/>
          <w:color w:val="auto"/>
        </w:rPr>
        <w:t xml:space="preserve"> </w:t>
      </w:r>
      <w:r>
        <w:rPr>
          <w:rFonts w:ascii="Arial" w:cs="Arial" w:eastAsia="Arial" w:hAnsi="Arial"/>
          <w:sz w:val="17"/>
          <w:szCs w:val="17"/>
          <w:color w:val="auto"/>
        </w:rPr>
        <w:t>semiconductor solutions, today announced that the Board of Directors has authorized a $1 billion share buyback program. This newly authorized stock repurchase program replaces in its entirety the prior $3.25 billion stock repurchase program, which had approximately $115 million of repurchase authority remaining. The Company currently intends to repurchase approximately $500 million worth of shares over the next 12 months.</w:t>
      </w:r>
    </w:p>
    <w:p>
      <w:pPr>
        <w:spacing w:after="0" w:line="169" w:lineRule="exact"/>
        <w:rPr>
          <w:sz w:val="20"/>
          <w:szCs w:val="20"/>
          <w:color w:val="auto"/>
        </w:rPr>
      </w:pPr>
    </w:p>
    <w:p>
      <w:pPr>
        <w:ind w:right="180"/>
        <w:spacing w:after="0" w:line="286" w:lineRule="auto"/>
        <w:rPr>
          <w:sz w:val="20"/>
          <w:szCs w:val="20"/>
          <w:color w:val="auto"/>
        </w:rPr>
      </w:pPr>
      <w:r>
        <w:rPr>
          <w:rFonts w:ascii="Arial" w:cs="Arial" w:eastAsia="Arial" w:hAnsi="Arial"/>
          <w:sz w:val="17"/>
          <w:szCs w:val="17"/>
          <w:color w:val="auto"/>
        </w:rPr>
        <w:t>Under the program authorized by its Board of Directors, Marvell may repurchase shares in open-market purchases or through privately negotiated transactions. The extent to which Marvell repurchases its shares and the timing of such repurchases will depend upon market conditions and other corporate considerations, as determined by Marvell’s management team. The repurchase program may be suspended or discontinued at any time.</w:t>
      </w:r>
    </w:p>
    <w:p>
      <w:pPr>
        <w:spacing w:after="0" w:line="166" w:lineRule="exact"/>
        <w:rPr>
          <w:sz w:val="20"/>
          <w:szCs w:val="20"/>
          <w:color w:val="auto"/>
        </w:rPr>
      </w:pPr>
    </w:p>
    <w:p>
      <w:pPr>
        <w:ind w:right="480"/>
        <w:spacing w:after="0" w:line="277" w:lineRule="auto"/>
        <w:rPr>
          <w:sz w:val="20"/>
          <w:szCs w:val="20"/>
          <w:color w:val="auto"/>
        </w:rPr>
      </w:pPr>
      <w:r>
        <w:rPr>
          <w:rFonts w:ascii="Arial" w:cs="Arial" w:eastAsia="Arial" w:hAnsi="Arial"/>
          <w:sz w:val="18"/>
          <w:szCs w:val="18"/>
          <w:color w:val="auto"/>
        </w:rPr>
        <w:t>In addition to the share buyback program, the Board of Directors has approved a dividend payment of $0.06 per share to all shareholders of record as of December 6, 2016. Marvell intends to pay the dividend on December 28, 2016.</w:t>
      </w:r>
    </w:p>
    <w:p>
      <w:pPr>
        <w:spacing w:after="0" w:line="170" w:lineRule="exact"/>
        <w:rPr>
          <w:sz w:val="20"/>
          <w:szCs w:val="20"/>
          <w:color w:val="auto"/>
        </w:rPr>
      </w:pPr>
    </w:p>
    <w:p>
      <w:pPr>
        <w:jc w:val="both"/>
        <w:ind w:right="260"/>
        <w:spacing w:after="0" w:line="264" w:lineRule="auto"/>
        <w:rPr>
          <w:sz w:val="20"/>
          <w:szCs w:val="20"/>
          <w:color w:val="auto"/>
        </w:rPr>
      </w:pPr>
      <w:r>
        <w:rPr>
          <w:rFonts w:ascii="Arial" w:cs="Arial" w:eastAsia="Arial" w:hAnsi="Arial"/>
          <w:sz w:val="18"/>
          <w:szCs w:val="18"/>
          <w:color w:val="auto"/>
        </w:rPr>
        <w:t>“As Marvell continues to drive profitable growth, we will both invest in our core businesses and return cash to shareholders,” said Matt Murphy, President and Chief Executive Officer. “The stock repurchase program we are announcing today demonstrates our confidence in our long-term growth prospects and commitment to delivering shareholder value.”</w:t>
      </w:r>
    </w:p>
    <w:p>
      <w:pPr>
        <w:sectPr>
          <w:pgSz w:w="11900" w:h="16838" w:orient="portrait"/>
          <w:cols w:equalWidth="0" w:num="1">
            <w:col w:w="11420"/>
          </w:cols>
          <w:pgMar w:left="240" w:top="121" w:right="239" w:bottom="1440" w:gutter="0" w:footer="0" w:header="0"/>
        </w:sectPr>
      </w:pPr>
    </w:p>
    <w:bookmarkStart w:id="14" w:name="page15"/>
    <w:bookmarkEnd w:id="14"/>
    <w:p>
      <w:pPr>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31">
                      <a:extLst>
                        <a:ext uri="{28A0092B-C50C-407E-A947-70E740481C1C}"/>
                      </a:extLst>
                    </a:blip>
                    <a:srcRect/>
                    <a:stretch>
                      <a:fillRect/>
                    </a:stretch>
                  </pic:blipFill>
                  <pic:spPr bwMode="auto">
                    <a:xfrm>
                      <a:off x="0" y="0"/>
                      <a:ext cx="7289165" cy="38735"/>
                    </a:xfrm>
                    <a:prstGeom prst="rect">
                      <a:avLst/>
                    </a:prstGeom>
                    <a:noFill/>
                  </pic:spPr>
                </pic:pic>
              </a:graphicData>
            </a:graphic>
          </wp:anchor>
        </w:drawing>
        <w:t>Forward-Looking Statements under the Private Securities Litigation Reform Act of 1995</w:t>
      </w:r>
    </w:p>
    <w:p>
      <w:pPr>
        <w:spacing w:after="0" w:line="121" w:lineRule="exact"/>
        <w:rPr>
          <w:sz w:val="20"/>
          <w:szCs w:val="20"/>
          <w:color w:val="auto"/>
        </w:rPr>
      </w:pPr>
    </w:p>
    <w:p>
      <w:pPr>
        <w:spacing w:after="0" w:line="285" w:lineRule="auto"/>
        <w:rPr>
          <w:sz w:val="20"/>
          <w:szCs w:val="20"/>
          <w:color w:val="auto"/>
        </w:rPr>
      </w:pPr>
      <w:r>
        <w:rPr>
          <w:rFonts w:ascii="Arial" w:cs="Arial" w:eastAsia="Arial" w:hAnsi="Arial"/>
          <w:sz w:val="16"/>
          <w:szCs w:val="16"/>
          <w:color w:val="auto"/>
        </w:rPr>
        <w:t>This press release contains forward-looking statements within the meaning of the federal securities laws that involve risks and uncertainties, including: Marvell’s intention to repurchase approximately $500 million worth of shares over the next 12 months, and extent and timing of such repurchases. Words such as “anticipates,” “expects,” “intends,” “plans,” “projects,” “believes,” “seeks,” “estimates,” “can,” “may,” “will,” “would” and similar expressions identify such forward-looking statements. These statements are not guarantees of results and should not be considered as an indication of future activity or future performance. Actual events or results may differ materially from those described in this press release due to a number of risks and uncertainties, including, but not limited to: market conditions and other business considerations that may affect the timing and extent of the Company’s share repurchase program; Marvell’s ability to implement its restructuring in a timely manner; the amount and timing of anticipated charges associated with the restructuring; Marvell’s ability to increase its operational efficiency and decrease its operating expenses to the anticipated level; its ability to divest certain non-strategic businesses within the anticipated timeframes and with the anticipated cost savings; actions that may be taken by Marvell as a result of the Audit Committee’s investigation; adverse impacts of litigation or regulatory activities; Marvell’s ability to compete in products and prices in an intensely competitive industry; Marvell’s reliance on the hard disk drive and wireless markets, which are highly cyclical and intensely competitive; costs and liabilities relating to current and future litigation; Marvell’s reliance on a few customers for a significant portion of its revenue; Marvell’s ability to develop and introduce new and enhanced products in a timely and cost effective manner and the adoption of those products in the market; seasonality in sales of consumer devices in which Marvell’s products are incorporated; uncertainty in the worldwide economic conditions; risks associated with manufacturing and selling a majority of Marvell’s products and Marvell’s customers’ products outside of the United States; and other risks detailed in Marvell’s SEC filings from time to time. For other factors that could cause Marvell’s results to vary from expectations, please see the risk factors identified in Marvell’s Quarterly Report on Form 10-Q for the fiscal quarter ended July 30, 2016 as filed with the SEC on September 8, 2016, and other factors detailed from time to time in Marvell’s filings with the SEC. Marvell undertakes no obligation to revise or update publicly any forward-looking statements.</w:t>
      </w:r>
    </w:p>
    <w:p>
      <w:pPr>
        <w:spacing w:after="0" w:line="200" w:lineRule="exact"/>
        <w:rPr>
          <w:sz w:val="20"/>
          <w:szCs w:val="20"/>
          <w:color w:val="auto"/>
        </w:rPr>
      </w:pPr>
    </w:p>
    <w:p>
      <w:pPr>
        <w:spacing w:after="0" w:line="295"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About Marvell</w:t>
      </w:r>
    </w:p>
    <w:p>
      <w:pPr>
        <w:spacing w:after="0" w:line="121" w:lineRule="exact"/>
        <w:rPr>
          <w:sz w:val="20"/>
          <w:szCs w:val="20"/>
          <w:color w:val="auto"/>
        </w:rPr>
      </w:pPr>
    </w:p>
    <w:p>
      <w:pPr>
        <w:spacing w:after="0" w:line="259" w:lineRule="auto"/>
        <w:rPr>
          <w:sz w:val="20"/>
          <w:szCs w:val="20"/>
          <w:color w:val="auto"/>
        </w:rPr>
      </w:pPr>
      <w:r>
        <w:rPr>
          <w:rFonts w:ascii="Arial" w:cs="Arial" w:eastAsia="Arial" w:hAnsi="Arial"/>
          <w:sz w:val="18"/>
          <w:szCs w:val="18"/>
          <w:color w:val="auto"/>
        </w:rPr>
        <w:t>Marvell first revolutionized the digital storage industry by moving information at speeds never thought possible. Today, that same breakthrough innovation remains at the heart of the company’s storage, network infrastructure, and wireless connectivity solutions. With leading intellectual property and deep system-level knowledge, Marvell’s semiconductor solutions continue to transform the enterprise, cloud, automotive, industrial, and consumer markets. To learn more, visit: www.marvell.com</w:t>
      </w:r>
    </w:p>
    <w:p>
      <w:pPr>
        <w:spacing w:after="0" w:line="295" w:lineRule="exact"/>
        <w:rPr>
          <w:sz w:val="20"/>
          <w:szCs w:val="20"/>
          <w:color w:val="auto"/>
        </w:rPr>
      </w:pPr>
    </w:p>
    <w:p>
      <w:pPr>
        <w:spacing w:after="0"/>
        <w:rPr>
          <w:sz w:val="20"/>
          <w:szCs w:val="20"/>
          <w:color w:val="auto"/>
        </w:rPr>
      </w:pPr>
      <w:r>
        <w:rPr>
          <w:rFonts w:ascii="Arial" w:cs="Arial" w:eastAsia="Arial" w:hAnsi="Arial"/>
          <w:sz w:val="18"/>
          <w:szCs w:val="18"/>
          <w:i w:val="1"/>
          <w:iCs w:val="1"/>
          <w:color w:val="auto"/>
        </w:rPr>
        <w:t>Marvell</w:t>
      </w:r>
      <w:r>
        <w:rPr>
          <w:rFonts w:ascii="Arial" w:cs="Arial" w:eastAsia="Arial" w:hAnsi="Arial"/>
          <w:sz w:val="15"/>
          <w:szCs w:val="15"/>
          <w:i w:val="1"/>
          <w:iCs w:val="1"/>
          <w:color w:val="auto"/>
        </w:rPr>
        <w:t>®</w:t>
      </w:r>
      <w:r>
        <w:rPr>
          <w:rFonts w:ascii="Arial" w:cs="Arial" w:eastAsia="Arial" w:hAnsi="Arial"/>
          <w:sz w:val="18"/>
          <w:szCs w:val="18"/>
          <w:i w:val="1"/>
          <w:iCs w:val="1"/>
          <w:color w:val="auto"/>
        </w:rPr>
        <w:t xml:space="preserve"> and the Marvell logo are registered trademarks of Marvell and/or its affiliates.</w:t>
      </w:r>
    </w:p>
    <w:p>
      <w:pPr>
        <w:spacing w:after="0" w:line="158" w:lineRule="exact"/>
        <w:rPr>
          <w:sz w:val="20"/>
          <w:szCs w:val="20"/>
          <w:color w:val="auto"/>
        </w:rPr>
      </w:pPr>
    </w:p>
    <w:p>
      <w:pPr>
        <w:ind w:left="5660"/>
        <w:spacing w:after="0"/>
        <w:rPr>
          <w:sz w:val="20"/>
          <w:szCs w:val="20"/>
          <w:color w:val="auto"/>
        </w:rPr>
      </w:pPr>
      <w:r>
        <w:rPr>
          <w:rFonts w:ascii="Arial" w:cs="Arial" w:eastAsia="Arial" w:hAnsi="Arial"/>
          <w:sz w:val="18"/>
          <w:szCs w:val="18"/>
          <w:color w:val="auto"/>
        </w:rPr>
        <w:t>2</w:t>
      </w:r>
    </w:p>
    <w:sectPr>
      <w:pgSz w:w="11900" w:h="16838" w:orient="portrait"/>
      <w:cols w:equalWidth="0" w:num="1">
        <w:col w:w="11400"/>
      </w:cols>
      <w:pgMar w:left="240" w:top="270" w:right="259"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 w:name="MS PGothic">
    <w:panose1 w:val="020B0600070205080204"/>
    <w:charset w:val="80"/>
    <w:family w:val="swiss"/>
    <w:pitch w:val="variable"/>
    <w:sig w:usb0="E00002FF" w:usb1="6AC7FDFB" w:usb2="08000012" w:usb3="00000000" w:csb0="4002009F" w:csb1="DFD70000"/>
  </w:font>
</w:fonts>
</file>

<file path=word/numbering.xml><?xml version="1.0" encoding="utf-8"?>
<w:numbering xmlns:w="http://schemas.openxmlformats.org/wordprocessingml/2006/main">
  <w:abstractNum w:abstractNumId="0">
    <w:nsid w:val="625558EC"/>
    <w:multiLevelType w:val="hybridMultilevel"/>
    <w:lvl w:ilvl="0">
      <w:lvlJc w:val="left"/>
      <w:lvlText w:val="☐"/>
      <w:numFmt w:val="bullet"/>
      <w:start w:val="1"/>
    </w:lvl>
  </w:abstractNum>
  <w:abstractNum w:abstractNumId="1">
    <w:nsid w:val="238E1F29"/>
    <w:multiLevelType w:val="hybridMultilevel"/>
    <w:lvl w:ilvl="0">
      <w:lvlJc w:val="left"/>
      <w:lvlText w:val="(%1)"/>
      <w:numFmt w:val="lowerLetter"/>
      <w:start w:val="4"/>
    </w:lvl>
  </w:abstractNum>
  <w:abstractNum w:abstractNumId="2">
    <w:nsid w:val="46E87CCD"/>
    <w:multiLevelType w:val="hybridMultilevel"/>
    <w:lvl w:ilvl="0">
      <w:lvlJc w:val="left"/>
      <w:lvlText w:val="•"/>
      <w:numFmt w:val="bullet"/>
      <w:start w:val="1"/>
    </w:lvl>
  </w:abstractNum>
  <w:abstractNum w:abstractNumId="3">
    <w:nsid w:val="3D1B58BA"/>
    <w:multiLevelType w:val="hybridMultilevel"/>
    <w:lvl w:ilvl="0">
      <w:lvlJc w:val="left"/>
      <w:lvlText w:val="•"/>
      <w:numFmt w:val="bullet"/>
      <w:start w:val="1"/>
    </w:lvl>
  </w:abstractNum>
  <w:abstractNum w:abstractNumId="4">
    <w:nsid w:val="507ED7AB"/>
    <w:multiLevelType w:val="hybridMultilevel"/>
    <w:lvl w:ilvl="0">
      <w:lvlJc w:val="left"/>
      <w:lvlText w:val="•"/>
      <w:numFmt w:val="bullet"/>
      <w:start w:val="1"/>
    </w:lvl>
  </w:abstractNum>
  <w:abstractNum w:abstractNumId="5">
    <w:nsid w:val="2EB141F2"/>
    <w:multiLevelType w:val="hybridMultilevel"/>
    <w:lvl w:ilvl="0">
      <w:lvlJc w:val="left"/>
      <w:lvlText w:val="(%1)"/>
      <w:numFmt w:val="lowerLetter"/>
      <w:start w:val="1"/>
    </w:lvl>
  </w:abstractNum>
  <w:abstractNum w:abstractNumId="6">
    <w:nsid w:val="41B71EFB"/>
    <w:multiLevelType w:val="hybridMultilevel"/>
    <w:lvl w:ilvl="0">
      <w:lvlJc w:val="left"/>
      <w:lvlText w:val="(%1)"/>
      <w:numFmt w:val="lowerLetter"/>
      <w:start w:val="1"/>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pn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image" Target="media/image5.png"/><Relationship Id="rId13" Type="http://schemas.openxmlformats.org/officeDocument/2006/relationships/image" Target="media/image6.png"/><Relationship Id="rId14" Type="http://schemas.openxmlformats.org/officeDocument/2006/relationships/image" Target="media/image7.png"/><Relationship Id="rId15" Type="http://schemas.openxmlformats.org/officeDocument/2006/relationships/image" Target="media/image8.png"/><Relationship Id="rId16" Type="http://schemas.openxmlformats.org/officeDocument/2006/relationships/image" Target="media/image9.png"/><Relationship Id="rId17" Type="http://schemas.openxmlformats.org/officeDocument/2006/relationships/image" Target="media/image10.png"/><Relationship Id="rId18" Type="http://schemas.openxmlformats.org/officeDocument/2006/relationships/image" Target="media/image11.png"/><Relationship Id="rId19" Type="http://schemas.openxmlformats.org/officeDocument/2006/relationships/image" Target="media/image12.png"/><Relationship Id="rId20" Type="http://schemas.openxmlformats.org/officeDocument/2006/relationships/image" Target="media/image13.png"/><Relationship Id="rId21" Type="http://schemas.openxmlformats.org/officeDocument/2006/relationships/image" Target="media/image14.jpeg"/><Relationship Id="rId22" Type="http://schemas.openxmlformats.org/officeDocument/2006/relationships/image" Target="media/image15.png"/><Relationship Id="rId23" Type="http://schemas.openxmlformats.org/officeDocument/2006/relationships/image" Target="media/image16.png"/><Relationship Id="rId24" Type="http://schemas.openxmlformats.org/officeDocument/2006/relationships/image" Target="media/image17.png"/><Relationship Id="rId25" Type="http://schemas.openxmlformats.org/officeDocument/2006/relationships/image" Target="media/image18.png"/><Relationship Id="rId26" Type="http://schemas.openxmlformats.org/officeDocument/2006/relationships/image" Target="media/image19.png"/><Relationship Id="rId27" Type="http://schemas.openxmlformats.org/officeDocument/2006/relationships/image" Target="media/image20.png"/><Relationship Id="rId28" Type="http://schemas.openxmlformats.org/officeDocument/2006/relationships/image" Target="media/image21.png"/><Relationship Id="rId29" Type="http://schemas.openxmlformats.org/officeDocument/2006/relationships/image" Target="media/image22.png"/><Relationship Id="rId30" Type="http://schemas.openxmlformats.org/officeDocument/2006/relationships/image" Target="media/image23.jpeg"/><Relationship Id="rId31" Type="http://schemas.openxmlformats.org/officeDocument/2006/relationships/image" Target="media/image24.png"/></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2019-12-06T21:59:25Z</dcterms:created>
  <dcterms:modified xsi:type="dcterms:W3CDTF">2019-12-06T21:59:25Z</dcterms:modified>
</cp:coreProperties>
</file>