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5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Pursuant to Section 13 or 15(d)</w:t>
      </w:r>
    </w:p>
    <w:p>
      <w:pPr>
        <w:jc w:val="center"/>
        <w:ind w:right="-5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Date of Report (Date of earliest event reported): March 16, 2018</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5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60"/>
          </w:cols>
          <w:pgMar w:left="240" w:top="368" w:right="29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200"/>
          </w:cols>
          <w:pgMar w:left="240" w:top="368" w:right="29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20"/>
          </w:cols>
          <w:pgMar w:left="240" w:top="368" w:right="299" w:bottom="1440" w:gutter="0" w:footer="0" w:header="0"/>
          <w:type w:val="continuous"/>
        </w:sectPr>
      </w:pPr>
    </w:p>
    <w:p>
      <w:pPr>
        <w:spacing w:after="0" w:line="6"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7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7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7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60"/>
          </w:cols>
          <w:pgMar w:left="240" w:top="368" w:right="29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ind w:right="6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25"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138" w:lineRule="exact"/>
        <w:rPr>
          <w:sz w:val="24"/>
          <w:szCs w:val="24"/>
          <w:color w:val="auto"/>
        </w:rPr>
      </w:pPr>
    </w:p>
    <w:p>
      <w:pPr>
        <w:spacing w:after="0" w:line="207" w:lineRule="exact"/>
        <w:tabs>
          <w:tab w:leader="none" w:pos="2140" w:val="left"/>
        </w:tabs>
        <w:rPr>
          <w:sz w:val="20"/>
          <w:szCs w:val="20"/>
          <w:color w:val="auto"/>
        </w:rPr>
      </w:pPr>
      <w:r>
        <w:rPr>
          <w:rFonts w:ascii="Arial" w:cs="Arial" w:eastAsia="Arial" w:hAnsi="Arial"/>
          <w:sz w:val="18"/>
          <w:szCs w:val="18"/>
          <w:color w:val="auto"/>
        </w:rPr>
        <w:t>Emerging growth company</w:t>
      </w:r>
      <w:r>
        <w:rPr>
          <w:sz w:val="20"/>
          <w:szCs w:val="20"/>
          <w:color w:val="auto"/>
        </w:rPr>
        <w:tab/>
      </w:r>
      <w:r>
        <w:rPr>
          <w:rFonts w:ascii="MS PGothic" w:cs="MS PGothic" w:eastAsia="MS PGothic" w:hAnsi="MS PGothic"/>
          <w:sz w:val="16"/>
          <w:szCs w:val="16"/>
          <w:color w:val="auto"/>
        </w:rPr>
        <w:t>☐</w:t>
      </w:r>
    </w:p>
    <w:p>
      <w:pPr>
        <w:spacing w:after="0" w:line="258" w:lineRule="exact"/>
        <w:rPr>
          <w:sz w:val="24"/>
          <w:szCs w:val="24"/>
          <w:color w:val="auto"/>
        </w:rPr>
      </w:pPr>
    </w:p>
    <w:p>
      <w:pPr>
        <w:ind w:right="8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133350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176530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60"/>
          </w:cols>
          <w:pgMar w:left="240" w:top="368" w:right="299" w:bottom="1440" w:gutter="0" w:footer="0" w:header="0"/>
          <w:type w:val="continuous"/>
        </w:sectPr>
      </w:pPr>
    </w:p>
    <w:bookmarkStart w:id="1" w:name="page2"/>
    <w:bookmarkEnd w:id="1"/>
    <w:p>
      <w:pPr>
        <w:spacing w:after="0"/>
        <w:tabs>
          <w:tab w:leader="none" w:pos="10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5.07</w:t>
      </w:r>
      <w:r>
        <w:rPr>
          <w:sz w:val="20"/>
          <w:szCs w:val="20"/>
          <w:color w:val="auto"/>
        </w:rPr>
        <w:tab/>
      </w:r>
      <w:r>
        <w:rPr>
          <w:rFonts w:ascii="Arial" w:cs="Arial" w:eastAsia="Arial" w:hAnsi="Arial"/>
          <w:sz w:val="16"/>
          <w:szCs w:val="16"/>
          <w:b w:val="1"/>
          <w:bCs w:val="1"/>
          <w:color w:val="auto"/>
        </w:rPr>
        <w:t>Submission of Matters to a Vote of Security Holders.</w:t>
      </w:r>
    </w:p>
    <w:p>
      <w:pPr>
        <w:spacing w:after="0" w:line="121"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color w:val="auto"/>
        </w:rPr>
        <w:t>At a General Meeting of Shareholders held on March 16, 2018 for Marvell Technology Group Ltd. (the “Company”), shareholders voted on the matters set forth below. Each issued common share was entitled to one vote on the proposals voted on at the meeting.</w:t>
      </w:r>
    </w:p>
    <w:p>
      <w:pPr>
        <w:spacing w:after="0" w:line="193" w:lineRule="exact"/>
        <w:rPr>
          <w:sz w:val="20"/>
          <w:szCs w:val="20"/>
          <w:color w:val="auto"/>
        </w:rPr>
      </w:pPr>
    </w:p>
    <w:p>
      <w:pPr>
        <w:ind w:left="460" w:right="80" w:hanging="452"/>
        <w:spacing w:after="0" w:line="289" w:lineRule="auto"/>
        <w:tabs>
          <w:tab w:leader="none" w:pos="460" w:val="left"/>
        </w:tabs>
        <w:numPr>
          <w:ilvl w:val="0"/>
          <w:numId w:val="2"/>
        </w:numPr>
        <w:rPr>
          <w:rFonts w:ascii="Arial" w:cs="Arial" w:eastAsia="Arial" w:hAnsi="Arial"/>
          <w:sz w:val="17"/>
          <w:szCs w:val="17"/>
          <w:color w:val="auto"/>
        </w:rPr>
      </w:pPr>
      <w:r>
        <w:rPr>
          <w:rFonts w:ascii="Arial" w:cs="Arial" w:eastAsia="Arial" w:hAnsi="Arial"/>
          <w:sz w:val="17"/>
          <w:szCs w:val="17"/>
          <w:b w:val="1"/>
          <w:bCs w:val="1"/>
          <w:color w:val="auto"/>
        </w:rPr>
        <w:t>To approve the issuance of Marvell common shares (the “Marvell Share Issuance”) in connection with the merger (the “Merger”) of Kauai Acquisition Corp. with and into Cavium, Inc. (“Cavium”), with Cavium continuing as the surviving corporation in the Merger and as a direct wholly owned subsidiary of Marvell Technology, Inc. which is a direct wholly owned subsidiary of Marvell:</w:t>
      </w:r>
    </w:p>
    <w:p>
      <w:pPr>
        <w:spacing w:after="0" w:line="185" w:lineRule="exact"/>
        <w:rPr>
          <w:sz w:val="20"/>
          <w:szCs w:val="20"/>
          <w:color w:val="auto"/>
        </w:rPr>
      </w:pPr>
    </w:p>
    <w:tbl>
      <w:tblPr>
        <w:tblLayout w:type="fixed"/>
        <w:tblInd w:w="540" w:type="dxa"/>
        <w:tblCellMar>
          <w:top w:w="0" w:type="dxa"/>
          <w:left w:w="0" w:type="dxa"/>
          <w:bottom w:w="0" w:type="dxa"/>
          <w:right w:w="0" w:type="dxa"/>
        </w:tblCellMar>
      </w:tblPr>
      <w:tr>
        <w:trPr>
          <w:trHeight w:val="181"/>
        </w:trPr>
        <w:tc>
          <w:tcPr>
            <w:tcW w:w="3040" w:type="dxa"/>
            <w:vAlign w:val="bottom"/>
            <w:gridSpan w:val="2"/>
          </w:tcPr>
          <w:p>
            <w:pPr>
              <w:jc w:val="center"/>
              <w:ind w:right="240"/>
              <w:spacing w:after="0"/>
              <w:rPr>
                <w:sz w:val="20"/>
                <w:szCs w:val="20"/>
                <w:color w:val="auto"/>
              </w:rPr>
            </w:pPr>
            <w:r>
              <w:rPr>
                <w:rFonts w:ascii="Arial" w:cs="Arial" w:eastAsia="Arial" w:hAnsi="Arial"/>
                <w:sz w:val="14"/>
                <w:szCs w:val="14"/>
                <w:color w:val="auto"/>
                <w:w w:val="95"/>
              </w:rPr>
              <w:t>For</w:t>
            </w:r>
          </w:p>
        </w:tc>
        <w:tc>
          <w:tcPr>
            <w:tcW w:w="2600" w:type="dxa"/>
            <w:vAlign w:val="bottom"/>
            <w:gridSpan w:val="2"/>
          </w:tcPr>
          <w:p>
            <w:pPr>
              <w:jc w:val="center"/>
              <w:ind w:right="220"/>
              <w:spacing w:after="0"/>
              <w:rPr>
                <w:sz w:val="20"/>
                <w:szCs w:val="20"/>
                <w:color w:val="auto"/>
              </w:rPr>
            </w:pPr>
            <w:r>
              <w:rPr>
                <w:rFonts w:ascii="Arial" w:cs="Arial" w:eastAsia="Arial" w:hAnsi="Arial"/>
                <w:sz w:val="14"/>
                <w:szCs w:val="14"/>
                <w:color w:val="auto"/>
                <w:w w:val="98"/>
              </w:rPr>
              <w:t>Against</w:t>
            </w:r>
          </w:p>
        </w:tc>
        <w:tc>
          <w:tcPr>
            <w:tcW w:w="2520" w:type="dxa"/>
            <w:vAlign w:val="bottom"/>
            <w:gridSpan w:val="2"/>
          </w:tcPr>
          <w:p>
            <w:pPr>
              <w:jc w:val="center"/>
              <w:ind w:right="120"/>
              <w:spacing w:after="0"/>
              <w:rPr>
                <w:sz w:val="20"/>
                <w:szCs w:val="20"/>
                <w:color w:val="auto"/>
              </w:rPr>
            </w:pPr>
            <w:r>
              <w:rPr>
                <w:rFonts w:ascii="Arial" w:cs="Arial" w:eastAsia="Arial" w:hAnsi="Arial"/>
                <w:sz w:val="14"/>
                <w:szCs w:val="14"/>
                <w:color w:val="auto"/>
                <w:w w:val="94"/>
              </w:rPr>
              <w:t>Abstain</w:t>
            </w:r>
          </w:p>
        </w:tc>
        <w:tc>
          <w:tcPr>
            <w:tcW w:w="2200" w:type="dxa"/>
            <w:vAlign w:val="bottom"/>
          </w:tcPr>
          <w:p>
            <w:pPr>
              <w:jc w:val="center"/>
              <w:spacing w:after="0"/>
              <w:rPr>
                <w:sz w:val="20"/>
                <w:szCs w:val="20"/>
                <w:color w:val="auto"/>
              </w:rPr>
            </w:pPr>
            <w:r>
              <w:rPr>
                <w:rFonts w:ascii="Arial" w:cs="Arial" w:eastAsia="Arial" w:hAnsi="Arial"/>
                <w:sz w:val="14"/>
                <w:szCs w:val="14"/>
                <w:color w:val="auto"/>
                <w:w w:val="95"/>
              </w:rPr>
              <w:t>Broker Non-Votes</w:t>
            </w:r>
          </w:p>
        </w:tc>
      </w:tr>
      <w:tr>
        <w:trPr>
          <w:trHeight w:val="224"/>
        </w:trPr>
        <w:tc>
          <w:tcPr>
            <w:tcW w:w="2840" w:type="dxa"/>
            <w:vAlign w:val="bottom"/>
            <w:tcBorders>
              <w:top w:val="single" w:sz="8" w:color="auto"/>
            </w:tcBorders>
          </w:tcPr>
          <w:p>
            <w:pPr>
              <w:jc w:val="right"/>
              <w:ind w:right="899"/>
              <w:spacing w:after="0"/>
              <w:rPr>
                <w:sz w:val="20"/>
                <w:szCs w:val="20"/>
                <w:color w:val="auto"/>
              </w:rPr>
            </w:pPr>
            <w:r>
              <w:rPr>
                <w:rFonts w:ascii="Arial" w:cs="Arial" w:eastAsia="Arial" w:hAnsi="Arial"/>
                <w:sz w:val="18"/>
                <w:szCs w:val="18"/>
                <w:color w:val="auto"/>
              </w:rPr>
              <w:t>411,840,059</w:t>
            </w:r>
          </w:p>
        </w:tc>
        <w:tc>
          <w:tcPr>
            <w:tcW w:w="200" w:type="dxa"/>
            <w:vAlign w:val="bottom"/>
          </w:tcPr>
          <w:p>
            <w:pPr>
              <w:spacing w:after="0"/>
              <w:rPr>
                <w:sz w:val="19"/>
                <w:szCs w:val="19"/>
                <w:color w:val="auto"/>
              </w:rPr>
            </w:pPr>
          </w:p>
        </w:tc>
        <w:tc>
          <w:tcPr>
            <w:tcW w:w="2400" w:type="dxa"/>
            <w:vAlign w:val="bottom"/>
            <w:tcBorders>
              <w:top w:val="single" w:sz="8" w:color="auto"/>
            </w:tcBorders>
          </w:tcPr>
          <w:p>
            <w:pPr>
              <w:jc w:val="right"/>
              <w:ind w:right="839"/>
              <w:spacing w:after="0"/>
              <w:rPr>
                <w:sz w:val="20"/>
                <w:szCs w:val="20"/>
                <w:color w:val="auto"/>
              </w:rPr>
            </w:pPr>
            <w:r>
              <w:rPr>
                <w:rFonts w:ascii="Arial" w:cs="Arial" w:eastAsia="Arial" w:hAnsi="Arial"/>
                <w:sz w:val="18"/>
                <w:szCs w:val="18"/>
                <w:color w:val="auto"/>
              </w:rPr>
              <w:t>486,150</w:t>
            </w:r>
          </w:p>
        </w:tc>
        <w:tc>
          <w:tcPr>
            <w:tcW w:w="200" w:type="dxa"/>
            <w:vAlign w:val="bottom"/>
          </w:tcPr>
          <w:p>
            <w:pPr>
              <w:spacing w:after="0"/>
              <w:rPr>
                <w:sz w:val="19"/>
                <w:szCs w:val="19"/>
                <w:color w:val="auto"/>
              </w:rPr>
            </w:pPr>
          </w:p>
        </w:tc>
        <w:tc>
          <w:tcPr>
            <w:tcW w:w="2420" w:type="dxa"/>
            <w:vAlign w:val="bottom"/>
            <w:tcBorders>
              <w:top w:val="single" w:sz="8" w:color="auto"/>
            </w:tcBorders>
          </w:tcPr>
          <w:p>
            <w:pPr>
              <w:jc w:val="right"/>
              <w:ind w:right="839"/>
              <w:spacing w:after="0"/>
              <w:rPr>
                <w:sz w:val="20"/>
                <w:szCs w:val="20"/>
                <w:color w:val="auto"/>
              </w:rPr>
            </w:pPr>
            <w:r>
              <w:rPr>
                <w:rFonts w:ascii="Arial" w:cs="Arial" w:eastAsia="Arial" w:hAnsi="Arial"/>
                <w:sz w:val="18"/>
                <w:szCs w:val="18"/>
                <w:color w:val="auto"/>
              </w:rPr>
              <w:t>739,342</w:t>
            </w:r>
          </w:p>
        </w:tc>
        <w:tc>
          <w:tcPr>
            <w:tcW w:w="100" w:type="dxa"/>
            <w:vAlign w:val="bottom"/>
          </w:tcPr>
          <w:p>
            <w:pPr>
              <w:spacing w:after="0"/>
              <w:rPr>
                <w:sz w:val="19"/>
                <w:szCs w:val="19"/>
                <w:color w:val="auto"/>
              </w:rPr>
            </w:pPr>
          </w:p>
        </w:tc>
        <w:tc>
          <w:tcPr>
            <w:tcW w:w="2200" w:type="dxa"/>
            <w:vAlign w:val="bottom"/>
            <w:tcBorders>
              <w:top w:val="single" w:sz="8" w:color="auto"/>
            </w:tcBorders>
          </w:tcPr>
          <w:p>
            <w:pPr>
              <w:jc w:val="right"/>
              <w:ind w:right="979"/>
              <w:spacing w:after="0"/>
              <w:rPr>
                <w:sz w:val="20"/>
                <w:szCs w:val="20"/>
                <w:color w:val="auto"/>
              </w:rPr>
            </w:pPr>
            <w:r>
              <w:rPr>
                <w:rFonts w:ascii="Arial" w:cs="Arial" w:eastAsia="Arial" w:hAnsi="Arial"/>
                <w:sz w:val="18"/>
                <w:szCs w:val="18"/>
                <w:color w:val="auto"/>
              </w:rPr>
              <w:t>0</w:t>
            </w:r>
          </w:p>
        </w:tc>
      </w:tr>
    </w:tbl>
    <w:p>
      <w:pPr>
        <w:spacing w:after="0" w:line="210" w:lineRule="exact"/>
        <w:rPr>
          <w:sz w:val="20"/>
          <w:szCs w:val="20"/>
          <w:color w:val="auto"/>
        </w:rPr>
      </w:pPr>
    </w:p>
    <w:p>
      <w:pPr>
        <w:ind w:left="460" w:right="120" w:hanging="452"/>
        <w:spacing w:after="0" w:line="347" w:lineRule="auto"/>
        <w:tabs>
          <w:tab w:leader="none" w:pos="460" w:val="left"/>
        </w:tabs>
        <w:numPr>
          <w:ilvl w:val="0"/>
          <w:numId w:val="3"/>
        </w:numPr>
        <w:rPr>
          <w:rFonts w:ascii="Arial" w:cs="Arial" w:eastAsia="Arial" w:hAnsi="Arial"/>
          <w:sz w:val="16"/>
          <w:szCs w:val="16"/>
          <w:color w:val="auto"/>
        </w:rPr>
      </w:pPr>
      <w:r>
        <w:rPr>
          <w:rFonts w:ascii="Arial" w:cs="Arial" w:eastAsia="Arial" w:hAnsi="Arial"/>
          <w:sz w:val="16"/>
          <w:szCs w:val="16"/>
          <w:b w:val="1"/>
          <w:bCs w:val="1"/>
          <w:color w:val="auto"/>
        </w:rPr>
        <w:t>To approve adjournments of the Marvell general meeting, if necessary or appropriate, to permit further solicitation of proxies if there are not sufficient votes at the time of the Marvell general meeting to approve the Marvell Share Issuance (the “Marvell Adjournment Proposal”):</w:t>
      </w:r>
    </w:p>
    <w:p>
      <w:pPr>
        <w:spacing w:after="0" w:line="143" w:lineRule="exact"/>
        <w:rPr>
          <w:sz w:val="20"/>
          <w:szCs w:val="20"/>
          <w:color w:val="auto"/>
        </w:rPr>
      </w:pPr>
    </w:p>
    <w:tbl>
      <w:tblPr>
        <w:tblLayout w:type="fixed"/>
        <w:tblInd w:w="540" w:type="dxa"/>
        <w:tblCellMar>
          <w:top w:w="0" w:type="dxa"/>
          <w:left w:w="0" w:type="dxa"/>
          <w:bottom w:w="0" w:type="dxa"/>
          <w:right w:w="0" w:type="dxa"/>
        </w:tblCellMar>
      </w:tblPr>
      <w:tr>
        <w:trPr>
          <w:trHeight w:val="181"/>
        </w:trPr>
        <w:tc>
          <w:tcPr>
            <w:tcW w:w="3040" w:type="dxa"/>
            <w:vAlign w:val="bottom"/>
            <w:gridSpan w:val="2"/>
          </w:tcPr>
          <w:p>
            <w:pPr>
              <w:jc w:val="center"/>
              <w:ind w:right="240"/>
              <w:spacing w:after="0"/>
              <w:rPr>
                <w:sz w:val="20"/>
                <w:szCs w:val="20"/>
                <w:color w:val="auto"/>
              </w:rPr>
            </w:pPr>
            <w:r>
              <w:rPr>
                <w:rFonts w:ascii="Arial" w:cs="Arial" w:eastAsia="Arial" w:hAnsi="Arial"/>
                <w:sz w:val="14"/>
                <w:szCs w:val="14"/>
                <w:color w:val="auto"/>
                <w:w w:val="95"/>
              </w:rPr>
              <w:t>For</w:t>
            </w:r>
          </w:p>
        </w:tc>
        <w:tc>
          <w:tcPr>
            <w:tcW w:w="2600" w:type="dxa"/>
            <w:vAlign w:val="bottom"/>
            <w:gridSpan w:val="2"/>
          </w:tcPr>
          <w:p>
            <w:pPr>
              <w:jc w:val="center"/>
              <w:ind w:right="220"/>
              <w:spacing w:after="0"/>
              <w:rPr>
                <w:sz w:val="20"/>
                <w:szCs w:val="20"/>
                <w:color w:val="auto"/>
              </w:rPr>
            </w:pPr>
            <w:r>
              <w:rPr>
                <w:rFonts w:ascii="Arial" w:cs="Arial" w:eastAsia="Arial" w:hAnsi="Arial"/>
                <w:sz w:val="14"/>
                <w:szCs w:val="14"/>
                <w:color w:val="auto"/>
                <w:w w:val="98"/>
              </w:rPr>
              <w:t>Against</w:t>
            </w:r>
          </w:p>
        </w:tc>
        <w:tc>
          <w:tcPr>
            <w:tcW w:w="2520" w:type="dxa"/>
            <w:vAlign w:val="bottom"/>
            <w:gridSpan w:val="2"/>
          </w:tcPr>
          <w:p>
            <w:pPr>
              <w:jc w:val="center"/>
              <w:ind w:right="120"/>
              <w:spacing w:after="0"/>
              <w:rPr>
                <w:sz w:val="20"/>
                <w:szCs w:val="20"/>
                <w:color w:val="auto"/>
              </w:rPr>
            </w:pPr>
            <w:r>
              <w:rPr>
                <w:rFonts w:ascii="Arial" w:cs="Arial" w:eastAsia="Arial" w:hAnsi="Arial"/>
                <w:sz w:val="14"/>
                <w:szCs w:val="14"/>
                <w:color w:val="auto"/>
                <w:w w:val="94"/>
              </w:rPr>
              <w:t>Abstain</w:t>
            </w:r>
          </w:p>
        </w:tc>
        <w:tc>
          <w:tcPr>
            <w:tcW w:w="2200" w:type="dxa"/>
            <w:vAlign w:val="bottom"/>
          </w:tcPr>
          <w:p>
            <w:pPr>
              <w:jc w:val="center"/>
              <w:spacing w:after="0"/>
              <w:rPr>
                <w:sz w:val="20"/>
                <w:szCs w:val="20"/>
                <w:color w:val="auto"/>
              </w:rPr>
            </w:pPr>
            <w:r>
              <w:rPr>
                <w:rFonts w:ascii="Arial" w:cs="Arial" w:eastAsia="Arial" w:hAnsi="Arial"/>
                <w:sz w:val="14"/>
                <w:szCs w:val="14"/>
                <w:color w:val="auto"/>
                <w:w w:val="95"/>
              </w:rPr>
              <w:t>Broker Non-Votes</w:t>
            </w:r>
          </w:p>
        </w:tc>
      </w:tr>
      <w:tr>
        <w:trPr>
          <w:trHeight w:val="224"/>
        </w:trPr>
        <w:tc>
          <w:tcPr>
            <w:tcW w:w="2840" w:type="dxa"/>
            <w:vAlign w:val="bottom"/>
            <w:tcBorders>
              <w:top w:val="single" w:sz="8" w:color="auto"/>
            </w:tcBorders>
          </w:tcPr>
          <w:p>
            <w:pPr>
              <w:jc w:val="right"/>
              <w:ind w:right="899"/>
              <w:spacing w:after="0"/>
              <w:rPr>
                <w:sz w:val="20"/>
                <w:szCs w:val="20"/>
                <w:color w:val="auto"/>
              </w:rPr>
            </w:pPr>
            <w:r>
              <w:rPr>
                <w:rFonts w:ascii="Arial" w:cs="Arial" w:eastAsia="Arial" w:hAnsi="Arial"/>
                <w:sz w:val="18"/>
                <w:szCs w:val="18"/>
                <w:color w:val="auto"/>
              </w:rPr>
              <w:t>357,999,676</w:t>
            </w:r>
          </w:p>
        </w:tc>
        <w:tc>
          <w:tcPr>
            <w:tcW w:w="200" w:type="dxa"/>
            <w:vAlign w:val="bottom"/>
          </w:tcPr>
          <w:p>
            <w:pPr>
              <w:spacing w:after="0"/>
              <w:rPr>
                <w:sz w:val="19"/>
                <w:szCs w:val="19"/>
                <w:color w:val="auto"/>
              </w:rPr>
            </w:pPr>
          </w:p>
        </w:tc>
        <w:tc>
          <w:tcPr>
            <w:tcW w:w="2400" w:type="dxa"/>
            <w:vAlign w:val="bottom"/>
            <w:tcBorders>
              <w:top w:val="single" w:sz="8" w:color="auto"/>
            </w:tcBorders>
          </w:tcPr>
          <w:p>
            <w:pPr>
              <w:jc w:val="right"/>
              <w:ind w:right="719"/>
              <w:spacing w:after="0"/>
              <w:rPr>
                <w:sz w:val="20"/>
                <w:szCs w:val="20"/>
                <w:color w:val="auto"/>
              </w:rPr>
            </w:pPr>
            <w:r>
              <w:rPr>
                <w:rFonts w:ascii="Arial" w:cs="Arial" w:eastAsia="Arial" w:hAnsi="Arial"/>
                <w:sz w:val="18"/>
                <w:szCs w:val="18"/>
                <w:color w:val="auto"/>
              </w:rPr>
              <w:t>54,122,688</w:t>
            </w:r>
          </w:p>
        </w:tc>
        <w:tc>
          <w:tcPr>
            <w:tcW w:w="200" w:type="dxa"/>
            <w:vAlign w:val="bottom"/>
          </w:tcPr>
          <w:p>
            <w:pPr>
              <w:spacing w:after="0"/>
              <w:rPr>
                <w:sz w:val="19"/>
                <w:szCs w:val="19"/>
                <w:color w:val="auto"/>
              </w:rPr>
            </w:pPr>
          </w:p>
        </w:tc>
        <w:tc>
          <w:tcPr>
            <w:tcW w:w="2420" w:type="dxa"/>
            <w:vAlign w:val="bottom"/>
            <w:tcBorders>
              <w:top w:val="single" w:sz="8" w:color="auto"/>
            </w:tcBorders>
          </w:tcPr>
          <w:p>
            <w:pPr>
              <w:jc w:val="right"/>
              <w:ind w:right="839"/>
              <w:spacing w:after="0"/>
              <w:rPr>
                <w:sz w:val="20"/>
                <w:szCs w:val="20"/>
                <w:color w:val="auto"/>
              </w:rPr>
            </w:pPr>
            <w:r>
              <w:rPr>
                <w:rFonts w:ascii="Arial" w:cs="Arial" w:eastAsia="Arial" w:hAnsi="Arial"/>
                <w:sz w:val="18"/>
                <w:szCs w:val="18"/>
                <w:color w:val="auto"/>
              </w:rPr>
              <w:t>943,187</w:t>
            </w:r>
          </w:p>
        </w:tc>
        <w:tc>
          <w:tcPr>
            <w:tcW w:w="100" w:type="dxa"/>
            <w:vAlign w:val="bottom"/>
          </w:tcPr>
          <w:p>
            <w:pPr>
              <w:spacing w:after="0"/>
              <w:rPr>
                <w:sz w:val="19"/>
                <w:szCs w:val="19"/>
                <w:color w:val="auto"/>
              </w:rPr>
            </w:pPr>
          </w:p>
        </w:tc>
        <w:tc>
          <w:tcPr>
            <w:tcW w:w="2200" w:type="dxa"/>
            <w:vAlign w:val="bottom"/>
            <w:tcBorders>
              <w:top w:val="single" w:sz="8" w:color="auto"/>
            </w:tcBorders>
          </w:tcPr>
          <w:p>
            <w:pPr>
              <w:jc w:val="right"/>
              <w:ind w:right="979"/>
              <w:spacing w:after="0"/>
              <w:rPr>
                <w:sz w:val="20"/>
                <w:szCs w:val="20"/>
                <w:color w:val="auto"/>
              </w:rPr>
            </w:pPr>
            <w:r>
              <w:rPr>
                <w:rFonts w:ascii="Arial" w:cs="Arial" w:eastAsia="Arial" w:hAnsi="Arial"/>
                <w:sz w:val="18"/>
                <w:szCs w:val="18"/>
                <w:color w:val="auto"/>
              </w:rPr>
              <w:t>0</w:t>
            </w:r>
          </w:p>
        </w:tc>
      </w:tr>
    </w:tbl>
    <w:p>
      <w:pPr>
        <w:spacing w:after="0" w:line="332"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ind w:right="240"/>
        <w:spacing w:after="0" w:line="277" w:lineRule="auto"/>
        <w:rPr>
          <w:sz w:val="20"/>
          <w:szCs w:val="20"/>
          <w:color w:val="auto"/>
        </w:rPr>
      </w:pPr>
      <w:r>
        <w:rPr>
          <w:rFonts w:ascii="Arial" w:cs="Arial" w:eastAsia="Arial" w:hAnsi="Arial"/>
          <w:sz w:val="18"/>
          <w:szCs w:val="18"/>
          <w:color w:val="auto"/>
        </w:rPr>
        <w:t>On March 16, 2018, the Company issued a press release announcing that Marvell shareholders voted to approve the issuance of Marvell common shares in connection with the previously announced proposed acquisition of Cavium, Inc. (NASDAQ: CAVM).</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A copy of the press release is furnished herewith as Exhibit 99.1 and is incorporated by reference herein.</w:t>
      </w:r>
    </w:p>
    <w:p>
      <w:pPr>
        <w:spacing w:after="0" w:line="37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35" w:lineRule="exact"/>
        <w:rPr>
          <w:sz w:val="20"/>
          <w:szCs w:val="20"/>
          <w:color w:val="auto"/>
        </w:rPr>
      </w:pPr>
    </w:p>
    <w:p>
      <w:pPr>
        <w:ind w:left="900" w:hanging="446"/>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Exhibits.</w:t>
      </w:r>
    </w:p>
    <w:p>
      <w:pPr>
        <w:spacing w:after="0" w:line="131" w:lineRule="exact"/>
        <w:rPr>
          <w:sz w:val="20"/>
          <w:szCs w:val="20"/>
          <w:color w:val="auto"/>
        </w:rPr>
      </w:pPr>
    </w:p>
    <w:p>
      <w:pPr>
        <w:ind w:left="1560" w:hanging="634"/>
        <w:spacing w:after="0" w:line="277" w:lineRule="auto"/>
        <w:tabs>
          <w:tab w:leader="none" w:pos="1540" w:val="left"/>
        </w:tabs>
        <w:rPr>
          <w:rFonts w:ascii="Arial" w:cs="Arial" w:eastAsia="Arial" w:hAnsi="Arial"/>
          <w:sz w:val="18"/>
          <w:szCs w:val="18"/>
          <w:u w:val="single" w:color="auto"/>
          <w:color w:val="0000EE"/>
        </w:rPr>
      </w:pPr>
      <w:r>
        <w:rPr>
          <w:rFonts w:ascii="Arial" w:cs="Arial" w:eastAsia="Arial" w:hAnsi="Arial"/>
          <w:sz w:val="18"/>
          <w:szCs w:val="18"/>
          <w:color w:val="auto"/>
        </w:rPr>
        <w:t>99.1</w:t>
      </w:r>
      <w:r>
        <w:rPr>
          <w:sz w:val="20"/>
          <w:szCs w:val="20"/>
          <w:color w:val="auto"/>
        </w:rPr>
        <w:tab/>
      </w:r>
      <w:hyperlink w:anchor="page4">
        <w:r>
          <w:rPr>
            <w:rFonts w:ascii="Arial" w:cs="Arial" w:eastAsia="Arial" w:hAnsi="Arial"/>
            <w:sz w:val="18"/>
            <w:szCs w:val="18"/>
            <w:u w:val="single" w:color="auto"/>
            <w:color w:val="0000EE"/>
          </w:rPr>
          <w:t>Press Release dated March 16, 2018, titled “Marvell Shareholders Approve Issuance of Common Shares in Connection with Acquisition</w:t>
        </w:r>
      </w:hyperlink>
      <w:r>
        <w:rPr>
          <w:rFonts w:ascii="Arial" w:cs="Arial" w:eastAsia="Arial" w:hAnsi="Arial"/>
          <w:sz w:val="18"/>
          <w:szCs w:val="18"/>
          <w:u w:val="single" w:color="auto"/>
          <w:color w:val="0000EE"/>
        </w:rPr>
        <w:t xml:space="preserve"> </w:t>
      </w:r>
      <w:hyperlink w:anchor="page4">
        <w:r>
          <w:rPr>
            <w:rFonts w:ascii="Arial" w:cs="Arial" w:eastAsia="Arial" w:hAnsi="Arial"/>
            <w:sz w:val="18"/>
            <w:szCs w:val="18"/>
            <w:u w:val="single" w:color="auto"/>
            <w:color w:val="0000EE"/>
          </w:rPr>
          <w:t>of Cavium”</w:t>
        </w:r>
      </w:hyperlink>
    </w:p>
    <w:p>
      <w:pPr>
        <w:sectPr>
          <w:pgSz w:w="11900" w:h="16838" w:orient="portrait"/>
          <w:cols w:equalWidth="0" w:num="1">
            <w:col w:w="11400"/>
          </w:cols>
          <w:pgMar w:left="240" w:top="270" w:right="25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March 16, 2018</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Mitchell L. Gaynor</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Mitchell 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4533265</wp:posOffset>
            </wp:positionH>
            <wp:positionV relativeFrom="paragraph">
              <wp:posOffset>-130810</wp:posOffset>
            </wp:positionV>
            <wp:extent cx="271843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718435" cy="8890"/>
                    </a:xfrm>
                    <a:prstGeom prst="rect">
                      <a:avLst/>
                    </a:prstGeom>
                    <a:noFill/>
                  </pic:spPr>
                </pic:pic>
              </a:graphicData>
            </a:graphic>
          </wp:anchor>
        </w:drawing>
      </w:r>
    </w:p>
    <w:p>
      <w:pPr>
        <w:spacing w:after="0" w:line="3" w:lineRule="exact"/>
        <w:rPr>
          <w:sz w:val="20"/>
          <w:szCs w:val="20"/>
          <w:color w:val="auto"/>
        </w:rPr>
      </w:pPr>
    </w:p>
    <w:p>
      <w:pPr>
        <w:ind w:left="7240"/>
        <w:spacing w:after="0"/>
        <w:rPr>
          <w:sz w:val="20"/>
          <w:szCs w:val="20"/>
          <w:color w:val="auto"/>
        </w:rPr>
      </w:pPr>
      <w:r>
        <w:rPr>
          <w:rFonts w:ascii="Arial" w:cs="Arial" w:eastAsia="Arial" w:hAnsi="Arial"/>
          <w:sz w:val="17"/>
          <w:szCs w:val="17"/>
          <w:i w:val="1"/>
          <w:iCs w:val="1"/>
          <w:color w:val="auto"/>
        </w:rPr>
        <w:t>Chief Administration and Legal Officer and Secretary</w:t>
      </w:r>
    </w:p>
    <w:p>
      <w:pPr>
        <w:sectPr>
          <w:pgSz w:w="11900" w:h="16838" w:orient="portrait"/>
          <w:cols w:equalWidth="0" w:num="1">
            <w:col w:w="11420"/>
          </w:cols>
          <w:pgMar w:left="240" w:top="270" w:right="23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172085</wp:posOffset>
            </wp:positionV>
            <wp:extent cx="2186940" cy="17145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186940" cy="17145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Shareholders Approve Issuance of Common Shares in Connection With</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Proposed Acquisition of Cavium, Inc.</w:t>
      </w:r>
    </w:p>
    <w:p>
      <w:pPr>
        <w:spacing w:after="0" w:line="207" w:lineRule="exact"/>
        <w:rPr>
          <w:sz w:val="20"/>
          <w:szCs w:val="20"/>
          <w:color w:val="auto"/>
        </w:rPr>
      </w:pPr>
    </w:p>
    <w:p>
      <w:pPr>
        <w:ind w:right="40"/>
        <w:spacing w:after="0" w:line="274" w:lineRule="auto"/>
        <w:rPr>
          <w:sz w:val="20"/>
          <w:szCs w:val="20"/>
          <w:color w:val="auto"/>
        </w:rPr>
      </w:pPr>
      <w:r>
        <w:rPr>
          <w:rFonts w:ascii="Arial" w:cs="Arial" w:eastAsia="Arial" w:hAnsi="Arial"/>
          <w:sz w:val="17"/>
          <w:szCs w:val="17"/>
          <w:b w:val="1"/>
          <w:bCs w:val="1"/>
          <w:color w:val="auto"/>
        </w:rPr>
        <w:t>SANTA CLARA, Calif. (March 16, 2018</w:t>
      </w:r>
      <w:r>
        <w:rPr>
          <w:rFonts w:ascii="Arial" w:cs="Arial" w:eastAsia="Arial" w:hAnsi="Arial"/>
          <w:sz w:val="17"/>
          <w:szCs w:val="17"/>
          <w:color w:val="auto"/>
        </w:rPr>
        <w:t>) – Marvell Technology Group Ltd. (NASDAQ: MRVL) today announced that its shareholders have voted to</w:t>
      </w:r>
      <w:r>
        <w:rPr>
          <w:rFonts w:ascii="Arial" w:cs="Arial" w:eastAsia="Arial" w:hAnsi="Arial"/>
          <w:sz w:val="17"/>
          <w:szCs w:val="17"/>
          <w:b w:val="1"/>
          <w:bCs w:val="1"/>
          <w:color w:val="auto"/>
        </w:rPr>
        <w:t xml:space="preserve"> </w:t>
      </w:r>
      <w:r>
        <w:rPr>
          <w:rFonts w:ascii="Arial" w:cs="Arial" w:eastAsia="Arial" w:hAnsi="Arial"/>
          <w:sz w:val="17"/>
          <w:szCs w:val="17"/>
          <w:color w:val="auto"/>
        </w:rPr>
        <w:t>approve the issuance of Marvell common shares in connection with the previously announced proposed acquisition of Cavium, Inc. (NASDAQ: CAVM). In a preliminary count of the voting results from today’s meeting of shareholders, more than 99 percent of votes represented in person or by proxy were voted in favor of approving the issuance of Marvell common shares in connection with the proposed acquisition. At a meeting held today prior to the Marvell shareholder vote, Cavium shareholders voted to approve the merger with Marvell. Marvell expects the transaction to close mid-calendar year 2018, subject to customary closing conditions, including receipt of regulatory approvals.</w:t>
      </w:r>
    </w:p>
    <w:p>
      <w:pPr>
        <w:spacing w:after="0" w:line="178"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color w:val="auto"/>
        </w:rPr>
        <w:t>The final voting results on all agenda items for each company’s special meeting will be disclosed in separate Current Reports on Form 8-K to be filed with the Securities and Exchange Commission.</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240"/>
        <w:spacing w:after="0" w:line="259" w:lineRule="auto"/>
        <w:rPr>
          <w:sz w:val="20"/>
          <w:szCs w:val="20"/>
          <w:color w:val="auto"/>
        </w:rPr>
      </w:pPr>
      <w:r>
        <w:rPr>
          <w:rFonts w:ascii="Arial" w:cs="Arial" w:eastAsia="Arial" w:hAnsi="Arial"/>
          <w:sz w:val="18"/>
          <w:szCs w:val="18"/>
          <w:color w:val="auto"/>
        </w:rPr>
        <w:t xml:space="preserve">Marvell first revolutionized the digital storage industry by moving information at speeds never thought possible. Today, that same breakthrough innovation remains at the heart of the company’s storage, networking and connectivity solutions. With leading intellectual property and deep system-level knowledge, Marvell’s semiconductor solutions continue to transform the enterprise, cloud, automotive, industrial, and consumer markets. To learn more, visit: </w:t>
      </w:r>
      <w:r>
        <w:rPr>
          <w:rFonts w:ascii="Arial" w:cs="Arial" w:eastAsia="Arial" w:hAnsi="Arial"/>
          <w:sz w:val="18"/>
          <w:szCs w:val="18"/>
          <w:u w:val="single" w:color="auto"/>
          <w:color w:val="auto"/>
        </w:rPr>
        <w:t>www.marvell.com.</w:t>
      </w:r>
    </w:p>
    <w:p>
      <w:pPr>
        <w:spacing w:after="0" w:line="29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Cautionary Statement Regarding Forward-Looking Statements</w:t>
      </w:r>
    </w:p>
    <w:p>
      <w:pPr>
        <w:spacing w:after="0" w:line="117" w:lineRule="exact"/>
        <w:rPr>
          <w:sz w:val="20"/>
          <w:szCs w:val="20"/>
          <w:color w:val="auto"/>
        </w:rPr>
      </w:pPr>
    </w:p>
    <w:p>
      <w:pPr>
        <w:ind w:right="20"/>
        <w:spacing w:after="0" w:line="273" w:lineRule="auto"/>
        <w:rPr>
          <w:sz w:val="20"/>
          <w:szCs w:val="20"/>
          <w:color w:val="auto"/>
        </w:rPr>
      </w:pPr>
      <w:r>
        <w:rPr>
          <w:rFonts w:ascii="Arial" w:cs="Arial" w:eastAsia="Arial" w:hAnsi="Arial"/>
          <w:sz w:val="17"/>
          <w:szCs w:val="17"/>
          <w:i w:val="1"/>
          <w:iCs w:val="1"/>
          <w:color w:val="auto"/>
        </w:rPr>
        <w:t>This document contains certain forward-looking statements within the meaning of the federal securities laws with respect to the proposed transaction between Cavium and Marvell, including statements regarding the benefits of the transaction, the anticipated timing of the transaction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w:t>
      </w:r>
    </w:p>
    <w:p>
      <w:pPr>
        <w:sectPr>
          <w:pgSz w:w="11900" w:h="16838" w:orient="portrait"/>
          <w:cols w:equalWidth="0" w:num="1">
            <w:col w:w="11420"/>
          </w:cols>
          <w:pgMar w:left="240" w:top="121" w:right="239" w:bottom="1440" w:gutter="0" w:footer="0" w:header="0"/>
        </w:sectPr>
      </w:pPr>
    </w:p>
    <w:bookmarkStart w:id="4" w:name="page5"/>
    <w:bookmarkEnd w:id="4"/>
    <w:p>
      <w:pPr>
        <w:spacing w:after="0" w:line="286" w:lineRule="auto"/>
        <w:rPr>
          <w:sz w:val="20"/>
          <w:szCs w:val="20"/>
          <w:color w:val="auto"/>
        </w:rPr>
      </w:pPr>
      <w:r>
        <w:rPr>
          <w:rFonts w:ascii="Arial" w:cs="Arial" w:eastAsia="Arial" w:hAnsi="Arial"/>
          <w:sz w:val="16"/>
          <w:szCs w:val="16"/>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actual future events to differ materially from the forward-looking statements in this document, including but not limited to: (i) uncertainties as to the timing of the consummation of the transaction and the ability of each party to consummate the transaction, (ii) the failure to satisfy the conditions to the consummation of the transaction, (iii) the failure to realize the anticipated benefits of the proposed transaction, including as a result of delay in completing the transaction or integrating the businesses of Cavium and Marvell, (iv) the effect of the announcement or pendency of the transaction on Cavium’s business relationships, operating results, and business generally, (v) risks that the proposed transaction disrupts current plans and operations of Cavium or Marvell and potential difficulties in Cavium employee retention as a result of the transaction, (vi) the outcome of litigation and other legal proceedings against Cavium and/or Marvell or to which Cavium and/or Marvell become subject, and (vii) the ability of Marvell to successfully integrate Cavium’s operations and product lines. The foregoing review of important factors should not be construed as exhaustive. You should carefully consider the foregoing factors and the other risks and uncertainties that affect the businesses of Marvell and Cavium described in the “Risk Factors” section of their respective Annual Reports on Form 10-K, Quarterly Reports on Form 10-Q and other documents filed by either of them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and Cavium assume no obligation and do not intend to update or revise these forward-looking statements, whether as a result of new information, future events, or otherwise. Neither Marvell nor Cavium gives any assurance that either Marvell or Cavium will achieve its expectations.</w:t>
      </w:r>
    </w:p>
    <w:p>
      <w:pPr>
        <w:spacing w:after="0" w:line="17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For further information, contact:</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T. Peter Andrew</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Vice President, Treasury and Investor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ir@marvell.com</w:t>
      </w:r>
    </w:p>
    <w:sectPr>
      <w:pgSz w:w="11900" w:h="16838" w:orient="portrait"/>
      <w:cols w:equalWidth="0" w:num="1">
        <w:col w:w="11380"/>
      </w:cols>
      <w:pgMar w:left="240" w:top="274" w:right="2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4B0DC51"/>
    <w:multiLevelType w:val="hybridMultilevel"/>
    <w:lvl w:ilvl="0">
      <w:lvlJc w:val="left"/>
      <w:lvlText w:val="☐"/>
      <w:numFmt w:val="bullet"/>
      <w:start w:val="1"/>
    </w:lvl>
  </w:abstractNum>
  <w:abstractNum w:abstractNumId="1">
    <w:nsid w:val="19495CFF"/>
    <w:multiLevelType w:val="hybridMultilevel"/>
    <w:lvl w:ilvl="0">
      <w:lvlJc w:val="left"/>
      <w:lvlText w:val="%1."/>
      <w:numFmt w:val="decimal"/>
      <w:start w:val="1"/>
    </w:lvl>
  </w:abstractNum>
  <w:abstractNum w:abstractNumId="2">
    <w:nsid w:val="2AE8944A"/>
    <w:multiLevelType w:val="hybridMultilevel"/>
    <w:lvl w:ilvl="0">
      <w:lvlJc w:val="left"/>
      <w:lvlText w:val="%1."/>
      <w:numFmt w:val="decimal"/>
      <w:start w:val="2"/>
    </w:lvl>
  </w:abstractNum>
  <w:abstractNum w:abstractNumId="3">
    <w:nsid w:val="625558EC"/>
    <w:multiLevelType w:val="hybridMultilevel"/>
    <w:lvl w:ilvl="0">
      <w:lvlJc w:val="left"/>
      <w:lvlText w:val="(%1)"/>
      <w:numFmt w:val="lowerLetter"/>
      <w:start w:val="4"/>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jpeg"/><Relationship Id="rId21" Type="http://schemas.openxmlformats.org/officeDocument/2006/relationships/image" Target="media/image1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2019-12-28T23:55:37Z</dcterms:created>
  <dcterms:modified xsi:type="dcterms:W3CDTF">2019-12-28T23:55:37Z</dcterms:modified>
</cp:coreProperties>
</file>