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under the Securities Exchange Act of 1934</w:t>
      </w:r>
    </w:p>
    <w:p>
      <w:pPr>
        <w:spacing w:after="0" w:line="211" w:lineRule="exact"/>
        <w:rPr>
          <w:sz w:val="24"/>
          <w:szCs w:val="24"/>
          <w:color w:val="auto"/>
        </w:rPr>
      </w:pPr>
    </w:p>
    <w:p>
      <w:pPr>
        <w:ind w:left="87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jc w:val="right"/>
        <w:spacing w:after="0"/>
        <w:rPr>
          <w:sz w:val="20"/>
          <w:szCs w:val="20"/>
          <w:color w:val="auto"/>
        </w:rPr>
      </w:pPr>
      <w:r>
        <w:rPr>
          <w:rFonts w:ascii="Arial" w:cs="Arial" w:eastAsia="Arial" w:hAnsi="Arial"/>
          <w:sz w:val="18"/>
          <w:szCs w:val="18"/>
          <w:color w:val="auto"/>
        </w:rPr>
        <w:t>Commission File No. 001-33435</w:t>
      </w:r>
    </w:p>
    <w:p>
      <w:pPr>
        <w:spacing w:after="0" w:line="211" w:lineRule="exact"/>
        <w:rPr>
          <w:sz w:val="24"/>
          <w:szCs w:val="24"/>
          <w:color w:val="auto"/>
        </w:rPr>
      </w:pPr>
    </w:p>
    <w:p>
      <w:pPr>
        <w:ind w:right="180"/>
        <w:spacing w:after="0" w:line="277" w:lineRule="auto"/>
        <w:rPr>
          <w:sz w:val="20"/>
          <w:szCs w:val="20"/>
          <w:color w:val="auto"/>
        </w:rPr>
      </w:pPr>
      <w:r>
        <w:rPr>
          <w:rFonts w:ascii="Arial" w:cs="Arial" w:eastAsia="Arial" w:hAnsi="Arial"/>
          <w:sz w:val="18"/>
          <w:szCs w:val="18"/>
          <w:color w:val="auto"/>
        </w:rPr>
        <w:t>The following email communication was sent to employees of Cavium, Inc. (“Cavium”) and Marvell Technology Group Ltd. (“Marvell”) on March 2, 2018.</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Cavium and Marvell Employees:</w:t>
      </w:r>
    </w:p>
    <w:p>
      <w:pPr>
        <w:spacing w:after="0" w:line="225" w:lineRule="exact"/>
        <w:rPr>
          <w:sz w:val="24"/>
          <w:szCs w:val="24"/>
          <w:color w:val="auto"/>
        </w:rPr>
      </w:pPr>
    </w:p>
    <w:p>
      <w:pPr>
        <w:ind w:right="380"/>
        <w:spacing w:after="0" w:line="277" w:lineRule="auto"/>
        <w:rPr>
          <w:sz w:val="20"/>
          <w:szCs w:val="20"/>
          <w:color w:val="auto"/>
        </w:rPr>
      </w:pPr>
      <w:r>
        <w:rPr>
          <w:rFonts w:ascii="Arial" w:cs="Arial" w:eastAsia="Arial" w:hAnsi="Arial"/>
          <w:sz w:val="18"/>
          <w:szCs w:val="18"/>
          <w:color w:val="auto"/>
        </w:rPr>
        <w:t>To keep you informed on the integration’s progress, we are sending bi-weekly updates and will continue providing answers to your most commonly asked questions.</w:t>
      </w:r>
    </w:p>
    <w:p>
      <w:pPr>
        <w:spacing w:after="0" w:line="27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LATEST NEWS</w:t>
      </w:r>
    </w:p>
    <w:p>
      <w:pPr>
        <w:spacing w:after="0" w:line="135" w:lineRule="exact"/>
        <w:rPr>
          <w:sz w:val="24"/>
          <w:szCs w:val="24"/>
          <w:color w:val="auto"/>
        </w:rPr>
      </w:pPr>
    </w:p>
    <w:p>
      <w:pPr>
        <w:ind w:left="860" w:right="80" w:hanging="316"/>
        <w:spacing w:after="0" w:line="264" w:lineRule="auto"/>
        <w:tabs>
          <w:tab w:leader="none" w:pos="860" w:val="left"/>
        </w:tabs>
        <w:numPr>
          <w:ilvl w:val="0"/>
          <w:numId w:val="1"/>
        </w:numPr>
        <w:rPr>
          <w:rFonts w:ascii="Arial" w:cs="Arial" w:eastAsia="Arial" w:hAnsi="Arial"/>
          <w:sz w:val="18"/>
          <w:szCs w:val="18"/>
          <w:color w:val="auto"/>
        </w:rPr>
      </w:pPr>
      <w:r>
        <w:rPr>
          <w:rFonts w:ascii="Arial" w:cs="Arial" w:eastAsia="Arial" w:hAnsi="Arial"/>
          <w:sz w:val="18"/>
          <w:szCs w:val="18"/>
          <w:color w:val="auto"/>
        </w:rPr>
        <w:t>We launched a comprehensive review of our respective IT systems and major business processes. This Business System Process Integration (BPSI) will enable both companies to get onto consistent platforms as soon as possible, without disrupting business operations. Elements include:</w:t>
      </w:r>
    </w:p>
    <w:p>
      <w:pPr>
        <w:spacing w:after="0" w:line="86" w:lineRule="exact"/>
        <w:rPr>
          <w:rFonts w:ascii="Arial" w:cs="Arial" w:eastAsia="Arial" w:hAnsi="Arial"/>
          <w:sz w:val="18"/>
          <w:szCs w:val="18"/>
          <w:color w:val="auto"/>
        </w:rPr>
      </w:pPr>
    </w:p>
    <w:p>
      <w:pPr>
        <w:ind w:left="1420" w:hanging="430"/>
        <w:spacing w:after="0"/>
        <w:tabs>
          <w:tab w:leader="none" w:pos="1420" w:val="left"/>
        </w:tabs>
        <w:numPr>
          <w:ilvl w:val="1"/>
          <w:numId w:val="1"/>
        </w:numPr>
        <w:rPr>
          <w:rFonts w:ascii="Arial" w:cs="Arial" w:eastAsia="Arial" w:hAnsi="Arial"/>
          <w:sz w:val="15"/>
          <w:szCs w:val="15"/>
          <w:color w:val="auto"/>
        </w:rPr>
      </w:pPr>
      <w:r>
        <w:rPr>
          <w:rFonts w:ascii="Arial" w:cs="Arial" w:eastAsia="Arial" w:hAnsi="Arial"/>
          <w:sz w:val="18"/>
          <w:szCs w:val="18"/>
          <w:color w:val="auto"/>
        </w:rPr>
        <w:t>Design to Build (New Product Introduction)</w:t>
      </w:r>
    </w:p>
    <w:p>
      <w:pPr>
        <w:spacing w:after="0" w:line="23" w:lineRule="exact"/>
        <w:rPr>
          <w:rFonts w:ascii="Arial" w:cs="Arial" w:eastAsia="Arial" w:hAnsi="Arial"/>
          <w:sz w:val="15"/>
          <w:szCs w:val="15"/>
          <w:color w:val="auto"/>
        </w:rPr>
      </w:pPr>
    </w:p>
    <w:p>
      <w:pPr>
        <w:ind w:left="1420" w:hanging="430"/>
        <w:spacing w:after="0"/>
        <w:tabs>
          <w:tab w:leader="none" w:pos="1420" w:val="left"/>
        </w:tabs>
        <w:numPr>
          <w:ilvl w:val="1"/>
          <w:numId w:val="1"/>
        </w:numPr>
        <w:rPr>
          <w:rFonts w:ascii="Arial" w:cs="Arial" w:eastAsia="Arial" w:hAnsi="Arial"/>
          <w:sz w:val="15"/>
          <w:szCs w:val="15"/>
          <w:color w:val="auto"/>
        </w:rPr>
      </w:pPr>
      <w:r>
        <w:rPr>
          <w:rFonts w:ascii="Arial" w:cs="Arial" w:eastAsia="Arial" w:hAnsi="Arial"/>
          <w:sz w:val="18"/>
          <w:szCs w:val="18"/>
          <w:color w:val="auto"/>
        </w:rPr>
        <w:t>Lead to Quote</w:t>
      </w:r>
    </w:p>
    <w:p>
      <w:pPr>
        <w:spacing w:after="0" w:line="9" w:lineRule="exact"/>
        <w:rPr>
          <w:rFonts w:ascii="Arial" w:cs="Arial" w:eastAsia="Arial" w:hAnsi="Arial"/>
          <w:sz w:val="15"/>
          <w:szCs w:val="15"/>
          <w:color w:val="auto"/>
        </w:rPr>
      </w:pPr>
    </w:p>
    <w:p>
      <w:pPr>
        <w:ind w:left="1420" w:hanging="430"/>
        <w:spacing w:after="0"/>
        <w:tabs>
          <w:tab w:leader="none" w:pos="1420" w:val="left"/>
        </w:tabs>
        <w:numPr>
          <w:ilvl w:val="1"/>
          <w:numId w:val="1"/>
        </w:numPr>
        <w:rPr>
          <w:rFonts w:ascii="Arial" w:cs="Arial" w:eastAsia="Arial" w:hAnsi="Arial"/>
          <w:sz w:val="15"/>
          <w:szCs w:val="15"/>
          <w:color w:val="auto"/>
        </w:rPr>
      </w:pPr>
      <w:r>
        <w:rPr>
          <w:rFonts w:ascii="Arial" w:cs="Arial" w:eastAsia="Arial" w:hAnsi="Arial"/>
          <w:sz w:val="18"/>
          <w:szCs w:val="18"/>
          <w:color w:val="auto"/>
        </w:rPr>
        <w:t>Order to Cash</w:t>
      </w:r>
    </w:p>
    <w:p>
      <w:pPr>
        <w:spacing w:after="0" w:line="9" w:lineRule="exact"/>
        <w:rPr>
          <w:rFonts w:ascii="Arial" w:cs="Arial" w:eastAsia="Arial" w:hAnsi="Arial"/>
          <w:sz w:val="15"/>
          <w:szCs w:val="15"/>
          <w:color w:val="auto"/>
        </w:rPr>
      </w:pPr>
    </w:p>
    <w:p>
      <w:pPr>
        <w:ind w:left="1420" w:hanging="430"/>
        <w:spacing w:after="0"/>
        <w:tabs>
          <w:tab w:leader="none" w:pos="1420" w:val="left"/>
        </w:tabs>
        <w:numPr>
          <w:ilvl w:val="1"/>
          <w:numId w:val="1"/>
        </w:numPr>
        <w:rPr>
          <w:rFonts w:ascii="Arial" w:cs="Arial" w:eastAsia="Arial" w:hAnsi="Arial"/>
          <w:sz w:val="15"/>
          <w:szCs w:val="15"/>
          <w:color w:val="auto"/>
        </w:rPr>
      </w:pPr>
      <w:r>
        <w:rPr>
          <w:rFonts w:ascii="Arial" w:cs="Arial" w:eastAsia="Arial" w:hAnsi="Arial"/>
          <w:sz w:val="18"/>
          <w:szCs w:val="18"/>
          <w:color w:val="auto"/>
        </w:rPr>
        <w:t>Sales &amp; Sales Operations Planning</w:t>
      </w:r>
    </w:p>
    <w:p>
      <w:pPr>
        <w:spacing w:after="0" w:line="9" w:lineRule="exact"/>
        <w:rPr>
          <w:rFonts w:ascii="Arial" w:cs="Arial" w:eastAsia="Arial" w:hAnsi="Arial"/>
          <w:sz w:val="15"/>
          <w:szCs w:val="15"/>
          <w:color w:val="auto"/>
        </w:rPr>
      </w:pPr>
    </w:p>
    <w:p>
      <w:pPr>
        <w:ind w:left="1420" w:hanging="430"/>
        <w:spacing w:after="0"/>
        <w:tabs>
          <w:tab w:leader="none" w:pos="1420" w:val="left"/>
        </w:tabs>
        <w:numPr>
          <w:ilvl w:val="1"/>
          <w:numId w:val="1"/>
        </w:numPr>
        <w:rPr>
          <w:rFonts w:ascii="Arial" w:cs="Arial" w:eastAsia="Arial" w:hAnsi="Arial"/>
          <w:sz w:val="15"/>
          <w:szCs w:val="15"/>
          <w:color w:val="auto"/>
        </w:rPr>
      </w:pPr>
      <w:r>
        <w:rPr>
          <w:rFonts w:ascii="Arial" w:cs="Arial" w:eastAsia="Arial" w:hAnsi="Arial"/>
          <w:sz w:val="18"/>
          <w:szCs w:val="18"/>
          <w:color w:val="auto"/>
        </w:rPr>
        <w:t>Demand to Delivery</w:t>
      </w:r>
    </w:p>
    <w:p>
      <w:pPr>
        <w:spacing w:after="0" w:line="9" w:lineRule="exact"/>
        <w:rPr>
          <w:rFonts w:ascii="Arial" w:cs="Arial" w:eastAsia="Arial" w:hAnsi="Arial"/>
          <w:sz w:val="15"/>
          <w:szCs w:val="15"/>
          <w:color w:val="auto"/>
        </w:rPr>
      </w:pPr>
    </w:p>
    <w:p>
      <w:pPr>
        <w:ind w:left="1420" w:hanging="430"/>
        <w:spacing w:after="0"/>
        <w:tabs>
          <w:tab w:leader="none" w:pos="1420" w:val="left"/>
        </w:tabs>
        <w:numPr>
          <w:ilvl w:val="1"/>
          <w:numId w:val="1"/>
        </w:numPr>
        <w:rPr>
          <w:rFonts w:ascii="Arial" w:cs="Arial" w:eastAsia="Arial" w:hAnsi="Arial"/>
          <w:sz w:val="15"/>
          <w:szCs w:val="15"/>
          <w:color w:val="auto"/>
        </w:rPr>
      </w:pPr>
      <w:r>
        <w:rPr>
          <w:rFonts w:ascii="Arial" w:cs="Arial" w:eastAsia="Arial" w:hAnsi="Arial"/>
          <w:sz w:val="18"/>
          <w:szCs w:val="18"/>
          <w:color w:val="auto"/>
        </w:rPr>
        <w:t>Procure to Pay</w:t>
      </w:r>
    </w:p>
    <w:p>
      <w:pPr>
        <w:spacing w:after="0" w:line="9" w:lineRule="exact"/>
        <w:rPr>
          <w:rFonts w:ascii="Arial" w:cs="Arial" w:eastAsia="Arial" w:hAnsi="Arial"/>
          <w:sz w:val="15"/>
          <w:szCs w:val="15"/>
          <w:color w:val="auto"/>
        </w:rPr>
      </w:pPr>
    </w:p>
    <w:p>
      <w:pPr>
        <w:ind w:left="1420" w:hanging="430"/>
        <w:spacing w:after="0"/>
        <w:tabs>
          <w:tab w:leader="none" w:pos="1420" w:val="left"/>
        </w:tabs>
        <w:numPr>
          <w:ilvl w:val="1"/>
          <w:numId w:val="1"/>
        </w:numPr>
        <w:rPr>
          <w:rFonts w:ascii="Arial" w:cs="Arial" w:eastAsia="Arial" w:hAnsi="Arial"/>
          <w:sz w:val="15"/>
          <w:szCs w:val="15"/>
          <w:color w:val="auto"/>
        </w:rPr>
      </w:pPr>
      <w:r>
        <w:rPr>
          <w:rFonts w:ascii="Arial" w:cs="Arial" w:eastAsia="Arial" w:hAnsi="Arial"/>
          <w:sz w:val="18"/>
          <w:szCs w:val="18"/>
          <w:color w:val="auto"/>
        </w:rPr>
        <w:t>Record to Report</w:t>
      </w:r>
    </w:p>
    <w:p>
      <w:pPr>
        <w:spacing w:after="0" w:line="9" w:lineRule="exact"/>
        <w:rPr>
          <w:rFonts w:ascii="Arial" w:cs="Arial" w:eastAsia="Arial" w:hAnsi="Arial"/>
          <w:sz w:val="15"/>
          <w:szCs w:val="15"/>
          <w:color w:val="auto"/>
        </w:rPr>
      </w:pPr>
    </w:p>
    <w:p>
      <w:pPr>
        <w:ind w:left="1420" w:hanging="430"/>
        <w:spacing w:after="0"/>
        <w:tabs>
          <w:tab w:leader="none" w:pos="1420" w:val="left"/>
        </w:tabs>
        <w:numPr>
          <w:ilvl w:val="1"/>
          <w:numId w:val="1"/>
        </w:numPr>
        <w:rPr>
          <w:rFonts w:ascii="Arial" w:cs="Arial" w:eastAsia="Arial" w:hAnsi="Arial"/>
          <w:sz w:val="15"/>
          <w:szCs w:val="15"/>
          <w:color w:val="auto"/>
        </w:rPr>
      </w:pPr>
      <w:r>
        <w:rPr>
          <w:rFonts w:ascii="Arial" w:cs="Arial" w:eastAsia="Arial" w:hAnsi="Arial"/>
          <w:sz w:val="18"/>
          <w:szCs w:val="18"/>
          <w:color w:val="auto"/>
        </w:rPr>
        <w:t>Hire to Retire</w:t>
      </w:r>
    </w:p>
    <w:p>
      <w:pPr>
        <w:spacing w:after="0" w:line="103" w:lineRule="exact"/>
        <w:rPr>
          <w:sz w:val="24"/>
          <w:szCs w:val="24"/>
          <w:color w:val="auto"/>
        </w:rPr>
      </w:pPr>
    </w:p>
    <w:p>
      <w:pPr>
        <w:ind w:left="1000" w:right="260"/>
        <w:spacing w:after="0" w:line="277" w:lineRule="auto"/>
        <w:rPr>
          <w:sz w:val="20"/>
          <w:szCs w:val="20"/>
          <w:color w:val="auto"/>
        </w:rPr>
      </w:pPr>
      <w:r>
        <w:rPr>
          <w:rFonts w:ascii="Arial" w:cs="Arial" w:eastAsia="Arial" w:hAnsi="Arial"/>
          <w:sz w:val="18"/>
          <w:szCs w:val="18"/>
          <w:color w:val="auto"/>
        </w:rPr>
        <w:t>As part of this review, integration teams will identify the ideal approach for the combined company. We expect that their first report out will be on March 7-8.</w:t>
      </w:r>
    </w:p>
    <w:p>
      <w:pPr>
        <w:spacing w:after="0" w:line="76" w:lineRule="exact"/>
        <w:rPr>
          <w:sz w:val="24"/>
          <w:szCs w:val="24"/>
          <w:color w:val="auto"/>
        </w:rPr>
      </w:pPr>
    </w:p>
    <w:p>
      <w:pPr>
        <w:ind w:left="860" w:right="420" w:hanging="316"/>
        <w:spacing w:after="0" w:line="277" w:lineRule="auto"/>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On Friday, March 2, the Executive Steering team will review country specific employee benefit offerings and recommendations for the combined company.</w:t>
      </w:r>
    </w:p>
    <w:p>
      <w:pPr>
        <w:spacing w:after="0" w:line="170" w:lineRule="exact"/>
        <w:rPr>
          <w:sz w:val="24"/>
          <w:szCs w:val="24"/>
          <w:color w:val="auto"/>
        </w:rPr>
      </w:pPr>
    </w:p>
    <w:p>
      <w:pPr>
        <w:jc w:val="both"/>
        <w:ind w:right="240"/>
        <w:spacing w:after="0" w:line="308" w:lineRule="auto"/>
        <w:rPr>
          <w:sz w:val="20"/>
          <w:szCs w:val="20"/>
          <w:color w:val="auto"/>
        </w:rPr>
      </w:pPr>
      <w:r>
        <w:rPr>
          <w:rFonts w:ascii="Arial" w:cs="Arial" w:eastAsia="Arial" w:hAnsi="Arial"/>
          <w:sz w:val="17"/>
          <w:szCs w:val="17"/>
          <w:color w:val="auto"/>
        </w:rPr>
        <w:t>As a reminder, while we are still on track for a mid-calendar year close, regulatory reviews move at their own pace and this timing might change. Our progress in these reviews, along with shareholder votes by both companies, will ultimately determine the actual closing date.</w:t>
      </w:r>
    </w:p>
    <w:p>
      <w:pPr>
        <w:spacing w:after="0" w:line="25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ANSWERS TO YOUR QUESTIONS</w:t>
      </w:r>
    </w:p>
    <w:p>
      <w:pPr>
        <w:spacing w:after="0" w:line="121" w:lineRule="exact"/>
        <w:rPr>
          <w:sz w:val="24"/>
          <w:szCs w:val="24"/>
          <w:color w:val="auto"/>
        </w:rPr>
      </w:pPr>
    </w:p>
    <w:p>
      <w:pPr>
        <w:spacing w:after="0"/>
        <w:rPr>
          <w:sz w:val="20"/>
          <w:szCs w:val="20"/>
          <w:color w:val="auto"/>
        </w:rPr>
      </w:pPr>
      <w:r>
        <w:rPr>
          <w:rFonts w:ascii="Arial" w:cs="Arial" w:eastAsia="Arial" w:hAnsi="Arial"/>
          <w:sz w:val="17"/>
          <w:szCs w:val="17"/>
          <w:color w:val="auto"/>
        </w:rPr>
        <w:t>Thanks for your sending your questions. Please know that we are committed to sharing information with you as soon as it becomes available.</w:t>
      </w:r>
    </w:p>
    <w:p>
      <w:pPr>
        <w:spacing w:after="0" w:line="34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What are Marvell’s health and wellness benefits?</w:t>
      </w:r>
    </w:p>
    <w:p>
      <w:pPr>
        <w:spacing w:after="0" w:line="121" w:lineRule="exact"/>
        <w:rPr>
          <w:sz w:val="24"/>
          <w:szCs w:val="24"/>
          <w:color w:val="auto"/>
        </w:rPr>
      </w:pPr>
    </w:p>
    <w:p>
      <w:pPr>
        <w:jc w:val="both"/>
        <w:ind w:right="220"/>
        <w:spacing w:after="0" w:line="264" w:lineRule="auto"/>
        <w:rPr>
          <w:sz w:val="20"/>
          <w:szCs w:val="20"/>
          <w:color w:val="auto"/>
        </w:rPr>
      </w:pPr>
      <w:r>
        <w:rPr>
          <w:rFonts w:ascii="Arial" w:cs="Arial" w:eastAsia="Arial" w:hAnsi="Arial"/>
          <w:sz w:val="18"/>
          <w:szCs w:val="18"/>
          <w:color w:val="auto"/>
        </w:rPr>
        <w:t xml:space="preserve">Benefit plans vary by country. Marvell’s current U.S. benefits, holidays and other perks can be viewed at </w:t>
      </w:r>
      <w:r>
        <w:rPr>
          <w:rFonts w:ascii="Arial" w:cs="Arial" w:eastAsia="Arial" w:hAnsi="Arial"/>
          <w:sz w:val="18"/>
          <w:szCs w:val="18"/>
          <w:u w:val="single" w:color="auto"/>
          <w:color w:val="auto"/>
        </w:rPr>
        <w:t>www.marvellbenefits.com</w:t>
      </w:r>
      <w:r>
        <w:rPr>
          <w:rFonts w:ascii="Arial" w:cs="Arial" w:eastAsia="Arial" w:hAnsi="Arial"/>
          <w:sz w:val="18"/>
          <w:szCs w:val="18"/>
          <w:color w:val="auto"/>
        </w:rPr>
        <w:t>. Please note that these are only for the U.S. and are for the current calendar year. Information about benefit offerings for the combined company (and timing of rollout) will be available closer to close.</w:t>
      </w:r>
    </w:p>
    <w:p>
      <w:pPr>
        <w:spacing w:after="0" w:line="181" w:lineRule="exact"/>
        <w:rPr>
          <w:sz w:val="24"/>
          <w:szCs w:val="24"/>
          <w:color w:val="auto"/>
        </w:rPr>
      </w:pPr>
    </w:p>
    <w:p>
      <w:pPr>
        <w:ind w:right="440"/>
        <w:spacing w:after="0" w:line="277" w:lineRule="auto"/>
        <w:rPr>
          <w:sz w:val="20"/>
          <w:szCs w:val="20"/>
          <w:color w:val="auto"/>
        </w:rPr>
      </w:pPr>
      <w:r>
        <w:rPr>
          <w:rFonts w:ascii="Arial" w:cs="Arial" w:eastAsia="Arial" w:hAnsi="Arial"/>
          <w:sz w:val="18"/>
          <w:szCs w:val="18"/>
          <w:color w:val="auto"/>
        </w:rPr>
        <w:t xml:space="preserve">Thank you again for your questions — keep them coming. Marvell employees can send them to </w:t>
      </w:r>
      <w:r>
        <w:rPr>
          <w:rFonts w:ascii="Arial" w:cs="Arial" w:eastAsia="Arial" w:hAnsi="Arial"/>
          <w:sz w:val="18"/>
          <w:szCs w:val="18"/>
          <w:u w:val="single" w:color="auto"/>
          <w:color w:val="auto"/>
        </w:rPr>
        <w:t>integrationquestions@marvell.com</w:t>
      </w:r>
      <w:r>
        <w:rPr>
          <w:rFonts w:ascii="Arial" w:cs="Arial" w:eastAsia="Arial" w:hAnsi="Arial"/>
          <w:sz w:val="18"/>
          <w:szCs w:val="18"/>
          <w:color w:val="auto"/>
        </w:rPr>
        <w:t>, and we’ll post answers as soon as they are available.</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Raghib Hussain and Andy Micallef</w:t>
      </w:r>
    </w:p>
    <w:p>
      <w:pPr>
        <w:spacing w:after="0" w:line="23" w:lineRule="exact"/>
        <w:rPr>
          <w:sz w:val="24"/>
          <w:szCs w:val="24"/>
          <w:color w:val="auto"/>
        </w:rPr>
      </w:pPr>
    </w:p>
    <w:p>
      <w:pPr>
        <w:spacing w:after="0"/>
        <w:rPr>
          <w:sz w:val="20"/>
          <w:szCs w:val="20"/>
          <w:color w:val="auto"/>
        </w:rPr>
      </w:pPr>
      <w:r>
        <w:rPr>
          <w:rFonts w:ascii="Arial" w:cs="Arial" w:eastAsia="Arial" w:hAnsi="Arial"/>
          <w:sz w:val="18"/>
          <w:szCs w:val="18"/>
          <w:color w:val="auto"/>
        </w:rPr>
        <w:t>Integration Co-Chairs</w:t>
      </w:r>
    </w:p>
    <w:p>
      <w:pPr>
        <w:sectPr>
          <w:pgSz w:w="11900" w:h="16838" w:orient="portrait"/>
          <w:cols w:equalWidth="0" w:num="1">
            <w:col w:w="11020"/>
          </w:cols>
          <w:pgMar w:left="440" w:top="233" w:right="43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Disclosures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Additional Information and Where to Find It</w:t>
      </w:r>
    </w:p>
    <w:p>
      <w:pPr>
        <w:spacing w:after="0" w:line="117" w:lineRule="exact"/>
        <w:rPr>
          <w:sz w:val="20"/>
          <w:szCs w:val="20"/>
          <w:color w:val="auto"/>
        </w:rPr>
      </w:pPr>
    </w:p>
    <w:p>
      <w:pPr>
        <w:ind w:right="80"/>
        <w:spacing w:after="0" w:line="270" w:lineRule="auto"/>
        <w:rPr>
          <w:sz w:val="20"/>
          <w:szCs w:val="20"/>
          <w:color w:val="auto"/>
        </w:rPr>
      </w:pPr>
      <w:r>
        <w:rPr>
          <w:rFonts w:ascii="Arial" w:cs="Arial" w:eastAsia="Arial" w:hAnsi="Arial"/>
          <w:sz w:val="17"/>
          <w:szCs w:val="17"/>
          <w:i w:val="1"/>
          <w:iCs w:val="1"/>
          <w:color w:val="auto"/>
        </w:rPr>
        <w:t>This communication relates to a proposed transaction between Marvell and Cavium. This communication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as amended on January 24, 2018. The registration statement on Form S-4 has been declared effective by the SEC. Beginning on February 7, 2018, a definitive joint proxy statement/prospectus was mailed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78"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i w:val="1"/>
          <w:iCs w:val="1"/>
          <w:color w:val="auto"/>
        </w:rPr>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6"/>
          <w:szCs w:val="16"/>
          <w:i w:val="1"/>
          <w:iCs w:val="1"/>
          <w:u w:val="single" w:color="auto"/>
          <w:color w:val="auto"/>
        </w:rPr>
        <w:t>www.sec.gov</w:t>
      </w:r>
      <w:r>
        <w:rPr>
          <w:rFonts w:ascii="Arial" w:cs="Arial" w:eastAsia="Arial" w:hAnsi="Arial"/>
          <w:sz w:val="16"/>
          <w:szCs w:val="16"/>
          <w:i w:val="1"/>
          <w:iCs w:val="1"/>
          <w:color w:val="auto"/>
        </w:rPr>
        <w:t>.</w:t>
      </w:r>
    </w:p>
    <w:p>
      <w:pPr>
        <w:spacing w:after="0" w:line="124"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i w:val="1"/>
          <w:iCs w:val="1"/>
          <w:color w:val="auto"/>
        </w:rPr>
        <w:t xml:space="preserve">The documents filed by Marvell with the SEC also may be obtained free of charge at Marvell’s website at </w:t>
      </w:r>
      <w:r>
        <w:rPr>
          <w:rFonts w:ascii="Arial" w:cs="Arial" w:eastAsia="Arial" w:hAnsi="Arial"/>
          <w:sz w:val="18"/>
          <w:szCs w:val="18"/>
          <w:i w:val="1"/>
          <w:iCs w:val="1"/>
          <w:u w:val="single" w:color="auto"/>
          <w:color w:val="auto"/>
        </w:rPr>
        <w:t>http://investor.marvell.com/</w:t>
      </w:r>
      <w:r>
        <w:rPr>
          <w:rFonts w:ascii="Arial" w:cs="Arial" w:eastAsia="Arial" w:hAnsi="Arial"/>
          <w:sz w:val="18"/>
          <w:szCs w:val="18"/>
          <w:i w:val="1"/>
          <w:iCs w:val="1"/>
          <w:color w:val="auto"/>
        </w:rPr>
        <w:t xml:space="preserve"> or upon written request to Marvell at 5488 Marvell Lane, Santa Clara, CA 95054.</w:t>
      </w:r>
    </w:p>
    <w:p>
      <w:pPr>
        <w:spacing w:after="0" w:line="170"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i w:val="1"/>
          <w:iCs w:val="1"/>
          <w:color w:val="auto"/>
        </w:rPr>
        <w:t xml:space="preserve">The documents filed by Cavium with the SEC also may be obtained free of charge at Cavium’s website at </w:t>
      </w:r>
      <w:r>
        <w:rPr>
          <w:rFonts w:ascii="Arial" w:cs="Arial" w:eastAsia="Arial" w:hAnsi="Arial"/>
          <w:sz w:val="18"/>
          <w:szCs w:val="18"/>
          <w:i w:val="1"/>
          <w:iCs w:val="1"/>
          <w:u w:val="single" w:color="auto"/>
          <w:color w:val="auto"/>
        </w:rPr>
        <w:t>http://investor.caviumnetworks.com</w:t>
      </w:r>
      <w:r>
        <w:rPr>
          <w:rFonts w:ascii="Arial" w:cs="Arial" w:eastAsia="Arial" w:hAnsi="Arial"/>
          <w:sz w:val="18"/>
          <w:szCs w:val="18"/>
          <w:i w:val="1"/>
          <w:iCs w:val="1"/>
          <w:color w:val="auto"/>
        </w:rPr>
        <w:t xml:space="preserve"> or upon written request to 2315 N.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For more information, investors are encouraged to visit </w:t>
      </w:r>
      <w:r>
        <w:rPr>
          <w:rFonts w:ascii="Arial" w:cs="Arial" w:eastAsia="Arial" w:hAnsi="Arial"/>
          <w:sz w:val="18"/>
          <w:szCs w:val="18"/>
          <w:i w:val="1"/>
          <w:iCs w:val="1"/>
          <w:u w:val="single" w:color="auto"/>
          <w:color w:val="auto"/>
        </w:rPr>
        <w:t>http://MarvellCavium.transactionannouncement.com</w:t>
      </w:r>
      <w:r>
        <w:rPr>
          <w:rFonts w:ascii="Arial" w:cs="Arial" w:eastAsia="Arial" w:hAnsi="Arial"/>
          <w:sz w:val="18"/>
          <w:szCs w:val="18"/>
          <w:i w:val="1"/>
          <w:iCs w:val="1"/>
          <w:color w:val="auto"/>
        </w:rPr>
        <w:t>.</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Participants in Solicitation</w:t>
      </w:r>
    </w:p>
    <w:p>
      <w:pPr>
        <w:spacing w:after="0" w:line="117" w:lineRule="exact"/>
        <w:rPr>
          <w:sz w:val="20"/>
          <w:szCs w:val="20"/>
          <w:color w:val="auto"/>
        </w:rPr>
      </w:pPr>
    </w:p>
    <w:p>
      <w:pPr>
        <w:spacing w:after="0" w:line="253" w:lineRule="auto"/>
        <w:rPr>
          <w:sz w:val="20"/>
          <w:szCs w:val="20"/>
          <w:color w:val="auto"/>
        </w:rPr>
      </w:pPr>
      <w:r>
        <w:rPr>
          <w:rFonts w:ascii="Arial" w:cs="Arial" w:eastAsia="Arial" w:hAnsi="Arial"/>
          <w:sz w:val="18"/>
          <w:szCs w:val="18"/>
          <w:i w:val="1"/>
          <w:iCs w:val="1"/>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sectPr>
      <w:pgSz w:w="11900" w:h="16838" w:orient="portrait"/>
      <w:cols w:equalWidth="0" w:num="1">
        <w:col w:w="10980"/>
      </w:cols>
      <w:pgMar w:left="440" w:top="270"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lvl w:ilvl="1">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2019-12-06T11:29:49Z</dcterms:created>
  <dcterms:modified xsi:type="dcterms:W3CDTF">2019-12-06T11:29:49Z</dcterms:modified>
</cp:coreProperties>
</file>