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827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2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 w:line="237" w:lineRule="auto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MARVELL SEMICONDUCTOR, INC.</w:t>
        </w:r>
      </w:hyperlink>
      <w:r>
        <w:rPr>
          <w:rFonts w:ascii="Arial" w:cs="Arial" w:eastAsia="Arial" w:hAnsi="Arial"/>
          <w:sz w:val="22"/>
          <w:szCs w:val="22"/>
          <w:u w:val="single" w:color="auto"/>
          <w:color w:val="0000EE"/>
        </w:rPr>
        <w:t xml:space="preserve"> </w:t>
      </w: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CARON DAVID</w:t>
        </w:r>
      </w:hyperlink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01/18/2018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0"/>
          <w:szCs w:val="20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54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Corporate Controller and CAO</w:t>
      </w:r>
    </w:p>
    <w:p>
      <w:pPr>
        <w:spacing w:after="0" w:line="43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3">
            <w:col w:w="3600" w:space="473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60" w:type="dxa"/>
            <w:vAlign w:val="bottom"/>
            <w:gridSpan w:val="6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>4. If Amendment, Date of Original Filed (Month/Day/Year)</w:t>
            </w:r>
          </w:p>
        </w:tc>
        <w:tc>
          <w:tcPr>
            <w:tcW w:w="3840" w:type="dxa"/>
            <w:vAlign w:val="bottom"/>
            <w:gridSpan w:val="7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4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Line)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60" w:type="dxa"/>
            <w:vAlign w:val="bottom"/>
            <w:gridSpan w:val="6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SANTA CLARA CA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40" w:type="dxa"/>
            <w:vAlign w:val="bottom"/>
            <w:gridSpan w:val="5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Person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6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jc w:val="center"/>
              <w:ind w:lef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 - Non-Derivative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80" w:type="dxa"/>
            <w:vAlign w:val="bottom"/>
            <w:gridSpan w:val="3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338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3"/>
          </w:tcPr>
          <w:p>
            <w:pPr>
              <w:ind w:left="6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01/18/2018</w:t>
            </w: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5"/>
              </w:rPr>
              <w:t>S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1,512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8"/>
                <w:vertAlign w:val="superscript"/>
              </w:rPr>
              <w:t>(1)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5"/>
              </w:rPr>
              <w:t>23.8638</w:t>
            </w: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jc w:val="center"/>
              <w:ind w:left="8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008000"/>
        </w:rPr>
        <w:t>1. The 1,512 shares were acquired under the Marvell 2000 Employee Stock Purchase Plan on December 7, 2017, in an exempt transaction under Rule 16b-3(c) of the Securities Exchange Act of 1934.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ind w:left="6860"/>
        <w:spacing w:after="0" w:line="22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David Caron by Mary Ahern as </w:t>
      </w:r>
      <w:r>
        <w:rPr>
          <w:rFonts w:ascii="Arial" w:cs="Arial" w:eastAsia="Arial" w:hAnsi="Arial"/>
          <w:sz w:val="35"/>
          <w:szCs w:val="35"/>
          <w:color w:val="0000FF"/>
          <w:vertAlign w:val="subscript"/>
        </w:rPr>
        <w:t>01/19/2018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-28575</wp:posOffset>
            </wp:positionV>
            <wp:extent cx="140843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-22860</wp:posOffset>
            </wp:positionV>
            <wp:extent cx="69342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5810885</wp:posOffset>
            </wp:positionH>
            <wp:positionV relativeFrom="paragraph">
              <wp:posOffset>-91440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9856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2019-12-03T23:29:45Z</dcterms:created>
  <dcterms:modified xsi:type="dcterms:W3CDTF">2019-12-03T23:29:45Z</dcterms:modified>
</cp:coreProperties>
</file>