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Canon’s Court</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22 Victoria Street</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Hamilton HM 12, Bermuda</w:t>
      </w:r>
    </w:p>
    <w:p>
      <w:pPr>
        <w:spacing w:after="0" w:line="211" w:lineRule="exact"/>
        <w:rPr>
          <w:sz w:val="24"/>
          <w:szCs w:val="24"/>
          <w:color w:val="auto"/>
        </w:rPr>
      </w:pPr>
    </w:p>
    <w:p>
      <w:pPr>
        <w:spacing w:after="0"/>
        <w:rPr>
          <w:sz w:val="20"/>
          <w:szCs w:val="20"/>
          <w:color w:val="auto"/>
        </w:rPr>
      </w:pPr>
      <w:r>
        <w:rPr>
          <w:rFonts w:ascii="Arial" w:cs="Arial" w:eastAsia="Arial" w:hAnsi="Arial"/>
          <w:sz w:val="18"/>
          <w:szCs w:val="18"/>
          <w:color w:val="auto"/>
        </w:rPr>
        <w:t>January 29, 2018</w:t>
      </w:r>
    </w:p>
    <w:p>
      <w:pPr>
        <w:spacing w:after="0" w:line="221"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VIA EDGAR</w:t>
      </w:r>
    </w:p>
    <w:p>
      <w:pPr>
        <w:spacing w:after="0" w:line="229" w:lineRule="exact"/>
        <w:rPr>
          <w:sz w:val="24"/>
          <w:szCs w:val="24"/>
          <w:color w:val="auto"/>
        </w:rPr>
      </w:pPr>
    </w:p>
    <w:p>
      <w:pPr>
        <w:spacing w:after="0"/>
        <w:rPr>
          <w:sz w:val="20"/>
          <w:szCs w:val="20"/>
          <w:color w:val="auto"/>
        </w:rPr>
      </w:pPr>
      <w:r>
        <w:rPr>
          <w:rFonts w:ascii="Arial" w:cs="Arial" w:eastAsia="Arial" w:hAnsi="Arial"/>
          <w:sz w:val="18"/>
          <w:szCs w:val="18"/>
          <w:color w:val="auto"/>
        </w:rPr>
        <w:t>Amanda Ravitz</w:t>
      </w:r>
    </w:p>
    <w:p>
      <w:pPr>
        <w:spacing w:after="0" w:line="23" w:lineRule="exact"/>
        <w:rPr>
          <w:sz w:val="24"/>
          <w:szCs w:val="24"/>
          <w:color w:val="auto"/>
        </w:rPr>
      </w:pPr>
    </w:p>
    <w:p>
      <w:pPr>
        <w:spacing w:after="0"/>
        <w:rPr>
          <w:sz w:val="20"/>
          <w:szCs w:val="20"/>
          <w:color w:val="auto"/>
        </w:rPr>
      </w:pPr>
      <w:r>
        <w:rPr>
          <w:rFonts w:ascii="Arial" w:cs="Arial" w:eastAsia="Arial" w:hAnsi="Arial"/>
          <w:sz w:val="18"/>
          <w:szCs w:val="18"/>
          <w:color w:val="auto"/>
        </w:rPr>
        <w:t>Assistant Director, Office of Electronics and Machinery</w:t>
      </w:r>
    </w:p>
    <w:p>
      <w:pPr>
        <w:spacing w:after="0" w:line="9" w:lineRule="exact"/>
        <w:rPr>
          <w:sz w:val="24"/>
          <w:szCs w:val="24"/>
          <w:color w:val="auto"/>
        </w:rPr>
      </w:pPr>
    </w:p>
    <w:p>
      <w:pPr>
        <w:spacing w:after="0"/>
        <w:rPr>
          <w:sz w:val="20"/>
          <w:szCs w:val="20"/>
          <w:color w:val="auto"/>
        </w:rPr>
      </w:pPr>
      <w:r>
        <w:rPr>
          <w:rFonts w:ascii="Arial" w:cs="Arial" w:eastAsia="Arial" w:hAnsi="Arial"/>
          <w:sz w:val="18"/>
          <w:szCs w:val="18"/>
          <w:color w:val="auto"/>
        </w:rPr>
        <w:t>U.S. Securities and Exchange Commission</w:t>
      </w:r>
    </w:p>
    <w:p>
      <w:pPr>
        <w:spacing w:after="0" w:line="9" w:lineRule="exact"/>
        <w:rPr>
          <w:sz w:val="24"/>
          <w:szCs w:val="24"/>
          <w:color w:val="auto"/>
        </w:rPr>
      </w:pPr>
    </w:p>
    <w:p>
      <w:pPr>
        <w:spacing w:after="0"/>
        <w:rPr>
          <w:sz w:val="20"/>
          <w:szCs w:val="20"/>
          <w:color w:val="auto"/>
        </w:rPr>
      </w:pPr>
      <w:r>
        <w:rPr>
          <w:rFonts w:ascii="Arial" w:cs="Arial" w:eastAsia="Arial" w:hAnsi="Arial"/>
          <w:sz w:val="18"/>
          <w:szCs w:val="18"/>
          <w:color w:val="auto"/>
        </w:rPr>
        <w:t>Division of Corporate Finance</w:t>
      </w:r>
    </w:p>
    <w:p>
      <w:pPr>
        <w:spacing w:after="0" w:line="9" w:lineRule="exact"/>
        <w:rPr>
          <w:sz w:val="24"/>
          <w:szCs w:val="24"/>
          <w:color w:val="auto"/>
        </w:rPr>
      </w:pPr>
    </w:p>
    <w:p>
      <w:pPr>
        <w:spacing w:after="0"/>
        <w:rPr>
          <w:sz w:val="20"/>
          <w:szCs w:val="20"/>
          <w:color w:val="auto"/>
        </w:rPr>
      </w:pPr>
      <w:r>
        <w:rPr>
          <w:rFonts w:ascii="Arial" w:cs="Arial" w:eastAsia="Arial" w:hAnsi="Arial"/>
          <w:sz w:val="18"/>
          <w:szCs w:val="18"/>
          <w:color w:val="auto"/>
        </w:rPr>
        <w:t>100 F Street, N.E.</w:t>
      </w:r>
    </w:p>
    <w:p>
      <w:pPr>
        <w:spacing w:after="0" w:line="9" w:lineRule="exact"/>
        <w:rPr>
          <w:sz w:val="24"/>
          <w:szCs w:val="24"/>
          <w:color w:val="auto"/>
        </w:rPr>
      </w:pPr>
    </w:p>
    <w:p>
      <w:pPr>
        <w:spacing w:after="0"/>
        <w:rPr>
          <w:sz w:val="20"/>
          <w:szCs w:val="20"/>
          <w:color w:val="auto"/>
        </w:rPr>
      </w:pPr>
      <w:r>
        <w:rPr>
          <w:rFonts w:ascii="Arial" w:cs="Arial" w:eastAsia="Arial" w:hAnsi="Arial"/>
          <w:sz w:val="18"/>
          <w:szCs w:val="18"/>
          <w:color w:val="auto"/>
        </w:rPr>
        <w:t>Washington, D.C. 20549</w:t>
      </w:r>
    </w:p>
    <w:p>
      <w:pPr>
        <w:spacing w:after="0" w:line="238" w:lineRule="exact"/>
        <w:rPr>
          <w:sz w:val="24"/>
          <w:szCs w:val="24"/>
          <w:color w:val="auto"/>
        </w:rPr>
      </w:pPr>
    </w:p>
    <w:p>
      <w:pPr>
        <w:ind w:left="1780"/>
        <w:spacing w:after="0"/>
        <w:tabs>
          <w:tab w:leader="none" w:pos="2300" w:val="left"/>
        </w:tabs>
        <w:rPr>
          <w:sz w:val="20"/>
          <w:szCs w:val="20"/>
          <w:color w:val="auto"/>
        </w:rPr>
      </w:pPr>
      <w:r>
        <w:rPr>
          <w:rFonts w:ascii="Arial" w:cs="Arial" w:eastAsia="Arial" w:hAnsi="Arial"/>
          <w:sz w:val="18"/>
          <w:szCs w:val="18"/>
          <w:color w:val="auto"/>
        </w:rPr>
        <w:t>Re:</w:t>
      </w:r>
      <w:r>
        <w:rPr>
          <w:sz w:val="20"/>
          <w:szCs w:val="20"/>
          <w:color w:val="auto"/>
        </w:rPr>
        <w:tab/>
      </w:r>
      <w:r>
        <w:rPr>
          <w:rFonts w:ascii="Arial" w:cs="Arial" w:eastAsia="Arial" w:hAnsi="Arial"/>
          <w:sz w:val="18"/>
          <w:szCs w:val="18"/>
          <w:color w:val="auto"/>
        </w:rPr>
        <w:t>Marvell Technology Group Ltd.</w:t>
      </w:r>
    </w:p>
    <w:p>
      <w:pPr>
        <w:spacing w:after="0" w:line="23" w:lineRule="exact"/>
        <w:rPr>
          <w:sz w:val="24"/>
          <w:szCs w:val="24"/>
          <w:color w:val="auto"/>
        </w:rPr>
      </w:pPr>
    </w:p>
    <w:p>
      <w:pPr>
        <w:ind w:left="2320"/>
        <w:spacing w:after="0"/>
        <w:rPr>
          <w:sz w:val="20"/>
          <w:szCs w:val="20"/>
          <w:color w:val="auto"/>
        </w:rPr>
      </w:pPr>
      <w:r>
        <w:rPr>
          <w:rFonts w:ascii="Arial" w:cs="Arial" w:eastAsia="Arial" w:hAnsi="Arial"/>
          <w:sz w:val="18"/>
          <w:szCs w:val="18"/>
          <w:color w:val="auto"/>
        </w:rPr>
        <w:t>Registration Statement on Form S-4</w:t>
      </w:r>
    </w:p>
    <w:p>
      <w:pPr>
        <w:spacing w:after="0" w:line="9" w:lineRule="exact"/>
        <w:rPr>
          <w:sz w:val="24"/>
          <w:szCs w:val="24"/>
          <w:color w:val="auto"/>
        </w:rPr>
      </w:pPr>
    </w:p>
    <w:p>
      <w:pPr>
        <w:ind w:left="2320"/>
        <w:spacing w:after="0"/>
        <w:rPr>
          <w:sz w:val="20"/>
          <w:szCs w:val="20"/>
          <w:color w:val="auto"/>
        </w:rPr>
      </w:pPr>
      <w:r>
        <w:rPr>
          <w:rFonts w:ascii="Arial" w:cs="Arial" w:eastAsia="Arial" w:hAnsi="Arial"/>
          <w:sz w:val="18"/>
          <w:szCs w:val="18"/>
          <w:color w:val="auto"/>
        </w:rPr>
        <w:t>Request for Acceleration of Effective Date</w:t>
      </w:r>
    </w:p>
    <w:p>
      <w:pPr>
        <w:spacing w:after="0" w:line="211" w:lineRule="exact"/>
        <w:rPr>
          <w:sz w:val="24"/>
          <w:szCs w:val="24"/>
          <w:color w:val="auto"/>
        </w:rPr>
      </w:pPr>
    </w:p>
    <w:p>
      <w:pPr>
        <w:spacing w:after="0"/>
        <w:rPr>
          <w:sz w:val="20"/>
          <w:szCs w:val="20"/>
          <w:color w:val="auto"/>
        </w:rPr>
      </w:pPr>
      <w:r>
        <w:rPr>
          <w:rFonts w:ascii="Arial" w:cs="Arial" w:eastAsia="Arial" w:hAnsi="Arial"/>
          <w:sz w:val="18"/>
          <w:szCs w:val="18"/>
          <w:color w:val="auto"/>
        </w:rPr>
        <w:t>Ladies and Gentlemen:</w:t>
      </w:r>
    </w:p>
    <w:p>
      <w:pPr>
        <w:spacing w:after="0" w:line="113" w:lineRule="exact"/>
        <w:rPr>
          <w:sz w:val="24"/>
          <w:szCs w:val="24"/>
          <w:color w:val="auto"/>
        </w:rPr>
      </w:pPr>
    </w:p>
    <w:p>
      <w:pPr>
        <w:ind w:right="240" w:firstLine="441"/>
        <w:spacing w:after="0" w:line="281" w:lineRule="auto"/>
        <w:rPr>
          <w:sz w:val="20"/>
          <w:szCs w:val="20"/>
          <w:color w:val="auto"/>
        </w:rPr>
      </w:pPr>
      <w:r>
        <w:rPr>
          <w:rFonts w:ascii="Arial" w:cs="Arial" w:eastAsia="Arial" w:hAnsi="Arial"/>
          <w:sz w:val="17"/>
          <w:szCs w:val="17"/>
          <w:color w:val="auto"/>
        </w:rPr>
        <w:t>Pursuant to Rule 461 under the Securities Act of 1933, as amended (the “</w:t>
      </w:r>
      <w:r>
        <w:rPr>
          <w:rFonts w:ascii="Arial" w:cs="Arial" w:eastAsia="Arial" w:hAnsi="Arial"/>
          <w:sz w:val="17"/>
          <w:szCs w:val="17"/>
          <w:b w:val="1"/>
          <w:bCs w:val="1"/>
          <w:color w:val="auto"/>
        </w:rPr>
        <w:t>Act</w:t>
      </w:r>
      <w:r>
        <w:rPr>
          <w:rFonts w:ascii="Arial" w:cs="Arial" w:eastAsia="Arial" w:hAnsi="Arial"/>
          <w:sz w:val="17"/>
          <w:szCs w:val="17"/>
          <w:color w:val="auto"/>
        </w:rPr>
        <w:t>”), Marvell Technology Group Ltd. (the “</w:t>
      </w:r>
      <w:r>
        <w:rPr>
          <w:rFonts w:ascii="Arial" w:cs="Arial" w:eastAsia="Arial" w:hAnsi="Arial"/>
          <w:sz w:val="17"/>
          <w:szCs w:val="17"/>
          <w:b w:val="1"/>
          <w:bCs w:val="1"/>
          <w:color w:val="auto"/>
        </w:rPr>
        <w:t>Company</w:t>
      </w:r>
      <w:r>
        <w:rPr>
          <w:rFonts w:ascii="Arial" w:cs="Arial" w:eastAsia="Arial" w:hAnsi="Arial"/>
          <w:sz w:val="17"/>
          <w:szCs w:val="17"/>
          <w:color w:val="auto"/>
        </w:rPr>
        <w:t>”) hereby requests that the effective date of the Company’s Registration Statement on Form S-4 (File No. 333-222235) filed with the Securities and Exchange Commission (the “</w:t>
      </w:r>
      <w:r>
        <w:rPr>
          <w:rFonts w:ascii="Arial" w:cs="Arial" w:eastAsia="Arial" w:hAnsi="Arial"/>
          <w:sz w:val="17"/>
          <w:szCs w:val="17"/>
          <w:b w:val="1"/>
          <w:bCs w:val="1"/>
          <w:color w:val="auto"/>
        </w:rPr>
        <w:t>Commission</w:t>
      </w:r>
      <w:r>
        <w:rPr>
          <w:rFonts w:ascii="Arial" w:cs="Arial" w:eastAsia="Arial" w:hAnsi="Arial"/>
          <w:sz w:val="17"/>
          <w:szCs w:val="17"/>
          <w:color w:val="auto"/>
        </w:rPr>
        <w:t>”) on January 24, 2018 (the “</w:t>
      </w:r>
      <w:r>
        <w:rPr>
          <w:rFonts w:ascii="Arial" w:cs="Arial" w:eastAsia="Arial" w:hAnsi="Arial"/>
          <w:sz w:val="17"/>
          <w:szCs w:val="17"/>
          <w:b w:val="1"/>
          <w:bCs w:val="1"/>
          <w:color w:val="auto"/>
        </w:rPr>
        <w:t>Registration Statement</w:t>
      </w:r>
      <w:r>
        <w:rPr>
          <w:rFonts w:ascii="Arial" w:cs="Arial" w:eastAsia="Arial" w:hAnsi="Arial"/>
          <w:sz w:val="17"/>
          <w:szCs w:val="17"/>
          <w:color w:val="auto"/>
        </w:rPr>
        <w:t>”) be accelerated so that the Company’s Registration Statement will become effective at 9:00 a.m. Eastern Time on February 5, 2018, or as soon thereafter as is practicable.</w:t>
      </w:r>
    </w:p>
    <w:p>
      <w:pPr>
        <w:spacing w:after="0" w:line="169" w:lineRule="exact"/>
        <w:rPr>
          <w:sz w:val="24"/>
          <w:szCs w:val="24"/>
          <w:color w:val="auto"/>
        </w:rPr>
      </w:pPr>
    </w:p>
    <w:p>
      <w:pPr>
        <w:ind w:left="440"/>
        <w:spacing w:after="0"/>
        <w:rPr>
          <w:sz w:val="20"/>
          <w:szCs w:val="20"/>
          <w:color w:val="auto"/>
        </w:rPr>
      </w:pPr>
      <w:r>
        <w:rPr>
          <w:rFonts w:ascii="Arial" w:cs="Arial" w:eastAsia="Arial" w:hAnsi="Arial"/>
          <w:sz w:val="18"/>
          <w:szCs w:val="18"/>
          <w:color w:val="auto"/>
        </w:rPr>
        <w:t>In connection with this request, the Company acknowledges to the Commission that:</w:t>
      </w:r>
    </w:p>
    <w:p>
      <w:pPr>
        <w:spacing w:after="0" w:line="131" w:lineRule="exact"/>
        <w:rPr>
          <w:sz w:val="24"/>
          <w:szCs w:val="24"/>
          <w:color w:val="auto"/>
        </w:rPr>
      </w:pPr>
    </w:p>
    <w:p>
      <w:pPr>
        <w:ind w:left="860" w:right="40" w:hanging="316"/>
        <w:spacing w:after="0" w:line="277" w:lineRule="auto"/>
        <w:tabs>
          <w:tab w:leader="none" w:pos="860" w:val="left"/>
        </w:tabs>
        <w:numPr>
          <w:ilvl w:val="0"/>
          <w:numId w:val="1"/>
        </w:numPr>
        <w:rPr>
          <w:rFonts w:ascii="Arial" w:cs="Arial" w:eastAsia="Arial" w:hAnsi="Arial"/>
          <w:sz w:val="18"/>
          <w:szCs w:val="18"/>
          <w:color w:val="auto"/>
        </w:rPr>
      </w:pPr>
      <w:r>
        <w:rPr>
          <w:rFonts w:ascii="Arial" w:cs="Arial" w:eastAsia="Arial" w:hAnsi="Arial"/>
          <w:sz w:val="18"/>
          <w:szCs w:val="18"/>
          <w:color w:val="auto"/>
        </w:rPr>
        <w:t>should the Commission or the staff, acting pursuant to delegated authority, declare the filing effective, it does not foreclose the Commission from taking any action with respect to the filing;</w:t>
      </w:r>
    </w:p>
    <w:p>
      <w:pPr>
        <w:spacing w:after="0" w:line="75" w:lineRule="exact"/>
        <w:rPr>
          <w:rFonts w:ascii="Arial" w:cs="Arial" w:eastAsia="Arial" w:hAnsi="Arial"/>
          <w:sz w:val="18"/>
          <w:szCs w:val="18"/>
          <w:color w:val="auto"/>
        </w:rPr>
      </w:pPr>
    </w:p>
    <w:p>
      <w:pPr>
        <w:ind w:left="860" w:right="560" w:hanging="316"/>
        <w:spacing w:after="0" w:line="277" w:lineRule="auto"/>
        <w:tabs>
          <w:tab w:leader="none" w:pos="860" w:val="left"/>
        </w:tabs>
        <w:numPr>
          <w:ilvl w:val="0"/>
          <w:numId w:val="1"/>
        </w:numPr>
        <w:rPr>
          <w:rFonts w:ascii="Arial" w:cs="Arial" w:eastAsia="Arial" w:hAnsi="Arial"/>
          <w:sz w:val="18"/>
          <w:szCs w:val="18"/>
          <w:color w:val="auto"/>
        </w:rPr>
      </w:pPr>
      <w:r>
        <w:rPr>
          <w:rFonts w:ascii="Arial" w:cs="Arial" w:eastAsia="Arial" w:hAnsi="Arial"/>
          <w:sz w:val="18"/>
          <w:szCs w:val="18"/>
          <w:color w:val="auto"/>
        </w:rPr>
        <w:t>the action of the Commission or the staff, acting pursuant to delegated authority, in declaring the filing effective, does not relieve the Company from its full responsibility for the adequacy and accuracy of the disclosure in the filing; and</w:t>
      </w:r>
    </w:p>
    <w:p>
      <w:pPr>
        <w:spacing w:after="0" w:line="75" w:lineRule="exact"/>
        <w:rPr>
          <w:rFonts w:ascii="Arial" w:cs="Arial" w:eastAsia="Arial" w:hAnsi="Arial"/>
          <w:sz w:val="18"/>
          <w:szCs w:val="18"/>
          <w:color w:val="auto"/>
        </w:rPr>
      </w:pPr>
    </w:p>
    <w:p>
      <w:pPr>
        <w:ind w:left="860" w:hanging="316"/>
        <w:spacing w:after="0" w:line="277" w:lineRule="auto"/>
        <w:tabs>
          <w:tab w:leader="none" w:pos="860" w:val="left"/>
        </w:tabs>
        <w:numPr>
          <w:ilvl w:val="0"/>
          <w:numId w:val="1"/>
        </w:numPr>
        <w:rPr>
          <w:rFonts w:ascii="Arial" w:cs="Arial" w:eastAsia="Arial" w:hAnsi="Arial"/>
          <w:sz w:val="18"/>
          <w:szCs w:val="18"/>
          <w:color w:val="auto"/>
        </w:rPr>
      </w:pPr>
      <w:r>
        <w:rPr>
          <w:rFonts w:ascii="Arial" w:cs="Arial" w:eastAsia="Arial" w:hAnsi="Arial"/>
          <w:sz w:val="18"/>
          <w:szCs w:val="18"/>
          <w:color w:val="auto"/>
        </w:rPr>
        <w:t>the Company may not assert staff comments and the declaration of effectiveness as a defense in any proceeding initiated by the Commission or any person under the federal securities laws of the United States.</w:t>
      </w:r>
    </w:p>
    <w:p>
      <w:pPr>
        <w:sectPr>
          <w:pgSz w:w="11900" w:h="16838" w:orient="portrait"/>
          <w:cols w:equalWidth="0" w:num="1">
            <w:col w:w="10980"/>
          </w:cols>
          <w:pgMar w:left="440" w:top="229" w:right="479" w:bottom="1440" w:gutter="0" w:footer="0" w:header="0"/>
        </w:sectPr>
      </w:pPr>
    </w:p>
    <w:bookmarkStart w:id="1" w:name="page2"/>
    <w:bookmarkEnd w:id="1"/>
    <w:p>
      <w:pPr>
        <w:ind w:right="60" w:firstLine="441"/>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Company hereby confirms that it is aware of its responsibilities under the Act and the Securities Exchange Act of 1934, as amended, as they relate to the proposed public offering of the securities specified in the Registration Statement.</w:t>
      </w:r>
    </w:p>
    <w:p>
      <w:pPr>
        <w:spacing w:after="0" w:line="170" w:lineRule="exact"/>
        <w:rPr>
          <w:sz w:val="20"/>
          <w:szCs w:val="20"/>
          <w:color w:val="auto"/>
        </w:rPr>
      </w:pPr>
    </w:p>
    <w:p>
      <w:pPr>
        <w:ind w:firstLine="441"/>
        <w:spacing w:after="0" w:line="308" w:lineRule="auto"/>
        <w:rPr>
          <w:sz w:val="20"/>
          <w:szCs w:val="20"/>
          <w:color w:val="auto"/>
        </w:rPr>
      </w:pPr>
      <w:r>
        <w:rPr>
          <w:rFonts w:ascii="Arial" w:cs="Arial" w:eastAsia="Arial" w:hAnsi="Arial"/>
          <w:sz w:val="17"/>
          <w:szCs w:val="17"/>
          <w:color w:val="auto"/>
        </w:rPr>
        <w:t>The Company requests that it be notified of such effectiveness by a telephone call to Lillian Tsu of Hogan Lovells US LLP at (212) 918-3599 and that such effectiveness also be confirmed in writing to the addresses listed on the cover page of the Registration Statement.</w:t>
      </w:r>
    </w:p>
    <w:p>
      <w:pPr>
        <w:spacing w:after="0" w:line="174"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Sincerely,</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MITCHELL L. GAYNOR</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Mitchell 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4389120</wp:posOffset>
            </wp:positionH>
            <wp:positionV relativeFrom="paragraph">
              <wp:posOffset>-130810</wp:posOffset>
            </wp:positionV>
            <wp:extent cx="2615565"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2615565" cy="8890"/>
                    </a:xfrm>
                    <a:prstGeom prst="rect">
                      <a:avLst/>
                    </a:prstGeom>
                    <a:noFill/>
                  </pic:spPr>
                </pic:pic>
              </a:graphicData>
            </a:graphic>
          </wp:anchor>
        </w:drawing>
      </w:r>
    </w:p>
    <w:p>
      <w:pPr>
        <w:spacing w:after="0" w:line="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Chief Administration and Legal Officer</w:t>
      </w:r>
    </w:p>
    <w:sectPr>
      <w:pgSz w:w="11900" w:h="16838" w:orient="portrait"/>
      <w:cols w:equalWidth="0" w:num="1">
        <w:col w:w="10940"/>
      </w:cols>
      <w:pgMar w:left="440" w:top="274" w:right="5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2019-12-06T11:40:56Z</dcterms:created>
  <dcterms:modified xsi:type="dcterms:W3CDTF">2019-12-06T11:40:56Z</dcterms:modified>
</cp:coreProperties>
</file>