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w:t>
      </w:r>
    </w:p>
    <w:p>
      <w:pPr>
        <w:jc w:val="center"/>
        <w:ind w:right="-5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Date of Report (Date of earliest event reported): January 29,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00"/>
          </w:cols>
          <w:pgMar w:left="240" w:top="368" w:right="29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20"/>
          </w:cols>
          <w:pgMar w:left="240" w:top="368" w:right="299" w:bottom="1440" w:gutter="0" w:footer="0" w:header="0"/>
          <w:type w:val="continuous"/>
        </w:sectPr>
      </w:pPr>
    </w:p>
    <w:p>
      <w:pPr>
        <w:spacing w:after="0" w:line="6"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7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7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6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spacing w:after="0" w:line="207" w:lineRule="exact"/>
        <w:tabs>
          <w:tab w:leader="none" w:pos="2140" w:val="left"/>
        </w:tabs>
        <w:rPr>
          <w:sz w:val="20"/>
          <w:szCs w:val="20"/>
          <w:color w:val="auto"/>
        </w:rPr>
      </w:pP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258" w:lineRule="exact"/>
        <w:rPr>
          <w:sz w:val="24"/>
          <w:szCs w:val="24"/>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133350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176530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60"/>
          </w:cols>
          <w:pgMar w:left="240" w:top="368" w:right="29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264" w:lineRule="auto"/>
        <w:rPr>
          <w:sz w:val="20"/>
          <w:szCs w:val="20"/>
          <w:color w:val="auto"/>
        </w:rPr>
      </w:pPr>
      <w:r>
        <w:rPr>
          <w:rFonts w:ascii="Arial" w:cs="Arial" w:eastAsia="Arial" w:hAnsi="Arial"/>
          <w:sz w:val="18"/>
          <w:szCs w:val="18"/>
          <w:color w:val="auto"/>
        </w:rPr>
        <w:t>On January 29, 2018, Marvell Technology Group Ltd. issued a press release announcing that the waiting period under the Hart-Scott-Rodino Antitrust Improvements Act of 1976, as amended, in connection with its previously announced proposed acquisition of Cavium, Inc., has expired. A copy of the press release is attached as Exhibit 99.1 to this Current Report on Form 8-K and incorporated herein by reference.</w:t>
      </w:r>
    </w:p>
    <w:p>
      <w:pPr>
        <w:spacing w:after="0" w:line="32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460" w:hanging="452"/>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following exhibit is filed with this Current Report on Form 8-K.</w:t>
      </w:r>
    </w:p>
    <w:p>
      <w:pPr>
        <w:spacing w:after="0" w:line="248" w:lineRule="exact"/>
        <w:rPr>
          <w:sz w:val="20"/>
          <w:szCs w:val="20"/>
          <w:color w:val="auto"/>
        </w:rPr>
      </w:pPr>
    </w:p>
    <w:tbl>
      <w:tblPr>
        <w:tblLayout w:type="fixed"/>
        <w:tblInd w:w="500" w:type="dxa"/>
        <w:tblCellMar>
          <w:top w:w="0" w:type="dxa"/>
          <w:left w:w="0" w:type="dxa"/>
          <w:bottom w:w="0" w:type="dxa"/>
          <w:right w:w="0" w:type="dxa"/>
        </w:tblCellMar>
      </w:tblPr>
      <w:tr>
        <w:trPr>
          <w:trHeight w:val="167"/>
        </w:trPr>
        <w:tc>
          <w:tcPr>
            <w:tcW w:w="60" w:type="dxa"/>
            <w:vAlign w:val="bottom"/>
          </w:tcPr>
          <w:p>
            <w:pPr>
              <w:spacing w:after="0"/>
              <w:rPr>
                <w:sz w:val="14"/>
                <w:szCs w:val="14"/>
                <w:color w:val="auto"/>
              </w:rPr>
            </w:pPr>
          </w:p>
        </w:tc>
        <w:tc>
          <w:tcPr>
            <w:tcW w:w="1280" w:type="dxa"/>
            <w:vAlign w:val="bottom"/>
            <w:gridSpan w:val="2"/>
          </w:tcPr>
          <w:p>
            <w:pPr>
              <w:spacing w:after="0"/>
              <w:rPr>
                <w:sz w:val="20"/>
                <w:szCs w:val="20"/>
                <w:color w:val="auto"/>
              </w:rPr>
            </w:pPr>
            <w:r>
              <w:rPr>
                <w:rFonts w:ascii="Arial" w:cs="Arial" w:eastAsia="Arial" w:hAnsi="Arial"/>
                <w:sz w:val="14"/>
                <w:szCs w:val="14"/>
                <w:color w:val="auto"/>
              </w:rPr>
              <w:t>Exhibit No.</w:t>
            </w:r>
          </w:p>
        </w:tc>
        <w:tc>
          <w:tcPr>
            <w:tcW w:w="2800" w:type="dxa"/>
            <w:vAlign w:val="bottom"/>
            <w:gridSpan w:val="2"/>
          </w:tcPr>
          <w:p>
            <w:pPr>
              <w:spacing w:after="0"/>
              <w:rPr>
                <w:sz w:val="20"/>
                <w:szCs w:val="20"/>
                <w:color w:val="auto"/>
              </w:rPr>
            </w:pPr>
            <w:r>
              <w:rPr>
                <w:rFonts w:ascii="Arial" w:cs="Arial" w:eastAsia="Arial" w:hAnsi="Arial"/>
                <w:sz w:val="14"/>
                <w:szCs w:val="14"/>
                <w:color w:val="auto"/>
              </w:rPr>
              <w:t>Description</w:t>
            </w:r>
          </w:p>
        </w:tc>
      </w:tr>
      <w:tr>
        <w:trPr>
          <w:trHeight w:val="20"/>
        </w:trPr>
        <w:tc>
          <w:tcPr>
            <w:tcW w:w="60" w:type="dxa"/>
            <w:vAlign w:val="bottom"/>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r>
      <w:tr>
        <w:trPr>
          <w:trHeight w:val="264"/>
        </w:trPr>
        <w:tc>
          <w:tcPr>
            <w:tcW w:w="720" w:type="dxa"/>
            <w:vAlign w:val="bottom"/>
            <w:gridSpan w:val="2"/>
          </w:tcPr>
          <w:p>
            <w:pPr>
              <w:jc w:val="right"/>
              <w:ind w:right="328"/>
              <w:spacing w:after="0"/>
              <w:rPr>
                <w:sz w:val="20"/>
                <w:szCs w:val="20"/>
                <w:color w:val="auto"/>
              </w:rPr>
            </w:pPr>
            <w:r>
              <w:rPr>
                <w:rFonts w:ascii="Arial" w:cs="Arial" w:eastAsia="Arial" w:hAnsi="Arial"/>
                <w:sz w:val="18"/>
                <w:szCs w:val="18"/>
                <w:color w:val="auto"/>
                <w:w w:val="85"/>
              </w:rPr>
              <w:t>99.1</w:t>
            </w:r>
          </w:p>
        </w:tc>
        <w:tc>
          <w:tcPr>
            <w:tcW w:w="620" w:type="dxa"/>
            <w:vAlign w:val="bottom"/>
          </w:tcPr>
          <w:p>
            <w:pPr>
              <w:spacing w:after="0"/>
              <w:rPr>
                <w:sz w:val="22"/>
                <w:szCs w:val="22"/>
                <w:color w:val="auto"/>
              </w:rPr>
            </w:pPr>
          </w:p>
        </w:tc>
        <w:tc>
          <w:tcPr>
            <w:tcW w:w="2800" w:type="dxa"/>
            <w:vAlign w:val="bottom"/>
            <w:tcBorders>
              <w:bottom w:val="single" w:sz="8" w:color="0000EE"/>
            </w:tcBorders>
            <w:gridSpan w:val="2"/>
          </w:tcPr>
          <w:p>
            <w:pPr>
              <w:spacing w:after="0"/>
              <w:rPr>
                <w:sz w:val="20"/>
                <w:szCs w:val="20"/>
                <w:color w:val="auto"/>
              </w:rPr>
            </w:pPr>
            <w:r>
              <w:rPr>
                <w:rFonts w:ascii="Arial" w:cs="Arial" w:eastAsia="Arial" w:hAnsi="Arial"/>
                <w:sz w:val="18"/>
                <w:szCs w:val="18"/>
                <w:color w:val="0000EE"/>
                <w:w w:val="86"/>
              </w:rPr>
              <w:t>Press Release, dated January 29, 2018.</w:t>
            </w:r>
          </w:p>
        </w:tc>
      </w:tr>
    </w:tbl>
    <w:p>
      <w:pPr>
        <w:sectPr>
          <w:pgSz w:w="11900" w:h="16838" w:orient="portrait"/>
          <w:cols w:equalWidth="0" w:num="1">
            <w:col w:w="11280"/>
          </w:cols>
          <w:pgMar w:left="240" w:top="270" w:right="379" w:bottom="1440" w:gutter="0" w:footer="0" w:header="0"/>
        </w:sectPr>
      </w:pPr>
    </w:p>
    <w:bookmarkStart w:id="2" w:name="page3"/>
    <w:bookmarkEnd w:id="2"/>
    <w:p>
      <w:pPr>
        <w:jc w:val="center"/>
        <w:ind w:right="-1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6060" w:val="left"/>
        </w:tabs>
        <w:rPr>
          <w:sz w:val="20"/>
          <w:szCs w:val="20"/>
          <w:color w:val="auto"/>
        </w:rPr>
      </w:pPr>
      <w:r>
        <w:rPr>
          <w:rFonts w:ascii="Arial" w:cs="Arial" w:eastAsia="Arial" w:hAnsi="Arial"/>
          <w:sz w:val="18"/>
          <w:szCs w:val="18"/>
          <w:color w:val="auto"/>
        </w:rPr>
        <w:t>Date: January 29, 2018</w:t>
      </w:r>
      <w:r>
        <w:rPr>
          <w:sz w:val="20"/>
          <w:szCs w:val="20"/>
          <w:color w:val="auto"/>
        </w:rPr>
        <w:tab/>
      </w:r>
      <w:r>
        <w:rPr>
          <w:rFonts w:ascii="Arial" w:cs="Arial" w:eastAsia="Arial" w:hAnsi="Arial"/>
          <w:sz w:val="17"/>
          <w:szCs w:val="17"/>
          <w:color w:val="auto"/>
        </w:rPr>
        <w:t>By:  /s/ MITCHELL L. GAYNOR</w:t>
      </w:r>
    </w:p>
    <w:p>
      <w:pPr>
        <w:spacing w:after="0" w:line="23" w:lineRule="exact"/>
        <w:rPr>
          <w:sz w:val="20"/>
          <w:szCs w:val="20"/>
          <w:color w:val="auto"/>
        </w:rPr>
      </w:pPr>
    </w:p>
    <w:p>
      <w:pPr>
        <w:ind w:left="6460"/>
        <w:spacing w:after="0"/>
        <w:rPr>
          <w:sz w:val="20"/>
          <w:szCs w:val="20"/>
          <w:color w:val="auto"/>
        </w:rPr>
      </w:pPr>
      <w:r>
        <w:rPr>
          <w:rFonts w:ascii="Arial" w:cs="Arial" w:eastAsia="Arial" w:hAnsi="Arial"/>
          <w:sz w:val="18"/>
          <w:szCs w:val="18"/>
          <w:b w:val="1"/>
          <w:bCs w:val="1"/>
          <w:color w:val="auto"/>
        </w:rPr>
        <w:t>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4035425</wp:posOffset>
            </wp:positionH>
            <wp:positionV relativeFrom="paragraph">
              <wp:posOffset>-130810</wp:posOffset>
            </wp:positionV>
            <wp:extent cx="321564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215640" cy="8890"/>
                    </a:xfrm>
                    <a:prstGeom prst="rect">
                      <a:avLst/>
                    </a:prstGeom>
                    <a:noFill/>
                  </pic:spPr>
                </pic:pic>
              </a:graphicData>
            </a:graphic>
          </wp:anchor>
        </w:drawing>
      </w:r>
    </w:p>
    <w:p>
      <w:pPr>
        <w:spacing w:after="0" w:line="3" w:lineRule="exact"/>
        <w:rPr>
          <w:sz w:val="20"/>
          <w:szCs w:val="20"/>
          <w:color w:val="auto"/>
        </w:rPr>
      </w:pPr>
    </w:p>
    <w:p>
      <w:pPr>
        <w:ind w:left="6460"/>
        <w:spacing w:after="0"/>
        <w:rPr>
          <w:sz w:val="20"/>
          <w:szCs w:val="20"/>
          <w:color w:val="auto"/>
        </w:rPr>
      </w:pPr>
      <w:r>
        <w:rPr>
          <w:rFonts w:ascii="Arial" w:cs="Arial" w:eastAsia="Arial" w:hAnsi="Arial"/>
          <w:sz w:val="18"/>
          <w:szCs w:val="18"/>
          <w:b w:val="1"/>
          <w:bCs w:val="1"/>
          <w:i w:val="1"/>
          <w:iCs w:val="1"/>
          <w:color w:val="auto"/>
        </w:rPr>
        <w:t>Chief Administration and Legal Officer</w:t>
      </w:r>
    </w:p>
    <w:p>
      <w:pPr>
        <w:sectPr>
          <w:pgSz w:w="11900" w:h="16838" w:orient="portrait"/>
          <w:cols w:equalWidth="0" w:num="1">
            <w:col w:w="11220"/>
          </w:cols>
          <w:pgMar w:left="240" w:top="270" w:right="4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172085</wp:posOffset>
            </wp:positionV>
            <wp:extent cx="1792605" cy="13716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ANNOUNCES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EXPIRATION OF HART-SCOTT-RODINO WAITING PERIOD</w:t>
      </w:r>
    </w:p>
    <w:p>
      <w:pPr>
        <w:spacing w:after="0" w:line="207" w:lineRule="exact"/>
        <w:rPr>
          <w:sz w:val="20"/>
          <w:szCs w:val="20"/>
          <w:color w:val="auto"/>
        </w:rPr>
      </w:pPr>
    </w:p>
    <w:p>
      <w:pPr>
        <w:ind w:right="380" w:firstLine="456"/>
        <w:spacing w:after="0" w:line="266" w:lineRule="auto"/>
        <w:rPr>
          <w:sz w:val="20"/>
          <w:szCs w:val="20"/>
          <w:color w:val="auto"/>
        </w:rPr>
      </w:pPr>
      <w:r>
        <w:rPr>
          <w:rFonts w:ascii="Arial" w:cs="Arial" w:eastAsia="Arial" w:hAnsi="Arial"/>
          <w:sz w:val="18"/>
          <w:szCs w:val="18"/>
          <w:b w:val="1"/>
          <w:bCs w:val="1"/>
          <w:color w:val="auto"/>
        </w:rPr>
        <w:t>Santa Clara, Calif. (January 29, 2018)</w:t>
      </w:r>
      <w:r>
        <w:rPr>
          <w:rFonts w:ascii="Arial" w:cs="Arial" w:eastAsia="Arial" w:hAnsi="Arial"/>
          <w:sz w:val="18"/>
          <w:szCs w:val="18"/>
          <w:color w:val="auto"/>
        </w:rPr>
        <w:t>—Marvell Technology Group Ltd. (NASDAQ: MRVL) today announced that the waiting period under the</w:t>
      </w:r>
      <w:r>
        <w:rPr>
          <w:rFonts w:ascii="Arial" w:cs="Arial" w:eastAsia="Arial" w:hAnsi="Arial"/>
          <w:sz w:val="18"/>
          <w:szCs w:val="18"/>
          <w:b w:val="1"/>
          <w:bCs w:val="1"/>
          <w:color w:val="auto"/>
        </w:rPr>
        <w:t xml:space="preserve"> </w:t>
      </w:r>
      <w:r>
        <w:rPr>
          <w:rFonts w:ascii="Arial" w:cs="Arial" w:eastAsia="Arial" w:hAnsi="Arial"/>
          <w:sz w:val="18"/>
          <w:szCs w:val="18"/>
          <w:color w:val="auto"/>
        </w:rPr>
        <w:t>Hart-Scott-Rodino Antitrust Improvements Act of 1976 (“HSR Act”), as amended, in connection with its previously announced proposed acquisition of Cavium, Inc., expired at 11:59 p.m. EST on January 26, 2018.</w:t>
      </w:r>
    </w:p>
    <w:p>
      <w:pPr>
        <w:spacing w:after="0" w:line="180" w:lineRule="exact"/>
        <w:rPr>
          <w:sz w:val="20"/>
          <w:szCs w:val="20"/>
          <w:color w:val="auto"/>
        </w:rPr>
      </w:pPr>
    </w:p>
    <w:p>
      <w:pPr>
        <w:ind w:right="160" w:firstLine="456"/>
        <w:spacing w:after="0" w:line="277" w:lineRule="auto"/>
        <w:rPr>
          <w:sz w:val="20"/>
          <w:szCs w:val="20"/>
          <w:color w:val="auto"/>
        </w:rPr>
      </w:pPr>
      <w:r>
        <w:rPr>
          <w:rFonts w:ascii="Arial" w:cs="Arial" w:eastAsia="Arial" w:hAnsi="Arial"/>
          <w:sz w:val="18"/>
          <w:szCs w:val="18"/>
          <w:color w:val="auto"/>
        </w:rPr>
        <w:t>The expiration of the HSR Act waiting period satisfies one of the conditions to the closing of the proposed acquisition, which remains subject to other customary closing conditions, including receipt of shareholder approvals and other regulatory approvals.</w:t>
      </w:r>
    </w:p>
    <w:p>
      <w:pPr>
        <w:spacing w:after="0" w:line="170" w:lineRule="exact"/>
        <w:rPr>
          <w:sz w:val="20"/>
          <w:szCs w:val="20"/>
          <w:color w:val="auto"/>
        </w:rPr>
      </w:pPr>
    </w:p>
    <w:p>
      <w:pPr>
        <w:ind w:right="420" w:firstLine="456"/>
        <w:spacing w:after="0" w:line="342" w:lineRule="auto"/>
        <w:rPr>
          <w:sz w:val="20"/>
          <w:szCs w:val="20"/>
          <w:color w:val="auto"/>
        </w:rPr>
      </w:pPr>
      <w:r>
        <w:rPr>
          <w:rFonts w:ascii="Arial" w:cs="Arial" w:eastAsia="Arial" w:hAnsi="Arial"/>
          <w:sz w:val="16"/>
          <w:szCs w:val="16"/>
          <w:color w:val="auto"/>
        </w:rPr>
        <w:t>Additional information concerning the proposed acquisition, the general meeting of Marvell shareholders and the special meeting of Cavium stockholders will be included in the definitive joint proxy statement/prospectus that will be mailed to all Marvell shareholders and Cavium stockholders.</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Forward-Looking Statements</w:t>
      </w:r>
    </w:p>
    <w:p>
      <w:pPr>
        <w:spacing w:after="0" w:line="121" w:lineRule="exact"/>
        <w:rPr>
          <w:sz w:val="20"/>
          <w:szCs w:val="20"/>
          <w:color w:val="auto"/>
        </w:rPr>
      </w:pPr>
    </w:p>
    <w:p>
      <w:pPr>
        <w:ind w:right="40"/>
        <w:spacing w:after="0" w:line="255" w:lineRule="auto"/>
        <w:rPr>
          <w:sz w:val="20"/>
          <w:szCs w:val="20"/>
          <w:color w:val="auto"/>
        </w:rPr>
      </w:pPr>
      <w:r>
        <w:rPr>
          <w:rFonts w:ascii="Arial" w:cs="Arial" w:eastAsia="Arial" w:hAnsi="Arial"/>
          <w:sz w:val="18"/>
          <w:szCs w:val="18"/>
          <w:color w:val="auto"/>
        </w:rPr>
        <w:t>This document contains certain forward-looking statements within the meaning of the federal securities laws with respect to the proposed transaction between Cavium and Marvell,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w:t>
      </w:r>
    </w:p>
    <w:p>
      <w:pPr>
        <w:sectPr>
          <w:pgSz w:w="11900" w:h="16838" w:orient="portrait"/>
          <w:cols w:equalWidth="0" w:num="1">
            <w:col w:w="11420"/>
          </w:cols>
          <w:pgMar w:left="240" w:top="121" w:right="239" w:bottom="1440" w:gutter="0" w:footer="0" w:header="0"/>
        </w:sectPr>
      </w:pPr>
    </w:p>
    <w:bookmarkStart w:id="4" w:name="page5"/>
    <w:bookmarkEnd w:id="4"/>
    <w:p>
      <w:pPr>
        <w:ind w:right="40"/>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uncertainties. Many factors could cause actual future events to differ materially from the forward-looking statements in this document, including but not limited to: (i) uncertainties as to the timing of the consummation of the transaction and the ability of each party to consummate the transaction, (ii) the failure to satisfy the conditions to the consummation of the transaction, (iii) the failure to realize the anticipated benefits of the proposed transaction, including as a result of delay in completing the transaction or integrating the businesses of Cavium and Marvell, (iv) the effect of the announcement or pendency of the transaction on Cavium’s business relationships, operating results, and business generally, (v) risks that the proposed transaction disrupts current plans and operations of Cavium or Marvell and potential difficulties in Cavium employee retention as a result of the transaction, (vi) the outcome of litigation and other legal proceedings against Cavium and/or Marvell or to which Cavium and/or Marvell become subject, and (vii) the ability of Marvell to successfully integrate Cavium’s 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U.S. Securities and Exchange Commission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100"/>
        <w:spacing w:after="0" w:line="270" w:lineRule="auto"/>
        <w:rPr>
          <w:sz w:val="20"/>
          <w:szCs w:val="20"/>
          <w:color w:val="auto"/>
        </w:rPr>
      </w:pPr>
      <w:r>
        <w:rPr>
          <w:rFonts w:ascii="Arial" w:cs="Arial" w:eastAsia="Arial" w:hAnsi="Arial"/>
          <w:sz w:val="17"/>
          <w:szCs w:val="17"/>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filed a Registration Statement on Form S-4 (Registration No. 333-222235) containing a preliminary joint proxy statement/prospectus with the SEC regarding the proposed transaction on December 21, 2017, as amended on January 24, 2018. The registration statement on Form S-4 has not yet been declared effective by the SEC and is subject to revisions, some of which may be significant. A definitive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78" w:lineRule="exact"/>
        <w:rPr>
          <w:sz w:val="20"/>
          <w:szCs w:val="20"/>
          <w:color w:val="auto"/>
        </w:rPr>
      </w:pPr>
    </w:p>
    <w:p>
      <w:pPr>
        <w:ind w:right="120"/>
        <w:spacing w:after="0" w:line="308" w:lineRule="auto"/>
        <w:rPr>
          <w:sz w:val="20"/>
          <w:szCs w:val="20"/>
          <w:color w:val="auto"/>
        </w:rPr>
      </w:pPr>
      <w:r>
        <w:rPr>
          <w:rFonts w:ascii="Arial" w:cs="Arial" w:eastAsia="Arial" w:hAnsi="Arial"/>
          <w:sz w:val="17"/>
          <w:szCs w:val="17"/>
          <w:color w:val="auto"/>
        </w:rPr>
        <w:t xml:space="preserve">Investors and security holders may obtain or will be able to obtain free copies of the registration statement, the joint proxy statement/prospectus and all other relevant documents filed or that will be filed with the SEC by Marvell or Cavium through the website maintained by the SEC at </w:t>
      </w:r>
      <w:r>
        <w:rPr>
          <w:rFonts w:ascii="Arial" w:cs="Arial" w:eastAsia="Arial" w:hAnsi="Arial"/>
          <w:sz w:val="17"/>
          <w:szCs w:val="17"/>
          <w:u w:val="single" w:color="auto"/>
          <w:color w:val="auto"/>
        </w:rPr>
        <w:t>www.sec.gov</w:t>
      </w:r>
      <w:r>
        <w:rPr>
          <w:rFonts w:ascii="Arial" w:cs="Arial" w:eastAsia="Arial" w:hAnsi="Arial"/>
          <w:sz w:val="17"/>
          <w:szCs w:val="17"/>
          <w:color w:val="auto"/>
        </w:rPr>
        <w:t>.</w:t>
      </w:r>
    </w:p>
    <w:p>
      <w:pPr>
        <w:spacing w:after="0" w:line="14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 xml:space="preserve">The documents filed by Marvell with the SEC also may be obtained free of charge at Marvell’s website at </w:t>
      </w:r>
      <w:r>
        <w:rPr>
          <w:rFonts w:ascii="Arial" w:cs="Arial" w:eastAsia="Arial" w:hAnsi="Arial"/>
          <w:sz w:val="18"/>
          <w:szCs w:val="18"/>
          <w:u w:val="single" w:color="auto"/>
          <w:color w:val="auto"/>
        </w:rPr>
        <w:t>http://investor.marvell.com/</w:t>
      </w:r>
      <w:r>
        <w:rPr>
          <w:rFonts w:ascii="Arial" w:cs="Arial" w:eastAsia="Arial" w:hAnsi="Arial"/>
          <w:sz w:val="18"/>
          <w:szCs w:val="18"/>
          <w:color w:val="auto"/>
        </w:rPr>
        <w:t xml:space="preserve"> or upon written request to Marvell at 5488 Marvell Lane, Santa Clara, CA 95054.</w:t>
      </w:r>
    </w:p>
    <w:p>
      <w:pPr>
        <w:spacing w:after="0" w:line="17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 xml:space="preserve">The documents filed by Cavium with the SEC also may be obtained free of charge at Cavium’s website at </w:t>
      </w:r>
      <w:r>
        <w:rPr>
          <w:rFonts w:ascii="Arial" w:cs="Arial" w:eastAsia="Arial" w:hAnsi="Arial"/>
          <w:sz w:val="18"/>
          <w:szCs w:val="18"/>
          <w:u w:val="single" w:color="auto"/>
          <w:color w:val="auto"/>
        </w:rPr>
        <w:t>http://investor.caviumnetworks.com</w:t>
      </w:r>
      <w:r>
        <w:rPr>
          <w:rFonts w:ascii="Arial" w:cs="Arial" w:eastAsia="Arial" w:hAnsi="Arial"/>
          <w:sz w:val="18"/>
          <w:szCs w:val="18"/>
          <w:color w:val="auto"/>
        </w:rPr>
        <w:t xml:space="preserve"> or upon written request to 2315 N. First Street, San Jose, CA 95131.</w:t>
      </w:r>
    </w:p>
    <w:p>
      <w:pPr>
        <w:sectPr>
          <w:pgSz w:w="11900" w:h="16838" w:orient="portrait"/>
          <w:cols w:equalWidth="0" w:num="1">
            <w:col w:w="11420"/>
          </w:cols>
          <w:pgMar w:left="240" w:top="274"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For more information, investors are encouraged to visit </w:t>
      </w:r>
      <w:r>
        <w:rPr>
          <w:rFonts w:ascii="Arial" w:cs="Arial" w:eastAsia="Arial" w:hAnsi="Arial"/>
          <w:sz w:val="18"/>
          <w:szCs w:val="18"/>
          <w:u w:val="single" w:color="auto"/>
          <w:color w:val="auto"/>
        </w:rPr>
        <w:t>http://MarvellCavium.transactionannouncement.com</w:t>
      </w:r>
      <w:r>
        <w:rPr>
          <w:rFonts w:ascii="Arial" w:cs="Arial" w:eastAsia="Arial" w:hAnsi="Arial"/>
          <w:sz w:val="18"/>
          <w:szCs w:val="18"/>
          <w:color w:val="auto"/>
        </w:rPr>
        <w: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Participants in Solicitation</w:t>
      </w:r>
    </w:p>
    <w:p>
      <w:pPr>
        <w:spacing w:after="0" w:line="121"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the joint proxy statement/prospectus. To the extent that holdings of Cavium’s securities have changed since the amounts printed in the joint proxy statement/prospectus,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and other documents regarding the proposed transaction. You may obtain free copies of these documents as described in the preceding paragraph.</w:t>
      </w:r>
    </w:p>
    <w:p>
      <w:pPr>
        <w:spacing w:after="0" w:line="274" w:lineRule="exact"/>
        <w:rPr>
          <w:sz w:val="20"/>
          <w:szCs w:val="20"/>
          <w:color w:val="auto"/>
        </w:rPr>
      </w:pPr>
    </w:p>
    <w:p>
      <w:pPr>
        <w:ind w:left="2560"/>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Treasury and Investor Relations</w:t>
      </w:r>
    </w:p>
    <w:p>
      <w:pPr>
        <w:spacing w:after="0" w:line="9" w:lineRule="exact"/>
        <w:rPr>
          <w:sz w:val="20"/>
          <w:szCs w:val="20"/>
          <w:color w:val="auto"/>
        </w:rPr>
      </w:pPr>
    </w:p>
    <w:p>
      <w:pPr>
        <w:jc w:val="right"/>
        <w:ind w:right="10220" w:firstLine="8"/>
        <w:spacing w:after="0" w:line="323" w:lineRule="auto"/>
        <w:tabs>
          <w:tab w:leader="none" w:pos="435" w:val="left"/>
        </w:tabs>
        <w:numPr>
          <w:ilvl w:val="0"/>
          <w:numId w:val="4"/>
        </w:numPr>
        <w:rPr>
          <w:rFonts w:ascii="Arial" w:cs="Arial" w:eastAsia="Arial" w:hAnsi="Arial"/>
          <w:sz w:val="16"/>
          <w:szCs w:val="16"/>
          <w:color w:val="auto"/>
        </w:rPr>
      </w:pPr>
      <w:r>
        <w:rPr>
          <w:rFonts w:ascii="Arial" w:cs="Arial" w:eastAsia="Arial" w:hAnsi="Arial"/>
          <w:sz w:val="16"/>
          <w:szCs w:val="16"/>
          <w:color w:val="auto"/>
        </w:rPr>
        <w:t xml:space="preserve">222-0777 </w:t>
      </w:r>
      <w:r>
        <w:rPr>
          <w:rFonts w:ascii="Arial" w:cs="Arial" w:eastAsia="Arial" w:hAnsi="Arial"/>
          <w:sz w:val="16"/>
          <w:szCs w:val="16"/>
          <w:u w:val="single" w:color="auto"/>
          <w:color w:val="auto"/>
        </w:rPr>
        <w:t>ir@marvell.com</w:t>
      </w:r>
    </w:p>
    <w:p>
      <w:pPr>
        <w:spacing w:after="0" w:line="13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1)"/>
      <w:numFmt w:val="lowerLetter"/>
      <w:start w:val="4"/>
    </w:lvl>
  </w:abstractNum>
  <w:abstractNum w:abstractNumId="3">
    <w:nsid w:val="625558EC"/>
    <w:multiLevelType w:val="hybridMultilevel"/>
    <w:lvl w:ilvl="0">
      <w:lvlJc w:val="left"/>
      <w:lvlText w:val="(%1)"/>
      <w:numFmt w:val="decimal"/>
      <w:start w:val="408"/>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 Id="rId21" Type="http://schemas.openxmlformats.org/officeDocument/2006/relationships/image" Target="media/image14.pn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2019-12-06T12:13:34Z</dcterms:created>
  <dcterms:modified xsi:type="dcterms:W3CDTF">2019-12-06T12:13:34Z</dcterms:modified>
</cp:coreProperties>
</file>