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Group Ltd.</w:t>
      </w:r>
    </w:p>
    <w:p>
      <w:pPr>
        <w:spacing w:after="0" w:line="9" w:lineRule="exact"/>
        <w:rPr>
          <w:sz w:val="24"/>
          <w:szCs w:val="24"/>
          <w:color w:val="auto"/>
        </w:rPr>
      </w:pPr>
    </w:p>
    <w:p>
      <w:pPr>
        <w:ind w:left="7520"/>
        <w:spacing w:after="0"/>
        <w:rPr>
          <w:sz w:val="20"/>
          <w:szCs w:val="20"/>
          <w:color w:val="auto"/>
        </w:rPr>
      </w:pPr>
      <w:r>
        <w:rPr>
          <w:rFonts w:ascii="Arial" w:cs="Arial" w:eastAsia="Arial" w:hAnsi="Arial"/>
          <w:sz w:val="16"/>
          <w:szCs w:val="16"/>
          <w:color w:val="auto"/>
        </w:rPr>
        <w:t>Pursuant to Rule 425 under the Securities Act of 1933</w:t>
      </w:r>
    </w:p>
    <w:p>
      <w:pPr>
        <w:spacing w:after="0" w:line="32" w:lineRule="exact"/>
        <w:rPr>
          <w:sz w:val="24"/>
          <w:szCs w:val="24"/>
          <w:color w:val="auto"/>
        </w:rPr>
      </w:pPr>
    </w:p>
    <w:p>
      <w:pPr>
        <w:ind w:left="8400"/>
        <w:spacing w:after="0"/>
        <w:rPr>
          <w:sz w:val="20"/>
          <w:szCs w:val="20"/>
          <w:color w:val="auto"/>
        </w:rPr>
      </w:pPr>
      <w:r>
        <w:rPr>
          <w:rFonts w:ascii="Arial" w:cs="Arial" w:eastAsia="Arial" w:hAnsi="Arial"/>
          <w:sz w:val="16"/>
          <w:szCs w:val="16"/>
          <w:color w:val="auto"/>
        </w:rPr>
        <w:t>and deemed filed pursuant to Rule 14a-12</w:t>
      </w:r>
    </w:p>
    <w:p>
      <w:pPr>
        <w:spacing w:after="0" w:line="32" w:lineRule="exact"/>
        <w:rPr>
          <w:sz w:val="24"/>
          <w:szCs w:val="24"/>
          <w:color w:val="auto"/>
        </w:rPr>
      </w:pPr>
    </w:p>
    <w:p>
      <w:pPr>
        <w:ind w:left="8340"/>
        <w:spacing w:after="0"/>
        <w:rPr>
          <w:sz w:val="20"/>
          <w:szCs w:val="20"/>
          <w:color w:val="auto"/>
        </w:rPr>
      </w:pPr>
      <w:r>
        <w:rPr>
          <w:rFonts w:ascii="Arial" w:cs="Arial" w:eastAsia="Arial" w:hAnsi="Arial"/>
          <w:sz w:val="16"/>
          <w:szCs w:val="16"/>
          <w:color w:val="auto"/>
        </w:rPr>
        <w:t>under the Securities Exchange Act of 1934</w:t>
      </w:r>
    </w:p>
    <w:p>
      <w:pPr>
        <w:spacing w:after="0" w:line="234"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ind w:left="9060"/>
        <w:spacing w:after="0"/>
        <w:rPr>
          <w:sz w:val="20"/>
          <w:szCs w:val="20"/>
          <w:color w:val="auto"/>
        </w:rPr>
      </w:pPr>
      <w:r>
        <w:rPr>
          <w:rFonts w:ascii="Arial" w:cs="Arial" w:eastAsia="Arial" w:hAnsi="Arial"/>
          <w:sz w:val="16"/>
          <w:szCs w:val="16"/>
          <w:color w:val="auto"/>
        </w:rPr>
        <w:t>Commission File No. 001-33435</w:t>
      </w:r>
    </w:p>
    <w:p>
      <w:pPr>
        <w:spacing w:after="0" w:line="234"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The following email communication was sent to employees of Cavium, Inc. (“Cavium”) and Marvell Technology Group Ltd. (“Marvell”) on February 20, 2018.</w:t>
      </w:r>
    </w:p>
    <w:p>
      <w:pPr>
        <w:spacing w:after="0" w:line="279" w:lineRule="exact"/>
        <w:rPr>
          <w:sz w:val="24"/>
          <w:szCs w:val="24"/>
          <w:color w:val="auto"/>
        </w:rPr>
      </w:pPr>
    </w:p>
    <w:p>
      <w:pPr>
        <w:spacing w:after="0"/>
        <w:rPr>
          <w:sz w:val="20"/>
          <w:szCs w:val="20"/>
          <w:color w:val="auto"/>
        </w:rPr>
      </w:pPr>
      <w:r>
        <w:rPr>
          <w:rFonts w:ascii="Arial" w:cs="Arial" w:eastAsia="Arial" w:hAnsi="Arial"/>
          <w:sz w:val="18"/>
          <w:szCs w:val="18"/>
          <w:color w:val="auto"/>
        </w:rPr>
        <w:t>Cavium and Marvell Employees:</w:t>
      </w:r>
    </w:p>
    <w:p>
      <w:pPr>
        <w:spacing w:after="0" w:line="117" w:lineRule="exact"/>
        <w:rPr>
          <w:sz w:val="24"/>
          <w:szCs w:val="24"/>
          <w:color w:val="auto"/>
        </w:rPr>
      </w:pPr>
    </w:p>
    <w:p>
      <w:pPr>
        <w:ind w:right="320"/>
        <w:spacing w:after="0" w:line="277" w:lineRule="auto"/>
        <w:rPr>
          <w:sz w:val="20"/>
          <w:szCs w:val="20"/>
          <w:color w:val="auto"/>
        </w:rPr>
      </w:pPr>
      <w:r>
        <w:rPr>
          <w:rFonts w:ascii="Arial" w:cs="Arial" w:eastAsia="Arial" w:hAnsi="Arial"/>
          <w:sz w:val="18"/>
          <w:szCs w:val="18"/>
          <w:color w:val="auto"/>
        </w:rPr>
        <w:t>To keep you informed on the integration’s progress, we are sending bi-weekly updates and will continue providing answers to your most commonly asked questions.</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LATEST NEWS</w:t>
      </w:r>
    </w:p>
    <w:p>
      <w:pPr>
        <w:spacing w:after="0" w:line="135" w:lineRule="exact"/>
        <w:rPr>
          <w:sz w:val="24"/>
          <w:szCs w:val="24"/>
          <w:color w:val="auto"/>
        </w:rPr>
      </w:pPr>
    </w:p>
    <w:p>
      <w:pPr>
        <w:ind w:left="900" w:right="40" w:hanging="325"/>
        <w:spacing w:after="0" w:line="277" w:lineRule="auto"/>
        <w:tabs>
          <w:tab w:leader="none" w:pos="900" w:val="left"/>
        </w:tabs>
        <w:numPr>
          <w:ilvl w:val="0"/>
          <w:numId w:val="1"/>
        </w:numPr>
        <w:rPr>
          <w:rFonts w:ascii="Arial" w:cs="Arial" w:eastAsia="Arial" w:hAnsi="Arial"/>
          <w:sz w:val="18"/>
          <w:szCs w:val="18"/>
          <w:color w:val="auto"/>
        </w:rPr>
      </w:pPr>
      <w:r>
        <w:rPr>
          <w:rFonts w:ascii="Arial" w:cs="Arial" w:eastAsia="Arial" w:hAnsi="Arial"/>
          <w:sz w:val="18"/>
          <w:szCs w:val="18"/>
          <w:color w:val="auto"/>
        </w:rPr>
        <w:t>On February 7, the Steering Team met for the first time to review progress on the charters for the different integration planning tracks. Each work track’s team is now building out details for their organizations within the larger, combined company.</w:t>
      </w:r>
    </w:p>
    <w:p>
      <w:pPr>
        <w:spacing w:after="0" w:line="75" w:lineRule="exact"/>
        <w:rPr>
          <w:rFonts w:ascii="Arial" w:cs="Arial" w:eastAsia="Arial" w:hAnsi="Arial"/>
          <w:sz w:val="18"/>
          <w:szCs w:val="18"/>
          <w:color w:val="auto"/>
        </w:rPr>
      </w:pPr>
    </w:p>
    <w:p>
      <w:pPr>
        <w:ind w:left="900" w:right="20" w:hanging="325"/>
        <w:spacing w:after="0" w:line="277" w:lineRule="auto"/>
        <w:tabs>
          <w:tab w:leader="none" w:pos="90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Marvell and Cavium are continuing to work through the merger clearance process with the Committee on Foreign Investment in the United States (CFIUS) and China’s Ministry of Foreign Commerce (MOFCOM) and both are progressing as planned.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1"/>
        </w:numPr>
        <w:rPr>
          <w:rFonts w:ascii="Arial" w:cs="Arial" w:eastAsia="Arial" w:hAnsi="Arial"/>
          <w:sz w:val="18"/>
          <w:szCs w:val="18"/>
          <w:color w:val="auto"/>
        </w:rPr>
      </w:pPr>
      <w:r>
        <w:rPr>
          <w:rFonts w:ascii="Arial" w:cs="Arial" w:eastAsia="Arial" w:hAnsi="Arial"/>
          <w:sz w:val="18"/>
          <w:szCs w:val="18"/>
          <w:color w:val="auto"/>
        </w:rPr>
        <w:t>On March 16, both Cavium and Marvell shareholders are scheduled to meet separately, and vote on the merger.</w:t>
      </w:r>
    </w:p>
    <w:p>
      <w:pPr>
        <w:spacing w:after="0" w:line="225" w:lineRule="exact"/>
        <w:rPr>
          <w:sz w:val="24"/>
          <w:szCs w:val="24"/>
          <w:color w:val="auto"/>
        </w:rPr>
      </w:pPr>
    </w:p>
    <w:p>
      <w:pPr>
        <w:ind w:right="140"/>
        <w:spacing w:after="0" w:line="277" w:lineRule="auto"/>
        <w:rPr>
          <w:sz w:val="20"/>
          <w:szCs w:val="20"/>
          <w:color w:val="auto"/>
        </w:rPr>
      </w:pPr>
      <w:r>
        <w:rPr>
          <w:rFonts w:ascii="Arial" w:cs="Arial" w:eastAsia="Arial" w:hAnsi="Arial"/>
          <w:sz w:val="18"/>
          <w:szCs w:val="18"/>
          <w:color w:val="auto"/>
        </w:rPr>
        <w:t>As a reminder, we anticipate closing in mid-calendar 2018. However, regulatory reviews move at their own pace and this timing might change. Our progress in these reviews, along with shareholder votes by both companies, will ultimately determine our closing date.</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ANSWERS TO YOUR QUESTIONS</w:t>
      </w:r>
    </w:p>
    <w:p>
      <w:pPr>
        <w:spacing w:after="0" w:line="121"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Thanks for your questions. Please know that we are committed to sharing information with you as soon as it becomes available. In the meantime, we received questions that included:</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Does Marvell have an equity program?</w:t>
      </w:r>
    </w:p>
    <w:p>
      <w:pPr>
        <w:spacing w:after="0" w:line="121" w:lineRule="exact"/>
        <w:rPr>
          <w:sz w:val="24"/>
          <w:szCs w:val="24"/>
          <w:color w:val="auto"/>
        </w:rPr>
      </w:pPr>
    </w:p>
    <w:p>
      <w:pPr>
        <w:ind w:right="180"/>
        <w:spacing w:after="0" w:line="277" w:lineRule="auto"/>
        <w:rPr>
          <w:sz w:val="20"/>
          <w:szCs w:val="20"/>
          <w:color w:val="auto"/>
        </w:rPr>
      </w:pPr>
      <w:r>
        <w:rPr>
          <w:rFonts w:ascii="Arial" w:cs="Arial" w:eastAsia="Arial" w:hAnsi="Arial"/>
          <w:sz w:val="18"/>
          <w:szCs w:val="18"/>
          <w:color w:val="auto"/>
        </w:rPr>
        <w:t>Yes. Marvell’s equity plan varies by country, but equity is an important component of the company’s total compensation package. In addition to options and RSUs, Marvell also has an employee stock purchase plan that employees in most countries are eligible to participate in.</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What happens to Cavium unvested options and RSUs after the deal closes?</w:t>
      </w:r>
    </w:p>
    <w:p>
      <w:pPr>
        <w:spacing w:after="0" w:line="121" w:lineRule="exact"/>
        <w:rPr>
          <w:sz w:val="24"/>
          <w:szCs w:val="24"/>
          <w:color w:val="auto"/>
        </w:rPr>
      </w:pPr>
    </w:p>
    <w:p>
      <w:pPr>
        <w:ind w:right="40"/>
        <w:spacing w:after="0" w:line="264" w:lineRule="auto"/>
        <w:rPr>
          <w:sz w:val="20"/>
          <w:szCs w:val="20"/>
          <w:color w:val="auto"/>
        </w:rPr>
      </w:pPr>
      <w:r>
        <w:rPr>
          <w:rFonts w:ascii="Arial" w:cs="Arial" w:eastAsia="Arial" w:hAnsi="Arial"/>
          <w:sz w:val="18"/>
          <w:szCs w:val="18"/>
          <w:color w:val="auto"/>
        </w:rPr>
        <w:t xml:space="preserve">In general, unvested options and RSUs will be converted into options and RSUs to receive Marvell shares. The specifics of the conversion rates are outlined in Section 5.5 of the Merger Agreement filed with the SEC on November 20, 2017 (see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 xml:space="preserve"> for a copy of the Merger Agreement).</w:t>
      </w:r>
    </w:p>
    <w:p>
      <w:pPr>
        <w:spacing w:after="0" w:line="181" w:lineRule="exact"/>
        <w:rPr>
          <w:sz w:val="24"/>
          <w:szCs w:val="24"/>
          <w:color w:val="auto"/>
        </w:rPr>
      </w:pPr>
    </w:p>
    <w:p>
      <w:pPr>
        <w:ind w:right="220"/>
        <w:spacing w:after="0" w:line="277" w:lineRule="auto"/>
        <w:rPr>
          <w:sz w:val="20"/>
          <w:szCs w:val="20"/>
          <w:color w:val="auto"/>
        </w:rPr>
      </w:pPr>
      <w:r>
        <w:rPr>
          <w:rFonts w:ascii="Arial" w:cs="Arial" w:eastAsia="Arial" w:hAnsi="Arial"/>
          <w:sz w:val="18"/>
          <w:szCs w:val="18"/>
          <w:color w:val="auto"/>
        </w:rPr>
        <w:t xml:space="preserve">Thank you again for your questions. We will continue to send out more information as decisions are made. In the meantime, Marvell employees can submit additional questions by emailing </w:t>
      </w:r>
      <w:r>
        <w:rPr>
          <w:rFonts w:ascii="Arial" w:cs="Arial" w:eastAsia="Arial" w:hAnsi="Arial"/>
          <w:sz w:val="18"/>
          <w:szCs w:val="18"/>
          <w:u w:val="single" w:color="auto"/>
          <w:color w:val="auto"/>
        </w:rPr>
        <w:t>integrationquestions@marvell.com</w:t>
      </w:r>
      <w:r>
        <w:rPr>
          <w:rFonts w:ascii="Arial" w:cs="Arial" w:eastAsia="Arial" w:hAnsi="Arial"/>
          <w:sz w:val="18"/>
          <w:szCs w:val="18"/>
          <w:color w:val="auto"/>
        </w:rPr>
        <w:t>.</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Raghib Hussain and Andy Micallef</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Integration Co-Chairs</w:t>
      </w:r>
    </w:p>
    <w:p>
      <w:pPr>
        <w:sectPr>
          <w:pgSz w:w="11900" w:h="16838" w:orient="portrait"/>
          <w:cols w:equalWidth="0" w:num="1">
            <w:col w:w="11420"/>
          </w:cols>
          <w:pgMar w:left="240" w:top="233" w:right="239" w:bottom="1440" w:gutter="0" w:footer="0" w:header="0"/>
        </w:sectPr>
      </w:pPr>
    </w:p>
    <w:bookmarkStart w:id="1" w:name="page2"/>
    <w:bookmarkEnd w:id="1"/>
    <w:p>
      <w:pPr>
        <w:spacing w:after="0"/>
        <w:rPr>
          <w:sz w:val="20"/>
          <w:szCs w:val="20"/>
          <w:color w:val="auto"/>
        </w:rPr>
      </w:pPr>
      <w:r>
        <w:rPr>
          <w:rFonts w:ascii="Arial" w:cs="Arial" w:eastAsia="Arial" w:hAnsi="Arial"/>
          <w:sz w:val="14"/>
          <w:szCs w:val="14"/>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Disclosures</w:t>
      </w:r>
    </w:p>
    <w:p>
      <w:pPr>
        <w:spacing w:after="0" w:line="100"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Additional Information and Where to Find It</w:t>
      </w:r>
    </w:p>
    <w:p>
      <w:pPr>
        <w:spacing w:after="0" w:line="96" w:lineRule="exact"/>
        <w:rPr>
          <w:sz w:val="20"/>
          <w:szCs w:val="20"/>
          <w:color w:val="auto"/>
        </w:rPr>
      </w:pPr>
    </w:p>
    <w:p>
      <w:pPr>
        <w:spacing w:after="0" w:line="227" w:lineRule="auto"/>
        <w:rPr>
          <w:sz w:val="20"/>
          <w:szCs w:val="20"/>
          <w:color w:val="auto"/>
        </w:rPr>
      </w:pPr>
      <w:r>
        <w:rPr>
          <w:rFonts w:ascii="Arial" w:cs="Arial" w:eastAsia="Arial" w:hAnsi="Arial"/>
          <w:sz w:val="14"/>
          <w:szCs w:val="14"/>
          <w:i w:val="1"/>
          <w:iCs w:val="1"/>
          <w:color w:val="auto"/>
        </w:rPr>
        <w:t>This communication relates to a proposed transaction between Marvell and Cavium. This communication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been declared effective by the SEC. Beginning on February 7, 2018, a definitive joint proxy statement/prospectus was mailed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6" w:lineRule="exact"/>
        <w:rPr>
          <w:sz w:val="20"/>
          <w:szCs w:val="20"/>
          <w:color w:val="auto"/>
        </w:rPr>
      </w:pPr>
    </w:p>
    <w:p>
      <w:pPr>
        <w:ind w:right="20"/>
        <w:spacing w:after="0" w:line="253" w:lineRule="auto"/>
        <w:rPr>
          <w:sz w:val="20"/>
          <w:szCs w:val="20"/>
          <w:color w:val="auto"/>
        </w:rPr>
      </w:pPr>
      <w:r>
        <w:rPr>
          <w:rFonts w:ascii="Arial" w:cs="Arial" w:eastAsia="Arial" w:hAnsi="Arial"/>
          <w:sz w:val="14"/>
          <w:szCs w:val="14"/>
          <w:i w:val="1"/>
          <w:iCs w:val="1"/>
          <w:color w:val="auto"/>
        </w:rPr>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4"/>
          <w:szCs w:val="14"/>
          <w:i w:val="1"/>
          <w:iCs w:val="1"/>
          <w:u w:val="single" w:color="auto"/>
          <w:color w:val="auto"/>
        </w:rPr>
        <w:t>www.sec.gov</w:t>
      </w:r>
      <w:r>
        <w:rPr>
          <w:rFonts w:ascii="Arial" w:cs="Arial" w:eastAsia="Arial" w:hAnsi="Arial"/>
          <w:sz w:val="14"/>
          <w:szCs w:val="14"/>
          <w:i w:val="1"/>
          <w:iCs w:val="1"/>
          <w:color w:val="auto"/>
        </w:rPr>
        <w:t>.</w:t>
      </w:r>
    </w:p>
    <w:p>
      <w:pPr>
        <w:spacing w:after="0" w:line="174" w:lineRule="exact"/>
        <w:rPr>
          <w:sz w:val="20"/>
          <w:szCs w:val="20"/>
          <w:color w:val="auto"/>
        </w:rPr>
      </w:pPr>
    </w:p>
    <w:p>
      <w:pPr>
        <w:spacing w:after="0" w:line="253" w:lineRule="auto"/>
        <w:rPr>
          <w:sz w:val="20"/>
          <w:szCs w:val="20"/>
          <w:color w:val="auto"/>
        </w:rPr>
      </w:pPr>
      <w:r>
        <w:rPr>
          <w:rFonts w:ascii="Arial" w:cs="Arial" w:eastAsia="Arial" w:hAnsi="Arial"/>
          <w:sz w:val="14"/>
          <w:szCs w:val="14"/>
          <w:i w:val="1"/>
          <w:iCs w:val="1"/>
          <w:color w:val="auto"/>
        </w:rPr>
        <w:t xml:space="preserve">The documents filed by Marvell with the SEC also may be obtained free of charge at Marvell’s website at </w:t>
      </w:r>
      <w:r>
        <w:rPr>
          <w:rFonts w:ascii="Arial" w:cs="Arial" w:eastAsia="Arial" w:hAnsi="Arial"/>
          <w:sz w:val="14"/>
          <w:szCs w:val="14"/>
          <w:i w:val="1"/>
          <w:iCs w:val="1"/>
          <w:u w:val="single" w:color="auto"/>
          <w:color w:val="auto"/>
        </w:rPr>
        <w:t>http://investor.marvell.com/</w:t>
      </w:r>
      <w:r>
        <w:rPr>
          <w:rFonts w:ascii="Arial" w:cs="Arial" w:eastAsia="Arial" w:hAnsi="Arial"/>
          <w:sz w:val="14"/>
          <w:szCs w:val="14"/>
          <w:i w:val="1"/>
          <w:iCs w:val="1"/>
          <w:color w:val="auto"/>
        </w:rPr>
        <w:t xml:space="preserve"> or upon written request to Marvell at 5488 Marvell Lane, Santa Clara, CA 95054.</w:t>
      </w:r>
    </w:p>
    <w:p>
      <w:pPr>
        <w:spacing w:after="0" w:line="174" w:lineRule="exact"/>
        <w:rPr>
          <w:sz w:val="20"/>
          <w:szCs w:val="20"/>
          <w:color w:val="auto"/>
        </w:rPr>
      </w:pPr>
    </w:p>
    <w:p>
      <w:pPr>
        <w:ind w:right="280"/>
        <w:spacing w:after="0" w:line="253" w:lineRule="auto"/>
        <w:rPr>
          <w:sz w:val="20"/>
          <w:szCs w:val="20"/>
          <w:color w:val="auto"/>
        </w:rPr>
      </w:pPr>
      <w:r>
        <w:rPr>
          <w:rFonts w:ascii="Arial" w:cs="Arial" w:eastAsia="Arial" w:hAnsi="Arial"/>
          <w:sz w:val="14"/>
          <w:szCs w:val="14"/>
          <w:i w:val="1"/>
          <w:iCs w:val="1"/>
          <w:color w:val="auto"/>
        </w:rPr>
        <w:t xml:space="preserve">The documents filed by Cavium with the SEC also may be obtained free of charge at Cavium’s website at </w:t>
      </w:r>
      <w:r>
        <w:rPr>
          <w:rFonts w:ascii="Arial" w:cs="Arial" w:eastAsia="Arial" w:hAnsi="Arial"/>
          <w:sz w:val="14"/>
          <w:szCs w:val="14"/>
          <w:i w:val="1"/>
          <w:iCs w:val="1"/>
          <w:u w:val="single" w:color="auto"/>
          <w:color w:val="auto"/>
        </w:rPr>
        <w:t>http://investor.caviumnetworks.com</w:t>
      </w:r>
      <w:r>
        <w:rPr>
          <w:rFonts w:ascii="Arial" w:cs="Arial" w:eastAsia="Arial" w:hAnsi="Arial"/>
          <w:sz w:val="14"/>
          <w:szCs w:val="14"/>
          <w:i w:val="1"/>
          <w:iCs w:val="1"/>
          <w:color w:val="auto"/>
        </w:rPr>
        <w:t xml:space="preserve"> or upon written request to 2315 N. First Street, San Jose, CA 95131.</w:t>
      </w:r>
    </w:p>
    <w:p>
      <w:pPr>
        <w:spacing w:after="0" w:line="174" w:lineRule="exact"/>
        <w:rPr>
          <w:sz w:val="20"/>
          <w:szCs w:val="20"/>
          <w:color w:val="auto"/>
        </w:rPr>
      </w:pPr>
    </w:p>
    <w:p>
      <w:pPr>
        <w:spacing w:after="0"/>
        <w:rPr>
          <w:sz w:val="20"/>
          <w:szCs w:val="20"/>
          <w:color w:val="auto"/>
        </w:rPr>
      </w:pPr>
      <w:r>
        <w:rPr>
          <w:rFonts w:ascii="Arial" w:cs="Arial" w:eastAsia="Arial" w:hAnsi="Arial"/>
          <w:sz w:val="14"/>
          <w:szCs w:val="14"/>
          <w:i w:val="1"/>
          <w:iCs w:val="1"/>
          <w:color w:val="auto"/>
        </w:rPr>
        <w:t xml:space="preserve">For more information, investors are encouraged to visit </w:t>
      </w:r>
      <w:r>
        <w:rPr>
          <w:rFonts w:ascii="Arial" w:cs="Arial" w:eastAsia="Arial" w:hAnsi="Arial"/>
          <w:sz w:val="14"/>
          <w:szCs w:val="14"/>
          <w:i w:val="1"/>
          <w:iCs w:val="1"/>
          <w:u w:val="single" w:color="auto"/>
          <w:color w:val="auto"/>
        </w:rPr>
        <w:t>http://MarvellCavium.transactionannouncement.com</w:t>
      </w:r>
      <w:r>
        <w:rPr>
          <w:rFonts w:ascii="Arial" w:cs="Arial" w:eastAsia="Arial" w:hAnsi="Arial"/>
          <w:sz w:val="14"/>
          <w:szCs w:val="14"/>
          <w:i w:val="1"/>
          <w:iCs w:val="1"/>
          <w:color w:val="auto"/>
        </w:rPr>
        <w:t>.</w:t>
      </w:r>
    </w:p>
    <w:p>
      <w:pPr>
        <w:spacing w:after="0" w:line="312"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Participants in Solicitation</w:t>
      </w:r>
    </w:p>
    <w:p>
      <w:pPr>
        <w:spacing w:after="0" w:line="96" w:lineRule="exact"/>
        <w:rPr>
          <w:sz w:val="20"/>
          <w:szCs w:val="20"/>
          <w:color w:val="auto"/>
        </w:rPr>
      </w:pPr>
    </w:p>
    <w:p>
      <w:pPr>
        <w:ind w:right="80"/>
        <w:spacing w:after="0" w:line="228" w:lineRule="auto"/>
        <w:rPr>
          <w:sz w:val="20"/>
          <w:szCs w:val="20"/>
          <w:color w:val="auto"/>
        </w:rPr>
      </w:pPr>
      <w:r>
        <w:rPr>
          <w:rFonts w:ascii="Arial" w:cs="Arial" w:eastAsia="Arial" w:hAnsi="Arial"/>
          <w:sz w:val="14"/>
          <w:szCs w:val="14"/>
          <w:i w:val="1"/>
          <w:iCs w:val="1"/>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sectPr>
      <w:pgSz w:w="11900" w:h="16838" w:orient="portrait"/>
      <w:cols w:equalWidth="0" w:num="1">
        <w:col w:w="11400"/>
      </w:cols>
      <w:pgMar w:left="240" w:top="265"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2019-12-06T11:44:01Z</dcterms:created>
  <dcterms:modified xsi:type="dcterms:W3CDTF">2019-12-06T11:44:01Z</dcterms:modified>
</cp:coreProperties>
</file>