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322820" cy="645731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2820" cy="6457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900"/>
          </w:cols>
          <w:pgMar w:left="240" w:top="226" w:right="139" w:bottom="1093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GAYNOR MITCHELL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0" w:type="dxa"/>
            <w:vAlign w:val="bottom"/>
            <w:tcBorders>
              <w:bottom w:val="single" w:sz="8" w:color="0000EE"/>
            </w:tcBorders>
            <w:gridSpan w:val="2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5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5"/>
                </w:rPr>
                <w:t>MARVELL TECHNOLOGY GROUP LTD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[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1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EVP, Chief Legal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8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06/15/2017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38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6" w:right="139" w:bottom="1093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4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jc w:val="center"/>
              <w:ind w:left="568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6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  <w:gridSpan w:val="4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ind w:left="2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2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06/15/2017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8,668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88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0.00</w:t>
            </w: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12,742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84"/>
                <w:vertAlign w:val="superscript"/>
              </w:rPr>
              <w:t>(1)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06/15/2017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0000FF"/>
                <w:w w:val="8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1"/>
              </w:rPr>
              <w:t>(2)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3,258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left="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90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90"/>
              </w:rPr>
              <w:t>17.41</w:t>
            </w: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9,484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jc w:val="center"/>
              <w:ind w:left="5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06/15/2017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9,246</w:t>
            </w:r>
          </w:p>
        </w:tc>
        <w:tc>
          <w:tcPr>
            <w:tcW w:w="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88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18,730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06/15/2017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0000FF"/>
                <w:w w:val="8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1"/>
              </w:rPr>
              <w:t>(2)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3,475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left="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90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90"/>
              </w:rPr>
              <w:t>17.41</w:t>
            </w: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15,255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50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9"/>
              </w:rPr>
              <w:t>Table II - Derivative Securities Acquired, Disposed of, or Beneficially Owned</w:t>
            </w: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4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7. Title and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2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2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8,668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Units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2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06/15/2017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4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8,668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99"/>
              </w:rPr>
              <w:t>08/11/2026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40" w:type="dxa"/>
            <w:vAlign w:val="bottom"/>
          </w:tcPr>
          <w:p>
            <w:pPr>
              <w:ind w:left="2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8"/>
              </w:rPr>
              <w:t>19,353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(Right to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Buy)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9,246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Units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2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06/15/2017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4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9,246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99"/>
              </w:rPr>
              <w:t>08/11/2026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40" w:type="dxa"/>
            <w:vAlign w:val="bottom"/>
          </w:tcPr>
          <w:p>
            <w:pPr>
              <w:ind w:left="2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8"/>
              </w:rPr>
              <w:t>18,775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(Right to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0000FF"/>
        </w:rPr>
        <w:t>Buy</w:t>
      </w:r>
    </w:p>
    <w:p>
      <w:pPr>
        <w:spacing w:after="0" w:line="91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4"/>
          <w:szCs w:val="24"/>
          <w:color w:val="auto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Includes 2,332 shares acquired under the Marvell 2000 Employee Stock Purchase Plan on June 7, 2017, in an exempt transaction under Rule 16b-3(c) of the Securities Exchange Act of 1934.</w:t>
      </w:r>
    </w:p>
    <w:p>
      <w:pPr>
        <w:spacing w:after="0" w:line="64" w:lineRule="exact"/>
        <w:rPr>
          <w:rFonts w:ascii="Arial" w:cs="Arial" w:eastAsia="Arial" w:hAnsi="Arial"/>
          <w:sz w:val="12"/>
          <w:szCs w:val="12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Surrender of shares in payment of tax withholding due as a result of the vesting of RSUs.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Each restricted stock unit ("RSU") represented a contingent right to receive one Marvell common share.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The RSUs vest as to 33% on June 15, 2017, 33% on June 15, 2018 and 34% on June 15, 2019.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18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182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2"/>
              </w:rPr>
              <w:t>Mitchell Gaynor by Mary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06/19/2017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1780" w:type="dxa"/>
            <w:vAlign w:val="bottom"/>
            <w:vMerge w:val="restart"/>
          </w:tcPr>
          <w:p>
            <w:pPr>
              <w:spacing w:after="0" w:line="19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9"/>
              </w:rPr>
              <w:t>Ahern as attorney-in-fact</w:t>
            </w:r>
          </w:p>
        </w:tc>
        <w:tc>
          <w:tcPr>
            <w:tcW w:w="340" w:type="dxa"/>
            <w:vAlign w:val="bottom"/>
            <w:gridSpan w:val="2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178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1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680" w:firstLine="9"/>
        <w:spacing w:after="0" w:line="350" w:lineRule="auto"/>
        <w:tabs>
          <w:tab w:leader="none" w:pos="18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6" w:right="139" w:bottom="1093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93486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2019-12-04T00:08:20Z</dcterms:created>
  <dcterms:modified xsi:type="dcterms:W3CDTF">2019-12-04T00:08:20Z</dcterms:modified>
</cp:coreProperties>
</file>