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10/02/2017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00" w:type="dxa"/>
            <w:vAlign w:val="bottom"/>
            <w:gridSpan w:val="2"/>
          </w:tcPr>
          <w:p>
            <w:pPr>
              <w:ind w:left="3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38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00" w:type="dxa"/>
            <w:vAlign w:val="bottom"/>
            <w:gridSpan w:val="2"/>
          </w:tcPr>
          <w:p>
            <w:pPr>
              <w:ind w:left="3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3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5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9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10/02/2017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00" w:type="dxa"/>
            <w:vAlign w:val="bottom"/>
            <w:vMerge w:val="restart"/>
          </w:tcPr>
          <w:p>
            <w:pPr>
              <w:jc w:val="right"/>
              <w:ind w:right="30"/>
              <w:spacing w:after="0"/>
              <w:rPr>
                <w:sz w:val="20"/>
                <w:szCs w:val="20"/>
                <w:color w:val="auto"/>
              </w:rPr>
            </w:pPr>
            <w:r>
              <w:rPr>
                <w:rFonts w:ascii="Arial" w:cs="Arial" w:eastAsia="Arial" w:hAnsi="Arial"/>
                <w:sz w:val="18"/>
                <w:szCs w:val="18"/>
                <w:color w:val="0000FF"/>
                <w:w w:val="97"/>
              </w:rPr>
              <w:t>1,422,500</w:t>
            </w:r>
          </w:p>
        </w:tc>
        <w:tc>
          <w:tcPr>
            <w:tcW w:w="50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vMerge w:val="restart"/>
          </w:tcPr>
          <w:p>
            <w:pPr>
              <w:ind w:left="6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18.5226</w:t>
            </w:r>
            <w:r>
              <w:rPr>
                <w:rFonts w:ascii="Arial" w:cs="Arial" w:eastAsia="Arial" w:hAnsi="Arial"/>
                <w:sz w:val="22"/>
                <w:szCs w:val="22"/>
                <w:color w:val="008000"/>
                <w:w w:val="92"/>
                <w:vertAlign w:val="superscript"/>
              </w:rPr>
              <w:t>(1)</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16,278,334</w:t>
            </w:r>
            <w:r>
              <w:rPr>
                <w:rFonts w:ascii="Arial" w:cs="Arial" w:eastAsia="Arial" w:hAnsi="Arial"/>
                <w:sz w:val="22"/>
                <w:szCs w:val="22"/>
                <w:color w:val="008000"/>
                <w:w w:val="86"/>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4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44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line="278"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10/03/2017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900" w:type="dxa"/>
            <w:vAlign w:val="bottom"/>
            <w:vMerge w:val="restart"/>
          </w:tcPr>
          <w:p>
            <w:pPr>
              <w:jc w:val="right"/>
              <w:ind w:right="90"/>
              <w:spacing w:after="0"/>
              <w:rPr>
                <w:sz w:val="20"/>
                <w:szCs w:val="20"/>
                <w:color w:val="auto"/>
              </w:rPr>
            </w:pPr>
            <w:r>
              <w:rPr>
                <w:rFonts w:ascii="Arial" w:cs="Arial" w:eastAsia="Arial" w:hAnsi="Arial"/>
                <w:sz w:val="18"/>
                <w:szCs w:val="18"/>
                <w:color w:val="0000FF"/>
              </w:rPr>
              <w:t>420,000</w:t>
            </w:r>
          </w:p>
        </w:tc>
        <w:tc>
          <w:tcPr>
            <w:tcW w:w="500" w:type="dxa"/>
            <w:vAlign w:val="bottom"/>
            <w:vMerge w:val="restart"/>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vMerge w:val="restart"/>
          </w:tcPr>
          <w:p>
            <w:pPr>
              <w:ind w:left="6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18.5017</w:t>
            </w:r>
            <w:r>
              <w:rPr>
                <w:rFonts w:ascii="Arial" w:cs="Arial" w:eastAsia="Arial" w:hAnsi="Arial"/>
                <w:sz w:val="22"/>
                <w:szCs w:val="22"/>
                <w:color w:val="008000"/>
                <w:w w:val="92"/>
                <w:vertAlign w:val="superscript"/>
              </w:rPr>
              <w:t>(4)</w:t>
            </w: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15,858,334</w:t>
            </w:r>
            <w:r>
              <w:rPr>
                <w:rFonts w:ascii="Arial" w:cs="Arial" w:eastAsia="Arial" w:hAnsi="Arial"/>
                <w:sz w:val="22"/>
                <w:szCs w:val="22"/>
                <w:color w:val="008000"/>
                <w:w w:val="86"/>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0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4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44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4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6"/>
              </w:rPr>
              <w:t>40,045,553</w:t>
            </w:r>
            <w:r>
              <w:rPr>
                <w:rFonts w:ascii="Arial" w:cs="Arial" w:eastAsia="Arial" w:hAnsi="Arial"/>
                <w:sz w:val="22"/>
                <w:szCs w:val="22"/>
                <w:color w:val="008000"/>
                <w:w w:val="86"/>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380" w:type="dxa"/>
            <w:vAlign w:val="bottom"/>
            <w:tcBorders>
              <w:top w:val="single" w:sz="8" w:color="2C2C2C"/>
              <w:bottom w:val="single" w:sz="8" w:color="2C2C2C"/>
            </w:tcBorders>
          </w:tcPr>
          <w:p>
            <w:pPr>
              <w:spacing w:after="0"/>
              <w:rPr>
                <w:sz w:val="24"/>
                <w:szCs w:val="24"/>
                <w:color w:val="auto"/>
              </w:rPr>
            </w:pPr>
          </w:p>
        </w:tc>
        <w:tc>
          <w:tcPr>
            <w:tcW w:w="22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60" w:type="dxa"/>
            <w:vAlign w:val="bottom"/>
            <w:tcBorders>
              <w:top w:val="single" w:sz="8" w:color="2C2C2C"/>
              <w:bottom w:val="single" w:sz="8" w:color="2C2C2C"/>
            </w:tcBorders>
          </w:tcPr>
          <w:p>
            <w:pPr>
              <w:spacing w:after="0"/>
              <w:rPr>
                <w:sz w:val="24"/>
                <w:szCs w:val="24"/>
                <w:color w:val="auto"/>
              </w:rPr>
            </w:pPr>
          </w:p>
        </w:tc>
        <w:tc>
          <w:tcPr>
            <w:tcW w:w="760" w:type="dxa"/>
            <w:vAlign w:val="bottom"/>
            <w:tcBorders>
              <w:top w:val="single" w:sz="8" w:color="2C2C2C"/>
              <w:bottom w:val="single" w:sz="8" w:color="2C2C2C"/>
            </w:tcBorders>
          </w:tcPr>
          <w:p>
            <w:pPr>
              <w:spacing w:after="0"/>
              <w:rPr>
                <w:sz w:val="24"/>
                <w:szCs w:val="24"/>
                <w:color w:val="auto"/>
              </w:rPr>
            </w:pPr>
          </w:p>
        </w:tc>
        <w:tc>
          <w:tcPr>
            <w:tcW w:w="9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320" w:type="dxa"/>
            <w:vAlign w:val="bottom"/>
            <w:tcBorders>
              <w:top w:val="single" w:sz="8" w:color="2C2C2C"/>
              <w:bottom w:val="single" w:sz="8" w:color="2C2C2C"/>
            </w:tcBorders>
          </w:tcPr>
          <w:p>
            <w:pPr>
              <w:spacing w:after="0"/>
              <w:rPr>
                <w:sz w:val="24"/>
                <w:szCs w:val="24"/>
                <w:color w:val="auto"/>
              </w:rPr>
            </w:pPr>
          </w:p>
        </w:tc>
        <w:tc>
          <w:tcPr>
            <w:tcW w:w="124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3"/>
              </w:rPr>
              <w:t>3,468,895</w:t>
            </w:r>
            <w:r>
              <w:rPr>
                <w:rFonts w:ascii="Arial" w:cs="Arial" w:eastAsia="Arial" w:hAnsi="Arial"/>
                <w:sz w:val="22"/>
                <w:szCs w:val="22"/>
                <w:color w:val="008000"/>
                <w:w w:val="83"/>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44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90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gridSpan w:val="4"/>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4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380" w:type="dxa"/>
            <w:vAlign w:val="bottom"/>
            <w:tcBorders>
              <w:top w:val="single" w:sz="8" w:color="2C2C2C"/>
            </w:tcBorders>
          </w:tcPr>
          <w:p>
            <w:pPr>
              <w:spacing w:after="0"/>
              <w:rPr>
                <w:sz w:val="21"/>
                <w:szCs w:val="21"/>
                <w:color w:val="auto"/>
              </w:rPr>
            </w:pPr>
          </w:p>
        </w:tc>
        <w:tc>
          <w:tcPr>
            <w:tcW w:w="2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9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120"/>
        <w:spacing w:after="0"/>
        <w:rPr>
          <w:sz w:val="20"/>
          <w:szCs w:val="20"/>
          <w:color w:val="auto"/>
        </w:rPr>
      </w:pPr>
      <w:r>
        <w:rPr>
          <w:rFonts w:ascii="Arial" w:cs="Arial" w:eastAsia="Arial" w:hAnsi="Arial"/>
          <w:sz w:val="18"/>
          <w:szCs w:val="18"/>
          <w:color w:val="0000FF"/>
        </w:rPr>
        <w:t>4495 SOUTH PECOS ROAD</w:t>
      </w:r>
    </w:p>
    <w:p>
      <w:pPr>
        <w:sectPr>
          <w:pgSz w:w="11900" w:h="16838" w:orient="portrait"/>
          <w:cols w:equalWidth="0" w:num="1">
            <w:col w:w="11420"/>
          </w:cols>
          <w:pgMar w:left="240" w:top="226" w:right="239" w:bottom="0" w:gutter="0" w:footer="0" w:header="0"/>
          <w:type w:val="continuous"/>
        </w:sectPr>
      </w:pPr>
    </w:p>
    <w:p>
      <w:pPr>
        <w:spacing w:after="0" w:line="354" w:lineRule="exact"/>
        <w:rPr>
          <w:sz w:val="20"/>
          <w:szCs w:val="20"/>
          <w:color w:val="auto"/>
        </w:rPr>
      </w:pPr>
    </w:p>
    <w:p>
      <w:pPr>
        <w:ind w:left="80"/>
        <w:spacing w:after="0"/>
        <w:rPr>
          <w:sz w:val="20"/>
          <w:szCs w:val="20"/>
          <w:color w:val="auto"/>
        </w:rPr>
      </w:pPr>
      <w:r>
        <w:rPr>
          <w:rFonts w:ascii="Arial" w:cs="Arial" w:eastAsia="Arial" w:hAnsi="Arial"/>
          <w:sz w:val="12"/>
          <w:szCs w:val="12"/>
          <w:color w:val="auto"/>
        </w:rPr>
        <w:t>(Street)</w:t>
      </w:r>
    </w:p>
    <w:p>
      <w:pPr>
        <w:sectPr>
          <w:pgSz w:w="11900" w:h="16838" w:orient="portrait"/>
          <w:cols w:equalWidth="0" w:num="1">
            <w:col w:w="11420"/>
          </w:cols>
          <w:pgMar w:left="240" w:top="226" w:right="239" w:bottom="0" w:gutter="0" w:footer="0" w:header="0"/>
          <w:type w:val="continuous"/>
        </w:sectPr>
      </w:pPr>
    </w:p>
    <w:bookmarkStart w:id="1" w:name="page2"/>
    <w:bookmarkEnd w:id="1"/>
    <w:tbl>
      <w:tblPr>
        <w:tblLayout w:type="fixed"/>
        <w:tblInd w:w="80" w:type="dxa"/>
        <w:tblCellMar>
          <w:top w:w="0" w:type="dxa"/>
          <w:left w:w="0" w:type="dxa"/>
          <w:bottom w:w="0" w:type="dxa"/>
          <w:right w:w="0" w:type="dxa"/>
        </w:tblCellMar>
      </w:tblPr>
      <w:tr>
        <w:trPr>
          <w:trHeight w:val="222"/>
        </w:trPr>
        <w:tc>
          <w:tcPr>
            <w:tcW w:w="1220" w:type="dxa"/>
            <w:vAlign w:val="bottom"/>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40"/>
              <w:spacing w:after="0"/>
              <w:rPr>
                <w:sz w:val="20"/>
                <w:szCs w:val="20"/>
                <w:color w:val="auto"/>
              </w:rPr>
            </w:pPr>
            <w:r>
              <w:rPr>
                <w:rFonts w:ascii="Arial" w:cs="Arial" w:eastAsia="Arial" w:hAnsi="Arial"/>
                <w:sz w:val="18"/>
                <w:szCs w:val="18"/>
                <w:color w:val="0000FF"/>
              </w:rPr>
              <w:t>NV</w:t>
            </w:r>
          </w:p>
        </w:tc>
        <w:tc>
          <w:tcPr>
            <w:tcW w:w="1940" w:type="dxa"/>
            <w:vAlign w:val="bottom"/>
          </w:tcPr>
          <w:p>
            <w:pPr>
              <w:ind w:left="520"/>
              <w:spacing w:after="0"/>
              <w:rPr>
                <w:sz w:val="20"/>
                <w:szCs w:val="20"/>
                <w:color w:val="auto"/>
              </w:rPr>
            </w:pPr>
            <w:r>
              <w:rPr>
                <w:rFonts w:ascii="Arial" w:cs="Arial" w:eastAsia="Arial" w:hAnsi="Arial"/>
                <w:sz w:val="18"/>
                <w:szCs w:val="18"/>
                <w:color w:val="0000FF"/>
              </w:rPr>
              <w:t>89121</w:t>
            </w:r>
          </w:p>
        </w:tc>
      </w:tr>
      <w:tr>
        <w:trPr>
          <w:trHeight w:val="158"/>
        </w:trPr>
        <w:tc>
          <w:tcPr>
            <w:tcW w:w="12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940" w:type="dxa"/>
            <w:vAlign w:val="bottom"/>
            <w:tcBorders>
              <w:bottom w:val="single" w:sz="8" w:color="9A9A9A"/>
            </w:tcBorders>
          </w:tcPr>
          <w:p>
            <w:pPr>
              <w:spacing w:after="0"/>
              <w:rPr>
                <w:sz w:val="13"/>
                <w:szCs w:val="13"/>
                <w:color w:val="auto"/>
              </w:rPr>
            </w:pPr>
          </w:p>
        </w:tc>
      </w:tr>
      <w:tr>
        <w:trPr>
          <w:trHeight w:val="310"/>
        </w:trPr>
        <w:tc>
          <w:tcPr>
            <w:tcW w:w="1220" w:type="dxa"/>
            <w:vAlign w:val="bottom"/>
          </w:tcPr>
          <w:p>
            <w:pPr>
              <w:spacing w:after="0"/>
              <w:rPr>
                <w:sz w:val="20"/>
                <w:szCs w:val="20"/>
                <w:color w:val="auto"/>
              </w:rPr>
            </w:pPr>
            <w:r>
              <w:rPr>
                <w:rFonts w:ascii="Arial" w:cs="Arial" w:eastAsia="Arial" w:hAnsi="Arial"/>
                <w:sz w:val="14"/>
                <w:szCs w:val="14"/>
                <w:color w:val="auto"/>
              </w:rPr>
              <w:t>(City)</w:t>
            </w:r>
          </w:p>
        </w:tc>
        <w:tc>
          <w:tcPr>
            <w:tcW w:w="1180" w:type="dxa"/>
            <w:vAlign w:val="bottom"/>
          </w:tcPr>
          <w:p>
            <w:pPr>
              <w:ind w:left="240"/>
              <w:spacing w:after="0"/>
              <w:rPr>
                <w:sz w:val="20"/>
                <w:szCs w:val="20"/>
                <w:color w:val="auto"/>
              </w:rPr>
            </w:pPr>
            <w:r>
              <w:rPr>
                <w:rFonts w:ascii="Arial" w:cs="Arial" w:eastAsia="Arial" w:hAnsi="Arial"/>
                <w:sz w:val="14"/>
                <w:szCs w:val="14"/>
                <w:color w:val="auto"/>
              </w:rPr>
              <w:t>(State)</w:t>
            </w:r>
          </w:p>
        </w:tc>
        <w:tc>
          <w:tcPr>
            <w:tcW w:w="1940" w:type="dxa"/>
            <w:vAlign w:val="bottom"/>
          </w:tcPr>
          <w:p>
            <w:pPr>
              <w:ind w:left="520"/>
              <w:spacing w:after="0"/>
              <w:rPr>
                <w:sz w:val="20"/>
                <w:szCs w:val="20"/>
                <w:color w:val="auto"/>
              </w:rPr>
            </w:pPr>
            <w:r>
              <w:rPr>
                <w:rFonts w:ascii="Arial" w:cs="Arial" w:eastAsia="Arial" w:hAnsi="Arial"/>
                <w:sz w:val="14"/>
                <w:szCs w:val="14"/>
                <w:color w:val="auto"/>
              </w:rPr>
              <w:t>(Zip)</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-445135</wp:posOffset>
            </wp:positionV>
            <wp:extent cx="2924175" cy="5270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527050"/>
                    </a:xfrm>
                    <a:prstGeom prst="rect">
                      <a:avLst/>
                    </a:prstGeom>
                    <a:noFill/>
                  </pic:spPr>
                </pic:pic>
              </a:graphicData>
            </a:graphic>
          </wp:anchor>
        </w:drawing>
      </w:r>
    </w:p>
    <w:p>
      <w:pPr>
        <w:spacing w:after="0" w:line="112"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$18.35 to $18.71,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16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41" w:lineRule="exact"/>
        <w:rPr>
          <w:rFonts w:ascii="Arial" w:cs="Arial" w:eastAsia="Arial" w:hAnsi="Arial"/>
          <w:sz w:val="14"/>
          <w:szCs w:val="14"/>
          <w:color w:val="008000"/>
        </w:rPr>
      </w:pPr>
    </w:p>
    <w:p>
      <w:pPr>
        <w:ind w:right="100"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$18.41 to $18.59, inclusive. The reporting person undertakes to provide Marvell Marvel, any security holder of Marvell, or the staff of the SEC, upon request, full information regarding the number of shares sold at each separate price within the range set forth in this footnote 4 to this Form 4.</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10/03/2017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10/03/2017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31"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2019-12-04T00:09:24Z</dcterms:created>
  <dcterms:modified xsi:type="dcterms:W3CDTF">2019-12-04T00:09:24Z</dcterms:modified>
</cp:coreProperties>
</file>