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51155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11556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 Jean X.</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2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20" w:type="dxa"/>
            <w:vAlign w:val="bottom"/>
            <w:gridSpan w:val="2"/>
            <w:vMerge w:val="restart"/>
          </w:tcPr>
          <w:p>
            <w:pPr>
              <w:ind w:left="400"/>
              <w:spacing w:after="0"/>
              <w:rPr>
                <w:sz w:val="20"/>
                <w:szCs w:val="20"/>
                <w:color w:val="auto"/>
              </w:rPr>
            </w:pPr>
            <w:r>
              <w:rPr>
                <w:rFonts w:ascii="Arial" w:cs="Arial" w:eastAsia="Arial" w:hAnsi="Arial"/>
                <w:sz w:val="17"/>
                <w:szCs w:val="17"/>
                <w:color w:val="0000FF"/>
              </w:rPr>
              <w:t>Chief Financial Officer</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04/15/2017</w:t>
            </w: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80" w:type="dxa"/>
            <w:vAlign w:val="bottom"/>
          </w:tcPr>
          <w:p>
            <w:pPr>
              <w:spacing w:after="0"/>
              <w:rPr>
                <w:sz w:val="13"/>
                <w:szCs w:val="13"/>
                <w:color w:val="auto"/>
              </w:rPr>
            </w:pPr>
          </w:p>
        </w:tc>
        <w:tc>
          <w:tcPr>
            <w:tcW w:w="182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8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6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7"/>
              </w:rPr>
              <w:t>Securities</w:t>
            </w:r>
          </w:p>
        </w:tc>
        <w:tc>
          <w:tcPr>
            <w:tcW w:w="620" w:type="dxa"/>
            <w:vAlign w:val="bottom"/>
          </w:tcPr>
          <w:p>
            <w:pPr>
              <w:spacing w:after="0"/>
              <w:rPr>
                <w:sz w:val="11"/>
                <w:szCs w:val="11"/>
                <w:color w:val="auto"/>
              </w:rPr>
            </w:pPr>
          </w:p>
        </w:tc>
        <w:tc>
          <w:tcPr>
            <w:tcW w:w="9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4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  8)</w:t>
            </w: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00" w:type="dxa"/>
            <w:vAlign w:val="bottom"/>
          </w:tcPr>
          <w:p>
            <w:pPr>
              <w:spacing w:after="0"/>
              <w:rPr>
                <w:sz w:val="6"/>
                <w:szCs w:val="6"/>
                <w:color w:val="auto"/>
              </w:rPr>
            </w:pPr>
          </w:p>
        </w:tc>
        <w:tc>
          <w:tcPr>
            <w:tcW w:w="3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1"/>
                <w:szCs w:val="11"/>
                <w:color w:val="auto"/>
              </w:rPr>
            </w:pPr>
          </w:p>
        </w:tc>
        <w:tc>
          <w:tcPr>
            <w:tcW w:w="5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2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jc w:val="right"/>
              <w:ind w:right="56"/>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700" w:type="dxa"/>
            <w:vAlign w:val="bottom"/>
            <w:vMerge w:val="restart"/>
          </w:tcPr>
          <w:p>
            <w:pPr>
              <w:ind w:left="32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00" w:type="dxa"/>
            <w:vAlign w:val="bottom"/>
          </w:tcPr>
          <w:p>
            <w:pPr>
              <w:spacing w:after="0"/>
              <w:rPr>
                <w:sz w:val="5"/>
                <w:szCs w:val="5"/>
                <w:color w:val="auto"/>
              </w:rPr>
            </w:pPr>
          </w:p>
        </w:tc>
        <w:tc>
          <w:tcPr>
            <w:tcW w:w="36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1400" w:type="dxa"/>
            <w:vAlign w:val="bottom"/>
            <w:tcBorders>
              <w:bottom w:val="single" w:sz="8" w:color="2C2C2C"/>
            </w:tcBorders>
            <w:gridSpan w:val="3"/>
          </w:tcPr>
          <w:p>
            <w:pPr>
              <w:ind w:left="480"/>
              <w:spacing w:after="0"/>
              <w:rPr>
                <w:sz w:val="20"/>
                <w:szCs w:val="20"/>
                <w:color w:val="auto"/>
              </w:rPr>
            </w:pPr>
            <w:r>
              <w:rPr>
                <w:rFonts w:ascii="Arial" w:cs="Arial" w:eastAsia="Arial" w:hAnsi="Arial"/>
                <w:sz w:val="17"/>
                <w:szCs w:val="17"/>
                <w:color w:val="0000FF"/>
              </w:rPr>
              <w:t>1,161</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jc w:val="right"/>
              <w:ind w:right="56"/>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6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Transaction</w:t>
            </w:r>
          </w:p>
        </w:tc>
        <w:tc>
          <w:tcPr>
            <w:tcW w:w="6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9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60" w:type="dxa"/>
            <w:vAlign w:val="bottom"/>
            <w:gridSpan w:val="2"/>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Pr>
          <w:p>
            <w:pPr>
              <w:spacing w:after="0"/>
              <w:rPr>
                <w:sz w:val="4"/>
                <w:szCs w:val="4"/>
                <w:color w:val="auto"/>
              </w:rPr>
            </w:pPr>
          </w:p>
        </w:tc>
        <w:tc>
          <w:tcPr>
            <w:tcW w:w="6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180" w:type="dxa"/>
            <w:vAlign w:val="bottom"/>
          </w:tcPr>
          <w:p>
            <w:pPr>
              <w:spacing w:after="0"/>
              <w:rPr>
                <w:sz w:val="12"/>
                <w:szCs w:val="12"/>
                <w:color w:val="auto"/>
              </w:rPr>
            </w:pPr>
          </w:p>
        </w:tc>
        <w:tc>
          <w:tcPr>
            <w:tcW w:w="56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44,960</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04/15/2017</w:t>
            </w:r>
          </w:p>
        </w:tc>
        <w:tc>
          <w:tcPr>
            <w:tcW w:w="1180" w:type="dxa"/>
            <w:vAlign w:val="bottom"/>
          </w:tcPr>
          <w:p>
            <w:pPr>
              <w:spacing w:after="0"/>
              <w:rPr>
                <w:sz w:val="11"/>
                <w:szCs w:val="11"/>
                <w:color w:val="auto"/>
              </w:rPr>
            </w:pPr>
          </w:p>
        </w:tc>
        <w:tc>
          <w:tcPr>
            <w:tcW w:w="76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600" w:type="dxa"/>
            <w:vAlign w:val="bottom"/>
          </w:tcPr>
          <w:p>
            <w:pPr>
              <w:ind w:left="160"/>
              <w:spacing w:after="0" w:line="132" w:lineRule="exact"/>
              <w:rPr>
                <w:sz w:val="20"/>
                <w:szCs w:val="20"/>
                <w:color w:val="auto"/>
              </w:rPr>
            </w:pPr>
            <w:r>
              <w:rPr>
                <w:rFonts w:ascii="Arial" w:cs="Arial" w:eastAsia="Arial" w:hAnsi="Arial"/>
                <w:sz w:val="13"/>
                <w:szCs w:val="13"/>
                <w:color w:val="0000FF"/>
              </w:rPr>
              <w:t>44,960</w:t>
            </w:r>
          </w:p>
        </w:tc>
        <w:tc>
          <w:tcPr>
            <w:tcW w:w="360" w:type="dxa"/>
            <w:vAlign w:val="bottom"/>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80" w:type="dxa"/>
            <w:vAlign w:val="bottom"/>
            <w:gridSpan w:val="2"/>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20" w:type="dxa"/>
            <w:vAlign w:val="bottom"/>
          </w:tcPr>
          <w:p>
            <w:pPr>
              <w:ind w:left="240"/>
              <w:spacing w:after="0" w:line="132" w:lineRule="exact"/>
              <w:rPr>
                <w:sz w:val="20"/>
                <w:szCs w:val="20"/>
                <w:color w:val="auto"/>
              </w:rPr>
            </w:pPr>
            <w:r>
              <w:rPr>
                <w:rFonts w:ascii="Arial" w:cs="Arial" w:eastAsia="Arial" w:hAnsi="Arial"/>
                <w:sz w:val="13"/>
                <w:szCs w:val="13"/>
                <w:color w:val="0000FF"/>
                <w:w w:val="90"/>
              </w:rPr>
              <w:t>44,960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00" w:type="dxa"/>
            <w:vAlign w:val="bottom"/>
          </w:tcPr>
          <w:p>
            <w:pPr>
              <w:ind w:left="160"/>
              <w:spacing w:after="0" w:line="148"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1,161 shares acquired under the Marvell 2000 Employee Stock Purchase Plan on December 7, 2016, in an exempt transaction under Rule 16b-3(c) of the Securities Exchange Act of 1934.</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represented a contingent right to receive one Marvell common share.</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ectPr>
          <w:pgSz w:w="11900" w:h="16838" w:orient="portrait"/>
          <w:cols w:equalWidth="0" w:num="1">
            <w:col w:w="11520"/>
          </w:cols>
          <w:pgMar w:left="240" w:top="225" w:right="139" w:bottom="1440" w:gutter="0" w:footer="0" w:header="0"/>
          <w:type w:val="continuous"/>
        </w:sectPr>
      </w:pP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51"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Jean X. Hu by Mary Ahern her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7604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76045" cy="8255"/>
                    </a:xfrm>
                    <a:prstGeom prst="rect">
                      <a:avLst/>
                    </a:prstGeom>
                    <a:noFill/>
                  </pic:spPr>
                </pic:pic>
              </a:graphicData>
            </a:graphic>
          </wp:anchor>
        </w:drawing>
      </w:r>
    </w:p>
    <w:p>
      <w:pPr>
        <w:spacing w:after="0" w:line="18" w:lineRule="exact"/>
        <w:rPr>
          <w:sz w:val="24"/>
          <w:szCs w:val="24"/>
          <w:color w:val="auto"/>
        </w:rPr>
      </w:pPr>
    </w:p>
    <w:p>
      <w:pPr>
        <w:ind w:left="6860"/>
        <w:spacing w:after="0"/>
        <w:rPr>
          <w:sz w:val="20"/>
          <w:szCs w:val="20"/>
          <w:color w:val="auto"/>
        </w:rPr>
      </w:pPr>
      <w:r>
        <w:rPr>
          <w:rFonts w:ascii="Arial" w:cs="Arial" w:eastAsia="Arial" w:hAnsi="Arial"/>
          <w:sz w:val="17"/>
          <w:szCs w:val="17"/>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-11430</wp:posOffset>
            </wp:positionV>
            <wp:extent cx="68961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89610" cy="8255"/>
                    </a:xfrm>
                    <a:prstGeom prst="rect">
                      <a:avLst/>
                    </a:prstGeom>
                    <a:noFill/>
                  </pic:spPr>
                </pic:pic>
              </a:graphicData>
            </a:graphic>
          </wp:anchor>
        </w:drawing>
      </w:r>
    </w:p>
    <w:p>
      <w:pPr>
        <w:spacing w:after="0" w:line="54" w:lineRule="exact"/>
        <w:rPr>
          <w:sz w:val="24"/>
          <w:szCs w:val="24"/>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77" w:lineRule="exact"/>
        <w:rPr>
          <w:sz w:val="24"/>
          <w:szCs w:val="24"/>
          <w:color w:val="auto"/>
        </w:rPr>
      </w:pPr>
    </w:p>
    <w:p>
      <w:pPr>
        <w:spacing w:after="0"/>
        <w:rPr>
          <w:sz w:val="20"/>
          <w:szCs w:val="20"/>
          <w:color w:val="auto"/>
        </w:rPr>
      </w:pPr>
      <w:r>
        <w:rPr>
          <w:rFonts w:ascii="Arial" w:cs="Arial" w:eastAsia="Arial" w:hAnsi="Arial"/>
          <w:sz w:val="15"/>
          <w:szCs w:val="15"/>
          <w:color w:val="0000FF"/>
        </w:rPr>
        <w:t>04/18/2017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50482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4825" cy="8255"/>
                    </a:xfrm>
                    <a:prstGeom prst="rect">
                      <a:avLst/>
                    </a:prstGeom>
                    <a:noFill/>
                  </pic:spPr>
                </pic:pic>
              </a:graphicData>
            </a:graphic>
          </wp:anchor>
        </w:drawing>
      </w:r>
    </w:p>
    <w:p>
      <w:pPr>
        <w:spacing w:after="0" w:line="191"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52" w:lineRule="exact"/>
        <w:rPr>
          <w:sz w:val="24"/>
          <w:szCs w:val="24"/>
          <w:color w:val="auto"/>
        </w:rPr>
      </w:pPr>
    </w:p>
    <w:p>
      <w:pPr>
        <w:sectPr>
          <w:pgSz w:w="11900" w:h="16838" w:orient="portrait"/>
          <w:cols w:equalWidth="0" w:num="2">
            <w:col w:w="9040" w:space="120"/>
            <w:col w:w="2360"/>
          </w:cols>
          <w:pgMar w:left="240" w:top="225"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5" w:right="1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7"/>
          <w:szCs w:val="17"/>
          <w:color w:val="auto"/>
        </w:rPr>
        <w:t>POWER OF ATTORNEY</w:t>
      </w:r>
    </w:p>
    <w:p>
      <w:pPr>
        <w:spacing w:after="0" w:line="9" w:lineRule="exact"/>
        <w:rPr>
          <w:sz w:val="20"/>
          <w:szCs w:val="20"/>
          <w:color w:val="auto"/>
        </w:rPr>
      </w:pPr>
    </w:p>
    <w:p>
      <w:pPr>
        <w:ind w:right="1839"/>
        <w:spacing w:after="0" w:line="251" w:lineRule="auto"/>
        <w:rPr>
          <w:sz w:val="20"/>
          <w:szCs w:val="20"/>
          <w:color w:val="auto"/>
        </w:rPr>
      </w:pPr>
      <w:r>
        <w:rPr>
          <w:rFonts w:ascii="Courier New" w:cs="Courier New" w:eastAsia="Courier New" w:hAnsi="Courier New"/>
          <w:sz w:val="17"/>
          <w:szCs w:val="17"/>
          <w:color w:val="auto"/>
        </w:rPr>
        <w:t>Know all by these presents that the undersigned hereby constitutes and appoints each of Mitchell Gaynor, Blair Walters and Mary Ahern, or either of them signing singly, and with full power of substitution, the undersigned's true and lawful attorney in fact to: (1) 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 (2) execute for and on behalf of the undersigned, in the undersigned's capacity as an officer and/or director of Marvell Technology Group Ltd. (the "Company"), Forms 3, 4, and 5 in accordance with Section 16(a) of the Securities Exchange Act of 1934 and the rules thereunder; (3) 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 (4) take any other action of any type whatsoever in connection with the foregoing which, in the opinion of such attorney in fact, may be of benefit to, in the best interest of, or legally required by, the undersigned, it being understood that the documents executed by such attorney in fact on behalf of the undersigned pursuant to this Power of Attorney shall be in such form and shall contain such terms and conditions as such attorney in fact may approve in such attorney in fact's discretion. The undersigned hereby grants to each such attorney in 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 in fact, or such attorney in fact's substitute or substitutes, shall lawfully do or cause to be done by virtue of this power of attorney and the rights and powers herein granted. The undersigned acknowledges that the foregoing attorneys in fact, in serving in such capacity at the request of the undersigned, are not assuming, nor is the Company assuming, any of the undersigned's responsibilities to comply with Section 16 of the Securities Exchange Act of 1934. 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 in fact.</w:t>
      </w:r>
    </w:p>
    <w:p>
      <w:pPr>
        <w:spacing w:after="0" w:line="202" w:lineRule="exact"/>
        <w:rPr>
          <w:sz w:val="20"/>
          <w:szCs w:val="20"/>
          <w:color w:val="auto"/>
        </w:rPr>
      </w:pPr>
    </w:p>
    <w:p>
      <w:pPr>
        <w:ind w:right="2359"/>
        <w:spacing w:after="0" w:line="257"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14th day April, 2017.</w:t>
      </w:r>
    </w:p>
    <w:p>
      <w:pPr>
        <w:spacing w:after="0" w:line="393" w:lineRule="exact"/>
        <w:rPr>
          <w:sz w:val="20"/>
          <w:szCs w:val="20"/>
          <w:color w:val="auto"/>
        </w:rPr>
      </w:pPr>
    </w:p>
    <w:p>
      <w:pPr>
        <w:ind w:left="840"/>
        <w:spacing w:after="0"/>
        <w:rPr>
          <w:sz w:val="20"/>
          <w:szCs w:val="20"/>
          <w:color w:val="auto"/>
        </w:rPr>
      </w:pPr>
      <w:r>
        <w:rPr>
          <w:rFonts w:ascii="Courier New" w:cs="Courier New" w:eastAsia="Courier New" w:hAnsi="Courier New"/>
          <w:sz w:val="17"/>
          <w:szCs w:val="17"/>
          <w:color w:val="auto"/>
        </w:rPr>
        <w:t>_________________________________</w:t>
      </w:r>
    </w:p>
    <w:p>
      <w:pPr>
        <w:spacing w:after="0" w:line="9" w:lineRule="exact"/>
        <w:rPr>
          <w:sz w:val="20"/>
          <w:szCs w:val="20"/>
          <w:color w:val="auto"/>
        </w:rPr>
      </w:pPr>
    </w:p>
    <w:p>
      <w:pPr>
        <w:ind w:left="1680"/>
        <w:spacing w:after="0"/>
        <w:rPr>
          <w:sz w:val="20"/>
          <w:szCs w:val="20"/>
          <w:color w:val="auto"/>
        </w:rPr>
      </w:pPr>
      <w:r>
        <w:rPr>
          <w:rFonts w:ascii="Courier New" w:cs="Courier New" w:eastAsia="Courier New" w:hAnsi="Courier New"/>
          <w:sz w:val="17"/>
          <w:szCs w:val="17"/>
          <w:color w:val="auto"/>
        </w:rPr>
        <w:t>Jean Hu</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2019-12-04T00:08:41Z</dcterms:created>
  <dcterms:modified xsi:type="dcterms:W3CDTF">2019-12-04T00:08:41Z</dcterms:modified>
</cp:coreProperties>
</file>