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w:t>
      </w:r>
    </w:p>
    <w:p>
      <w:pPr>
        <w:jc w:val="center"/>
        <w:ind w:right="-3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28" w:lineRule="exact"/>
        <w:rPr>
          <w:sz w:val="24"/>
          <w:szCs w:val="24"/>
          <w:color w:val="auto"/>
        </w:rPr>
      </w:pPr>
    </w:p>
    <w:p>
      <w:pPr>
        <w:ind w:left="2820"/>
        <w:spacing w:after="0"/>
        <w:rPr>
          <w:sz w:val="20"/>
          <w:szCs w:val="20"/>
          <w:color w:val="auto"/>
        </w:rPr>
      </w:pPr>
      <w:r>
        <w:rPr>
          <w:rFonts w:ascii="Arial" w:cs="Arial" w:eastAsia="Arial" w:hAnsi="Arial"/>
          <w:sz w:val="22"/>
          <w:szCs w:val="22"/>
          <w:b w:val="1"/>
          <w:bCs w:val="1"/>
          <w:color w:val="auto"/>
        </w:rPr>
        <w:t>Date of Report (Date of earliest event reported): March 2,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2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340" w:firstLine="456"/>
        <w:spacing w:after="0" w:line="342" w:lineRule="auto"/>
        <w:rPr>
          <w:sz w:val="20"/>
          <w:szCs w:val="20"/>
          <w:color w:val="auto"/>
        </w:rPr>
      </w:pPr>
      <w:r>
        <w:rPr>
          <w:rFonts w:ascii="Arial" w:cs="Arial" w:eastAsia="Arial" w:hAnsi="Arial"/>
          <w:sz w:val="16"/>
          <w:szCs w:val="16"/>
          <w:color w:val="auto"/>
        </w:rPr>
        <w:t>On March 2, 2017, Marvell Technology Group Ltd. (“Marvell”) issued a press release reporting its financial results for the fourth fiscal quarter and fiscal year 2017 ended January 28, 2017. A copy of the press release is furnished herewith as Exhibit 99.1 and is incorporated by reference herein.</w:t>
      </w:r>
    </w:p>
    <w:p>
      <w:pPr>
        <w:spacing w:after="0" w:line="124"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Marvell will conduct a conference call on Thursday, March 2, 2017 at 1:45 p.m. Pacific Time to discuss results for the fourth quarter and full year fiscal 2017. Interested parties may join the conference call by dialing 1-844-647-5488 or 1-615-247-0258, pass-code 67685468. The call will be webcast by Thomson Reuters and can be accessed at the Marvell Investor Relations website at http://investor.marvell.com/ with a replay available following the call until April 2, 2017.</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2, 2017</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2, 2017</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6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14605</wp:posOffset>
            </wp:positionV>
            <wp:extent cx="263271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732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32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2, 2017</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Quarter and Fiscal Year 2017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6"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Q4 Revenue: $571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Q4 GAAP gross margin of 57.3%; Non-GAAP gross margin of 57.6%</w:t>
      </w:r>
    </w:p>
    <w:p>
      <w:pPr>
        <w:spacing w:after="0" w:line="130" w:lineRule="exact"/>
        <w:rPr>
          <w:rFonts w:ascii="Arial" w:cs="Arial" w:eastAsia="Arial" w:hAnsi="Arial"/>
          <w:sz w:val="18"/>
          <w:szCs w:val="18"/>
          <w:color w:val="auto"/>
        </w:rPr>
      </w:pPr>
    </w:p>
    <w:p>
      <w:pPr>
        <w:ind w:left="900" w:right="380" w:hanging="325"/>
        <w:spacing w:after="0" w:line="277"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Q4 GAAP diluted loss per share from continuing operations of ($0.15); Non-GAAP diluted earnings per share from continuing operations of $0.22</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$1.67 Billion</w:t>
      </w:r>
    </w:p>
    <w:p>
      <w:pPr>
        <w:spacing w:after="0" w:line="221" w:lineRule="exact"/>
        <w:rPr>
          <w:sz w:val="20"/>
          <w:szCs w:val="20"/>
          <w:color w:val="auto"/>
        </w:rPr>
      </w:pPr>
    </w:p>
    <w:p>
      <w:pPr>
        <w:ind w:right="100"/>
        <w:spacing w:after="0" w:line="289" w:lineRule="auto"/>
        <w:rPr>
          <w:sz w:val="20"/>
          <w:szCs w:val="20"/>
          <w:color w:val="auto"/>
        </w:rPr>
      </w:pPr>
      <w:r>
        <w:rPr>
          <w:rFonts w:ascii="Arial" w:cs="Arial" w:eastAsia="Arial" w:hAnsi="Arial"/>
          <w:sz w:val="17"/>
          <w:szCs w:val="17"/>
          <w:b w:val="1"/>
          <w:bCs w:val="1"/>
          <w:color w:val="auto"/>
        </w:rPr>
        <w:t xml:space="preserve">Santa Clara, Calif. (March 2, 2017) </w:t>
      </w:r>
      <w:r>
        <w:rPr>
          <w:rFonts w:ascii="Arial" w:cs="Arial" w:eastAsia="Arial" w:hAnsi="Arial"/>
          <w:sz w:val="17"/>
          <w:szCs w:val="17"/>
          <w:color w:val="auto"/>
        </w:rPr>
        <w:t>— Marvell Technology Group Ltd. (NASDAQ: MRVL), a leader in storage, networking, and wireless connectivity</w:t>
      </w:r>
      <w:r>
        <w:rPr>
          <w:rFonts w:ascii="Arial" w:cs="Arial" w:eastAsia="Arial" w:hAnsi="Arial"/>
          <w:sz w:val="17"/>
          <w:szCs w:val="17"/>
          <w:b w:val="1"/>
          <w:bCs w:val="1"/>
          <w:color w:val="auto"/>
        </w:rPr>
        <w:t xml:space="preserve"> </w:t>
      </w:r>
      <w:r>
        <w:rPr>
          <w:rFonts w:ascii="Arial" w:cs="Arial" w:eastAsia="Arial" w:hAnsi="Arial"/>
          <w:sz w:val="17"/>
          <w:szCs w:val="17"/>
          <w:color w:val="auto"/>
        </w:rPr>
        <w:t>semiconductor solutions, today reported financial results for the fourth fiscal quarter and the full fiscal year, ended January 28, 2017. Revenues for the fourth quarter of fiscal 2017 were $571 million, which exceeded the midpoint of the Company’s guidance provided on November 17, 2016.</w:t>
      </w:r>
    </w:p>
    <w:p>
      <w:pPr>
        <w:spacing w:after="0" w:line="162" w:lineRule="exact"/>
        <w:rPr>
          <w:sz w:val="20"/>
          <w:szCs w:val="20"/>
          <w:color w:val="auto"/>
        </w:rPr>
      </w:pPr>
    </w:p>
    <w:p>
      <w:pPr>
        <w:ind w:right="20"/>
        <w:spacing w:after="0" w:line="342" w:lineRule="auto"/>
        <w:rPr>
          <w:sz w:val="20"/>
          <w:szCs w:val="20"/>
          <w:color w:val="auto"/>
        </w:rPr>
      </w:pPr>
      <w:r>
        <w:rPr>
          <w:rFonts w:ascii="Arial" w:cs="Arial" w:eastAsia="Arial" w:hAnsi="Arial"/>
          <w:sz w:val="16"/>
          <w:szCs w:val="16"/>
          <w:color w:val="auto"/>
        </w:rPr>
        <w:t>GAAP net loss from continuing operations for the fourth quarter of fiscal 2017 was $77 million, or ($0.15) per share. Non-GAAP net income from continuing operations for the fourth quarter of fiscal 2017 was $114 million, or $0.22 per diluted share. Cash flow from operations for the quarter was $119 million.</w:t>
      </w:r>
    </w:p>
    <w:p>
      <w:pPr>
        <w:spacing w:after="0" w:line="124" w:lineRule="exact"/>
        <w:rPr>
          <w:sz w:val="20"/>
          <w:szCs w:val="20"/>
          <w:color w:val="auto"/>
        </w:rPr>
      </w:pPr>
    </w:p>
    <w:p>
      <w:pPr>
        <w:spacing w:after="0"/>
        <w:rPr>
          <w:sz w:val="20"/>
          <w:szCs w:val="20"/>
          <w:color w:val="auto"/>
        </w:rPr>
      </w:pPr>
      <w:r>
        <w:rPr>
          <w:rFonts w:ascii="Arial" w:cs="Arial" w:eastAsia="Arial" w:hAnsi="Arial"/>
          <w:sz w:val="17"/>
          <w:szCs w:val="17"/>
          <w:color w:val="auto"/>
        </w:rPr>
        <w:t>Revenue for fiscal year 2017 was $2.3 billion. GAAP net income from continuing operations for the full year was $44 million or $0.09 per diluted share.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Non-GAAP net income from continuing operations for the full year was $331 million, or $0.63 per diluted share.</w:t>
      </w:r>
    </w:p>
    <w:p>
      <w:pPr>
        <w:spacing w:after="0" w:line="211" w:lineRule="exact"/>
        <w:rPr>
          <w:sz w:val="20"/>
          <w:szCs w:val="20"/>
          <w:color w:val="auto"/>
        </w:rPr>
      </w:pPr>
    </w:p>
    <w:p>
      <w:pPr>
        <w:ind w:right="300"/>
        <w:spacing w:after="0" w:line="286" w:lineRule="auto"/>
        <w:rPr>
          <w:sz w:val="20"/>
          <w:szCs w:val="20"/>
          <w:color w:val="auto"/>
        </w:rPr>
      </w:pPr>
      <w:r>
        <w:rPr>
          <w:rFonts w:ascii="Arial" w:cs="Arial" w:eastAsia="Arial" w:hAnsi="Arial"/>
          <w:sz w:val="17"/>
          <w:szCs w:val="17"/>
          <w:color w:val="auto"/>
        </w:rPr>
        <w:t>“Marvell delivered another strong performance in Q4’17, which demonstrates our team’s ongoing commitment to the Company’s transformation and the growing power of our business model,” said Matt Murphy, President and Chief Executive Officer. “Our performance also demonstrates the strength of our portfolio in the data storage, network infrastructure and wireless connectivity markets, which are core to our business.”</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First Quarter of Fiscal 2018 Financial Outlook</w:t>
      </w:r>
    </w:p>
    <w:p>
      <w:pPr>
        <w:spacing w:after="0" w:line="135"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$570 million plus or minus 2%, better than normal seasonality.</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59%.</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$250 million to $265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$220 million to $225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from continuing operations are expected to be in the range of $0.12 to $0.18.</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from continuing operations are expected to be in the range of $0.19 to $0.23.</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Discontinued Operations</w:t>
      </w:r>
    </w:p>
    <w:p>
      <w:pPr>
        <w:spacing w:after="0" w:line="121"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The Company’s financial results for prior periods presented herein have been recast to reflect certain businesses that were classified as discontinued operations during the fourth quarter of fiscal year 2017.</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Marvell will conduct a conference call on Thursday, March 2, 2017 at 1:45 p.m. Pacific Time to discuss results for the fourth quarter and full fiscal year 2017. Interested parties may join the conference call by dialing 1-844-647-5488 or 1-615-247-0258, pass-code 67685468. The call will be webcast by Thomson Reuters and can be accessed at the Marvell Investor Relations website at http://investor.marvell.com/ with a replay available following the call until March 10, 2017.</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Day</w:t>
      </w:r>
    </w:p>
    <w:p>
      <w:pPr>
        <w:spacing w:after="0" w:line="12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 xml:space="preserve">Marvell will hold its 2017 Investor Day at the St. Regis Hotel in New York City on March 10, 2017 from 9:30 a.m. – 12:30 p.m. Eastern Time. The live webcast and presentation materials will be available at </w:t>
      </w:r>
      <w:r>
        <w:rPr>
          <w:rFonts w:ascii="Arial" w:cs="Arial" w:eastAsia="Arial" w:hAnsi="Arial"/>
          <w:sz w:val="18"/>
          <w:szCs w:val="18"/>
          <w:u w:val="single" w:color="auto"/>
          <w:color w:val="auto"/>
        </w:rPr>
        <w:t>www.marvell.com/investors</w:t>
      </w:r>
      <w:r>
        <w:rPr>
          <w:rFonts w:ascii="Arial" w:cs="Arial" w:eastAsia="Arial" w:hAnsi="Arial"/>
          <w:sz w:val="18"/>
          <w:szCs w:val="18"/>
          <w:color w:val="auto"/>
        </w:rPr>
        <w:t>. During the presentation, Marvell’s leadership team will provide an update on the company’s strategy, business and products, and answer questions from attendees.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 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w:t>
      </w:r>
    </w:p>
    <w:p>
      <w:pPr>
        <w:sectPr>
          <w:pgSz w:w="11900" w:h="16838" w:orient="portrait"/>
          <w:cols w:equalWidth="0" w:num="1">
            <w:col w:w="11420"/>
          </w:cols>
          <w:pgMar w:left="240" w:top="270" w:right="239" w:bottom="1440" w:gutter="0" w:footer="0" w:header="0"/>
        </w:sectPr>
      </w:pPr>
    </w:p>
    <w:bookmarkStart w:id="6" w:name="page7"/>
    <w:bookmarkEnd w:id="6"/>
    <w:p>
      <w:pPr>
        <w:jc w:val="both"/>
        <w:ind w:right="4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4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130"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130" w:lineRule="exact"/>
        <w:rPr>
          <w:rFonts w:ascii="Arial" w:cs="Arial" w:eastAsia="Arial" w:hAnsi="Arial"/>
          <w:sz w:val="18"/>
          <w:szCs w:val="18"/>
          <w:color w:val="auto"/>
        </w:rPr>
      </w:pPr>
    </w:p>
    <w:p>
      <w:pPr>
        <w:ind w:left="460" w:right="160" w:hanging="452"/>
        <w:spacing w:after="0" w:line="277"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170"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274"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Marvell’s expectations regarding its first quarter of fiscal 2018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adverse impacts of litigation or regulatory activities; Marvell’s ability to implement its restructuring in a timely manner; the amount and timing of anticipated charges associated with the restructuring; Marvell’s ability to increase its operational efficiency and decrease its operating expenses to the anticipated level; its ability to divest certain non-strategic businesses within the anticipated timeframes and with the anticipated cost savings; actions that may be taken by Marvell as a result of the Audit Committee’s investigation; Marvell’s ability to compete in products and prices in an intensely competitive industry; Marvell’s reliance on the hard disk drive and wireless markets, which are highly cyclical and intensely competitive; costs and liabilities relating to current and future litigation; Marvell’s reliance on a few customers for a significant portion of its revenue; severe financial hardship or bankruptcy of one or more of Marvell’s major customers;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risks associated with acquisition and consolidation activity in the semiconductor industry; and other risks detailed in Marvell’s SEC filings from time to time. For other factors that could cause Marvell’s results to vary from expectations, please see the risk factors identified in Marvell’s Quarterly Report on Form 10-Q for the fiscal quarter ended October 29, 2016 as filed with the SEC on December 6, 2016, and other factors detailed from time to time in Marvell’s filings with the SEC. Marvell undertakes no obligation to revise or update publicly any forward-looking statements.</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w:t>
      </w:r>
    </w:p>
    <w:p>
      <w:pPr>
        <w:sectPr>
          <w:pgSz w:w="11900" w:h="16838" w:orient="portrait"/>
          <w:cols w:equalWidth="0" w:num="1">
            <w:col w:w="11380"/>
          </w:cols>
          <w:pgMar w:left="240" w:top="270" w:right="279" w:bottom="1440" w:gutter="0" w:footer="0" w:header="0"/>
        </w:sectPr>
      </w:pPr>
    </w:p>
    <w:bookmarkStart w:id="8" w:name="page9"/>
    <w:bookmarkEnd w:id="8"/>
    <w:p>
      <w:pPr>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infrastructure, and wireless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60"/>
          </w:cols>
          <w:pgMar w:left="240" w:top="274" w:right="49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360" w:type="dxa"/>
            <w:vAlign w:val="bottom"/>
            <w:gridSpan w:val="5"/>
          </w:tcPr>
          <w:p>
            <w:pPr>
              <w:jc w:val="right"/>
              <w:ind w:right="20"/>
              <w:spacing w:after="0"/>
              <w:rPr>
                <w:sz w:val="20"/>
                <w:szCs w:val="20"/>
                <w:color w:val="auto"/>
              </w:rPr>
            </w:pPr>
            <w:r>
              <w:rPr>
                <w:rFonts w:ascii="Arial" w:cs="Arial" w:eastAsia="Arial" w:hAnsi="Arial"/>
                <w:sz w:val="14"/>
                <w:szCs w:val="14"/>
                <w:b w:val="1"/>
                <w:bCs w:val="1"/>
                <w:color w:val="auto"/>
                <w:w w:val="95"/>
              </w:rPr>
              <w:t>Three Months Ended</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220" w:type="dxa"/>
            <w:vAlign w:val="bottom"/>
          </w:tcPr>
          <w:p>
            <w:pPr>
              <w:spacing w:after="0"/>
              <w:rPr>
                <w:sz w:val="10"/>
                <w:szCs w:val="10"/>
                <w:color w:val="auto"/>
              </w:rPr>
            </w:pPr>
          </w:p>
        </w:tc>
        <w:tc>
          <w:tcPr>
            <w:tcW w:w="9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January 30,</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0" w:type="dxa"/>
            <w:vAlign w:val="bottom"/>
            <w:tcBorders>
              <w:top w:val="single" w:sz="8" w:color="auto"/>
            </w:tcBorders>
            <w:gridSpan w:val="3"/>
          </w:tcPr>
          <w:p>
            <w:pPr>
              <w:jc w:val="right"/>
              <w:ind w:right="240"/>
              <w:spacing w:after="0" w:line="119" w:lineRule="exact"/>
              <w:rPr>
                <w:sz w:val="20"/>
                <w:szCs w:val="20"/>
                <w:color w:val="auto"/>
              </w:rPr>
            </w:pPr>
            <w:r>
              <w:rPr>
                <w:rFonts w:ascii="Arial" w:cs="Arial" w:eastAsia="Arial" w:hAnsi="Arial"/>
                <w:sz w:val="13"/>
                <w:szCs w:val="13"/>
                <w:b w:val="1"/>
                <w:bCs w:val="1"/>
                <w:color w:val="auto"/>
              </w:rPr>
              <w:t>January 28,</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January 30,</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571,400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626,092</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602,513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2,317,674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2,649,216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Cost of goods sold</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243,883</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268,313</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w w:val="89"/>
              </w:rPr>
              <w:t>292,288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1,029,527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1,442,517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327,517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357,779</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310,225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1,288,147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1,206,699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Operating expenses:</w:t>
            </w: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228,669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209,905</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225,577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880,050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1,041,922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20" w:type="dxa"/>
            <w:vAlign w:val="bottom"/>
          </w:tcPr>
          <w:p>
            <w:pPr>
              <w:spacing w:after="0"/>
              <w:rPr>
                <w:sz w:val="18"/>
                <w:szCs w:val="18"/>
                <w:color w:val="auto"/>
              </w:rPr>
            </w:pPr>
          </w:p>
        </w:tc>
        <w:tc>
          <w:tcPr>
            <w:tcW w:w="780" w:type="dxa"/>
            <w:vAlign w:val="bottom"/>
            <w:gridSpan w:val="2"/>
          </w:tcPr>
          <w:p>
            <w:pPr>
              <w:jc w:val="right"/>
              <w:ind w:right="102"/>
              <w:spacing w:after="0"/>
              <w:rPr>
                <w:sz w:val="20"/>
                <w:szCs w:val="20"/>
                <w:color w:val="auto"/>
              </w:rPr>
            </w:pPr>
            <w:r>
              <w:rPr>
                <w:rFonts w:ascii="Arial" w:cs="Arial" w:eastAsia="Arial" w:hAnsi="Arial"/>
                <w:sz w:val="18"/>
                <w:szCs w:val="18"/>
                <w:color w:val="auto"/>
              </w:rPr>
              <w:t>29,154</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29,237</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29,849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118,311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126,113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2"/>
              <w:spacing w:after="0"/>
              <w:rPr>
                <w:sz w:val="20"/>
                <w:szCs w:val="20"/>
                <w:color w:val="auto"/>
              </w:rPr>
            </w:pPr>
            <w:r>
              <w:rPr>
                <w:rFonts w:ascii="Arial" w:cs="Arial" w:eastAsia="Arial" w:hAnsi="Arial"/>
                <w:sz w:val="18"/>
                <w:szCs w:val="18"/>
                <w:color w:val="auto"/>
              </w:rPr>
              <w:t>80,347</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28,754</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37,566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181,416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804,071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1,480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2,299</w:t>
            </w:r>
          </w:p>
        </w:tc>
        <w:tc>
          <w:tcPr>
            <w:tcW w:w="12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2,300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8,376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10,098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339,650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270,195</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295,292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1,188,153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1,982,204</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(12,133)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87,584</w:t>
            </w: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14,933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99,994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(775,505)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5,470</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1,084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17,022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17,685</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Income (loss) from continuing operations before income taxes</w:t>
            </w: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(8,353)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93,054</w:t>
            </w: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16,017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117,016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(757,820)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2"/>
              <w:spacing w:after="0"/>
              <w:rPr>
                <w:sz w:val="20"/>
                <w:szCs w:val="20"/>
                <w:color w:val="auto"/>
              </w:rPr>
            </w:pPr>
            <w:r>
              <w:rPr>
                <w:rFonts w:ascii="Arial" w:cs="Arial" w:eastAsia="Arial" w:hAnsi="Arial"/>
                <w:sz w:val="18"/>
                <w:szCs w:val="18"/>
                <w:color w:val="auto"/>
              </w:rPr>
              <w:t>68,524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15,600</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(1,156)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73,022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11,335</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Income (loss) from continuing operations</w:t>
            </w: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(76,877)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77,454</w:t>
            </w: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17,173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43,994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(769,155)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Loss from discontinued operations, net of tax</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2"/>
              <w:spacing w:after="0"/>
              <w:rPr>
                <w:sz w:val="20"/>
                <w:szCs w:val="20"/>
                <w:color w:val="auto"/>
              </w:rPr>
            </w:pPr>
            <w:r>
              <w:rPr>
                <w:rFonts w:ascii="Arial" w:cs="Arial" w:eastAsia="Arial" w:hAnsi="Arial"/>
                <w:sz w:val="18"/>
                <w:szCs w:val="18"/>
                <w:color w:val="auto"/>
              </w:rPr>
              <w:t>(3,214)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(4,838)</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(12,973)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(22,843)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(42,245)</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(80,091</w:t>
            </w:r>
          </w:p>
        </w:tc>
        <w:tc>
          <w:tcPr>
            <w:tcW w:w="180" w:type="dxa"/>
            <w:vAlign w:val="bottom"/>
          </w:tcPr>
          <w:p>
            <w:pPr>
              <w:jc w:val="right"/>
              <w:ind w:right="42"/>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72,616</w:t>
            </w: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4,200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21,151</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(811,400</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 Basic:</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340"/>
              <w:spacing w:after="0"/>
              <w:rPr>
                <w:sz w:val="20"/>
                <w:szCs w:val="20"/>
                <w:color w:val="auto"/>
              </w:rPr>
            </w:pPr>
            <w:r>
              <w:rPr>
                <w:rFonts w:ascii="Arial" w:cs="Arial" w:eastAsia="Arial" w:hAnsi="Arial"/>
                <w:sz w:val="18"/>
                <w:szCs w:val="18"/>
                <w:color w:val="auto"/>
              </w:rPr>
              <w:t>Continuing operations</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42"/>
              <w:spacing w:after="0"/>
              <w:rPr>
                <w:sz w:val="20"/>
                <w:szCs w:val="20"/>
                <w:color w:val="auto"/>
              </w:rPr>
            </w:pPr>
            <w:r>
              <w:rPr>
                <w:rFonts w:ascii="Arial" w:cs="Arial" w:eastAsia="Arial" w:hAnsi="Arial"/>
                <w:sz w:val="18"/>
                <w:szCs w:val="18"/>
                <w:color w:val="auto"/>
              </w:rPr>
              <w:t>(0.15)</w:t>
            </w:r>
          </w:p>
        </w:tc>
        <w:tc>
          <w:tcPr>
            <w:tcW w:w="260" w:type="dxa"/>
            <w:vAlign w:val="bottom"/>
            <w:gridSpan w:val="2"/>
          </w:tcPr>
          <w:p>
            <w:pPr>
              <w:ind w:left="14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0.15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0.03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0.09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Discontinued operations</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2"/>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(0.01)</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Net income (loss) per share basic</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jc w:val="right"/>
              <w:ind w:right="42"/>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14</w:t>
            </w: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01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 Diluted:</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tcPr>
          <w:p>
            <w:pPr>
              <w:ind w:left="340"/>
              <w:spacing w:after="0"/>
              <w:rPr>
                <w:sz w:val="20"/>
                <w:szCs w:val="20"/>
                <w:color w:val="auto"/>
              </w:rPr>
            </w:pPr>
            <w:r>
              <w:rPr>
                <w:rFonts w:ascii="Arial" w:cs="Arial" w:eastAsia="Arial" w:hAnsi="Arial"/>
                <w:sz w:val="18"/>
                <w:szCs w:val="18"/>
                <w:color w:val="auto"/>
              </w:rPr>
              <w:t>Continuing operations</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42"/>
              <w:spacing w:after="0"/>
              <w:rPr>
                <w:sz w:val="20"/>
                <w:szCs w:val="20"/>
                <w:color w:val="auto"/>
              </w:rPr>
            </w:pPr>
            <w:r>
              <w:rPr>
                <w:rFonts w:ascii="Arial" w:cs="Arial" w:eastAsia="Arial" w:hAnsi="Arial"/>
                <w:sz w:val="18"/>
                <w:szCs w:val="18"/>
                <w:color w:val="auto"/>
              </w:rPr>
              <w:t>(0.15)</w:t>
            </w:r>
          </w:p>
        </w:tc>
        <w:tc>
          <w:tcPr>
            <w:tcW w:w="260" w:type="dxa"/>
            <w:vAlign w:val="bottom"/>
            <w:gridSpan w:val="2"/>
          </w:tcPr>
          <w:p>
            <w:pPr>
              <w:ind w:left="140"/>
              <w:spacing w:after="0"/>
              <w:rPr>
                <w:sz w:val="20"/>
                <w:szCs w:val="20"/>
                <w:color w:val="auto"/>
              </w:rPr>
            </w:pPr>
            <w:r>
              <w:rPr>
                <w:rFonts w:ascii="Arial" w:cs="Arial" w:eastAsia="Arial" w:hAnsi="Arial"/>
                <w:sz w:val="18"/>
                <w:szCs w:val="18"/>
                <w:color w:val="auto"/>
                <w:w w:val="99"/>
              </w:rPr>
              <w:t>$</w:t>
            </w: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0.15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0.03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0.09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Discontinued operations</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2"/>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(0.01)</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(0.08)</w:t>
            </w:r>
          </w:p>
        </w:tc>
        <w:tc>
          <w:tcPr>
            <w:tcW w:w="0" w:type="dxa"/>
            <w:vAlign w:val="bottom"/>
          </w:tcPr>
          <w:p>
            <w:pPr>
              <w:spacing w:after="0"/>
              <w:rPr>
                <w:sz w:val="1"/>
                <w:szCs w:val="1"/>
                <w:color w:val="auto"/>
              </w:rPr>
            </w:pPr>
          </w:p>
        </w:tc>
      </w:tr>
      <w:tr>
        <w:trPr>
          <w:trHeight w:val="223"/>
        </w:trPr>
        <w:tc>
          <w:tcPr>
            <w:tcW w:w="6240" w:type="dxa"/>
            <w:vAlign w:val="bottom"/>
            <w:gridSpan w:val="2"/>
          </w:tcPr>
          <w:p>
            <w:pPr>
              <w:spacing w:after="0"/>
              <w:rPr>
                <w:sz w:val="20"/>
                <w:szCs w:val="20"/>
                <w:color w:val="auto"/>
              </w:rPr>
            </w:pPr>
            <w:r>
              <w:rPr>
                <w:rFonts w:ascii="Arial" w:cs="Arial" w:eastAsia="Arial" w:hAnsi="Arial"/>
                <w:sz w:val="18"/>
                <w:szCs w:val="18"/>
                <w:color w:val="auto"/>
              </w:rPr>
              <w:t>Net income (loss) per share diluted</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jc w:val="right"/>
              <w:ind w:right="42"/>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14</w:t>
            </w: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01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507,834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511,090</w:t>
            </w: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9"/>
              </w:rPr>
              <w:t>506,352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509,738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510,945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2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2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507,834</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w w:val="89"/>
              </w:rPr>
              <w:t>522,091</w:t>
            </w:r>
          </w:p>
        </w:tc>
        <w:tc>
          <w:tcPr>
            <w:tcW w:w="120" w:type="dxa"/>
            <w:vAlign w:val="bottom"/>
          </w:tcPr>
          <w:p>
            <w:pPr>
              <w:spacing w:after="0"/>
              <w:rPr>
                <w:sz w:val="20"/>
                <w:szCs w:val="20"/>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w w:val="89"/>
              </w:rPr>
              <w:t>508,590</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517,513</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510,945</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00" w:type="dxa"/>
            <w:vAlign w:val="bottom"/>
          </w:tcPr>
          <w:p>
            <w:pPr>
              <w:spacing w:after="0"/>
              <w:rPr>
                <w:sz w:val="14"/>
                <w:szCs w:val="14"/>
                <w:color w:val="auto"/>
              </w:rPr>
            </w:pPr>
          </w:p>
        </w:tc>
        <w:tc>
          <w:tcPr>
            <w:tcW w:w="960" w:type="dxa"/>
            <w:vAlign w:val="bottom"/>
            <w:gridSpan w:val="4"/>
          </w:tcPr>
          <w:p>
            <w:pPr>
              <w:ind w:left="40"/>
              <w:spacing w:after="0"/>
              <w:rPr>
                <w:sz w:val="20"/>
                <w:szCs w:val="20"/>
                <w:color w:val="auto"/>
              </w:rPr>
            </w:pPr>
            <w:r>
              <w:rPr>
                <w:rFonts w:ascii="Arial" w:cs="Arial" w:eastAsia="Arial" w:hAnsi="Arial"/>
                <w:sz w:val="14"/>
                <w:szCs w:val="14"/>
                <w:b w:val="1"/>
                <w:bCs w:val="1"/>
                <w:color w:val="auto"/>
              </w:rPr>
              <w:t>January 28,</w:t>
            </w:r>
          </w:p>
        </w:tc>
        <w:tc>
          <w:tcPr>
            <w:tcW w:w="120" w:type="dxa"/>
            <w:vAlign w:val="bottom"/>
          </w:tcPr>
          <w:p>
            <w:pPr>
              <w:spacing w:after="0"/>
              <w:rPr>
                <w:sz w:val="14"/>
                <w:szCs w:val="14"/>
                <w:color w:val="auto"/>
              </w:rPr>
            </w:pPr>
          </w:p>
        </w:tc>
        <w:tc>
          <w:tcPr>
            <w:tcW w:w="94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71"/>
        </w:trPr>
        <w:tc>
          <w:tcPr>
            <w:tcW w:w="9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2017</w:t>
            </w: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0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1,668,360</w:t>
            </w:r>
          </w:p>
        </w:tc>
        <w:tc>
          <w:tcPr>
            <w:tcW w:w="1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2,282,749</w:t>
            </w:r>
          </w:p>
        </w:tc>
        <w:tc>
          <w:tcPr>
            <w:tcW w:w="0" w:type="dxa"/>
            <w:vAlign w:val="bottom"/>
          </w:tcPr>
          <w:p>
            <w:pPr>
              <w:spacing w:after="0"/>
              <w:rPr>
                <w:sz w:val="1"/>
                <w:szCs w:val="1"/>
                <w:color w:val="auto"/>
              </w:rPr>
            </w:pPr>
          </w:p>
        </w:tc>
      </w:tr>
      <w:tr>
        <w:trPr>
          <w:trHeight w:val="216"/>
        </w:trPr>
        <w:tc>
          <w:tcPr>
            <w:tcW w:w="940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335,384</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323,300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171,969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200,958</w:t>
            </w:r>
          </w:p>
        </w:tc>
        <w:tc>
          <w:tcPr>
            <w:tcW w:w="0" w:type="dxa"/>
            <w:vAlign w:val="bottom"/>
          </w:tcPr>
          <w:p>
            <w:pPr>
              <w:spacing w:after="0"/>
              <w:rPr>
                <w:sz w:val="1"/>
                <w:szCs w:val="1"/>
                <w:color w:val="auto"/>
              </w:rPr>
            </w:pPr>
          </w:p>
        </w:tc>
      </w:tr>
      <w:tr>
        <w:trPr>
          <w:trHeight w:val="216"/>
        </w:trPr>
        <w:tc>
          <w:tcPr>
            <w:tcW w:w="9400" w:type="dxa"/>
            <w:vAlign w:val="bottom"/>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8"/>
                <w:szCs w:val="18"/>
                <w:color w:val="auto"/>
              </w:rPr>
            </w:pPr>
          </w:p>
        </w:tc>
        <w:tc>
          <w:tcPr>
            <w:tcW w:w="860" w:type="dxa"/>
            <w:vAlign w:val="bottom"/>
            <w:gridSpan w:val="3"/>
          </w:tcPr>
          <w:p>
            <w:pPr>
              <w:jc w:val="right"/>
              <w:ind w:right="140"/>
              <w:spacing w:after="0"/>
              <w:rPr>
                <w:sz w:val="20"/>
                <w:szCs w:val="20"/>
                <w:color w:val="auto"/>
              </w:rPr>
            </w:pPr>
            <w:r>
              <w:rPr>
                <w:rFonts w:ascii="Arial" w:cs="Arial" w:eastAsia="Arial" w:hAnsi="Arial"/>
                <w:sz w:val="18"/>
                <w:szCs w:val="18"/>
                <w:color w:val="auto"/>
              </w:rPr>
              <w:t>58,771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102,560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Current assets held for sale</w:t>
            </w:r>
          </w:p>
        </w:tc>
        <w:tc>
          <w:tcPr>
            <w:tcW w:w="10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45,846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45,095</w:t>
            </w:r>
          </w:p>
        </w:tc>
        <w:tc>
          <w:tcPr>
            <w:tcW w:w="0" w:type="dxa"/>
            <w:vAlign w:val="bottom"/>
          </w:tcPr>
          <w:p>
            <w:pPr>
              <w:spacing w:after="0"/>
              <w:rPr>
                <w:sz w:val="1"/>
                <w:szCs w:val="1"/>
                <w:color w:val="auto"/>
              </w:rPr>
            </w:pPr>
          </w:p>
        </w:tc>
      </w:tr>
      <w:tr>
        <w:trPr>
          <w:trHeight w:val="223"/>
        </w:trPr>
        <w:tc>
          <w:tcPr>
            <w:tcW w:w="9400" w:type="dxa"/>
            <w:vAlign w:val="bottom"/>
          </w:tcPr>
          <w:p>
            <w:pPr>
              <w:ind w:left="720"/>
              <w:spacing w:after="0"/>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7"/>
              </w:rPr>
              <w:t>2,280,330</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2,954,662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243,397</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296,778</w:t>
            </w:r>
          </w:p>
        </w:tc>
        <w:tc>
          <w:tcPr>
            <w:tcW w:w="0" w:type="dxa"/>
            <w:vAlign w:val="bottom"/>
          </w:tcPr>
          <w:p>
            <w:pPr>
              <w:spacing w:after="0"/>
              <w:rPr>
                <w:sz w:val="1"/>
                <w:szCs w:val="1"/>
                <w:color w:val="auto"/>
              </w:rPr>
            </w:pPr>
          </w:p>
        </w:tc>
      </w:tr>
      <w:tr>
        <w:trPr>
          <w:trHeight w:val="216"/>
        </w:trPr>
        <w:tc>
          <w:tcPr>
            <w:tcW w:w="9400" w:type="dxa"/>
            <w:vAlign w:val="bottom"/>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4,615</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11,296</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Goodwill and acquired intangible assets, net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2,006,984</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2,015,360</w:t>
            </w:r>
          </w:p>
        </w:tc>
        <w:tc>
          <w:tcPr>
            <w:tcW w:w="0" w:type="dxa"/>
            <w:vAlign w:val="bottom"/>
          </w:tcPr>
          <w:p>
            <w:pPr>
              <w:spacing w:after="0"/>
              <w:rPr>
                <w:sz w:val="1"/>
                <w:szCs w:val="1"/>
                <w:color w:val="auto"/>
              </w:rPr>
            </w:pPr>
          </w:p>
        </w:tc>
      </w:tr>
      <w:tr>
        <w:trPr>
          <w:trHeight w:val="223"/>
        </w:trPr>
        <w:tc>
          <w:tcPr>
            <w:tcW w:w="94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113,324</w:t>
            </w:r>
          </w:p>
        </w:tc>
        <w:tc>
          <w:tcPr>
            <w:tcW w:w="140" w:type="dxa"/>
            <w:vAlign w:val="bottom"/>
            <w:gridSpan w:val="2"/>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164,031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4,648,650</w:t>
            </w:r>
          </w:p>
        </w:tc>
        <w:tc>
          <w:tcPr>
            <w:tcW w:w="12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5,442,127</w:t>
            </w:r>
          </w:p>
        </w:tc>
        <w:tc>
          <w:tcPr>
            <w:tcW w:w="0" w:type="dxa"/>
            <w:vAlign w:val="bottom"/>
          </w:tcPr>
          <w:p>
            <w:pPr>
              <w:spacing w:after="0"/>
              <w:rPr>
                <w:sz w:val="1"/>
                <w:szCs w:val="1"/>
                <w:color w:val="auto"/>
              </w:rPr>
            </w:pPr>
          </w:p>
        </w:tc>
      </w:tr>
      <w:tr>
        <w:trPr>
          <w:trHeight w:val="20"/>
        </w:trPr>
        <w:tc>
          <w:tcPr>
            <w:tcW w:w="9400" w:type="dxa"/>
            <w:vAlign w:val="bottom"/>
            <w:vMerge w:val="restart"/>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4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36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143,484</w:t>
            </w:r>
          </w:p>
        </w:tc>
        <w:tc>
          <w:tcPr>
            <w:tcW w:w="12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180,372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283,138</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253,691</w:t>
            </w:r>
          </w:p>
        </w:tc>
        <w:tc>
          <w:tcPr>
            <w:tcW w:w="0" w:type="dxa"/>
            <w:vAlign w:val="bottom"/>
          </w:tcPr>
          <w:p>
            <w:pPr>
              <w:spacing w:after="0"/>
              <w:rPr>
                <w:sz w:val="1"/>
                <w:szCs w:val="1"/>
                <w:color w:val="auto"/>
              </w:rPr>
            </w:pPr>
          </w:p>
        </w:tc>
      </w:tr>
      <w:tr>
        <w:trPr>
          <w:trHeight w:val="216"/>
        </w:trPr>
        <w:tc>
          <w:tcPr>
            <w:tcW w:w="9400" w:type="dxa"/>
            <w:vAlign w:val="bottom"/>
          </w:tcPr>
          <w:p>
            <w:pPr>
              <w:ind w:left="360"/>
              <w:spacing w:after="0"/>
              <w:rPr>
                <w:sz w:val="20"/>
                <w:szCs w:val="20"/>
                <w:color w:val="auto"/>
              </w:rPr>
            </w:pPr>
            <w:r>
              <w:rPr>
                <w:rFonts w:ascii="Arial" w:cs="Arial" w:eastAsia="Arial" w:hAnsi="Arial"/>
                <w:sz w:val="18"/>
                <w:szCs w:val="18"/>
                <w:color w:val="auto"/>
              </w:rPr>
              <w:t>Carnegie Mellon University accrued litigation settlement</w:t>
            </w:r>
          </w:p>
        </w:tc>
        <w:tc>
          <w:tcPr>
            <w:tcW w:w="100" w:type="dxa"/>
            <w:vAlign w:val="bottom"/>
          </w:tcPr>
          <w:p>
            <w:pPr>
              <w:spacing w:after="0"/>
              <w:rPr>
                <w:sz w:val="18"/>
                <w:szCs w:val="18"/>
                <w:color w:val="auto"/>
              </w:rPr>
            </w:pPr>
          </w:p>
        </w:tc>
        <w:tc>
          <w:tcPr>
            <w:tcW w:w="860" w:type="dxa"/>
            <w:vAlign w:val="bottom"/>
            <w:gridSpan w:val="3"/>
          </w:tcPr>
          <w:p>
            <w:pPr>
              <w:ind w:left="4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736,000</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68,124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53,973</w:t>
            </w:r>
          </w:p>
        </w:tc>
        <w:tc>
          <w:tcPr>
            <w:tcW w:w="0" w:type="dxa"/>
            <w:vAlign w:val="bottom"/>
          </w:tcPr>
          <w:p>
            <w:pPr>
              <w:spacing w:after="0"/>
              <w:rPr>
                <w:sz w:val="1"/>
                <w:szCs w:val="1"/>
                <w:color w:val="auto"/>
              </w:rPr>
            </w:pPr>
          </w:p>
        </w:tc>
      </w:tr>
      <w:tr>
        <w:trPr>
          <w:trHeight w:val="223"/>
        </w:trPr>
        <w:tc>
          <w:tcPr>
            <w:tcW w:w="9400" w:type="dxa"/>
            <w:vAlign w:val="bottom"/>
          </w:tcPr>
          <w:p>
            <w:pPr>
              <w:ind w:left="360"/>
              <w:spacing w:after="0"/>
              <w:rPr>
                <w:sz w:val="20"/>
                <w:szCs w:val="20"/>
                <w:color w:val="auto"/>
              </w:rPr>
            </w:pPr>
            <w:r>
              <w:rPr>
                <w:rFonts w:ascii="Arial" w:cs="Arial" w:eastAsia="Arial" w:hAnsi="Arial"/>
                <w:sz w:val="18"/>
                <w:szCs w:val="18"/>
                <w:color w:val="auto"/>
              </w:rPr>
              <w:t>Current liabilities held for sale</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1,670</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496,416</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1,225,785</w:t>
            </w:r>
          </w:p>
        </w:tc>
        <w:tc>
          <w:tcPr>
            <w:tcW w:w="0" w:type="dxa"/>
            <w:vAlign w:val="bottom"/>
          </w:tcPr>
          <w:p>
            <w:pPr>
              <w:spacing w:after="0"/>
              <w:rPr>
                <w:sz w:val="1"/>
                <w:szCs w:val="1"/>
                <w:color w:val="auto"/>
              </w:rPr>
            </w:pPr>
          </w:p>
        </w:tc>
      </w:tr>
      <w:tr>
        <w:trPr>
          <w:trHeight w:val="223"/>
        </w:trPr>
        <w:tc>
          <w:tcPr>
            <w:tcW w:w="940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124,583</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76,219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620,999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1,302,004</w:t>
            </w:r>
          </w:p>
        </w:tc>
        <w:tc>
          <w:tcPr>
            <w:tcW w:w="0" w:type="dxa"/>
            <w:vAlign w:val="bottom"/>
          </w:tcPr>
          <w:p>
            <w:pPr>
              <w:spacing w:after="0"/>
              <w:rPr>
                <w:sz w:val="1"/>
                <w:szCs w:val="1"/>
                <w:color w:val="auto"/>
              </w:rPr>
            </w:pPr>
          </w:p>
        </w:tc>
      </w:tr>
      <w:tr>
        <w:trPr>
          <w:trHeight w:val="223"/>
        </w:trPr>
        <w:tc>
          <w:tcPr>
            <w:tcW w:w="9400" w:type="dxa"/>
            <w:vAlign w:val="bottom"/>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1,012</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1,015</w:t>
            </w:r>
          </w:p>
        </w:tc>
        <w:tc>
          <w:tcPr>
            <w:tcW w:w="0" w:type="dxa"/>
            <w:vAlign w:val="bottom"/>
          </w:tcPr>
          <w:p>
            <w:pPr>
              <w:spacing w:after="0"/>
              <w:rPr>
                <w:sz w:val="1"/>
                <w:szCs w:val="1"/>
                <w:color w:val="auto"/>
              </w:rPr>
            </w:pPr>
          </w:p>
        </w:tc>
      </w:tr>
      <w:tr>
        <w:trPr>
          <w:trHeight w:val="216"/>
        </w:trPr>
        <w:tc>
          <w:tcPr>
            <w:tcW w:w="940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w w:val="87"/>
              </w:rPr>
              <w:t>3,016,775</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3,028,921</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income (loss)</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23</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23"/>
        </w:trPr>
        <w:tc>
          <w:tcPr>
            <w:tcW w:w="9400" w:type="dxa"/>
            <w:vAlign w:val="bottom"/>
          </w:tcPr>
          <w:p>
            <w:pPr>
              <w:ind w:left="36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1,009,841</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1,110,982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shareholders’ equity</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7"/>
              </w:rPr>
              <w:t>4,027,651</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4,140,123</w:t>
            </w:r>
          </w:p>
        </w:tc>
        <w:tc>
          <w:tcPr>
            <w:tcW w:w="0" w:type="dxa"/>
            <w:vAlign w:val="bottom"/>
          </w:tcPr>
          <w:p>
            <w:pPr>
              <w:spacing w:after="0"/>
              <w:rPr>
                <w:sz w:val="1"/>
                <w:szCs w:val="1"/>
                <w:color w:val="auto"/>
              </w:rPr>
            </w:pPr>
          </w:p>
        </w:tc>
      </w:tr>
      <w:tr>
        <w:trPr>
          <w:trHeight w:val="223"/>
        </w:trPr>
        <w:tc>
          <w:tcPr>
            <w:tcW w:w="940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4,648,650</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5,442,127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8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20" w:type="dxa"/>
            <w:vAlign w:val="bottom"/>
            <w:gridSpan w:val="6"/>
          </w:tcPr>
          <w:p>
            <w:pPr>
              <w:jc w:val="right"/>
              <w:ind w:right="760"/>
              <w:spacing w:after="0"/>
              <w:rPr>
                <w:sz w:val="20"/>
                <w:szCs w:val="20"/>
                <w:color w:val="auto"/>
              </w:rPr>
            </w:pPr>
            <w:r>
              <w:rPr>
                <w:rFonts w:ascii="Arial" w:cs="Arial" w:eastAsia="Arial" w:hAnsi="Arial"/>
                <w:sz w:val="14"/>
                <w:szCs w:val="14"/>
                <w:b w:val="1"/>
                <w:bCs w:val="1"/>
                <w:color w:val="auto"/>
              </w:rPr>
              <w:t>Year Ended</w:t>
            </w:r>
          </w:p>
        </w:tc>
      </w:tr>
      <w:tr>
        <w:trPr>
          <w:trHeight w:val="119"/>
        </w:trPr>
        <w:tc>
          <w:tcPr>
            <w:tcW w:w="20" w:type="dxa"/>
            <w:vAlign w:val="bottom"/>
          </w:tcPr>
          <w:p>
            <w:pPr>
              <w:spacing w:after="0"/>
              <w:rPr>
                <w:sz w:val="10"/>
                <w:szCs w:val="10"/>
                <w:color w:val="auto"/>
              </w:rPr>
            </w:pPr>
          </w:p>
        </w:tc>
        <w:tc>
          <w:tcPr>
            <w:tcW w:w="7100" w:type="dxa"/>
            <w:vAlign w:val="bottom"/>
          </w:tcPr>
          <w:p>
            <w:pPr>
              <w:spacing w:after="0"/>
              <w:rPr>
                <w:sz w:val="10"/>
                <w:szCs w:val="10"/>
                <w:color w:val="auto"/>
              </w:rPr>
            </w:pPr>
          </w:p>
        </w:tc>
        <w:tc>
          <w:tcPr>
            <w:tcW w:w="1040" w:type="dxa"/>
            <w:vAlign w:val="bottom"/>
            <w:tcBorders>
              <w:top w:val="single" w:sz="8" w:color="auto"/>
            </w:tcBorders>
            <w:gridSpan w:val="4"/>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January 30,</w:t>
            </w:r>
          </w:p>
        </w:tc>
        <w:tc>
          <w:tcPr>
            <w:tcW w:w="2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0" w:type="dxa"/>
            <w:vAlign w:val="bottom"/>
            <w:tcBorders>
              <w:top w:val="single" w:sz="8" w:color="auto"/>
            </w:tcBorders>
            <w:gridSpan w:val="3"/>
          </w:tcPr>
          <w:p>
            <w:pPr>
              <w:jc w:val="right"/>
              <w:ind w:right="220"/>
              <w:spacing w:after="0" w:line="119" w:lineRule="exact"/>
              <w:rPr>
                <w:sz w:val="20"/>
                <w:szCs w:val="20"/>
                <w:color w:val="auto"/>
              </w:rPr>
            </w:pPr>
            <w:r>
              <w:rPr>
                <w:rFonts w:ascii="Arial" w:cs="Arial" w:eastAsia="Arial" w:hAnsi="Arial"/>
                <w:sz w:val="13"/>
                <w:szCs w:val="13"/>
                <w:b w:val="1"/>
                <w:bCs w:val="1"/>
                <w:color w:val="auto"/>
              </w:rPr>
              <w:t>January 28,</w:t>
            </w:r>
          </w:p>
        </w:tc>
        <w:tc>
          <w:tcPr>
            <w:tcW w:w="14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January 30,</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1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2017</w:t>
            </w:r>
          </w:p>
        </w:tc>
        <w:tc>
          <w:tcPr>
            <w:tcW w:w="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0"/>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10"/>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1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(80,091)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4,200</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21,151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(811,400)</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960" w:type="dxa"/>
            <w:vAlign w:val="bottom"/>
            <w:gridSpan w:val="3"/>
          </w:tcPr>
          <w:p>
            <w:pPr>
              <w:jc w:val="right"/>
              <w:ind w:right="300"/>
              <w:spacing w:after="0"/>
              <w:rPr>
                <w:sz w:val="20"/>
                <w:szCs w:val="20"/>
                <w:color w:val="auto"/>
              </w:rPr>
            </w:pPr>
            <w:r>
              <w:rPr>
                <w:rFonts w:ascii="Arial" w:cs="Arial" w:eastAsia="Arial" w:hAnsi="Arial"/>
                <w:sz w:val="18"/>
                <w:szCs w:val="18"/>
                <w:color w:val="auto"/>
              </w:rPr>
              <w:t>26,683</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22,800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107,851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100,176</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24,058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32,419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113,970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133,779</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1,965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10,641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12,688</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Impairment of long-lived assets and restructuring related charges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50,500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52,581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16,032</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Other non-cash expense (income), net</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(1,013)</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7,885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13,811</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(27)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26,811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57,628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(12,084)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97,655</w:t>
            </w:r>
          </w:p>
        </w:tc>
      </w:tr>
      <w:tr>
        <w:trPr>
          <w:trHeight w:val="216"/>
        </w:trPr>
        <w:tc>
          <w:tcPr>
            <w:tcW w:w="20" w:type="dxa"/>
            <w:vAlign w:val="bottom"/>
          </w:tcPr>
          <w:p>
            <w:pPr>
              <w:spacing w:after="0"/>
              <w:rPr>
                <w:sz w:val="18"/>
                <w:szCs w:val="18"/>
                <w:color w:val="auto"/>
              </w:rPr>
            </w:pPr>
          </w:p>
        </w:tc>
        <w:tc>
          <w:tcPr>
            <w:tcW w:w="710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960" w:type="dxa"/>
            <w:vAlign w:val="bottom"/>
            <w:gridSpan w:val="3"/>
          </w:tcPr>
          <w:p>
            <w:pPr>
              <w:jc w:val="right"/>
              <w:ind w:right="300"/>
              <w:spacing w:after="0"/>
              <w:rPr>
                <w:sz w:val="20"/>
                <w:szCs w:val="20"/>
                <w:color w:val="auto"/>
              </w:rPr>
            </w:pPr>
            <w:r>
              <w:rPr>
                <w:rFonts w:ascii="Arial" w:cs="Arial" w:eastAsia="Arial" w:hAnsi="Arial"/>
                <w:sz w:val="18"/>
                <w:szCs w:val="18"/>
                <w:color w:val="auto"/>
              </w:rPr>
              <w:t>18,381</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69,544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29,325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90,586</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Prepaid expenses and other assets </w:t>
            </w:r>
            <w:r>
              <w:rPr>
                <w:rFonts w:ascii="Arial" w:cs="Arial" w:eastAsia="Arial" w:hAnsi="Arial"/>
                <w:sz w:val="18"/>
                <w:szCs w:val="18"/>
                <w:i w:val="1"/>
                <w:iCs w:val="1"/>
                <w:color w:val="auto"/>
              </w:rPr>
              <w:t>(a)</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12,300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(35,245)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9,722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(17,113)</w:t>
            </w:r>
          </w:p>
        </w:tc>
      </w:tr>
      <w:tr>
        <w:trPr>
          <w:trHeight w:val="216"/>
        </w:trPr>
        <w:tc>
          <w:tcPr>
            <w:tcW w:w="20" w:type="dxa"/>
            <w:vAlign w:val="bottom"/>
          </w:tcPr>
          <w:p>
            <w:pPr>
              <w:spacing w:after="0"/>
              <w:rPr>
                <w:sz w:val="18"/>
                <w:szCs w:val="18"/>
                <w:color w:val="auto"/>
              </w:rPr>
            </w:pPr>
          </w:p>
        </w:tc>
        <w:tc>
          <w:tcPr>
            <w:tcW w:w="710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(38,694)</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(62,163)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(28,153)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(105,898)</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 xml:space="preserve">Accrued liabilities and other non-current liabilities </w:t>
            </w:r>
            <w:r>
              <w:rPr>
                <w:rFonts w:ascii="Arial" w:cs="Arial" w:eastAsia="Arial" w:hAnsi="Arial"/>
                <w:sz w:val="18"/>
                <w:szCs w:val="18"/>
                <w:i w:val="1"/>
                <w:iCs w:val="1"/>
                <w:color w:val="auto"/>
              </w:rPr>
              <w:t>(a)</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64,238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(25,933)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(695,497)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720,798</w:t>
            </w:r>
          </w:p>
        </w:tc>
      </w:tr>
      <w:tr>
        <w:trPr>
          <w:trHeight w:val="216"/>
        </w:trPr>
        <w:tc>
          <w:tcPr>
            <w:tcW w:w="20" w:type="dxa"/>
            <w:vAlign w:val="bottom"/>
          </w:tcPr>
          <w:p>
            <w:pPr>
              <w:spacing w:after="0"/>
              <w:rPr>
                <w:sz w:val="18"/>
                <w:szCs w:val="18"/>
                <w:color w:val="auto"/>
              </w:rPr>
            </w:pPr>
          </w:p>
        </w:tc>
        <w:tc>
          <w:tcPr>
            <w:tcW w:w="710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7,597</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(18,702)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18,016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(33,338)</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6,138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(2,364)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14,072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(12,398)</w:t>
            </w:r>
          </w:p>
        </w:tc>
      </w:tr>
      <w:tr>
        <w:trPr>
          <w:trHeight w:val="223"/>
        </w:trPr>
        <w:tc>
          <w:tcPr>
            <w:tcW w:w="20" w:type="dxa"/>
            <w:vAlign w:val="bottom"/>
          </w:tcPr>
          <w:p>
            <w:pPr>
              <w:spacing w:after="0"/>
              <w:rPr>
                <w:sz w:val="19"/>
                <w:szCs w:val="19"/>
                <w:color w:val="auto"/>
              </w:rPr>
            </w:pPr>
          </w:p>
        </w:tc>
        <w:tc>
          <w:tcPr>
            <w:tcW w:w="7100" w:type="dxa"/>
            <w:vAlign w:val="bottom"/>
          </w:tcPr>
          <w:p>
            <w:pPr>
              <w:ind w:left="1060"/>
              <w:spacing w:after="0"/>
              <w:rPr>
                <w:sz w:val="20"/>
                <w:szCs w:val="20"/>
                <w:color w:val="auto"/>
              </w:rPr>
            </w:pPr>
            <w:r>
              <w:rPr>
                <w:rFonts w:ascii="Arial" w:cs="Arial" w:eastAsia="Arial" w:hAnsi="Arial"/>
                <w:sz w:val="18"/>
                <w:szCs w:val="18"/>
                <w:color w:val="auto"/>
              </w:rPr>
              <w:t>Net cash provided by (used in) operating activities</w:t>
            </w:r>
          </w:p>
        </w:tc>
        <w:tc>
          <w:tcPr>
            <w:tcW w:w="8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8"/>
              </w:rPr>
              <w:t>118,846</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53,306</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(358,435)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205,352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w w:val="90"/>
              </w:rPr>
              <w:t>(146,046)</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(133,215)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(489,856)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w w:val="91"/>
              </w:rPr>
              <w:t>(1,056,045)</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199,217</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477,301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856,254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1,303,500</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Purchase of time deposits</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(275,000)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Maturities of time deposits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75,000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125,000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Distribution from (investments in) privately-held companies</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(258)</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(119)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(41)</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(1,870)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(1,579)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(10,309)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(8,236)</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(6,786)</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(3,894)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(44,510)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(37,255)</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(10,240)</w:t>
            </w:r>
          </w:p>
        </w:tc>
      </w:tr>
      <w:tr>
        <w:trPr>
          <w:trHeight w:val="223"/>
        </w:trPr>
        <w:tc>
          <w:tcPr>
            <w:tcW w:w="20" w:type="dxa"/>
            <w:vAlign w:val="bottom"/>
          </w:tcPr>
          <w:p>
            <w:pPr>
              <w:spacing w:after="0"/>
              <w:rPr>
                <w:sz w:val="19"/>
                <w:szCs w:val="19"/>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Net proceeds from sale of equipment held for sale</w:t>
            </w:r>
          </w:p>
        </w:tc>
        <w:tc>
          <w:tcPr>
            <w:tcW w:w="8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300" w:type="dxa"/>
            <w:vAlign w:val="bottom"/>
            <w:gridSpan w:val="2"/>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10,007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investing activities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44,257</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338,494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161,595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201,690</w:t>
            </w: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(b)</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w w:val="90"/>
              </w:rPr>
              <w:t>(125,033)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(181,564)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(260,875)</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960" w:type="dxa"/>
            <w:vAlign w:val="bottom"/>
            <w:gridSpan w:val="3"/>
          </w:tcPr>
          <w:p>
            <w:pPr>
              <w:jc w:val="right"/>
              <w:ind w:right="300"/>
              <w:spacing w:after="0"/>
              <w:rPr>
                <w:sz w:val="20"/>
                <w:szCs w:val="20"/>
                <w:color w:val="auto"/>
              </w:rPr>
            </w:pPr>
            <w:r>
              <w:rPr>
                <w:rFonts w:ascii="Arial" w:cs="Arial" w:eastAsia="Arial" w:hAnsi="Arial"/>
                <w:sz w:val="18"/>
                <w:szCs w:val="18"/>
                <w:color w:val="auto"/>
              </w:rPr>
              <w:t>62,383</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21,369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74,219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80,717</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(402)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(16,683)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(24,358)</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960" w:type="dxa"/>
            <w:vAlign w:val="bottom"/>
            <w:gridSpan w:val="3"/>
          </w:tcPr>
          <w:p>
            <w:pPr>
              <w:jc w:val="right"/>
              <w:ind w:right="240"/>
              <w:spacing w:after="0"/>
              <w:rPr>
                <w:sz w:val="20"/>
                <w:szCs w:val="20"/>
                <w:color w:val="auto"/>
              </w:rPr>
            </w:pPr>
            <w:r>
              <w:rPr>
                <w:rFonts w:ascii="Arial" w:cs="Arial" w:eastAsia="Arial" w:hAnsi="Arial"/>
                <w:sz w:val="18"/>
                <w:szCs w:val="18"/>
                <w:color w:val="auto"/>
              </w:rPr>
              <w:t>(30,457)</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(30,447)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(122,292)</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(122,821)</w:t>
            </w: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(7,117)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(1,112)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(20,965)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(12,528)</w:t>
            </w:r>
          </w:p>
        </w:tc>
      </w:tr>
      <w:tr>
        <w:trPr>
          <w:trHeight w:val="216"/>
        </w:trPr>
        <w:tc>
          <w:tcPr>
            <w:tcW w:w="20" w:type="dxa"/>
            <w:vAlign w:val="bottom"/>
          </w:tcPr>
          <w:p>
            <w:pPr>
              <w:spacing w:after="0"/>
              <w:rPr>
                <w:sz w:val="18"/>
                <w:szCs w:val="18"/>
                <w:color w:val="auto"/>
              </w:rPr>
            </w:pPr>
          </w:p>
        </w:tc>
        <w:tc>
          <w:tcPr>
            <w:tcW w:w="710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27</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26</w:t>
            </w:r>
          </w:p>
        </w:tc>
      </w:tr>
      <w:tr>
        <w:trPr>
          <w:trHeight w:val="27"/>
        </w:trPr>
        <w:tc>
          <w:tcPr>
            <w:tcW w:w="20" w:type="dxa"/>
            <w:vAlign w:val="bottom"/>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w w:val="90"/>
              </w:rPr>
              <w:t>(100,599)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(10,673)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(267,248)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(339,839)</w:t>
            </w:r>
          </w:p>
        </w:tc>
      </w:tr>
      <w:tr>
        <w:trPr>
          <w:trHeight w:val="230"/>
        </w:trPr>
        <w:tc>
          <w:tcPr>
            <w:tcW w:w="712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62,504</w:t>
            </w:r>
          </w:p>
        </w:tc>
        <w:tc>
          <w:tcPr>
            <w:tcW w:w="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381,127</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(464,088)</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67,203</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751,588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897,053</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1,278,180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1,210,977</w:t>
            </w:r>
          </w:p>
        </w:tc>
      </w:tr>
      <w:tr>
        <w:trPr>
          <w:trHeight w:val="223"/>
        </w:trPr>
        <w:tc>
          <w:tcPr>
            <w:tcW w:w="71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814,092</w:t>
            </w:r>
          </w:p>
        </w:tc>
        <w:tc>
          <w:tcPr>
            <w:tcW w:w="20" w:type="dxa"/>
            <w:vAlign w:val="bottom"/>
            <w:tcBorders>
              <w:bottom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1,278,180</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814,092</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7"/>
              </w:rPr>
              <w:t>1,278,180</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20" w:hanging="452"/>
        <w:spacing w:after="0" w:line="285" w:lineRule="auto"/>
        <w:tabs>
          <w:tab w:leader="none" w:pos="46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The Company agreed to pay a total of $750.0 million to CMU in connection with the settlement agreement that was reached in February 2016. Of this settlement, the Company recognized a charge of $736.0 million in fiscal 2016. The remaining $14.0 million was recorded in prepaid expenses and other assets, to be recognized in cost of goods sold over the remaining term of the license from February 2016 through April 2018. For further detail of the accounting for the settlement, see “Note 13 — Carnegie Mellon University Settlement” in the Notes to the Unaudited Condensed Consolidated Financial Statements included in the Company’s Quarterly Report on Form 10-Q for the quarter ended October 29, 2016.</w:t>
      </w:r>
    </w:p>
    <w:p>
      <w:pPr>
        <w:spacing w:after="0" w:line="2" w:lineRule="exact"/>
        <w:rPr>
          <w:rFonts w:ascii="Arial" w:cs="Arial" w:eastAsia="Arial" w:hAnsi="Arial"/>
          <w:sz w:val="16"/>
          <w:szCs w:val="16"/>
          <w:i w:val="1"/>
          <w:iCs w:val="1"/>
          <w:color w:val="auto"/>
        </w:rPr>
      </w:pPr>
    </w:p>
    <w:p>
      <w:pPr>
        <w:ind w:left="460" w:right="140" w:hanging="452"/>
        <w:spacing w:after="0" w:line="261" w:lineRule="auto"/>
        <w:tabs>
          <w:tab w:leader="none" w:pos="46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of common stock consistent with the way it records investment purchases and sales, based on trade date in accordance with U.S. GAAP.</w:t>
      </w:r>
    </w:p>
    <w:p>
      <w:pPr>
        <w:sectPr>
          <w:pgSz w:w="11900" w:h="16838" w:orient="portrait"/>
          <w:cols w:equalWidth="0" w:num="1">
            <w:col w:w="11420"/>
          </w:cols>
          <w:pgMar w:left="240" w:top="27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2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93"/>
              </w:rPr>
              <w:t>Three Months Ended</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9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32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10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January 30,</w:t>
            </w: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00" w:type="dxa"/>
            <w:vAlign w:val="bottom"/>
            <w:tcBorders>
              <w:top w:val="single" w:sz="8" w:color="auto"/>
            </w:tcBorders>
            <w:gridSpan w:val="3"/>
          </w:tcPr>
          <w:p>
            <w:pPr>
              <w:jc w:val="right"/>
              <w:ind w:right="520"/>
              <w:spacing w:after="0" w:line="119" w:lineRule="exact"/>
              <w:rPr>
                <w:sz w:val="20"/>
                <w:szCs w:val="20"/>
                <w:color w:val="auto"/>
              </w:rPr>
            </w:pPr>
            <w:r>
              <w:rPr>
                <w:rFonts w:ascii="Arial" w:cs="Arial" w:eastAsia="Arial" w:hAnsi="Arial"/>
                <w:sz w:val="13"/>
                <w:szCs w:val="13"/>
                <w:b w:val="1"/>
                <w:bCs w:val="1"/>
                <w:color w:val="auto"/>
              </w:rPr>
              <w:t>January 28,</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January 30,</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4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2017</w:t>
            </w:r>
          </w:p>
        </w:tc>
        <w:tc>
          <w:tcPr>
            <w:tcW w:w="1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2017</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from continuing operations: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327,517</w:t>
            </w:r>
          </w:p>
        </w:tc>
        <w:tc>
          <w:tcPr>
            <w:tcW w:w="1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357,779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310,225</w:t>
            </w: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1,288,147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1,206,699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Special items:</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1,641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1,826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8,334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10,292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 xml:space="preserve">Other cost of good sold </w:t>
            </w:r>
            <w:r>
              <w:rPr>
                <w:rFonts w:ascii="Arial" w:cs="Arial" w:eastAsia="Arial" w:hAnsi="Arial"/>
                <w:sz w:val="18"/>
                <w:szCs w:val="18"/>
                <w:i w:val="1"/>
                <w:iCs w:val="1"/>
                <w:color w:val="auto"/>
              </w:rPr>
              <w:t>(b)</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3,710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84,558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Total special items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1,641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5,543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8,334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103,370</w:t>
            </w:r>
          </w:p>
        </w:tc>
        <w:tc>
          <w:tcPr>
            <w:tcW w:w="0" w:type="dxa"/>
            <w:vAlign w:val="bottom"/>
          </w:tcPr>
          <w:p>
            <w:pPr>
              <w:spacing w:after="0"/>
              <w:rPr>
                <w:sz w:val="1"/>
                <w:szCs w:val="1"/>
                <w:color w:val="auto"/>
              </w:rPr>
            </w:pPr>
          </w:p>
        </w:tc>
      </w:tr>
      <w:tr>
        <w:trPr>
          <w:trHeight w:val="223"/>
        </w:trPr>
        <w:tc>
          <w:tcPr>
            <w:tcW w:w="526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329,158</w:t>
            </w:r>
          </w:p>
        </w:tc>
        <w:tc>
          <w:tcPr>
            <w:tcW w:w="1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359,968</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315,768</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1,296,481</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1,310,069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 from continuing operations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57.3%</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57.1%</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55.6%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45.5%</w:t>
            </w: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57.6%</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57.5%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52.4%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55.9%</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49.5%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Total GAAP operating expenses from continuing operations</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5"/>
              </w:rPr>
              <w:t>339,650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270,195</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295,292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1,188,153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1,982,204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spacing w:after="0"/>
              <w:rPr>
                <w:sz w:val="20"/>
                <w:szCs w:val="20"/>
                <w:color w:val="auto"/>
              </w:rPr>
            </w:pPr>
            <w:r>
              <w:rPr>
                <w:rFonts w:ascii="Arial" w:cs="Arial" w:eastAsia="Arial" w:hAnsi="Arial"/>
                <w:sz w:val="18"/>
                <w:szCs w:val="18"/>
                <w:color w:val="auto"/>
              </w:rPr>
              <w:t>Special items:</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(20,764)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(23,826)</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5"/>
              </w:rPr>
              <w:t>(28,365)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(96,426)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(118,174)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(98,860)</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(1,164)</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60"/>
              <w:spacing w:after="0"/>
              <w:rPr>
                <w:sz w:val="20"/>
                <w:szCs w:val="20"/>
                <w:color w:val="auto"/>
              </w:rPr>
            </w:pPr>
            <w:r>
              <w:rPr>
                <w:rFonts w:ascii="Arial" w:cs="Arial" w:eastAsia="Arial" w:hAnsi="Arial"/>
                <w:sz w:val="18"/>
                <w:szCs w:val="18"/>
                <w:color w:val="auto"/>
              </w:rPr>
              <w:t>(4,389)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w w:val="98"/>
              </w:rPr>
              <w:t>(105,186)</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(53,251)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(1,480)</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(2,299)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(8,376)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CMU Litigation settlement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(654,667)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(315)</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(6,836)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(1,544)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(43,914)</w:t>
            </w:r>
          </w:p>
        </w:tc>
        <w:tc>
          <w:tcPr>
            <w:tcW w:w="0" w:type="dxa"/>
            <w:vAlign w:val="bottom"/>
          </w:tcPr>
          <w:p>
            <w:pPr>
              <w:spacing w:after="0"/>
              <w:rPr>
                <w:sz w:val="1"/>
                <w:szCs w:val="1"/>
                <w:color w:val="auto"/>
              </w:rPr>
            </w:pPr>
          </w:p>
        </w:tc>
      </w:tr>
      <w:tr>
        <w:trPr>
          <w:trHeight w:val="230"/>
        </w:trPr>
        <w:tc>
          <w:tcPr>
            <w:tcW w:w="5260" w:type="dxa"/>
            <w:vAlign w:val="bottom"/>
            <w:gridSpan w:val="2"/>
          </w:tcPr>
          <w:p>
            <w:pPr>
              <w:spacing w:after="0"/>
              <w:rPr>
                <w:sz w:val="20"/>
                <w:szCs w:val="20"/>
                <w:color w:val="auto"/>
              </w:rPr>
            </w:pPr>
            <w:r>
              <w:rPr>
                <w:rFonts w:ascii="Arial" w:cs="Arial" w:eastAsia="Arial" w:hAnsi="Arial"/>
                <w:sz w:val="18"/>
                <w:szCs w:val="18"/>
                <w:color w:val="auto"/>
              </w:rPr>
              <w:t>Total special items</w:t>
            </w:r>
          </w:p>
        </w:tc>
        <w:tc>
          <w:tcPr>
            <w:tcW w:w="2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(121,419</w:t>
            </w:r>
          </w:p>
        </w:tc>
        <w:tc>
          <w:tcPr>
            <w:tcW w:w="160" w:type="dxa"/>
            <w:vAlign w:val="bottom"/>
          </w:tcPr>
          <w:p>
            <w:pPr>
              <w:jc w:val="right"/>
              <w:ind w:right="20"/>
              <w:spacing w:after="0"/>
              <w:rPr>
                <w:sz w:val="20"/>
                <w:szCs w:val="20"/>
                <w:color w:val="auto"/>
              </w:rPr>
            </w:pPr>
            <w:r>
              <w:rPr>
                <w:rFonts w:ascii="Arial" w:cs="Arial" w:eastAsia="Arial" w:hAnsi="Arial"/>
                <w:sz w:val="16"/>
                <w:szCs w:val="16"/>
                <w:color w:val="auto"/>
                <w:w w:val="74"/>
              </w:rPr>
              <w:t>)</w:t>
            </w:r>
          </w:p>
        </w:tc>
        <w:tc>
          <w:tcPr>
            <w:tcW w:w="3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(27,289)</w:t>
            </w: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(41,890)</w:t>
            </w:r>
          </w:p>
        </w:tc>
        <w:tc>
          <w:tcPr>
            <w:tcW w:w="3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(211,532)</w:t>
            </w:r>
          </w:p>
        </w:tc>
        <w:tc>
          <w:tcPr>
            <w:tcW w:w="4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(880,104)</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Total non-GAAP operating expenses</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5"/>
              </w:rPr>
              <w:t>218,231</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242,906</w:t>
            </w:r>
          </w:p>
        </w:tc>
        <w:tc>
          <w:tcPr>
            <w:tcW w:w="3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253,402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976,621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1,102,100</w:t>
            </w: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GAAP net income (loss)</w:t>
            </w: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2"/>
              </w:rPr>
              <w:t>(80,091)</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72,616</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4,200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21,151</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90"/>
              </w:rPr>
              <w:t>(811,400)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Net loss from discontinued operations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3,214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12,973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22,843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42,245</w:t>
            </w:r>
          </w:p>
        </w:tc>
        <w:tc>
          <w:tcPr>
            <w:tcW w:w="0" w:type="dxa"/>
            <w:vAlign w:val="bottom"/>
          </w:tcPr>
          <w:p>
            <w:pPr>
              <w:spacing w:after="0"/>
              <w:rPr>
                <w:sz w:val="1"/>
                <w:szCs w:val="1"/>
                <w:color w:val="auto"/>
              </w:rPr>
            </w:pPr>
          </w:p>
        </w:tc>
      </w:tr>
      <w:tr>
        <w:trPr>
          <w:trHeight w:val="223"/>
        </w:trPr>
        <w:tc>
          <w:tcPr>
            <w:tcW w:w="5260" w:type="dxa"/>
            <w:vAlign w:val="bottom"/>
            <w:gridSpan w:val="2"/>
          </w:tcPr>
          <w:p>
            <w:pPr>
              <w:spacing w:after="0"/>
              <w:rPr>
                <w:sz w:val="20"/>
                <w:szCs w:val="20"/>
                <w:color w:val="auto"/>
              </w:rPr>
            </w:pPr>
            <w:r>
              <w:rPr>
                <w:rFonts w:ascii="Arial" w:cs="Arial" w:eastAsia="Arial" w:hAnsi="Arial"/>
                <w:sz w:val="18"/>
                <w:szCs w:val="18"/>
                <w:color w:val="auto"/>
              </w:rPr>
              <w:t>GAAP net income (loss) from continuing operations</w:t>
            </w: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(76,877)</w:t>
            </w:r>
          </w:p>
        </w:tc>
        <w:tc>
          <w:tcPr>
            <w:tcW w:w="1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77,454</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17,173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43,994</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(769,155)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Special items: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22,405</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26,015</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30,191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104,760</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125,961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98,860</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4,396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105,186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63,543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1,480</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2,299</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2,300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8,376</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10,831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CMU Litigation settlement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654,667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tcPr>
          <w:p>
            <w:pPr>
              <w:ind w:left="34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8"/>
                <w:szCs w:val="18"/>
                <w:color w:val="auto"/>
              </w:rPr>
              <w:t>315</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10,546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1,544</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128,472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Pre-tax total special items</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5"/>
              </w:rPr>
              <w:t>123,060</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29,478</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47,433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219,866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983,474</w:t>
            </w:r>
          </w:p>
        </w:tc>
        <w:tc>
          <w:tcPr>
            <w:tcW w:w="0" w:type="dxa"/>
            <w:vAlign w:val="bottom"/>
          </w:tcPr>
          <w:p>
            <w:pPr>
              <w:spacing w:after="0"/>
              <w:rPr>
                <w:sz w:val="1"/>
                <w:szCs w:val="1"/>
                <w:color w:val="auto"/>
              </w:rPr>
            </w:pPr>
          </w:p>
        </w:tc>
      </w:tr>
      <w:tr>
        <w:trPr>
          <w:trHeight w:val="223"/>
        </w:trPr>
        <w:tc>
          <w:tcPr>
            <w:tcW w:w="5260" w:type="dxa"/>
            <w:vAlign w:val="bottom"/>
            <w:gridSpan w:val="2"/>
          </w:tcPr>
          <w:p>
            <w:pPr>
              <w:spacing w:after="0"/>
              <w:rPr>
                <w:sz w:val="20"/>
                <w:szCs w:val="20"/>
                <w:color w:val="auto"/>
              </w:rPr>
            </w:pPr>
            <w:r>
              <w:rPr>
                <w:rFonts w:ascii="Arial" w:cs="Arial" w:eastAsia="Arial" w:hAnsi="Arial"/>
                <w:sz w:val="18"/>
                <w:szCs w:val="18"/>
                <w:color w:val="auto"/>
              </w:rPr>
              <w:t>Non-GAAP income before income taxes</w:t>
            </w: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46,183</w:t>
            </w:r>
          </w:p>
        </w:tc>
        <w:tc>
          <w:tcPr>
            <w:tcW w:w="1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106,932</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64,606</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263,860</w:t>
            </w:r>
          </w:p>
        </w:tc>
        <w:tc>
          <w:tcPr>
            <w:tcW w:w="4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214,319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Tax effect of special items </w:t>
            </w:r>
            <w:r>
              <w:rPr>
                <w:rFonts w:ascii="Arial" w:cs="Arial" w:eastAsia="Arial" w:hAnsi="Arial"/>
                <w:sz w:val="18"/>
                <w:szCs w:val="18"/>
                <w:i w:val="1"/>
                <w:iCs w:val="1"/>
                <w:color w:val="auto"/>
              </w:rPr>
              <w:t>(d)</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67,989</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66,918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11,511</w:t>
            </w:r>
          </w:p>
        </w:tc>
        <w:tc>
          <w:tcPr>
            <w:tcW w:w="0" w:type="dxa"/>
            <w:vAlign w:val="bottom"/>
          </w:tcPr>
          <w:p>
            <w:pPr>
              <w:spacing w:after="0"/>
              <w:rPr>
                <w:sz w:val="1"/>
                <w:szCs w:val="1"/>
                <w:color w:val="auto"/>
              </w:rPr>
            </w:pPr>
          </w:p>
        </w:tc>
      </w:tr>
      <w:tr>
        <w:trPr>
          <w:trHeight w:val="223"/>
        </w:trPr>
        <w:tc>
          <w:tcPr>
            <w:tcW w:w="5260" w:type="dxa"/>
            <w:vAlign w:val="bottom"/>
            <w:gridSpan w:val="2"/>
          </w:tcPr>
          <w:p>
            <w:pPr>
              <w:spacing w:after="0"/>
              <w:rPr>
                <w:sz w:val="20"/>
                <w:szCs w:val="20"/>
                <w:color w:val="auto"/>
              </w:rPr>
            </w:pPr>
            <w:r>
              <w:rPr>
                <w:rFonts w:ascii="Arial" w:cs="Arial" w:eastAsia="Arial" w:hAnsi="Arial"/>
                <w:sz w:val="18"/>
                <w:szCs w:val="18"/>
                <w:color w:val="auto"/>
              </w:rPr>
              <w:t>Non-GAAP net income from continuing operations</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114,172</w:t>
            </w:r>
          </w:p>
        </w:tc>
        <w:tc>
          <w:tcPr>
            <w:tcW w:w="1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106,932</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64,606</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330,778</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225,830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5"/>
              </w:rPr>
              <w:t>507,834</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9"/>
              </w:rPr>
              <w:t>511,090</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506,352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509,738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510,945</w:t>
            </w: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 — diluted</w:t>
            </w: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507,834</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522,091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508,590</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517,513</w:t>
            </w:r>
          </w:p>
        </w:tc>
        <w:tc>
          <w:tcPr>
            <w:tcW w:w="48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510,945</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Non-GAAP weighted average shares — diluted</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5"/>
              </w:rPr>
              <w:t>528,141</w:t>
            </w: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531,831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518,568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527,197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526,294</w:t>
            </w: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color w:val="auto"/>
                <w:w w:val="95"/>
              </w:rPr>
              <w:t>GAAP diluted net income (loss) per share from continuing operations</w:t>
            </w: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60" w:type="dxa"/>
            <w:vAlign w:val="bottom"/>
            <w:gridSpan w:val="2"/>
            <w:vMerge w:val="continue"/>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(0.15</w:t>
            </w:r>
          </w:p>
        </w:tc>
        <w:tc>
          <w:tcPr>
            <w:tcW w:w="160" w:type="dxa"/>
            <w:vAlign w:val="bottom"/>
          </w:tcPr>
          <w:p>
            <w:pPr>
              <w:jc w:val="right"/>
              <w:ind w:right="20"/>
              <w:spacing w:after="0"/>
              <w:rPr>
                <w:sz w:val="20"/>
                <w:szCs w:val="20"/>
                <w:color w:val="auto"/>
              </w:rPr>
            </w:pPr>
            <w:r>
              <w:rPr>
                <w:rFonts w:ascii="Arial" w:cs="Arial" w:eastAsia="Arial" w:hAnsi="Arial"/>
                <w:sz w:val="16"/>
                <w:szCs w:val="16"/>
                <w:color w:val="auto"/>
                <w:w w:val="74"/>
              </w:rPr>
              <w:t>)</w:t>
            </w:r>
          </w:p>
        </w:tc>
        <w:tc>
          <w:tcPr>
            <w:tcW w:w="32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4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w w:val="96"/>
              </w:rPr>
              <w:t>Non-GAAP diluted net income per share from continuing operations</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0.22</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0.20</w:t>
            </w: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0.12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0.63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jc w:val="both"/>
        <w:ind w:left="460" w:hanging="452"/>
        <w:spacing w:after="0" w:line="256"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Restructuring and other related charges include costs that qualify under U.S. GAAP as restructuring costs and other incremental charges that are a direct result of restructuring. Examples of other incremental charges include impairment of equipment specifically identified as part of the restructuring action and the write down of inventories.</w:t>
      </w:r>
    </w:p>
    <w:p>
      <w:pPr>
        <w:ind w:left="460" w:hanging="452"/>
        <w:spacing w:after="0"/>
        <w:tabs>
          <w:tab w:leader="none" w:pos="46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Other COGS include charges recognized for pending and settled litigation proceedings in three and twelve months ended January 30, 2016.</w:t>
      </w:r>
    </w:p>
    <w:p>
      <w:pPr>
        <w:spacing w:after="0" w:line="20" w:lineRule="exact"/>
        <w:rPr>
          <w:rFonts w:ascii="Arial" w:cs="Arial" w:eastAsia="Arial" w:hAnsi="Arial"/>
          <w:sz w:val="17"/>
          <w:szCs w:val="17"/>
          <w:i w:val="1"/>
          <w:iCs w:val="1"/>
          <w:color w:val="auto"/>
        </w:rPr>
      </w:pPr>
    </w:p>
    <w:p>
      <w:pPr>
        <w:ind w:left="460" w:right="80" w:hanging="452"/>
        <w:spacing w:after="0" w:line="265" w:lineRule="auto"/>
        <w:tabs>
          <w:tab w:leader="none" w:pos="46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Other operating expenses in the three and twelve months ended January 30, 2016 include costs of $2.9 million and $11.4 million, respectively, for the surety bonds related to the litigation with CMU, and expenses of $3.9 million and $5.0 million, respectively, related to retention bonuses offered to employees who remained through the ramp down of certain operations due to the restructuring action announced in September 2015. Other operating expenses for the twelve months ended January 30, 2016 include charges recognized for pending and settled litigation proceedings of $12.1 million, and for a payment of $15.4 million due to our former Chief Executive Officer.</w:t>
      </w:r>
    </w:p>
    <w:p>
      <w:pPr>
        <w:spacing w:after="0" w:line="1" w:lineRule="exact"/>
        <w:rPr>
          <w:rFonts w:ascii="Arial" w:cs="Arial" w:eastAsia="Arial" w:hAnsi="Arial"/>
          <w:sz w:val="17"/>
          <w:szCs w:val="17"/>
          <w:i w:val="1"/>
          <w:iCs w:val="1"/>
          <w:color w:val="auto"/>
        </w:rPr>
      </w:pPr>
    </w:p>
    <w:p>
      <w:pPr>
        <w:ind w:left="460" w:right="140" w:hanging="452"/>
        <w:spacing w:after="0" w:line="273" w:lineRule="auto"/>
        <w:tabs>
          <w:tab w:leader="none" w:pos="46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Tax effect of special items in the three and twelve months ended January 28, 2017 include $68.0 million of tax expense related to restructuring actions taken, which was offset in the twelve months ended January 28, 2017 by $1.1 million related tax effect of the payment to our former Chief Executive Officer. For the twelve months ended January 30, 2016, tax effect of special items included $8.4 million of tax expense related to the restructuring actions in fiscal 2016 and $3.1 million related to the payment to our former Chief Executive Officer.</w:t>
      </w:r>
    </w:p>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40" w:type="dxa"/>
            <w:vAlign w:val="bottom"/>
            <w:tcBorders>
              <w:bottom w:val="single" w:sz="8" w:color="auto"/>
            </w:tcBorders>
            <w:gridSpan w:val="6"/>
          </w:tcPr>
          <w:p>
            <w:pPr>
              <w:jc w:val="right"/>
              <w:ind w:right="560"/>
              <w:spacing w:after="0"/>
              <w:rPr>
                <w:sz w:val="20"/>
                <w:szCs w:val="20"/>
                <w:color w:val="auto"/>
              </w:rPr>
            </w:pPr>
            <w:r>
              <w:rPr>
                <w:rFonts w:ascii="Arial" w:cs="Arial" w:eastAsia="Arial" w:hAnsi="Arial"/>
                <w:sz w:val="14"/>
                <w:szCs w:val="14"/>
                <w:b w:val="1"/>
                <w:bCs w:val="1"/>
                <w:color w:val="auto"/>
                <w:w w:val="98"/>
              </w:rPr>
              <w:t>Three Months Ended</w:t>
            </w: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980" w:type="dxa"/>
            <w:vAlign w:val="bottom"/>
          </w:tcPr>
          <w:p>
            <w:pPr>
              <w:spacing w:after="0"/>
              <w:rPr>
                <w:sz w:val="10"/>
                <w:szCs w:val="10"/>
                <w:color w:val="auto"/>
              </w:rPr>
            </w:pPr>
          </w:p>
        </w:tc>
        <w:tc>
          <w:tcPr>
            <w:tcW w:w="150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40" w:type="dxa"/>
            <w:vAlign w:val="bottom"/>
          </w:tcPr>
          <w:p>
            <w:pPr>
              <w:spacing w:after="0"/>
              <w:rPr>
                <w:sz w:val="10"/>
                <w:szCs w:val="10"/>
                <w:color w:val="auto"/>
              </w:rPr>
            </w:pPr>
          </w:p>
        </w:tc>
        <w:tc>
          <w:tcPr>
            <w:tcW w:w="9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1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20" w:type="dxa"/>
            <w:vAlign w:val="bottom"/>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rPr>
              <w:t>July 30,</w:t>
            </w:r>
          </w:p>
        </w:tc>
        <w:tc>
          <w:tcPr>
            <w:tcW w:w="70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April 30,</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980" w:type="dxa"/>
            <w:vAlign w:val="bottom"/>
            <w:tcBorders>
              <w:bottom w:val="single" w:sz="8" w:color="CCEEFF"/>
            </w:tcBorders>
          </w:tcPr>
          <w:p>
            <w:pPr>
              <w:spacing w:after="0"/>
              <w:rPr>
                <w:sz w:val="14"/>
                <w:szCs w:val="14"/>
                <w:color w:val="auto"/>
              </w:rPr>
            </w:pPr>
          </w:p>
        </w:tc>
        <w:tc>
          <w:tcPr>
            <w:tcW w:w="15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2017</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571,400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626,092</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600,799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519,383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Cost of goods sold</w:t>
            </w: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243,883</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268,313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272,977</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244,354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8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327,517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357,779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327,822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275,029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Operating expenses:</w:t>
            </w: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228,669</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209,905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214,122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227,354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29,154</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29,237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29,826</w:t>
            </w:r>
          </w:p>
        </w:tc>
        <w:tc>
          <w:tcPr>
            <w:tcW w:w="1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30,094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80,347</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28,754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36,916</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35,399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1,480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2,299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2,299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2,298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98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339,650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270,195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283,163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295,145</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5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(12,133)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87,584</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44,659</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(20,116)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3,780</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5,470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1,488</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Income (loss) from continuing operations before income taxes</w:t>
            </w:r>
          </w:p>
        </w:tc>
        <w:tc>
          <w:tcPr>
            <w:tcW w:w="15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(8,353)</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93,054</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50,943</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(18,628)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68,524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15,600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(5,745)</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(5,357)</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Income (loss) from continuing operations</w:t>
            </w:r>
          </w:p>
        </w:tc>
        <w:tc>
          <w:tcPr>
            <w:tcW w:w="15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(76,877)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77,454</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56,688</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(13,271)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Loss from discontinued operations, net of tax</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(3,214)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(4,838)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(5,383)</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(9,408)</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5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(80,091</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72,616</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51,305</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(22,679</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 Basic:</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340"/>
              <w:spacing w:after="0"/>
              <w:rPr>
                <w:sz w:val="20"/>
                <w:szCs w:val="20"/>
                <w:color w:val="auto"/>
              </w:rPr>
            </w:pPr>
            <w:r>
              <w:rPr>
                <w:rFonts w:ascii="Arial" w:cs="Arial" w:eastAsia="Arial" w:hAnsi="Arial"/>
                <w:sz w:val="18"/>
                <w:szCs w:val="18"/>
                <w:color w:val="auto"/>
              </w:rPr>
              <w:t>Continuing operations</w:t>
            </w:r>
          </w:p>
        </w:tc>
        <w:tc>
          <w:tcPr>
            <w:tcW w:w="1620" w:type="dxa"/>
            <w:vAlign w:val="bottom"/>
            <w:gridSpan w:val="2"/>
          </w:tcPr>
          <w:p>
            <w:pPr>
              <w:ind w:left="150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(0.15)</w:t>
            </w:r>
          </w:p>
        </w:tc>
        <w:tc>
          <w:tcPr>
            <w:tcW w:w="260" w:type="dxa"/>
            <w:vAlign w:val="bottom"/>
            <w:gridSpan w:val="2"/>
          </w:tcPr>
          <w:p>
            <w:pPr>
              <w:ind w:left="14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0.15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Discontinued operations</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Net income (loss) per share basic</w:t>
            </w:r>
          </w:p>
        </w:tc>
        <w:tc>
          <w:tcPr>
            <w:tcW w:w="15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14</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 — Diluted:</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ind w:left="340"/>
              <w:spacing w:after="0"/>
              <w:rPr>
                <w:sz w:val="20"/>
                <w:szCs w:val="20"/>
                <w:color w:val="auto"/>
              </w:rPr>
            </w:pPr>
            <w:r>
              <w:rPr>
                <w:rFonts w:ascii="Arial" w:cs="Arial" w:eastAsia="Arial" w:hAnsi="Arial"/>
                <w:sz w:val="18"/>
                <w:szCs w:val="18"/>
                <w:color w:val="auto"/>
              </w:rPr>
              <w:t>Continuing operations</w:t>
            </w:r>
          </w:p>
        </w:tc>
        <w:tc>
          <w:tcPr>
            <w:tcW w:w="1620" w:type="dxa"/>
            <w:vAlign w:val="bottom"/>
            <w:gridSpan w:val="2"/>
          </w:tcPr>
          <w:p>
            <w:pPr>
              <w:ind w:left="150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(0.15)</w:t>
            </w:r>
          </w:p>
        </w:tc>
        <w:tc>
          <w:tcPr>
            <w:tcW w:w="260" w:type="dxa"/>
            <w:vAlign w:val="bottom"/>
            <w:gridSpan w:val="2"/>
          </w:tcPr>
          <w:p>
            <w:pPr>
              <w:ind w:left="140"/>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0.15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0.11</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Discontinued operations</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Arial" w:cs="Arial" w:eastAsia="Arial" w:hAnsi="Arial"/>
                <w:sz w:val="18"/>
                <w:szCs w:val="18"/>
                <w:color w:val="auto"/>
              </w:rPr>
              <w:t>Net income (loss) per share diluted</w:t>
            </w:r>
          </w:p>
        </w:tc>
        <w:tc>
          <w:tcPr>
            <w:tcW w:w="15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4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w:t>
            </w:r>
            <w:r>
              <w:rPr>
                <w:rFonts w:ascii="Arial" w:cs="Arial" w:eastAsia="Arial" w:hAnsi="Arial"/>
                <w:sz w:val="18"/>
                <w:szCs w:val="18"/>
                <w:u w:val="single" w:color="auto"/>
                <w:color w:val="auto"/>
              </w:rPr>
              <w:t>14</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(0.04</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2"/>
              </w:rPr>
              <w:t>507,834</w:t>
            </w: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511,090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9"/>
              </w:rPr>
              <w:t>511,235</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508,794</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5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w w:val="92"/>
              </w:rPr>
              <w:t>507,834</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522,091</w:t>
            </w: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514,314</w:t>
            </w:r>
          </w:p>
        </w:tc>
        <w:tc>
          <w:tcPr>
            <w:tcW w:w="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w w:val="89"/>
              </w:rPr>
              <w:t>508,794</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9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94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260" w:type="dxa"/>
            <w:vAlign w:val="bottom"/>
            <w:gridSpan w:val="3"/>
          </w:tcPr>
          <w:p>
            <w:pPr>
              <w:ind w:left="20"/>
              <w:spacing w:after="0" w:line="119" w:lineRule="exact"/>
              <w:rPr>
                <w:sz w:val="20"/>
                <w:szCs w:val="20"/>
                <w:color w:val="auto"/>
              </w:rPr>
            </w:pPr>
            <w:r>
              <w:rPr>
                <w:rFonts w:ascii="Arial" w:cs="Arial" w:eastAsia="Arial" w:hAnsi="Arial"/>
                <w:sz w:val="13"/>
                <w:szCs w:val="13"/>
                <w:b w:val="1"/>
                <w:bCs w:val="1"/>
                <w:color w:val="auto"/>
              </w:rPr>
              <w:t>January 28,</w:t>
            </w:r>
          </w:p>
        </w:tc>
        <w:tc>
          <w:tcPr>
            <w:tcW w:w="122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October 29,</w:t>
            </w:r>
          </w:p>
        </w:tc>
        <w:tc>
          <w:tcPr>
            <w:tcW w:w="100" w:type="dxa"/>
            <w:vAlign w:val="bottom"/>
          </w:tcPr>
          <w:p>
            <w:pPr>
              <w:spacing w:after="0"/>
              <w:rPr>
                <w:sz w:val="10"/>
                <w:szCs w:val="10"/>
                <w:color w:val="auto"/>
              </w:rPr>
            </w:pPr>
          </w:p>
        </w:tc>
        <w:tc>
          <w:tcPr>
            <w:tcW w:w="920" w:type="dxa"/>
            <w:vAlign w:val="bottom"/>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w w:val="96"/>
              </w:rPr>
              <w:t>July 30,</w:t>
            </w:r>
          </w:p>
        </w:tc>
        <w:tc>
          <w:tcPr>
            <w:tcW w:w="160" w:type="dxa"/>
            <w:vAlign w:val="bottom"/>
          </w:tcPr>
          <w:p>
            <w:pPr>
              <w:spacing w:after="0"/>
              <w:rPr>
                <w:sz w:val="10"/>
                <w:szCs w:val="10"/>
                <w:color w:val="auto"/>
              </w:rPr>
            </w:pPr>
          </w:p>
        </w:tc>
        <w:tc>
          <w:tcPr>
            <w:tcW w:w="700" w:type="dxa"/>
            <w:vAlign w:val="bottom"/>
            <w:gridSpan w:val="2"/>
          </w:tcPr>
          <w:p>
            <w:pPr>
              <w:jc w:val="right"/>
              <w:spacing w:after="0" w:line="119" w:lineRule="exact"/>
              <w:rPr>
                <w:sz w:val="20"/>
                <w:szCs w:val="20"/>
                <w:color w:val="auto"/>
              </w:rPr>
            </w:pPr>
            <w:r>
              <w:rPr>
                <w:rFonts w:ascii="Arial" w:cs="Arial" w:eastAsia="Arial" w:hAnsi="Arial"/>
                <w:sz w:val="13"/>
                <w:szCs w:val="13"/>
                <w:b w:val="1"/>
                <w:bCs w:val="1"/>
                <w:color w:val="auto"/>
              </w:rPr>
              <w:t>April 30,</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940" w:type="dxa"/>
            <w:vAlign w:val="bottom"/>
            <w:tcBorders>
              <w:bottom w:val="single" w:sz="8" w:color="CCEEFF"/>
            </w:tcBorders>
          </w:tcPr>
          <w:p>
            <w:pPr>
              <w:spacing w:after="0"/>
              <w:rPr>
                <w:sz w:val="14"/>
                <w:szCs w:val="14"/>
                <w:color w:val="auto"/>
              </w:rPr>
            </w:pPr>
          </w:p>
        </w:tc>
        <w:tc>
          <w:tcPr>
            <w:tcW w:w="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2017</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2016</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3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from continuing operations: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327,517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357,779</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327,822</w:t>
            </w:r>
          </w:p>
        </w:tc>
        <w:tc>
          <w:tcPr>
            <w:tcW w:w="3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275,029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Arial" w:cs="Arial" w:eastAsia="Arial" w:hAnsi="Arial"/>
                <w:sz w:val="18"/>
                <w:szCs w:val="18"/>
                <w:color w:val="auto"/>
              </w:rPr>
              <w:t>Special items: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1,641</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2,189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2,720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1,784</w:t>
            </w:r>
          </w:p>
        </w:tc>
        <w:tc>
          <w:tcPr>
            <w:tcW w:w="0" w:type="dxa"/>
            <w:vAlign w:val="bottom"/>
          </w:tcPr>
          <w:p>
            <w:pPr>
              <w:spacing w:after="0"/>
              <w:rPr>
                <w:sz w:val="1"/>
                <w:szCs w:val="1"/>
                <w:color w:val="auto"/>
              </w:rPr>
            </w:pPr>
          </w:p>
        </w:tc>
      </w:tr>
      <w:tr>
        <w:trPr>
          <w:trHeight w:val="223"/>
        </w:trPr>
        <w:tc>
          <w:tcPr>
            <w:tcW w:w="596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9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329,158</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359,968</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330,542</w:t>
            </w:r>
          </w:p>
        </w:tc>
        <w:tc>
          <w:tcPr>
            <w:tcW w:w="3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276,813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 from continuing operations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57.3%</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57.1%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54.6%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53.0%</w:t>
            </w:r>
          </w:p>
        </w:tc>
        <w:tc>
          <w:tcPr>
            <w:tcW w:w="0" w:type="dxa"/>
            <w:vAlign w:val="bottom"/>
          </w:tcPr>
          <w:p>
            <w:pPr>
              <w:spacing w:after="0"/>
              <w:rPr>
                <w:sz w:val="1"/>
                <w:szCs w:val="1"/>
                <w:color w:val="auto"/>
              </w:rPr>
            </w:pPr>
          </w:p>
        </w:tc>
      </w:tr>
      <w:tr>
        <w:trPr>
          <w:trHeight w:val="20"/>
        </w:trPr>
        <w:tc>
          <w:tcPr>
            <w:tcW w:w="596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960" w:type="dxa"/>
            <w:vAlign w:val="bottom"/>
            <w:gridSpan w:val="2"/>
            <w:vMerge w:val="continue"/>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280"/>
              <w:spacing w:after="0"/>
              <w:rPr>
                <w:sz w:val="20"/>
                <w:szCs w:val="20"/>
                <w:color w:val="auto"/>
              </w:rPr>
            </w:pPr>
            <w:r>
              <w:rPr>
                <w:rFonts w:ascii="Arial" w:cs="Arial" w:eastAsia="Arial" w:hAnsi="Arial"/>
                <w:sz w:val="18"/>
                <w:szCs w:val="18"/>
                <w:color w:val="auto"/>
              </w:rPr>
              <w:t>57.6%</w:t>
            </w:r>
          </w:p>
        </w:tc>
        <w:tc>
          <w:tcPr>
            <w:tcW w:w="100" w:type="dxa"/>
            <w:vAlign w:val="bottom"/>
          </w:tcPr>
          <w:p>
            <w:pPr>
              <w:spacing w:after="0"/>
              <w:rPr>
                <w:sz w:val="18"/>
                <w:szCs w:val="18"/>
                <w:color w:val="auto"/>
              </w:rPr>
            </w:pP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57.5%</w:t>
            </w:r>
          </w:p>
        </w:tc>
        <w:tc>
          <w:tcPr>
            <w:tcW w:w="10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55.0%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Total GAAP operating expenses from continuing operations</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8"/>
              </w:rPr>
              <w:t>339,650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w w:val="92"/>
              </w:rPr>
              <w:t>270,195</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283,163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295,145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Arial" w:cs="Arial" w:eastAsia="Arial" w:hAnsi="Arial"/>
                <w:sz w:val="18"/>
                <w:szCs w:val="18"/>
                <w:color w:val="auto"/>
              </w:rPr>
              <w:t>Special items: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(20,764)</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(23,826)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(31,440)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(20,396)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(98,860)</w:t>
            </w:r>
          </w:p>
        </w:tc>
        <w:tc>
          <w:tcPr>
            <w:tcW w:w="100" w:type="dxa"/>
            <w:vAlign w:val="bottom"/>
          </w:tcPr>
          <w:p>
            <w:pPr>
              <w:spacing w:after="0"/>
              <w:rPr>
                <w:sz w:val="18"/>
                <w:szCs w:val="18"/>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(1,164)</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(721)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(4,441)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(1,480)</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(2,299)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(2,299)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340"/>
              <w:spacing w:after="0"/>
              <w:rPr>
                <w:sz w:val="20"/>
                <w:szCs w:val="20"/>
                <w:color w:val="auto"/>
              </w:rPr>
            </w:pPr>
            <w:r>
              <w:rPr>
                <w:rFonts w:ascii="Arial" w:cs="Arial" w:eastAsia="Arial" w:hAnsi="Arial"/>
                <w:sz w:val="18"/>
                <w:szCs w:val="18"/>
                <w:color w:val="auto"/>
              </w:rPr>
              <w:t>Other operating expenses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(315)</w:t>
            </w:r>
          </w:p>
        </w:tc>
        <w:tc>
          <w:tcPr>
            <w:tcW w:w="10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(1,242)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Total special items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0"/>
              </w:rPr>
              <w:t>(121,419)</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(27,289)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2"/>
              </w:rPr>
              <w:t>(34,447)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(28,377)</w:t>
            </w:r>
          </w:p>
        </w:tc>
        <w:tc>
          <w:tcPr>
            <w:tcW w:w="0" w:type="dxa"/>
            <w:vAlign w:val="bottom"/>
          </w:tcPr>
          <w:p>
            <w:pPr>
              <w:spacing w:after="0"/>
              <w:rPr>
                <w:sz w:val="1"/>
                <w:szCs w:val="1"/>
                <w:color w:val="auto"/>
              </w:rPr>
            </w:pPr>
          </w:p>
        </w:tc>
      </w:tr>
      <w:tr>
        <w:trPr>
          <w:trHeight w:val="223"/>
        </w:trPr>
        <w:tc>
          <w:tcPr>
            <w:tcW w:w="5960" w:type="dxa"/>
            <w:vAlign w:val="bottom"/>
            <w:gridSpan w:val="2"/>
          </w:tcPr>
          <w:p>
            <w:pPr>
              <w:spacing w:after="0"/>
              <w:rPr>
                <w:sz w:val="20"/>
                <w:szCs w:val="20"/>
                <w:color w:val="auto"/>
              </w:rPr>
            </w:pPr>
            <w:r>
              <w:rPr>
                <w:rFonts w:ascii="Arial" w:cs="Arial" w:eastAsia="Arial" w:hAnsi="Arial"/>
                <w:sz w:val="18"/>
                <w:szCs w:val="18"/>
                <w:color w:val="auto"/>
              </w:rPr>
              <w:t>Total non-GAAP operating expenses</w:t>
            </w:r>
          </w:p>
        </w:tc>
        <w:tc>
          <w:tcPr>
            <w:tcW w:w="9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218,231</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242,906</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248,716</w:t>
            </w:r>
          </w:p>
        </w:tc>
        <w:tc>
          <w:tcPr>
            <w:tcW w:w="3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266,768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(80,091)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72,616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51,305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(22,679)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340"/>
              <w:spacing w:after="0"/>
              <w:rPr>
                <w:sz w:val="20"/>
                <w:szCs w:val="20"/>
                <w:color w:val="auto"/>
              </w:rPr>
            </w:pPr>
            <w:r>
              <w:rPr>
                <w:rFonts w:ascii="Arial" w:cs="Arial" w:eastAsia="Arial" w:hAnsi="Arial"/>
                <w:sz w:val="18"/>
                <w:szCs w:val="18"/>
                <w:color w:val="auto"/>
              </w:rPr>
              <w:t>Net loss from discontinued operations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3,214</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4,838</w:t>
            </w:r>
          </w:p>
        </w:tc>
        <w:tc>
          <w:tcPr>
            <w:tcW w:w="10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5,383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9,408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 from continuing operations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(76,877)</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77,454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56,688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(13,271)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spacing w:after="0"/>
              <w:rPr>
                <w:sz w:val="20"/>
                <w:szCs w:val="20"/>
                <w:color w:val="auto"/>
              </w:rPr>
            </w:pPr>
            <w:r>
              <w:rPr>
                <w:rFonts w:ascii="Arial" w:cs="Arial" w:eastAsia="Arial" w:hAnsi="Arial"/>
                <w:sz w:val="18"/>
                <w:szCs w:val="18"/>
                <w:color w:val="auto"/>
              </w:rPr>
              <w:t>Special items: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22,405</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26,015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34,160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22,180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gridSpan w:val="2"/>
          </w:tcPr>
          <w:p>
            <w:pPr>
              <w:jc w:val="right"/>
              <w:ind w:right="420"/>
              <w:spacing w:after="0"/>
              <w:rPr>
                <w:sz w:val="20"/>
                <w:szCs w:val="20"/>
                <w:color w:val="auto"/>
              </w:rPr>
            </w:pPr>
            <w:r>
              <w:rPr>
                <w:rFonts w:ascii="Arial" w:cs="Arial" w:eastAsia="Arial" w:hAnsi="Arial"/>
                <w:sz w:val="18"/>
                <w:szCs w:val="18"/>
                <w:color w:val="auto"/>
              </w:rPr>
              <w:t>98,860</w:t>
            </w: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1,164</w:t>
            </w:r>
          </w:p>
        </w:tc>
        <w:tc>
          <w:tcPr>
            <w:tcW w:w="100" w:type="dxa"/>
            <w:vAlign w:val="bottom"/>
          </w:tcPr>
          <w:p>
            <w:pPr>
              <w:spacing w:after="0"/>
              <w:rPr>
                <w:sz w:val="18"/>
                <w:szCs w:val="18"/>
                <w:color w:val="auto"/>
              </w:rPr>
            </w:pPr>
          </w:p>
        </w:tc>
        <w:tc>
          <w:tcPr>
            <w:tcW w:w="920" w:type="dxa"/>
            <w:vAlign w:val="bottom"/>
            <w:gridSpan w:val="2"/>
          </w:tcPr>
          <w:p>
            <w:pPr>
              <w:jc w:val="right"/>
              <w:ind w:right="340"/>
              <w:spacing w:after="0"/>
              <w:rPr>
                <w:sz w:val="20"/>
                <w:szCs w:val="20"/>
                <w:color w:val="auto"/>
              </w:rPr>
            </w:pPr>
            <w:r>
              <w:rPr>
                <w:rFonts w:ascii="Arial" w:cs="Arial" w:eastAsia="Arial" w:hAnsi="Arial"/>
                <w:sz w:val="18"/>
                <w:szCs w:val="18"/>
                <w:color w:val="auto"/>
              </w:rPr>
              <w:t>721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4,441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and write-off acquired intangible assets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1,480</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2,299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2,299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tcPr>
          <w:p>
            <w:pPr>
              <w:ind w:left="340"/>
              <w:spacing w:after="0"/>
              <w:rPr>
                <w:sz w:val="20"/>
                <w:szCs w:val="20"/>
                <w:color w:val="auto"/>
              </w:rPr>
            </w:pPr>
            <w:r>
              <w:rPr>
                <w:rFonts w:ascii="Arial" w:cs="Arial" w:eastAsia="Arial" w:hAnsi="Arial"/>
                <w:sz w:val="18"/>
                <w:szCs w:val="18"/>
                <w:color w:val="auto"/>
              </w:rPr>
              <w:t>Other operating expenses</w:t>
            </w: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315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1,242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40" w:type="dxa"/>
            <w:vAlign w:val="bottom"/>
          </w:tcPr>
          <w:p>
            <w:pPr>
              <w:spacing w:after="0"/>
              <w:rPr>
                <w:sz w:val="2"/>
                <w:szCs w:val="2"/>
                <w:color w:val="auto"/>
              </w:rPr>
            </w:pPr>
          </w:p>
        </w:tc>
        <w:tc>
          <w:tcPr>
            <w:tcW w:w="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Pre-tax total special items</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123,060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29,478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37,167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30,161</w:t>
            </w:r>
          </w:p>
        </w:tc>
        <w:tc>
          <w:tcPr>
            <w:tcW w:w="0" w:type="dxa"/>
            <w:vAlign w:val="bottom"/>
          </w:tcPr>
          <w:p>
            <w:pPr>
              <w:spacing w:after="0"/>
              <w:rPr>
                <w:sz w:val="1"/>
                <w:szCs w:val="1"/>
                <w:color w:val="auto"/>
              </w:rPr>
            </w:pPr>
          </w:p>
        </w:tc>
      </w:tr>
      <w:tr>
        <w:trPr>
          <w:trHeight w:val="223"/>
        </w:trPr>
        <w:tc>
          <w:tcPr>
            <w:tcW w:w="5960" w:type="dxa"/>
            <w:vAlign w:val="bottom"/>
            <w:gridSpan w:val="2"/>
          </w:tcPr>
          <w:p>
            <w:pPr>
              <w:spacing w:after="0"/>
              <w:rPr>
                <w:sz w:val="20"/>
                <w:szCs w:val="20"/>
                <w:color w:val="auto"/>
              </w:rPr>
            </w:pPr>
            <w:r>
              <w:rPr>
                <w:rFonts w:ascii="Arial" w:cs="Arial" w:eastAsia="Arial" w:hAnsi="Arial"/>
                <w:sz w:val="18"/>
                <w:szCs w:val="18"/>
                <w:color w:val="auto"/>
              </w:rPr>
              <w:t>Non-GAAP income before income taxes</w:t>
            </w:r>
          </w:p>
        </w:tc>
        <w:tc>
          <w:tcPr>
            <w:tcW w:w="9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46,183</w:t>
            </w:r>
          </w:p>
        </w:tc>
        <w:tc>
          <w:tcPr>
            <w:tcW w:w="5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2"/>
              </w:rPr>
              <w:t>106,932</w:t>
            </w:r>
          </w:p>
        </w:tc>
        <w:tc>
          <w:tcPr>
            <w:tcW w:w="5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93,855</w:t>
            </w:r>
          </w:p>
        </w:tc>
        <w:tc>
          <w:tcPr>
            <w:tcW w:w="3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16,890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Tax effect of special items </w:t>
            </w:r>
            <w:r>
              <w:rPr>
                <w:rFonts w:ascii="Arial" w:cs="Arial" w:eastAsia="Arial" w:hAnsi="Arial"/>
                <w:sz w:val="18"/>
                <w:szCs w:val="18"/>
                <w:i w:val="1"/>
                <w:iCs w:val="1"/>
                <w:color w:val="auto"/>
              </w:rPr>
              <w:t>(b)</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67,989</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(1,071)</w:t>
            </w:r>
          </w:p>
        </w:tc>
        <w:tc>
          <w:tcPr>
            <w:tcW w:w="0" w:type="dxa"/>
            <w:vAlign w:val="bottom"/>
          </w:tcPr>
          <w:p>
            <w:pPr>
              <w:spacing w:after="0"/>
              <w:rPr>
                <w:sz w:val="1"/>
                <w:szCs w:val="1"/>
                <w:color w:val="auto"/>
              </w:rPr>
            </w:pPr>
          </w:p>
        </w:tc>
      </w:tr>
      <w:tr>
        <w:trPr>
          <w:trHeight w:val="223"/>
        </w:trPr>
        <w:tc>
          <w:tcPr>
            <w:tcW w:w="5960" w:type="dxa"/>
            <w:vAlign w:val="bottom"/>
            <w:gridSpan w:val="2"/>
          </w:tcPr>
          <w:p>
            <w:pPr>
              <w:spacing w:after="0"/>
              <w:rPr>
                <w:sz w:val="20"/>
                <w:szCs w:val="20"/>
                <w:color w:val="auto"/>
              </w:rPr>
            </w:pPr>
            <w:r>
              <w:rPr>
                <w:rFonts w:ascii="Arial" w:cs="Arial" w:eastAsia="Arial" w:hAnsi="Arial"/>
                <w:sz w:val="18"/>
                <w:szCs w:val="18"/>
                <w:color w:val="auto"/>
              </w:rPr>
              <w:t>Non-GAAP net income from continuing operations</w:t>
            </w:r>
          </w:p>
        </w:tc>
        <w:tc>
          <w:tcPr>
            <w:tcW w:w="9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114,172</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106,932</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93,855</w:t>
            </w:r>
          </w:p>
        </w:tc>
        <w:tc>
          <w:tcPr>
            <w:tcW w:w="3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15,819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507,834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w w:val="92"/>
              </w:rPr>
              <w:t>511,090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511,235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508,794</w:t>
            </w:r>
          </w:p>
        </w:tc>
        <w:tc>
          <w:tcPr>
            <w:tcW w:w="0" w:type="dxa"/>
            <w:vAlign w:val="bottom"/>
          </w:tcPr>
          <w:p>
            <w:pPr>
              <w:spacing w:after="0"/>
              <w:rPr>
                <w:sz w:val="1"/>
                <w:szCs w:val="1"/>
                <w:color w:val="auto"/>
              </w:rPr>
            </w:pPr>
          </w:p>
        </w:tc>
      </w:tr>
      <w:tr>
        <w:trPr>
          <w:trHeight w:val="20"/>
        </w:trPr>
        <w:tc>
          <w:tcPr>
            <w:tcW w:w="596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 — diluted</w:t>
            </w: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960" w:type="dxa"/>
            <w:vAlign w:val="bottom"/>
            <w:gridSpan w:val="2"/>
            <w:vMerge w:val="continue"/>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507,834</w:t>
            </w:r>
          </w:p>
        </w:tc>
        <w:tc>
          <w:tcPr>
            <w:tcW w:w="5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522,091</w:t>
            </w:r>
          </w:p>
        </w:tc>
        <w:tc>
          <w:tcPr>
            <w:tcW w:w="5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514,314</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508,794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Non-GAAP weighted average shares — diluted</w:t>
            </w:r>
          </w:p>
        </w:tc>
        <w:tc>
          <w:tcPr>
            <w:tcW w:w="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528,141</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w w:val="92"/>
              </w:rPr>
              <w:t>531,831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6"/>
              </w:rPr>
              <w:t>526,453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522,363</w:t>
            </w:r>
          </w:p>
        </w:tc>
        <w:tc>
          <w:tcPr>
            <w:tcW w:w="0" w:type="dxa"/>
            <w:vAlign w:val="bottom"/>
          </w:tcPr>
          <w:p>
            <w:pPr>
              <w:spacing w:after="0"/>
              <w:rPr>
                <w:sz w:val="1"/>
                <w:szCs w:val="1"/>
                <w:color w:val="auto"/>
              </w:rPr>
            </w:pPr>
          </w:p>
        </w:tc>
      </w:tr>
      <w:tr>
        <w:trPr>
          <w:trHeight w:val="20"/>
        </w:trPr>
        <w:tc>
          <w:tcPr>
            <w:tcW w:w="596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(loss) per share from continuing operations</w:t>
            </w: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960" w:type="dxa"/>
            <w:vAlign w:val="bottom"/>
            <w:gridSpan w:val="2"/>
            <w:vMerge w:val="continue"/>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(0.15</w:t>
            </w:r>
          </w:p>
        </w:tc>
        <w:tc>
          <w:tcPr>
            <w:tcW w:w="500" w:type="dxa"/>
            <w:vAlign w:val="bottom"/>
          </w:tcPr>
          <w:p>
            <w:pPr>
              <w:jc w:val="right"/>
              <w:ind w:right="36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0.15</w:t>
            </w:r>
          </w:p>
        </w:tc>
        <w:tc>
          <w:tcPr>
            <w:tcW w:w="5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0.11</w:t>
            </w:r>
          </w:p>
        </w:tc>
        <w:tc>
          <w:tcPr>
            <w:tcW w:w="3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(0.03</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 from continuing operations</w:t>
            </w:r>
          </w:p>
        </w:tc>
        <w:tc>
          <w:tcPr>
            <w:tcW w:w="1000" w:type="dxa"/>
            <w:vAlign w:val="bottom"/>
            <w:gridSpan w:val="2"/>
            <w:shd w:val="clear" w:color="auto" w:fill="CCEEFF"/>
          </w:tcPr>
          <w:p>
            <w:pPr>
              <w:ind w:left="900"/>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0.22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0.18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4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line="256" w:lineRule="auto"/>
        <w:tabs>
          <w:tab w:leader="none" w:pos="46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Restructuring and other related charges include costs that qualify under U.S. GAAP as restructuring costs and other incremental charges that are a direct result of restructuring. Examples of other incremental charges include impairment of equipment specifically identified as part of the restructuring action.</w:t>
      </w:r>
    </w:p>
    <w:p>
      <w:pPr>
        <w:ind w:left="460" w:right="180" w:hanging="452"/>
        <w:spacing w:after="0" w:line="255" w:lineRule="auto"/>
        <w:tabs>
          <w:tab w:leader="none" w:pos="46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Tax effect of special items in the three months ended January 28, 2017 include $68.0 million of tax expense related to restructuring actions taken. Tax effect of special items in the three months ended April 30, 2016 include $1.1 million related tax effect of the payment to our former Chief Executive Officer.</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1)"/>
      <w:numFmt w:val="lowerLetter"/>
      <w:start w:val="4"/>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2019-12-06T09:25:07Z</dcterms:created>
  <dcterms:modified xsi:type="dcterms:W3CDTF">2019-12-06T09:25:07Z</dcterms:modified>
</cp:coreProperties>
</file>