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under the Securities Exchange Act of 1934</w:t>
      </w:r>
    </w:p>
    <w:p>
      <w:pPr>
        <w:spacing w:after="0" w:line="211"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ind w:left="9060"/>
        <w:spacing w:after="0"/>
        <w:rPr>
          <w:sz w:val="20"/>
          <w:szCs w:val="20"/>
          <w:color w:val="auto"/>
        </w:rPr>
      </w:pPr>
      <w:r>
        <w:rPr>
          <w:rFonts w:ascii="Arial" w:cs="Arial" w:eastAsia="Arial" w:hAnsi="Arial"/>
          <w:sz w:val="16"/>
          <w:szCs w:val="16"/>
          <w:color w:val="auto"/>
        </w:rPr>
        <w:t>Commission File No. 001-33435</w:t>
      </w: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The following email communication was sent by the President and CEO of Marvell Technology Group Ltd. to its employees.</w:t>
      </w:r>
    </w:p>
    <w:p>
      <w:pPr>
        <w:spacing w:after="0" w:line="329" w:lineRule="exact"/>
        <w:rPr>
          <w:sz w:val="24"/>
          <w:szCs w:val="24"/>
          <w:color w:val="auto"/>
        </w:rPr>
      </w:pPr>
    </w:p>
    <w:p>
      <w:pPr>
        <w:ind w:right="5040"/>
        <w:spacing w:after="0" w:line="407" w:lineRule="auto"/>
        <w:rPr>
          <w:sz w:val="20"/>
          <w:szCs w:val="20"/>
          <w:color w:val="auto"/>
        </w:rPr>
      </w:pPr>
      <w:r>
        <w:rPr>
          <w:rFonts w:ascii="Arial" w:cs="Arial" w:eastAsia="Arial" w:hAnsi="Arial"/>
          <w:sz w:val="18"/>
          <w:szCs w:val="18"/>
          <w:b w:val="1"/>
          <w:bCs w:val="1"/>
          <w:color w:val="auto"/>
        </w:rPr>
        <w:t xml:space="preserve">Marvell and Cavium to Combine Creating an Infrastructure Solutions Powerhouse </w:t>
      </w:r>
      <w:r>
        <w:rPr>
          <w:rFonts w:ascii="Arial" w:cs="Arial" w:eastAsia="Arial" w:hAnsi="Arial"/>
          <w:sz w:val="18"/>
          <w:szCs w:val="18"/>
          <w:color w:val="auto"/>
        </w:rPr>
        <w:t>Team:</w:t>
      </w:r>
    </w:p>
    <w:p>
      <w:pPr>
        <w:spacing w:after="0" w:line="58" w:lineRule="exact"/>
        <w:rPr>
          <w:sz w:val="24"/>
          <w:szCs w:val="24"/>
          <w:color w:val="auto"/>
        </w:rPr>
      </w:pPr>
    </w:p>
    <w:p>
      <w:pPr>
        <w:ind w:right="40"/>
        <w:spacing w:after="0" w:line="259" w:lineRule="auto"/>
        <w:rPr>
          <w:sz w:val="20"/>
          <w:szCs w:val="20"/>
          <w:color w:val="auto"/>
        </w:rPr>
      </w:pPr>
      <w:r>
        <w:rPr>
          <w:rFonts w:ascii="Arial" w:cs="Arial" w:eastAsia="Arial" w:hAnsi="Arial"/>
          <w:sz w:val="18"/>
          <w:szCs w:val="18"/>
          <w:color w:val="auto"/>
        </w:rPr>
        <w:t xml:space="preserve">Today, Marvell announced an agreement to combine with Cavium. This is an exciting combination of two companies with complementary portfolios that together equal more than the sum of their parts. This announcement is a testament to how far we’ve come over the past 18 months, and a bold step toward our goal of becoming one of the world’s leading semiconductor companies. I encourage you to read the full announcement at: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w:t>
      </w:r>
    </w:p>
    <w:p>
      <w:pPr>
        <w:spacing w:after="0" w:line="29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A Powerful Combination</w:t>
      </w:r>
    </w:p>
    <w:p>
      <w:pPr>
        <w:spacing w:after="0" w:line="121" w:lineRule="exact"/>
        <w:rPr>
          <w:sz w:val="24"/>
          <w:szCs w:val="24"/>
          <w:color w:val="auto"/>
        </w:rPr>
      </w:pPr>
    </w:p>
    <w:p>
      <w:pPr>
        <w:ind w:right="360"/>
        <w:spacing w:after="0" w:line="264" w:lineRule="auto"/>
        <w:rPr>
          <w:sz w:val="20"/>
          <w:szCs w:val="20"/>
          <w:color w:val="auto"/>
        </w:rPr>
      </w:pPr>
      <w:r>
        <w:rPr>
          <w:rFonts w:ascii="Arial" w:cs="Arial" w:eastAsia="Arial" w:hAnsi="Arial"/>
          <w:sz w:val="18"/>
          <w:szCs w:val="18"/>
          <w:color w:val="auto"/>
        </w:rPr>
        <w:t>Our portfolios are very complementary. Cavium is strong in networking communications; multi-core and data center processing; storage connectivity and security solutions. Marvell offers a leading set of SSD and HDD storage controllers, Ethernet networking, and high-performance wireless connectivity solutions.</w:t>
      </w:r>
    </w:p>
    <w:p>
      <w:pPr>
        <w:spacing w:after="0" w:line="181" w:lineRule="exact"/>
        <w:rPr>
          <w:sz w:val="24"/>
          <w:szCs w:val="24"/>
          <w:color w:val="auto"/>
        </w:rPr>
      </w:pPr>
    </w:p>
    <w:p>
      <w:pPr>
        <w:ind w:right="200"/>
        <w:spacing w:after="0" w:line="277" w:lineRule="auto"/>
        <w:rPr>
          <w:sz w:val="20"/>
          <w:szCs w:val="20"/>
          <w:color w:val="auto"/>
        </w:rPr>
      </w:pPr>
      <w:r>
        <w:rPr>
          <w:rFonts w:ascii="Arial" w:cs="Arial" w:eastAsia="Arial" w:hAnsi="Arial"/>
          <w:sz w:val="18"/>
          <w:szCs w:val="18"/>
          <w:color w:val="auto"/>
        </w:rPr>
        <w:t>Together, we create a communications infrastructure powerhouse, one capable of meeting the massive and growing demand for data storage, heterogeneous computing and high-speed connectivity – something that very few companies in our industry can provide.</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How We’ll Unite</w:t>
      </w:r>
    </w:p>
    <w:p>
      <w:pPr>
        <w:spacing w:after="0" w:line="121" w:lineRule="exact"/>
        <w:rPr>
          <w:sz w:val="24"/>
          <w:szCs w:val="24"/>
          <w:color w:val="auto"/>
        </w:rPr>
      </w:pPr>
    </w:p>
    <w:p>
      <w:pPr>
        <w:ind w:right="140"/>
        <w:spacing w:after="0" w:line="279" w:lineRule="auto"/>
        <w:rPr>
          <w:sz w:val="20"/>
          <w:szCs w:val="20"/>
          <w:color w:val="auto"/>
        </w:rPr>
      </w:pPr>
      <w:r>
        <w:rPr>
          <w:rFonts w:ascii="Arial" w:cs="Arial" w:eastAsia="Arial" w:hAnsi="Arial"/>
          <w:sz w:val="17"/>
          <w:szCs w:val="17"/>
          <w:color w:val="auto"/>
        </w:rPr>
        <w:t>Although Marvell is technically acquiring Cavium, we are treating this as a merger and leveraging the best of both companies. Cavium has been led by Syed Ali since he co-founded the company in 2001. Known across the industry for his vision and strong execution, Syed will continue to put these talents to good use at Marvell, and he will join our Board and serve as a strategic advisor. We will also integrate several members of Cavium’s management into my leadership team, including co-founder Raghib Hussain, and Anil Jain their Vice President of IC Engineering.</w:t>
      </w:r>
    </w:p>
    <w:p>
      <w:pPr>
        <w:sectPr>
          <w:pgSz w:w="11900" w:h="16838" w:orient="portrait"/>
          <w:cols w:equalWidth="0" w:num="1">
            <w:col w:w="11420"/>
          </w:cols>
          <w:pgMar w:left="240" w:top="233" w:right="239" w:bottom="1440" w:gutter="0" w:footer="0" w:header="0"/>
        </w:sectPr>
      </w:pPr>
    </w:p>
    <w:bookmarkStart w:id="1" w:name="page2"/>
    <w:bookmarkEnd w:id="1"/>
    <w:p>
      <w:pPr>
        <w:ind w:right="10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At all levels, the Cavium team has a reputation for effective collaboration and strong execution. These traits are very complementary with our culture here at Marvell, and together we are going to make an extraordinary team.</w:t>
      </w:r>
    </w:p>
    <w:p>
      <w:pPr>
        <w:spacing w:after="0" w:line="170"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Our companies already share many common locations, including headquarters in the Bay Area, and we expect to realize some costs savings by combining campuses around the world. Inevitably, there are common functions we will need to combine, and we will be working together to determine the right structure and staff for these groups after the deal closes, which is expected to occur in mid-calendar 2018.</w:t>
      </w:r>
    </w:p>
    <w:p>
      <w:pPr>
        <w:spacing w:after="0" w:line="181"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Both companies have also established a strong brand reputation with their respective customers. We aim to honor these reputations within our new company. While it is still very early, we intend to create a new, unified company brand that captures and communicates the strength of this combination. I’ll keep you updated (and involved) as we make progress.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Next Steps</w:t>
      </w:r>
    </w:p>
    <w:p>
      <w:pPr>
        <w:spacing w:after="0" w:line="121"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 xml:space="preserve">Until this transaction is complete, it’s important that we continue to operate as two separate and independent companies. With this in mind, it’s critical that you </w:t>
      </w:r>
      <w:r>
        <w:rPr>
          <w:rFonts w:ascii="Arial" w:cs="Arial" w:eastAsia="Arial" w:hAnsi="Arial"/>
          <w:sz w:val="18"/>
          <w:szCs w:val="18"/>
          <w:u w:val="single" w:color="auto"/>
          <w:color w:val="auto"/>
        </w:rPr>
        <w:t>do not</w:t>
      </w:r>
      <w:r>
        <w:rPr>
          <w:rFonts w:ascii="Arial" w:cs="Arial" w:eastAsia="Arial" w:hAnsi="Arial"/>
          <w:sz w:val="18"/>
          <w:szCs w:val="18"/>
          <w:color w:val="auto"/>
        </w:rPr>
        <w:t xml:space="preserve"> contact anyone at Cavium until the transaction has formally closed. We will be putting an integration team together, but if you have an </w:t>
      </w:r>
      <w:r>
        <w:rPr>
          <w:rFonts w:ascii="Arial" w:cs="Arial" w:eastAsia="Arial" w:hAnsi="Arial"/>
          <w:sz w:val="18"/>
          <w:szCs w:val="18"/>
          <w:i w:val="1"/>
          <w:iCs w:val="1"/>
          <w:color w:val="auto"/>
        </w:rPr>
        <w:t>urgent</w:t>
      </w:r>
      <w:r>
        <w:rPr>
          <w:rFonts w:ascii="Arial" w:cs="Arial" w:eastAsia="Arial" w:hAnsi="Arial"/>
          <w:sz w:val="18"/>
          <w:szCs w:val="18"/>
          <w:color w:val="auto"/>
        </w:rPr>
        <w:t xml:space="preserve"> need, please contact Gary Ignatin, SVP of Corporate Development.</w:t>
      </w:r>
    </w:p>
    <w:p>
      <w:pPr>
        <w:spacing w:after="0" w:line="18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color w:val="auto"/>
        </w:rPr>
        <w:t>Given that rumors of this deal leaked before it was finalized, which in turn fueled a lot of inaccurate speculation, it’s now especially important that we communicate effectively with Wall Street so that analysts and shareholders understand the facts. To help achieve this, the leadership team are on the East Coast right now meeting with the investment community.</w:t>
      </w:r>
    </w:p>
    <w:p>
      <w:pPr>
        <w:spacing w:after="0" w:line="18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 xml:space="preserve">I’m sure you will have many questions as well, so I’ve scheduled a special all-employee meeting on Monday, November 27 at 10 a.m. PT. To help us prepare, please send your questions to </w:t>
      </w:r>
      <w:r>
        <w:rPr>
          <w:rFonts w:ascii="Arial" w:cs="Arial" w:eastAsia="Arial" w:hAnsi="Arial"/>
          <w:sz w:val="18"/>
          <w:szCs w:val="18"/>
          <w:u w:val="single" w:color="auto"/>
          <w:color w:val="auto"/>
        </w:rPr>
        <w:t>John Robertson</w:t>
      </w:r>
      <w:r>
        <w:rPr>
          <w:rFonts w:ascii="Arial" w:cs="Arial" w:eastAsia="Arial" w:hAnsi="Arial"/>
          <w:sz w:val="18"/>
          <w:szCs w:val="18"/>
          <w:color w:val="auto"/>
        </w:rPr>
        <w:t>, in advance. Your business leader will also set up informational meetings with the team in the coming days. I encourage you to attend both.</w:t>
      </w:r>
    </w:p>
    <w:p>
      <w:pPr>
        <w:spacing w:after="0" w:line="18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In the meantime, thank you for staying focused on your work and current priorities. While this news is exciting and potentially distracting, it is still business as usual, so please stay focused on your work. We will keep you posted on our progress.</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For those of you in the United States, I wish you a happy and healthy Thanksgiving holiday, and I look forward to talking with everyone early next week.</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Matt</w:t>
      </w:r>
    </w:p>
    <w:p>
      <w:pPr>
        <w:sectPr>
          <w:pgSz w:w="11900" w:h="16838" w:orient="portrait"/>
          <w:cols w:equalWidth="0" w:num="1">
            <w:col w:w="11400"/>
          </w:cols>
          <w:pgMar w:left="240" w:top="274" w:right="25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Additional Information and Where to Find It</w:t>
      </w:r>
    </w:p>
    <w:p>
      <w:pPr>
        <w:spacing w:after="0" w:line="117" w:lineRule="exact"/>
        <w:rPr>
          <w:sz w:val="20"/>
          <w:szCs w:val="20"/>
          <w:color w:val="auto"/>
        </w:rPr>
      </w:pPr>
    </w:p>
    <w:p>
      <w:pPr>
        <w:spacing w:after="0" w:line="270" w:lineRule="auto"/>
        <w:rPr>
          <w:sz w:val="20"/>
          <w:szCs w:val="20"/>
          <w:color w:val="auto"/>
        </w:rPr>
      </w:pPr>
      <w:r>
        <w:rPr>
          <w:rFonts w:ascii="Arial" w:cs="Arial" w:eastAsia="Arial" w:hAnsi="Arial"/>
          <w:sz w:val="17"/>
          <w:szCs w:val="17"/>
          <w:i w:val="1"/>
          <w:iCs w:val="1"/>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2" w:lineRule="exact"/>
        <w:rPr>
          <w:sz w:val="20"/>
          <w:szCs w:val="20"/>
          <w:color w:val="auto"/>
        </w:rPr>
      </w:pPr>
    </w:p>
    <w:p>
      <w:pPr>
        <w:ind w:right="400"/>
        <w:spacing w:after="0" w:line="308" w:lineRule="auto"/>
        <w:rPr>
          <w:sz w:val="20"/>
          <w:szCs w:val="20"/>
          <w:color w:val="auto"/>
        </w:rPr>
      </w:pPr>
      <w:r>
        <w:rPr>
          <w:rFonts w:ascii="Arial" w:cs="Arial" w:eastAsia="Arial" w:hAnsi="Arial"/>
          <w:sz w:val="17"/>
          <w:szCs w:val="17"/>
          <w:i w:val="1"/>
          <w:iCs w:val="1"/>
          <w:color w:val="auto"/>
        </w:rPr>
        <w:t>Investors and security holders will be able to obtain free copies of the registration statement, the joint proxy statement/prospectus and all other relevant documents filed or that will be filed with the SEC by Marvell or Cavium through the website maintained by the SEC at www.sec.gov.</w:t>
      </w:r>
    </w:p>
    <w:p>
      <w:pPr>
        <w:spacing w:after="0" w:line="147"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i w:val="1"/>
          <w:iCs w:val="1"/>
          <w:color w:val="auto"/>
        </w:rPr>
        <w:t>The documents filed by Marvell with the SEC also may be obtained free of charge at Marvell’s website at www.marvell.com or upon written request to Marvell at 5488 Marvell Lane, Santa Clara, CA 95054.</w:t>
      </w:r>
    </w:p>
    <w:p>
      <w:pPr>
        <w:spacing w:after="0" w:line="17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i w:val="1"/>
          <w:iCs w:val="1"/>
          <w:color w:val="auto"/>
        </w:rPr>
        <w:t>The documents filed by Cavium with the SEC also may be obtained free of charge at Cavium’s website at www.cavium.com or upon written request to 2315 North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For more information, investors are encouraged to visit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http://MarvellCavium.transactionannouncement.com</w:t>
      </w:r>
      <w:r>
        <w:rPr>
          <w:rFonts w:ascii="Arial" w:cs="Arial" w:eastAsia="Arial" w:hAnsi="Arial"/>
          <w:sz w:val="18"/>
          <w:szCs w:val="18"/>
          <w:i w:val="1"/>
          <w:iCs w:val="1"/>
          <w:color w:val="auto"/>
        </w:rPr>
        <w:t>.</w:t>
      </w:r>
    </w:p>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Participants in the Solicitation</w:t>
      </w:r>
    </w:p>
    <w:p>
      <w:pPr>
        <w:spacing w:after="0" w:line="117"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i w:val="1"/>
          <w:iCs w:val="1"/>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w:t>
      </w:r>
    </w:p>
    <w:p>
      <w:pPr>
        <w:sectPr>
          <w:pgSz w:w="11900" w:h="16838" w:orient="portrait"/>
          <w:cols w:equalWidth="0" w:num="1">
            <w:col w:w="11340"/>
          </w:cols>
          <w:pgMar w:left="240" w:top="274" w:right="319" w:bottom="1440" w:gutter="0" w:footer="0" w:header="0"/>
        </w:sectPr>
      </w:pPr>
    </w:p>
    <w:bookmarkStart w:id="3" w:name="page4"/>
    <w:bookmarkEnd w:id="3"/>
    <w:p>
      <w:pPr>
        <w:ind w:right="60"/>
        <w:spacing w:after="0" w:line="272" w:lineRule="auto"/>
        <w:rPr>
          <w:sz w:val="20"/>
          <w:szCs w:val="20"/>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Cautionary Statement Regarding Forward Looking Statements</w:t>
      </w:r>
    </w:p>
    <w:p>
      <w:pPr>
        <w:spacing w:after="0" w:line="117" w:lineRule="exact"/>
        <w:rPr>
          <w:sz w:val="20"/>
          <w:szCs w:val="20"/>
          <w:color w:val="auto"/>
        </w:rPr>
      </w:pPr>
    </w:p>
    <w:p>
      <w:pPr>
        <w:spacing w:after="0" w:line="268" w:lineRule="auto"/>
        <w:rPr>
          <w:sz w:val="20"/>
          <w:szCs w:val="20"/>
          <w:color w:val="auto"/>
        </w:rPr>
      </w:pPr>
      <w:r>
        <w:rPr>
          <w:rFonts w:ascii="Arial" w:cs="Arial" w:eastAsia="Arial" w:hAnsi="Arial"/>
          <w:sz w:val="17"/>
          <w:szCs w:val="17"/>
          <w:i w:val="1"/>
          <w:iCs w:val="1"/>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 (iv) 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w:t>
      </w:r>
    </w:p>
    <w:p>
      <w:pPr>
        <w:sectPr>
          <w:pgSz w:w="11900" w:h="16838" w:orient="portrait"/>
          <w:cols w:equalWidth="0" w:num="1">
            <w:col w:w="11400"/>
          </w:cols>
          <w:pgMar w:left="240" w:top="274" w:right="259" w:bottom="1440" w:gutter="0" w:footer="0" w:header="0"/>
        </w:sectPr>
      </w:pPr>
    </w:p>
    <w:bookmarkStart w:id="4" w:name="page5"/>
    <w:bookmarkEnd w:id="4"/>
    <w:p>
      <w:pPr>
        <w:spacing w:after="0" w:line="268" w:lineRule="auto"/>
        <w:rPr>
          <w:sz w:val="20"/>
          <w:szCs w:val="20"/>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disrupts current plans and operations of Cavium or Marvell and potential difficulties in Cavium employee retention as a result of the transaction, (vii) 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 (x)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2019-12-06T09:18:03Z</dcterms:created>
  <dcterms:modified xsi:type="dcterms:W3CDTF">2019-12-06T09:18:03Z</dcterms:modified>
</cp:coreProperties>
</file>