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0"/>
          <w:szCs w:val="30"/>
          <w:b w:val="1"/>
          <w:bCs w:val="1"/>
          <w:color w:val="auto"/>
        </w:rPr>
        <w:t>UNITED STATES</w:t>
      </w:r>
    </w:p>
    <w:p>
      <w:pPr>
        <w:spacing w:after="0" w:line="40" w:lineRule="exact"/>
        <w:rPr>
          <w:sz w:val="24"/>
          <w:szCs w:val="24"/>
          <w:color w:val="auto"/>
        </w:rPr>
      </w:pPr>
    </w:p>
    <w:p>
      <w:pPr>
        <w:jc w:val="center"/>
        <w:ind w:right="20"/>
        <w:spacing w:after="0"/>
        <w:rPr>
          <w:sz w:val="20"/>
          <w:szCs w:val="20"/>
          <w:color w:val="auto"/>
        </w:rPr>
      </w:pPr>
      <w:r>
        <w:rPr>
          <w:rFonts w:ascii="Arial" w:cs="Arial" w:eastAsia="Arial" w:hAnsi="Arial"/>
          <w:sz w:val="30"/>
          <w:szCs w:val="30"/>
          <w:b w:val="1"/>
          <w:bCs w:val="1"/>
          <w:color w:val="auto"/>
        </w:rPr>
        <w:t>SECURITIES AND EXCHANGE COMMISSION</w:t>
      </w:r>
    </w:p>
    <w:p>
      <w:pPr>
        <w:jc w:val="center"/>
        <w:ind w:right="20"/>
        <w:spacing w:after="0"/>
        <w:rPr>
          <w:sz w:val="20"/>
          <w:szCs w:val="20"/>
          <w:color w:val="auto"/>
        </w:rPr>
      </w:pPr>
      <w:r>
        <w:rPr>
          <w:rFonts w:ascii="Arial" w:cs="Arial" w:eastAsia="Arial" w:hAnsi="Arial"/>
          <w:sz w:val="20"/>
          <w:szCs w:val="20"/>
          <w:b w:val="1"/>
          <w:bCs w:val="1"/>
          <w:color w:val="auto"/>
        </w:rPr>
        <w:t>Washington, D.C. 20549</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30"/>
          <w:szCs w:val="30"/>
          <w:b w:val="1"/>
          <w:bCs w:val="1"/>
          <w:color w:val="auto"/>
        </w:rPr>
        <w:t>Form 10-K</w:t>
      </w:r>
    </w:p>
    <w:p>
      <w:pPr>
        <w:spacing w:after="0"/>
        <w:rPr>
          <w:sz w:val="20"/>
          <w:szCs w:val="20"/>
          <w:color w:val="auto"/>
        </w:rPr>
      </w:pPr>
      <w:r>
        <w:rPr>
          <w:rFonts w:ascii="Arial" w:cs="Arial" w:eastAsia="Arial" w:hAnsi="Arial"/>
          <w:sz w:val="13"/>
          <w:szCs w:val="13"/>
          <w:color w:val="auto"/>
        </w:rPr>
        <w:t>(Mark One)</w:t>
      </w:r>
    </w:p>
    <w:p>
      <w:pPr>
        <w:spacing w:after="0" w:line="152" w:lineRule="exact"/>
        <w:rPr>
          <w:sz w:val="24"/>
          <w:szCs w:val="24"/>
          <w:color w:val="auto"/>
        </w:rPr>
      </w:pPr>
    </w:p>
    <w:p>
      <w:pPr>
        <w:ind w:left="720" w:hanging="685"/>
        <w:spacing w:after="0"/>
        <w:tabs>
          <w:tab w:leader="none" w:pos="720" w:val="left"/>
        </w:tabs>
        <w:numPr>
          <w:ilvl w:val="0"/>
          <w:numId w:val="1"/>
        </w:numPr>
        <w:rPr>
          <w:rFonts w:ascii="Arial" w:cs="Arial" w:eastAsia="Arial" w:hAnsi="Arial"/>
          <w:sz w:val="16"/>
          <w:szCs w:val="16"/>
          <w:color w:val="auto"/>
        </w:rPr>
      </w:pPr>
      <w:r>
        <w:rPr>
          <w:rFonts w:ascii="Arial" w:cs="Arial" w:eastAsia="Arial" w:hAnsi="Arial"/>
          <w:sz w:val="16"/>
          <w:szCs w:val="16"/>
          <w:b w:val="1"/>
          <w:bCs w:val="1"/>
          <w:color w:val="auto"/>
        </w:rPr>
        <w:t>ANNUAL REPORT PURSUANT TO SECTION 13 OR 15(d) OF THE SECURITIES EXCHANGE ACT OF 1934</w:t>
      </w:r>
    </w:p>
    <w:p>
      <w:pPr>
        <w:spacing w:after="0" w:line="104" w:lineRule="exact"/>
        <w:rPr>
          <w:sz w:val="24"/>
          <w:szCs w:val="24"/>
          <w:color w:val="auto"/>
        </w:rPr>
      </w:pPr>
    </w:p>
    <w:p>
      <w:pPr>
        <w:jc w:val="center"/>
        <w:ind w:right="20"/>
        <w:spacing w:after="0"/>
        <w:rPr>
          <w:sz w:val="20"/>
          <w:szCs w:val="20"/>
          <w:color w:val="auto"/>
        </w:rPr>
      </w:pPr>
      <w:r>
        <w:rPr>
          <w:rFonts w:ascii="Arial" w:cs="Arial" w:eastAsia="Arial" w:hAnsi="Arial"/>
          <w:sz w:val="16"/>
          <w:szCs w:val="16"/>
          <w:color w:val="auto"/>
        </w:rPr>
        <w:t>For the fiscal year ended January 28, 2017</w:t>
      </w:r>
    </w:p>
    <w:p>
      <w:pPr>
        <w:spacing w:after="0" w:line="59" w:lineRule="exact"/>
        <w:rPr>
          <w:sz w:val="24"/>
          <w:szCs w:val="24"/>
          <w:color w:val="auto"/>
        </w:rPr>
      </w:pPr>
    </w:p>
    <w:p>
      <w:pPr>
        <w:jc w:val="center"/>
        <w:ind w:right="20"/>
        <w:spacing w:after="0"/>
        <w:rPr>
          <w:sz w:val="20"/>
          <w:szCs w:val="20"/>
          <w:color w:val="auto"/>
        </w:rPr>
      </w:pPr>
      <w:r>
        <w:rPr>
          <w:rFonts w:ascii="Arial" w:cs="Arial" w:eastAsia="Arial" w:hAnsi="Arial"/>
          <w:sz w:val="16"/>
          <w:szCs w:val="16"/>
          <w:color w:val="auto"/>
        </w:rPr>
        <w:t>or</w:t>
      </w:r>
    </w:p>
    <w:p>
      <w:pPr>
        <w:spacing w:after="0" w:line="163" w:lineRule="exact"/>
        <w:rPr>
          <w:sz w:val="24"/>
          <w:szCs w:val="24"/>
          <w:color w:val="auto"/>
        </w:rPr>
      </w:pPr>
    </w:p>
    <w:p>
      <w:pPr>
        <w:ind w:left="720" w:hanging="685"/>
        <w:spacing w:after="0"/>
        <w:tabs>
          <w:tab w:leader="none" w:pos="720" w:val="left"/>
        </w:tabs>
        <w:numPr>
          <w:ilvl w:val="0"/>
          <w:numId w:val="2"/>
        </w:numPr>
        <w:rPr>
          <w:rFonts w:ascii="MS PGothic" w:cs="MS PGothic" w:eastAsia="MS PGothic" w:hAnsi="MS PGothic"/>
          <w:sz w:val="16"/>
          <w:szCs w:val="16"/>
          <w:color w:val="auto"/>
        </w:rPr>
      </w:pPr>
      <w:r>
        <w:rPr>
          <w:rFonts w:ascii="Arial" w:cs="Arial" w:eastAsia="Arial" w:hAnsi="Arial"/>
          <w:sz w:val="16"/>
          <w:szCs w:val="16"/>
          <w:b w:val="1"/>
          <w:bCs w:val="1"/>
          <w:color w:val="auto"/>
        </w:rPr>
        <w:t>TRANSITION REPORT PURSUANT TO SECTION 13 OR 15(d) OF THE SECURITIES EXCHANGE ACT OF 1934</w:t>
      </w:r>
    </w:p>
    <w:p>
      <w:pPr>
        <w:spacing w:after="0" w:line="104" w:lineRule="exact"/>
        <w:rPr>
          <w:sz w:val="24"/>
          <w:szCs w:val="24"/>
          <w:color w:val="auto"/>
        </w:rPr>
      </w:pPr>
    </w:p>
    <w:tbl>
      <w:tblPr>
        <w:tblLayout w:type="fixed"/>
        <w:tblInd w:w="10" w:type="dxa"/>
        <w:tblCellMar>
          <w:top w:w="0" w:type="dxa"/>
          <w:left w:w="0" w:type="dxa"/>
          <w:bottom w:w="0" w:type="dxa"/>
          <w:right w:w="0" w:type="dxa"/>
        </w:tblCellMar>
      </w:tblPr>
      <w:tr>
        <w:trPr>
          <w:trHeight w:val="206"/>
        </w:trPr>
        <w:tc>
          <w:tcPr>
            <w:tcW w:w="6480" w:type="dxa"/>
            <w:vAlign w:val="bottom"/>
            <w:gridSpan w:val="3"/>
          </w:tcPr>
          <w:p>
            <w:pPr>
              <w:ind w:left="4140"/>
              <w:spacing w:after="0"/>
              <w:rPr>
                <w:sz w:val="20"/>
                <w:szCs w:val="20"/>
                <w:color w:val="auto"/>
              </w:rPr>
            </w:pPr>
            <w:r>
              <w:rPr>
                <w:rFonts w:ascii="Arial" w:cs="Arial" w:eastAsia="Arial" w:hAnsi="Arial"/>
                <w:sz w:val="16"/>
                <w:szCs w:val="16"/>
                <w:color w:val="auto"/>
              </w:rPr>
              <w:t>For the transition period from</w:t>
            </w:r>
          </w:p>
        </w:tc>
        <w:tc>
          <w:tcPr>
            <w:tcW w:w="1620" w:type="dxa"/>
            <w:vAlign w:val="bottom"/>
          </w:tcPr>
          <w:p>
            <w:pPr>
              <w:ind w:left="160"/>
              <w:spacing w:after="0"/>
              <w:rPr>
                <w:sz w:val="20"/>
                <w:szCs w:val="20"/>
                <w:color w:val="auto"/>
              </w:rPr>
            </w:pPr>
            <w:r>
              <w:rPr>
                <w:rFonts w:ascii="Arial" w:cs="Arial" w:eastAsia="Arial" w:hAnsi="Arial"/>
                <w:sz w:val="16"/>
                <w:szCs w:val="16"/>
                <w:color w:val="auto"/>
              </w:rPr>
              <w:t>to</w:t>
            </w:r>
          </w:p>
        </w:tc>
        <w:tc>
          <w:tcPr>
            <w:tcW w:w="620" w:type="dxa"/>
            <w:vAlign w:val="bottom"/>
          </w:tcPr>
          <w:p>
            <w:pPr>
              <w:spacing w:after="0"/>
              <w:rPr>
                <w:sz w:val="17"/>
                <w:szCs w:val="17"/>
                <w:color w:val="auto"/>
              </w:rPr>
            </w:pPr>
          </w:p>
        </w:tc>
        <w:tc>
          <w:tcPr>
            <w:tcW w:w="2720" w:type="dxa"/>
            <w:vAlign w:val="bottom"/>
          </w:tcPr>
          <w:p>
            <w:pPr>
              <w:spacing w:after="0"/>
              <w:rPr>
                <w:sz w:val="17"/>
                <w:szCs w:val="17"/>
                <w:color w:val="auto"/>
              </w:rPr>
            </w:pPr>
          </w:p>
        </w:tc>
      </w:tr>
      <w:tr>
        <w:trPr>
          <w:trHeight w:val="261"/>
        </w:trPr>
        <w:tc>
          <w:tcPr>
            <w:tcW w:w="8100" w:type="dxa"/>
            <w:vAlign w:val="bottom"/>
            <w:gridSpan w:val="4"/>
          </w:tcPr>
          <w:p>
            <w:pPr>
              <w:jc w:val="center"/>
              <w:ind w:left="3262"/>
              <w:spacing w:after="0"/>
              <w:rPr>
                <w:sz w:val="20"/>
                <w:szCs w:val="20"/>
                <w:color w:val="auto"/>
              </w:rPr>
            </w:pPr>
            <w:r>
              <w:rPr>
                <w:rFonts w:ascii="Arial" w:cs="Arial" w:eastAsia="Arial" w:hAnsi="Arial"/>
                <w:sz w:val="16"/>
                <w:szCs w:val="16"/>
                <w:color w:val="auto"/>
                <w:w w:val="93"/>
              </w:rPr>
              <w:t>Commission file number 0-30877</w:t>
            </w:r>
          </w:p>
        </w:tc>
        <w:tc>
          <w:tcPr>
            <w:tcW w:w="620" w:type="dxa"/>
            <w:vAlign w:val="bottom"/>
          </w:tcPr>
          <w:p>
            <w:pPr>
              <w:spacing w:after="0"/>
              <w:rPr>
                <w:sz w:val="22"/>
                <w:szCs w:val="22"/>
                <w:color w:val="auto"/>
              </w:rPr>
            </w:pPr>
          </w:p>
        </w:tc>
        <w:tc>
          <w:tcPr>
            <w:tcW w:w="2720" w:type="dxa"/>
            <w:vAlign w:val="bottom"/>
          </w:tcPr>
          <w:p>
            <w:pPr>
              <w:spacing w:after="0"/>
              <w:rPr>
                <w:sz w:val="22"/>
                <w:szCs w:val="22"/>
                <w:color w:val="auto"/>
              </w:rPr>
            </w:pPr>
          </w:p>
        </w:tc>
      </w:tr>
      <w:tr>
        <w:trPr>
          <w:trHeight w:val="387"/>
        </w:trPr>
        <w:tc>
          <w:tcPr>
            <w:tcW w:w="8100" w:type="dxa"/>
            <w:vAlign w:val="bottom"/>
            <w:gridSpan w:val="4"/>
          </w:tcPr>
          <w:p>
            <w:pPr>
              <w:jc w:val="center"/>
              <w:ind w:left="3262"/>
              <w:spacing w:after="0"/>
              <w:rPr>
                <w:sz w:val="20"/>
                <w:szCs w:val="20"/>
                <w:color w:val="auto"/>
              </w:rPr>
            </w:pPr>
            <w:r>
              <w:rPr>
                <w:rFonts w:ascii="Arial" w:cs="Arial" w:eastAsia="Arial" w:hAnsi="Arial"/>
                <w:sz w:val="30"/>
                <w:szCs w:val="30"/>
                <w:b w:val="1"/>
                <w:bCs w:val="1"/>
                <w:color w:val="auto"/>
                <w:w w:val="91"/>
              </w:rPr>
              <w:t>Marvell Technology Group Ltd.</w:t>
            </w:r>
          </w:p>
        </w:tc>
        <w:tc>
          <w:tcPr>
            <w:tcW w:w="620" w:type="dxa"/>
            <w:vAlign w:val="bottom"/>
          </w:tcPr>
          <w:p>
            <w:pPr>
              <w:spacing w:after="0"/>
              <w:rPr>
                <w:sz w:val="24"/>
                <w:szCs w:val="24"/>
                <w:color w:val="auto"/>
              </w:rPr>
            </w:pPr>
          </w:p>
        </w:tc>
        <w:tc>
          <w:tcPr>
            <w:tcW w:w="2720" w:type="dxa"/>
            <w:vAlign w:val="bottom"/>
          </w:tcPr>
          <w:p>
            <w:pPr>
              <w:spacing w:after="0"/>
              <w:rPr>
                <w:sz w:val="24"/>
                <w:szCs w:val="24"/>
                <w:color w:val="auto"/>
              </w:rPr>
            </w:pPr>
          </w:p>
        </w:tc>
      </w:tr>
      <w:tr>
        <w:trPr>
          <w:trHeight w:val="193"/>
        </w:trPr>
        <w:tc>
          <w:tcPr>
            <w:tcW w:w="8100" w:type="dxa"/>
            <w:vAlign w:val="bottom"/>
            <w:gridSpan w:val="4"/>
          </w:tcPr>
          <w:p>
            <w:pPr>
              <w:jc w:val="center"/>
              <w:ind w:left="3242"/>
              <w:spacing w:after="0"/>
              <w:rPr>
                <w:sz w:val="20"/>
                <w:szCs w:val="20"/>
                <w:color w:val="auto"/>
              </w:rPr>
            </w:pPr>
            <w:r>
              <w:rPr>
                <w:rFonts w:ascii="Arial" w:cs="Arial" w:eastAsia="Arial" w:hAnsi="Arial"/>
                <w:sz w:val="13"/>
                <w:szCs w:val="13"/>
                <w:b w:val="1"/>
                <w:bCs w:val="1"/>
                <w:i w:val="1"/>
                <w:iCs w:val="1"/>
                <w:color w:val="auto"/>
                <w:w w:val="84"/>
              </w:rPr>
              <w:t>(Exact name of registrant as specified in its charter)</w:t>
            </w:r>
          </w:p>
        </w:tc>
        <w:tc>
          <w:tcPr>
            <w:tcW w:w="620" w:type="dxa"/>
            <w:vAlign w:val="bottom"/>
          </w:tcPr>
          <w:p>
            <w:pPr>
              <w:spacing w:after="0"/>
              <w:rPr>
                <w:sz w:val="16"/>
                <w:szCs w:val="16"/>
                <w:color w:val="auto"/>
              </w:rPr>
            </w:pPr>
          </w:p>
        </w:tc>
        <w:tc>
          <w:tcPr>
            <w:tcW w:w="2720" w:type="dxa"/>
            <w:vAlign w:val="bottom"/>
          </w:tcPr>
          <w:p>
            <w:pPr>
              <w:spacing w:after="0"/>
              <w:rPr>
                <w:sz w:val="16"/>
                <w:szCs w:val="16"/>
                <w:color w:val="auto"/>
              </w:rPr>
            </w:pPr>
          </w:p>
        </w:tc>
      </w:tr>
      <w:tr>
        <w:trPr>
          <w:trHeight w:val="138"/>
        </w:trPr>
        <w:tc>
          <w:tcPr>
            <w:tcW w:w="5640" w:type="dxa"/>
            <w:vAlign w:val="bottom"/>
            <w:tcBorders>
              <w:bottom w:val="single" w:sz="8" w:color="auto"/>
            </w:tcBorders>
          </w:tcPr>
          <w:p>
            <w:pPr>
              <w:spacing w:after="0"/>
              <w:rPr>
                <w:sz w:val="11"/>
                <w:szCs w:val="11"/>
                <w:color w:val="auto"/>
              </w:rPr>
            </w:pPr>
          </w:p>
        </w:tc>
        <w:tc>
          <w:tcPr>
            <w:tcW w:w="340" w:type="dxa"/>
            <w:vAlign w:val="bottom"/>
            <w:tcBorders>
              <w:bottom w:val="single" w:sz="8" w:color="auto"/>
            </w:tcBorders>
          </w:tcPr>
          <w:p>
            <w:pPr>
              <w:spacing w:after="0"/>
              <w:rPr>
                <w:sz w:val="11"/>
                <w:szCs w:val="11"/>
                <w:color w:val="auto"/>
              </w:rPr>
            </w:pPr>
          </w:p>
        </w:tc>
        <w:tc>
          <w:tcPr>
            <w:tcW w:w="500" w:type="dxa"/>
            <w:vAlign w:val="bottom"/>
            <w:tcBorders>
              <w:bottom w:val="single" w:sz="8" w:color="auto"/>
            </w:tcBorders>
          </w:tcPr>
          <w:p>
            <w:pPr>
              <w:spacing w:after="0"/>
              <w:rPr>
                <w:sz w:val="11"/>
                <w:szCs w:val="11"/>
                <w:color w:val="auto"/>
              </w:rPr>
            </w:pPr>
          </w:p>
        </w:tc>
        <w:tc>
          <w:tcPr>
            <w:tcW w:w="1620" w:type="dxa"/>
            <w:vAlign w:val="bottom"/>
            <w:tcBorders>
              <w:bottom w:val="single" w:sz="8" w:color="auto"/>
            </w:tcBorders>
          </w:tcPr>
          <w:p>
            <w:pPr>
              <w:spacing w:after="0"/>
              <w:rPr>
                <w:sz w:val="11"/>
                <w:szCs w:val="11"/>
                <w:color w:val="auto"/>
              </w:rPr>
            </w:pPr>
          </w:p>
        </w:tc>
        <w:tc>
          <w:tcPr>
            <w:tcW w:w="3340" w:type="dxa"/>
            <w:vAlign w:val="bottom"/>
            <w:tcBorders>
              <w:bottom w:val="single" w:sz="8" w:color="auto"/>
            </w:tcBorders>
            <w:gridSpan w:val="2"/>
          </w:tcPr>
          <w:p>
            <w:pPr>
              <w:spacing w:after="0"/>
              <w:rPr>
                <w:sz w:val="11"/>
                <w:szCs w:val="11"/>
                <w:color w:val="auto"/>
              </w:rPr>
            </w:pPr>
          </w:p>
        </w:tc>
      </w:tr>
      <w:tr>
        <w:trPr>
          <w:trHeight w:val="217"/>
        </w:trPr>
        <w:tc>
          <w:tcPr>
            <w:tcW w:w="564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16"/>
                <w:szCs w:val="16"/>
                <w:b w:val="1"/>
                <w:bCs w:val="1"/>
                <w:color w:val="auto"/>
                <w:w w:val="92"/>
              </w:rPr>
              <w:t>Bermuda</w:t>
            </w:r>
          </w:p>
        </w:tc>
        <w:tc>
          <w:tcPr>
            <w:tcW w:w="340" w:type="dxa"/>
            <w:vAlign w:val="bottom"/>
            <w:tcBorders>
              <w:right w:val="single" w:sz="8" w:color="auto"/>
            </w:tcBorders>
          </w:tcPr>
          <w:p>
            <w:pPr>
              <w:spacing w:after="0"/>
              <w:rPr>
                <w:sz w:val="18"/>
                <w:szCs w:val="18"/>
                <w:color w:val="auto"/>
              </w:rPr>
            </w:pPr>
          </w:p>
        </w:tc>
        <w:tc>
          <w:tcPr>
            <w:tcW w:w="50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3340" w:type="dxa"/>
            <w:vAlign w:val="bottom"/>
            <w:tcBorders>
              <w:right w:val="single" w:sz="8" w:color="auto"/>
            </w:tcBorders>
            <w:gridSpan w:val="2"/>
          </w:tcPr>
          <w:p>
            <w:pPr>
              <w:jc w:val="center"/>
              <w:ind w:right="2079"/>
              <w:spacing w:after="0"/>
              <w:rPr>
                <w:sz w:val="20"/>
                <w:szCs w:val="20"/>
                <w:color w:val="auto"/>
              </w:rPr>
            </w:pPr>
            <w:r>
              <w:rPr>
                <w:rFonts w:ascii="Arial" w:cs="Arial" w:eastAsia="Arial" w:hAnsi="Arial"/>
                <w:sz w:val="16"/>
                <w:szCs w:val="16"/>
                <w:b w:val="1"/>
                <w:bCs w:val="1"/>
                <w:color w:val="auto"/>
                <w:w w:val="91"/>
              </w:rPr>
              <w:t>77-0481679</w:t>
            </w:r>
          </w:p>
        </w:tc>
      </w:tr>
      <w:tr>
        <w:trPr>
          <w:trHeight w:val="47"/>
        </w:trPr>
        <w:tc>
          <w:tcPr>
            <w:tcW w:w="5640" w:type="dxa"/>
            <w:vAlign w:val="bottom"/>
            <w:tcBorders>
              <w:left w:val="single" w:sz="8" w:color="auto"/>
              <w:bottom w:val="single" w:sz="8" w:color="auto"/>
              <w:right w:val="single" w:sz="8" w:color="auto"/>
            </w:tcBorders>
          </w:tcPr>
          <w:p>
            <w:pPr>
              <w:spacing w:after="0"/>
              <w:rPr>
                <w:sz w:val="4"/>
                <w:szCs w:val="4"/>
                <w:color w:val="auto"/>
              </w:rPr>
            </w:pPr>
          </w:p>
        </w:tc>
        <w:tc>
          <w:tcPr>
            <w:tcW w:w="340" w:type="dxa"/>
            <w:vAlign w:val="bottom"/>
            <w:tcBorders>
              <w:bottom w:val="single" w:sz="8" w:color="auto"/>
              <w:right w:val="single" w:sz="8" w:color="auto"/>
            </w:tcBorders>
          </w:tcPr>
          <w:p>
            <w:pPr>
              <w:spacing w:after="0"/>
              <w:rPr>
                <w:sz w:val="4"/>
                <w:szCs w:val="4"/>
                <w:color w:val="auto"/>
              </w:rPr>
            </w:pPr>
          </w:p>
        </w:tc>
        <w:tc>
          <w:tcPr>
            <w:tcW w:w="500" w:type="dxa"/>
            <w:vAlign w:val="bottom"/>
            <w:tcBorders>
              <w:bottom w:val="single" w:sz="8" w:color="auto"/>
            </w:tcBorders>
          </w:tcPr>
          <w:p>
            <w:pPr>
              <w:spacing w:after="0"/>
              <w:rPr>
                <w:sz w:val="4"/>
                <w:szCs w:val="4"/>
                <w:color w:val="auto"/>
              </w:rPr>
            </w:pPr>
          </w:p>
        </w:tc>
        <w:tc>
          <w:tcPr>
            <w:tcW w:w="1620" w:type="dxa"/>
            <w:vAlign w:val="bottom"/>
            <w:tcBorders>
              <w:bottom w:val="single" w:sz="8" w:color="auto"/>
            </w:tcBorders>
          </w:tcPr>
          <w:p>
            <w:pPr>
              <w:spacing w:after="0"/>
              <w:rPr>
                <w:sz w:val="4"/>
                <w:szCs w:val="4"/>
                <w:color w:val="auto"/>
              </w:rPr>
            </w:pPr>
          </w:p>
        </w:tc>
        <w:tc>
          <w:tcPr>
            <w:tcW w:w="3340" w:type="dxa"/>
            <w:vAlign w:val="bottom"/>
            <w:tcBorders>
              <w:bottom w:val="single" w:sz="8" w:color="auto"/>
              <w:right w:val="single" w:sz="8" w:color="auto"/>
            </w:tcBorders>
            <w:gridSpan w:val="2"/>
          </w:tcPr>
          <w:p>
            <w:pPr>
              <w:spacing w:after="0"/>
              <w:rPr>
                <w:sz w:val="4"/>
                <w:szCs w:val="4"/>
                <w:color w:val="auto"/>
              </w:rPr>
            </w:pPr>
          </w:p>
        </w:tc>
      </w:tr>
      <w:tr>
        <w:trPr>
          <w:trHeight w:val="149"/>
        </w:trPr>
        <w:tc>
          <w:tcPr>
            <w:tcW w:w="564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12"/>
                <w:szCs w:val="12"/>
                <w:b w:val="1"/>
                <w:bCs w:val="1"/>
                <w:i w:val="1"/>
                <w:iCs w:val="1"/>
                <w:color w:val="auto"/>
                <w:w w:val="84"/>
              </w:rPr>
              <w:t>(State or other jurisdiction of</w:t>
            </w:r>
          </w:p>
        </w:tc>
        <w:tc>
          <w:tcPr>
            <w:tcW w:w="340" w:type="dxa"/>
            <w:vAlign w:val="bottom"/>
            <w:tcBorders>
              <w:right w:val="single" w:sz="8" w:color="auto"/>
            </w:tcBorders>
          </w:tcPr>
          <w:p>
            <w:pPr>
              <w:spacing w:after="0"/>
              <w:rPr>
                <w:sz w:val="12"/>
                <w:szCs w:val="12"/>
                <w:color w:val="auto"/>
              </w:rPr>
            </w:pPr>
          </w:p>
        </w:tc>
        <w:tc>
          <w:tcPr>
            <w:tcW w:w="50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3340" w:type="dxa"/>
            <w:vAlign w:val="bottom"/>
            <w:tcBorders>
              <w:right w:val="single" w:sz="8" w:color="auto"/>
            </w:tcBorders>
            <w:gridSpan w:val="2"/>
          </w:tcPr>
          <w:p>
            <w:pPr>
              <w:jc w:val="center"/>
              <w:ind w:right="2079"/>
              <w:spacing w:after="0"/>
              <w:rPr>
                <w:sz w:val="20"/>
                <w:szCs w:val="20"/>
                <w:color w:val="auto"/>
              </w:rPr>
            </w:pPr>
            <w:r>
              <w:rPr>
                <w:rFonts w:ascii="Arial" w:cs="Arial" w:eastAsia="Arial" w:hAnsi="Arial"/>
                <w:sz w:val="12"/>
                <w:szCs w:val="12"/>
                <w:b w:val="1"/>
                <w:bCs w:val="1"/>
                <w:i w:val="1"/>
                <w:iCs w:val="1"/>
                <w:color w:val="auto"/>
                <w:w w:val="89"/>
              </w:rPr>
              <w:t>(I.R.S. Employer</w:t>
            </w:r>
          </w:p>
        </w:tc>
      </w:tr>
      <w:tr>
        <w:trPr>
          <w:trHeight w:val="148"/>
        </w:trPr>
        <w:tc>
          <w:tcPr>
            <w:tcW w:w="564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12"/>
                <w:szCs w:val="12"/>
                <w:b w:val="1"/>
                <w:bCs w:val="1"/>
                <w:i w:val="1"/>
                <w:iCs w:val="1"/>
                <w:color w:val="auto"/>
                <w:w w:val="86"/>
              </w:rPr>
              <w:t>incorporation or organization)</w:t>
            </w:r>
          </w:p>
        </w:tc>
        <w:tc>
          <w:tcPr>
            <w:tcW w:w="340" w:type="dxa"/>
            <w:vAlign w:val="bottom"/>
            <w:tcBorders>
              <w:right w:val="single" w:sz="8" w:color="auto"/>
            </w:tcBorders>
          </w:tcPr>
          <w:p>
            <w:pPr>
              <w:spacing w:after="0"/>
              <w:rPr>
                <w:sz w:val="12"/>
                <w:szCs w:val="12"/>
                <w:color w:val="auto"/>
              </w:rPr>
            </w:pPr>
          </w:p>
        </w:tc>
        <w:tc>
          <w:tcPr>
            <w:tcW w:w="50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3340" w:type="dxa"/>
            <w:vAlign w:val="bottom"/>
            <w:tcBorders>
              <w:right w:val="single" w:sz="8" w:color="auto"/>
            </w:tcBorders>
            <w:gridSpan w:val="2"/>
          </w:tcPr>
          <w:p>
            <w:pPr>
              <w:jc w:val="center"/>
              <w:ind w:right="2079"/>
              <w:spacing w:after="0"/>
              <w:rPr>
                <w:sz w:val="20"/>
                <w:szCs w:val="20"/>
                <w:color w:val="auto"/>
              </w:rPr>
            </w:pPr>
            <w:r>
              <w:rPr>
                <w:rFonts w:ascii="Arial" w:cs="Arial" w:eastAsia="Arial" w:hAnsi="Arial"/>
                <w:sz w:val="12"/>
                <w:szCs w:val="12"/>
                <w:b w:val="1"/>
                <w:bCs w:val="1"/>
                <w:i w:val="1"/>
                <w:iCs w:val="1"/>
                <w:color w:val="auto"/>
                <w:w w:val="88"/>
              </w:rPr>
              <w:t>Identification No.)</w:t>
            </w:r>
          </w:p>
        </w:tc>
      </w:tr>
      <w:tr>
        <w:trPr>
          <w:trHeight w:val="20"/>
        </w:trPr>
        <w:tc>
          <w:tcPr>
            <w:tcW w:w="564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340" w:type="dxa"/>
            <w:vAlign w:val="bottom"/>
            <w:tcBorders>
              <w:bottom w:val="single" w:sz="8" w:color="auto"/>
              <w:right w:val="single" w:sz="8" w:color="auto"/>
            </w:tcBorders>
          </w:tcPr>
          <w:p>
            <w:pPr>
              <w:spacing w:after="0" w:line="20" w:lineRule="exact"/>
              <w:rPr>
                <w:sz w:val="1"/>
                <w:szCs w:val="1"/>
                <w:color w:val="auto"/>
              </w:rPr>
            </w:pPr>
          </w:p>
        </w:tc>
        <w:tc>
          <w:tcPr>
            <w:tcW w:w="2120" w:type="dxa"/>
            <w:vAlign w:val="bottom"/>
            <w:tcBorders>
              <w:bottom w:val="single" w:sz="8" w:color="auto"/>
            </w:tcBorders>
            <w:gridSpan w:val="2"/>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720" w:type="dxa"/>
            <w:vAlign w:val="bottom"/>
            <w:tcBorders>
              <w:bottom w:val="single" w:sz="8" w:color="auto"/>
              <w:right w:val="single" w:sz="8" w:color="auto"/>
            </w:tcBorders>
          </w:tcPr>
          <w:p>
            <w:pPr>
              <w:spacing w:after="0" w:line="20" w:lineRule="exact"/>
              <w:rPr>
                <w:sz w:val="1"/>
                <w:szCs w:val="1"/>
                <w:color w:val="auto"/>
              </w:rPr>
            </w:pPr>
          </w:p>
        </w:tc>
      </w:tr>
      <w:tr>
        <w:trPr>
          <w:trHeight w:val="222"/>
        </w:trPr>
        <w:tc>
          <w:tcPr>
            <w:tcW w:w="8100" w:type="dxa"/>
            <w:vAlign w:val="bottom"/>
            <w:gridSpan w:val="4"/>
          </w:tcPr>
          <w:p>
            <w:pPr>
              <w:jc w:val="center"/>
              <w:ind w:left="3242"/>
              <w:spacing w:after="0"/>
              <w:rPr>
                <w:sz w:val="20"/>
                <w:szCs w:val="20"/>
                <w:color w:val="auto"/>
              </w:rPr>
            </w:pPr>
            <w:r>
              <w:rPr>
                <w:rFonts w:ascii="Arial" w:cs="Arial" w:eastAsia="Arial" w:hAnsi="Arial"/>
                <w:sz w:val="16"/>
                <w:szCs w:val="16"/>
                <w:b w:val="1"/>
                <w:bCs w:val="1"/>
                <w:color w:val="auto"/>
                <w:w w:val="94"/>
              </w:rPr>
              <w:t>Canon’s Court, 22 Victoria Street, Hamilton HM 12, Bermuda</w:t>
            </w:r>
          </w:p>
        </w:tc>
        <w:tc>
          <w:tcPr>
            <w:tcW w:w="620" w:type="dxa"/>
            <w:vAlign w:val="bottom"/>
          </w:tcPr>
          <w:p>
            <w:pPr>
              <w:spacing w:after="0"/>
              <w:rPr>
                <w:sz w:val="19"/>
                <w:szCs w:val="19"/>
                <w:color w:val="auto"/>
              </w:rPr>
            </w:pPr>
          </w:p>
        </w:tc>
        <w:tc>
          <w:tcPr>
            <w:tcW w:w="2720" w:type="dxa"/>
            <w:vAlign w:val="bottom"/>
          </w:tcPr>
          <w:p>
            <w:pPr>
              <w:spacing w:after="0"/>
              <w:rPr>
                <w:sz w:val="19"/>
                <w:szCs w:val="19"/>
                <w:color w:val="auto"/>
              </w:rPr>
            </w:pPr>
          </w:p>
        </w:tc>
      </w:tr>
      <w:tr>
        <w:trPr>
          <w:trHeight w:val="149"/>
        </w:trPr>
        <w:tc>
          <w:tcPr>
            <w:tcW w:w="8100" w:type="dxa"/>
            <w:vAlign w:val="bottom"/>
            <w:gridSpan w:val="4"/>
          </w:tcPr>
          <w:p>
            <w:pPr>
              <w:jc w:val="center"/>
              <w:ind w:left="3242"/>
              <w:spacing w:after="0"/>
              <w:rPr>
                <w:sz w:val="20"/>
                <w:szCs w:val="20"/>
                <w:color w:val="auto"/>
              </w:rPr>
            </w:pPr>
            <w:r>
              <w:rPr>
                <w:rFonts w:ascii="Arial" w:cs="Arial" w:eastAsia="Arial" w:hAnsi="Arial"/>
                <w:sz w:val="13"/>
                <w:szCs w:val="13"/>
                <w:b w:val="1"/>
                <w:bCs w:val="1"/>
                <w:i w:val="1"/>
                <w:iCs w:val="1"/>
                <w:color w:val="auto"/>
                <w:w w:val="83"/>
              </w:rPr>
              <w:t>(Address of principal executive offices)</w:t>
            </w:r>
          </w:p>
        </w:tc>
        <w:tc>
          <w:tcPr>
            <w:tcW w:w="620" w:type="dxa"/>
            <w:vAlign w:val="bottom"/>
          </w:tcPr>
          <w:p>
            <w:pPr>
              <w:spacing w:after="0"/>
              <w:rPr>
                <w:sz w:val="12"/>
                <w:szCs w:val="12"/>
                <w:color w:val="auto"/>
              </w:rPr>
            </w:pPr>
          </w:p>
        </w:tc>
        <w:tc>
          <w:tcPr>
            <w:tcW w:w="2720" w:type="dxa"/>
            <w:vAlign w:val="bottom"/>
          </w:tcPr>
          <w:p>
            <w:pPr>
              <w:spacing w:after="0"/>
              <w:rPr>
                <w:sz w:val="12"/>
                <w:szCs w:val="12"/>
                <w:color w:val="auto"/>
              </w:rPr>
            </w:pPr>
          </w:p>
        </w:tc>
      </w:tr>
      <w:tr>
        <w:trPr>
          <w:trHeight w:val="189"/>
        </w:trPr>
        <w:tc>
          <w:tcPr>
            <w:tcW w:w="6480" w:type="dxa"/>
            <w:vAlign w:val="bottom"/>
            <w:gridSpan w:val="3"/>
          </w:tcPr>
          <w:p>
            <w:pPr>
              <w:jc w:val="right"/>
              <w:ind w:right="160"/>
              <w:spacing w:after="0"/>
              <w:rPr>
                <w:sz w:val="20"/>
                <w:szCs w:val="20"/>
                <w:color w:val="auto"/>
              </w:rPr>
            </w:pPr>
            <w:r>
              <w:rPr>
                <w:rFonts w:ascii="Arial" w:cs="Arial" w:eastAsia="Arial" w:hAnsi="Arial"/>
                <w:sz w:val="16"/>
                <w:szCs w:val="16"/>
                <w:b w:val="1"/>
                <w:bCs w:val="1"/>
                <w:color w:val="auto"/>
              </w:rPr>
              <w:t>(441) 296-6395</w:t>
            </w:r>
          </w:p>
        </w:tc>
        <w:tc>
          <w:tcPr>
            <w:tcW w:w="1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720" w:type="dxa"/>
            <w:vAlign w:val="bottom"/>
          </w:tcPr>
          <w:p>
            <w:pPr>
              <w:spacing w:after="0"/>
              <w:rPr>
                <w:sz w:val="16"/>
                <w:szCs w:val="16"/>
                <w:color w:val="auto"/>
              </w:rPr>
            </w:pPr>
          </w:p>
        </w:tc>
      </w:tr>
      <w:tr>
        <w:trPr>
          <w:trHeight w:val="160"/>
        </w:trPr>
        <w:tc>
          <w:tcPr>
            <w:tcW w:w="8100" w:type="dxa"/>
            <w:vAlign w:val="bottom"/>
            <w:gridSpan w:val="4"/>
          </w:tcPr>
          <w:p>
            <w:pPr>
              <w:jc w:val="center"/>
              <w:ind w:left="3262"/>
              <w:spacing w:after="0"/>
              <w:rPr>
                <w:sz w:val="20"/>
                <w:szCs w:val="20"/>
                <w:color w:val="auto"/>
              </w:rPr>
            </w:pPr>
            <w:r>
              <w:rPr>
                <w:rFonts w:ascii="Arial" w:cs="Arial" w:eastAsia="Arial" w:hAnsi="Arial"/>
                <w:sz w:val="13"/>
                <w:szCs w:val="13"/>
                <w:b w:val="1"/>
                <w:bCs w:val="1"/>
                <w:i w:val="1"/>
                <w:iCs w:val="1"/>
                <w:color w:val="auto"/>
                <w:w w:val="83"/>
              </w:rPr>
              <w:t>(Registrant’s telephone number, including area code)</w:t>
            </w:r>
          </w:p>
        </w:tc>
        <w:tc>
          <w:tcPr>
            <w:tcW w:w="620" w:type="dxa"/>
            <w:vAlign w:val="bottom"/>
          </w:tcPr>
          <w:p>
            <w:pPr>
              <w:spacing w:after="0"/>
              <w:rPr>
                <w:sz w:val="13"/>
                <w:szCs w:val="13"/>
                <w:color w:val="auto"/>
              </w:rPr>
            </w:pPr>
          </w:p>
        </w:tc>
        <w:tc>
          <w:tcPr>
            <w:tcW w:w="2720" w:type="dxa"/>
            <w:vAlign w:val="bottom"/>
          </w:tcPr>
          <w:p>
            <w:pPr>
              <w:spacing w:after="0"/>
              <w:rPr>
                <w:sz w:val="13"/>
                <w:szCs w:val="13"/>
                <w:color w:val="auto"/>
              </w:rPr>
            </w:pPr>
          </w:p>
        </w:tc>
      </w:tr>
      <w:tr>
        <w:trPr>
          <w:trHeight w:val="253"/>
        </w:trPr>
        <w:tc>
          <w:tcPr>
            <w:tcW w:w="8100" w:type="dxa"/>
            <w:vAlign w:val="bottom"/>
            <w:gridSpan w:val="4"/>
          </w:tcPr>
          <w:p>
            <w:pPr>
              <w:jc w:val="center"/>
              <w:ind w:left="3262"/>
              <w:spacing w:after="0"/>
              <w:rPr>
                <w:sz w:val="20"/>
                <w:szCs w:val="20"/>
                <w:color w:val="auto"/>
              </w:rPr>
            </w:pPr>
            <w:r>
              <w:rPr>
                <w:rFonts w:ascii="Arial" w:cs="Arial" w:eastAsia="Arial" w:hAnsi="Arial"/>
                <w:sz w:val="16"/>
                <w:szCs w:val="16"/>
                <w:b w:val="1"/>
                <w:bCs w:val="1"/>
                <w:color w:val="auto"/>
                <w:w w:val="90"/>
              </w:rPr>
              <w:t>Securities registered pursuant to Section 12(b) of the Act:</w:t>
            </w:r>
          </w:p>
        </w:tc>
        <w:tc>
          <w:tcPr>
            <w:tcW w:w="620" w:type="dxa"/>
            <w:vAlign w:val="bottom"/>
          </w:tcPr>
          <w:p>
            <w:pPr>
              <w:spacing w:after="0"/>
              <w:rPr>
                <w:sz w:val="22"/>
                <w:szCs w:val="22"/>
                <w:color w:val="auto"/>
              </w:rPr>
            </w:pPr>
          </w:p>
        </w:tc>
        <w:tc>
          <w:tcPr>
            <w:tcW w:w="2720" w:type="dxa"/>
            <w:vAlign w:val="bottom"/>
          </w:tcPr>
          <w:p>
            <w:pPr>
              <w:spacing w:after="0"/>
              <w:rPr>
                <w:sz w:val="22"/>
                <w:szCs w:val="22"/>
                <w:color w:val="auto"/>
              </w:rPr>
            </w:pPr>
          </w:p>
        </w:tc>
      </w:tr>
      <w:tr>
        <w:trPr>
          <w:trHeight w:val="378"/>
        </w:trPr>
        <w:tc>
          <w:tcPr>
            <w:tcW w:w="6480" w:type="dxa"/>
            <w:vAlign w:val="bottom"/>
            <w:gridSpan w:val="3"/>
          </w:tcPr>
          <w:p>
            <w:pPr>
              <w:jc w:val="center"/>
              <w:ind w:right="880"/>
              <w:spacing w:after="0"/>
              <w:rPr>
                <w:sz w:val="20"/>
                <w:szCs w:val="20"/>
                <w:color w:val="auto"/>
              </w:rPr>
            </w:pPr>
            <w:r>
              <w:rPr>
                <w:rFonts w:ascii="Arial" w:cs="Arial" w:eastAsia="Arial" w:hAnsi="Arial"/>
                <w:sz w:val="12"/>
                <w:szCs w:val="12"/>
                <w:b w:val="1"/>
                <w:bCs w:val="1"/>
                <w:color w:val="auto"/>
                <w:w w:val="85"/>
              </w:rPr>
              <w:t>Title of each class</w:t>
            </w:r>
          </w:p>
        </w:tc>
        <w:tc>
          <w:tcPr>
            <w:tcW w:w="4960" w:type="dxa"/>
            <w:vAlign w:val="bottom"/>
            <w:gridSpan w:val="3"/>
          </w:tcPr>
          <w:p>
            <w:pPr>
              <w:jc w:val="center"/>
              <w:ind w:right="499"/>
              <w:spacing w:after="0"/>
              <w:rPr>
                <w:sz w:val="20"/>
                <w:szCs w:val="20"/>
                <w:color w:val="auto"/>
              </w:rPr>
            </w:pPr>
            <w:r>
              <w:rPr>
                <w:rFonts w:ascii="Arial" w:cs="Arial" w:eastAsia="Arial" w:hAnsi="Arial"/>
                <w:sz w:val="12"/>
                <w:szCs w:val="12"/>
                <w:b w:val="1"/>
                <w:bCs w:val="1"/>
                <w:color w:val="auto"/>
                <w:w w:val="86"/>
              </w:rPr>
              <w:t>Name of each exchange on which registered</w:t>
            </w:r>
          </w:p>
        </w:tc>
      </w:tr>
      <w:tr>
        <w:trPr>
          <w:trHeight w:val="257"/>
        </w:trPr>
        <w:tc>
          <w:tcPr>
            <w:tcW w:w="6480" w:type="dxa"/>
            <w:vAlign w:val="bottom"/>
            <w:gridSpan w:val="3"/>
          </w:tcPr>
          <w:p>
            <w:pPr>
              <w:jc w:val="center"/>
              <w:ind w:right="880"/>
              <w:spacing w:after="0"/>
              <w:rPr>
                <w:sz w:val="20"/>
                <w:szCs w:val="20"/>
                <w:color w:val="auto"/>
              </w:rPr>
            </w:pPr>
            <w:r>
              <w:rPr>
                <w:rFonts w:ascii="Arial" w:cs="Arial" w:eastAsia="Arial" w:hAnsi="Arial"/>
                <w:sz w:val="16"/>
                <w:szCs w:val="16"/>
                <w:b w:val="1"/>
                <w:bCs w:val="1"/>
                <w:color w:val="auto"/>
                <w:w w:val="90"/>
              </w:rPr>
              <w:t>Common shares, $0.002 par value per share</w:t>
            </w:r>
          </w:p>
        </w:tc>
        <w:tc>
          <w:tcPr>
            <w:tcW w:w="4960" w:type="dxa"/>
            <w:vAlign w:val="bottom"/>
            <w:gridSpan w:val="3"/>
          </w:tcPr>
          <w:p>
            <w:pPr>
              <w:jc w:val="center"/>
              <w:ind w:right="519"/>
              <w:spacing w:after="0"/>
              <w:rPr>
                <w:sz w:val="20"/>
                <w:szCs w:val="20"/>
                <w:color w:val="auto"/>
              </w:rPr>
            </w:pPr>
            <w:r>
              <w:rPr>
                <w:rFonts w:ascii="Arial" w:cs="Arial" w:eastAsia="Arial" w:hAnsi="Arial"/>
                <w:sz w:val="16"/>
                <w:szCs w:val="16"/>
                <w:b w:val="1"/>
                <w:bCs w:val="1"/>
                <w:color w:val="auto"/>
                <w:w w:val="97"/>
              </w:rPr>
              <w:t>The NASDAQ Stock Market LLC</w:t>
            </w:r>
          </w:p>
        </w:tc>
      </w:tr>
      <w:tr>
        <w:trPr>
          <w:trHeight w:val="208"/>
        </w:trPr>
        <w:tc>
          <w:tcPr>
            <w:tcW w:w="8100" w:type="dxa"/>
            <w:vAlign w:val="bottom"/>
            <w:gridSpan w:val="4"/>
          </w:tcPr>
          <w:p>
            <w:pPr>
              <w:jc w:val="center"/>
              <w:ind w:left="3262"/>
              <w:spacing w:after="0"/>
              <w:rPr>
                <w:sz w:val="20"/>
                <w:szCs w:val="20"/>
                <w:color w:val="auto"/>
              </w:rPr>
            </w:pPr>
            <w:r>
              <w:rPr>
                <w:rFonts w:ascii="Arial" w:cs="Arial" w:eastAsia="Arial" w:hAnsi="Arial"/>
                <w:sz w:val="16"/>
                <w:szCs w:val="16"/>
                <w:b w:val="1"/>
                <w:bCs w:val="1"/>
                <w:color w:val="auto"/>
                <w:w w:val="90"/>
              </w:rPr>
              <w:t>Securities registered pursuant to Section 12(g) of the Act:</w:t>
            </w:r>
          </w:p>
        </w:tc>
        <w:tc>
          <w:tcPr>
            <w:tcW w:w="620" w:type="dxa"/>
            <w:vAlign w:val="bottom"/>
          </w:tcPr>
          <w:p>
            <w:pPr>
              <w:spacing w:after="0"/>
              <w:rPr>
                <w:sz w:val="18"/>
                <w:szCs w:val="18"/>
                <w:color w:val="auto"/>
              </w:rPr>
            </w:pPr>
          </w:p>
        </w:tc>
        <w:tc>
          <w:tcPr>
            <w:tcW w:w="2720" w:type="dxa"/>
            <w:vAlign w:val="bottom"/>
          </w:tcPr>
          <w:p>
            <w:pPr>
              <w:spacing w:after="0"/>
              <w:rPr>
                <w:sz w:val="18"/>
                <w:szCs w:val="18"/>
                <w:color w:val="auto"/>
              </w:rPr>
            </w:pPr>
          </w:p>
        </w:tc>
      </w:tr>
      <w:tr>
        <w:trPr>
          <w:trHeight w:val="210"/>
        </w:trPr>
        <w:tc>
          <w:tcPr>
            <w:tcW w:w="6480" w:type="dxa"/>
            <w:vAlign w:val="bottom"/>
            <w:gridSpan w:val="3"/>
          </w:tcPr>
          <w:p>
            <w:pPr>
              <w:jc w:val="center"/>
              <w:ind w:left="4882"/>
              <w:spacing w:after="0"/>
              <w:rPr>
                <w:sz w:val="20"/>
                <w:szCs w:val="20"/>
                <w:color w:val="auto"/>
              </w:rPr>
            </w:pPr>
            <w:r>
              <w:rPr>
                <w:rFonts w:ascii="Arial" w:cs="Arial" w:eastAsia="Arial" w:hAnsi="Arial"/>
                <w:sz w:val="16"/>
                <w:szCs w:val="16"/>
                <w:b w:val="1"/>
                <w:bCs w:val="1"/>
                <w:color w:val="auto"/>
                <w:w w:val="89"/>
              </w:rPr>
              <w:t>None</w:t>
            </w:r>
          </w:p>
        </w:tc>
        <w:tc>
          <w:tcPr>
            <w:tcW w:w="1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720" w:type="dxa"/>
            <w:vAlign w:val="bottom"/>
          </w:tcPr>
          <w:p>
            <w:pPr>
              <w:spacing w:after="0"/>
              <w:rPr>
                <w:sz w:val="18"/>
                <w:szCs w:val="18"/>
                <w:color w:val="auto"/>
              </w:rPr>
            </w:pPr>
          </w:p>
        </w:tc>
      </w:tr>
      <w:tr>
        <w:trPr>
          <w:trHeight w:val="250"/>
        </w:trPr>
        <w:tc>
          <w:tcPr>
            <w:tcW w:w="8100" w:type="dxa"/>
            <w:vAlign w:val="bottom"/>
            <w:gridSpan w:val="4"/>
          </w:tcPr>
          <w:p>
            <w:pPr>
              <w:ind w:left="340"/>
              <w:spacing w:after="0"/>
              <w:rPr>
                <w:sz w:val="20"/>
                <w:szCs w:val="20"/>
                <w:color w:val="auto"/>
              </w:rPr>
            </w:pPr>
            <w:r>
              <w:rPr>
                <w:rFonts w:ascii="Arial" w:cs="Arial" w:eastAsia="Arial" w:hAnsi="Arial"/>
                <w:sz w:val="16"/>
                <w:szCs w:val="16"/>
                <w:color w:val="auto"/>
                <w:w w:val="93"/>
              </w:rPr>
              <w:t>Indicate by check mark if the registrant is a well-known seasoned issuer, as defined in Rule 405 of the Securities Act.</w:t>
            </w:r>
          </w:p>
        </w:tc>
        <w:tc>
          <w:tcPr>
            <w:tcW w:w="620" w:type="dxa"/>
            <w:vAlign w:val="bottom"/>
          </w:tcPr>
          <w:p>
            <w:pPr>
              <w:spacing w:after="0" w:line="184" w:lineRule="exact"/>
              <w:rPr>
                <w:sz w:val="20"/>
                <w:szCs w:val="20"/>
                <w:color w:val="auto"/>
              </w:rPr>
            </w:pPr>
            <w:r>
              <w:rPr>
                <w:rFonts w:ascii="Arial" w:cs="Arial" w:eastAsia="Arial" w:hAnsi="Arial"/>
                <w:sz w:val="16"/>
                <w:szCs w:val="16"/>
                <w:color w:val="auto"/>
              </w:rPr>
              <w:t xml:space="preserve">Yes </w:t>
            </w:r>
            <w:r>
              <w:rPr>
                <w:rFonts w:ascii="MS PGothic" w:cs="MS PGothic" w:eastAsia="MS PGothic" w:hAnsi="MS PGothic"/>
                <w:sz w:val="16"/>
                <w:szCs w:val="16"/>
                <w:color w:val="auto"/>
              </w:rPr>
              <w:t>☐</w:t>
            </w:r>
          </w:p>
        </w:tc>
        <w:tc>
          <w:tcPr>
            <w:tcW w:w="2720" w:type="dxa"/>
            <w:vAlign w:val="bottom"/>
          </w:tcPr>
          <w:p>
            <w:pPr>
              <w:spacing w:after="0"/>
              <w:rPr>
                <w:sz w:val="20"/>
                <w:szCs w:val="20"/>
                <w:color w:val="auto"/>
              </w:rPr>
            </w:pPr>
            <w:r>
              <w:rPr>
                <w:rFonts w:ascii="Arial" w:cs="Arial" w:eastAsia="Arial" w:hAnsi="Arial"/>
                <w:sz w:val="16"/>
                <w:szCs w:val="16"/>
                <w:color w:val="auto"/>
              </w:rPr>
              <w:t>No x</w:t>
            </w:r>
          </w:p>
        </w:tc>
      </w:tr>
      <w:tr>
        <w:trPr>
          <w:trHeight w:val="254"/>
        </w:trPr>
        <w:tc>
          <w:tcPr>
            <w:tcW w:w="8100" w:type="dxa"/>
            <w:vAlign w:val="bottom"/>
            <w:gridSpan w:val="4"/>
          </w:tcPr>
          <w:p>
            <w:pPr>
              <w:ind w:left="340"/>
              <w:spacing w:after="0"/>
              <w:rPr>
                <w:sz w:val="20"/>
                <w:szCs w:val="20"/>
                <w:color w:val="auto"/>
              </w:rPr>
            </w:pPr>
            <w:r>
              <w:rPr>
                <w:rFonts w:ascii="Arial" w:cs="Arial" w:eastAsia="Arial" w:hAnsi="Arial"/>
                <w:sz w:val="16"/>
                <w:szCs w:val="16"/>
                <w:color w:val="auto"/>
                <w:w w:val="92"/>
              </w:rPr>
              <w:t>Indicate by check mark if the registrant is not required to file reports pursuant to Section 13 or Section 15(d) of the Act.</w:t>
            </w:r>
          </w:p>
        </w:tc>
        <w:tc>
          <w:tcPr>
            <w:tcW w:w="620" w:type="dxa"/>
            <w:vAlign w:val="bottom"/>
          </w:tcPr>
          <w:p>
            <w:pPr>
              <w:ind w:left="140"/>
              <w:spacing w:after="0" w:line="184" w:lineRule="exact"/>
              <w:rPr>
                <w:sz w:val="20"/>
                <w:szCs w:val="20"/>
                <w:color w:val="auto"/>
              </w:rPr>
            </w:pPr>
            <w:r>
              <w:rPr>
                <w:rFonts w:ascii="Arial" w:cs="Arial" w:eastAsia="Arial" w:hAnsi="Arial"/>
                <w:sz w:val="16"/>
                <w:szCs w:val="16"/>
                <w:color w:val="auto"/>
                <w:w w:val="95"/>
              </w:rPr>
              <w:t xml:space="preserve">Yes </w:t>
            </w:r>
            <w:r>
              <w:rPr>
                <w:rFonts w:ascii="MS PGothic" w:cs="MS PGothic" w:eastAsia="MS PGothic" w:hAnsi="MS PGothic"/>
                <w:sz w:val="16"/>
                <w:szCs w:val="16"/>
                <w:color w:val="auto"/>
                <w:w w:val="95"/>
              </w:rPr>
              <w:t>☐</w:t>
            </w:r>
          </w:p>
        </w:tc>
        <w:tc>
          <w:tcPr>
            <w:tcW w:w="2720" w:type="dxa"/>
            <w:vAlign w:val="bottom"/>
          </w:tcPr>
          <w:p>
            <w:pPr>
              <w:ind w:left="140"/>
              <w:spacing w:after="0"/>
              <w:rPr>
                <w:sz w:val="20"/>
                <w:szCs w:val="20"/>
                <w:color w:val="auto"/>
              </w:rPr>
            </w:pPr>
            <w:r>
              <w:rPr>
                <w:rFonts w:ascii="Arial" w:cs="Arial" w:eastAsia="Arial" w:hAnsi="Arial"/>
                <w:sz w:val="16"/>
                <w:szCs w:val="16"/>
                <w:color w:val="auto"/>
              </w:rPr>
              <w:t>No x</w:t>
            </w:r>
          </w:p>
        </w:tc>
      </w:tr>
    </w:tbl>
    <w:p>
      <w:pPr>
        <w:spacing w:after="0" w:line="19" w:lineRule="exact"/>
        <w:rPr>
          <w:sz w:val="24"/>
          <w:szCs w:val="24"/>
          <w:color w:val="auto"/>
        </w:rPr>
      </w:pPr>
    </w:p>
    <w:p>
      <w:pPr>
        <w:ind w:right="560" w:firstLine="324"/>
        <w:spacing w:after="0" w:line="201" w:lineRule="exact"/>
        <w:rPr>
          <w:sz w:val="20"/>
          <w:szCs w:val="20"/>
          <w:color w:val="auto"/>
        </w:rPr>
      </w:pPr>
      <w:r>
        <w:rPr>
          <w:rFonts w:ascii="Arial" w:cs="Arial" w:eastAsia="Arial" w:hAnsi="Arial"/>
          <w:sz w:val="16"/>
          <w:szCs w:val="16"/>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x No </w:t>
      </w:r>
      <w:r>
        <w:rPr>
          <w:rFonts w:ascii="MS PGothic" w:cs="MS PGothic" w:eastAsia="MS PGothic" w:hAnsi="MS PGothic"/>
          <w:sz w:val="16"/>
          <w:szCs w:val="16"/>
          <w:color w:val="auto"/>
        </w:rPr>
        <w:t>☐</w:t>
      </w:r>
    </w:p>
    <w:p>
      <w:pPr>
        <w:spacing w:after="0" w:line="21" w:lineRule="exact"/>
        <w:rPr>
          <w:sz w:val="24"/>
          <w:szCs w:val="24"/>
          <w:color w:val="auto"/>
        </w:rPr>
      </w:pPr>
    </w:p>
    <w:p>
      <w:pPr>
        <w:ind w:right="420" w:firstLine="324"/>
        <w:spacing w:after="0" w:line="201" w:lineRule="exact"/>
        <w:rPr>
          <w:sz w:val="20"/>
          <w:szCs w:val="20"/>
          <w:color w:val="auto"/>
        </w:rPr>
      </w:pPr>
      <w:r>
        <w:rPr>
          <w:rFonts w:ascii="Arial" w:cs="Arial" w:eastAsia="Arial" w:hAnsi="Arial"/>
          <w:sz w:val="16"/>
          <w:szCs w:val="16"/>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x No </w:t>
      </w:r>
      <w:r>
        <w:rPr>
          <w:rFonts w:ascii="MS PGothic" w:cs="MS PGothic" w:eastAsia="MS PGothic" w:hAnsi="MS PGothic"/>
          <w:sz w:val="16"/>
          <w:szCs w:val="16"/>
          <w:color w:val="auto"/>
        </w:rPr>
        <w:t>☐</w:t>
      </w:r>
    </w:p>
    <w:p>
      <w:pPr>
        <w:spacing w:after="0" w:line="21" w:lineRule="exact"/>
        <w:rPr>
          <w:sz w:val="24"/>
          <w:szCs w:val="24"/>
          <w:color w:val="auto"/>
        </w:rPr>
      </w:pPr>
    </w:p>
    <w:p>
      <w:pPr>
        <w:ind w:right="140" w:firstLine="324"/>
        <w:spacing w:after="0" w:line="261" w:lineRule="auto"/>
        <w:rPr>
          <w:sz w:val="20"/>
          <w:szCs w:val="20"/>
          <w:color w:val="auto"/>
        </w:rPr>
      </w:pPr>
      <w:r>
        <w:rPr>
          <w:rFonts w:ascii="Arial" w:cs="Arial" w:eastAsia="Arial" w:hAnsi="Arial"/>
          <w:sz w:val="16"/>
          <w:szCs w:val="16"/>
          <w:color w:val="auto"/>
        </w:rPr>
        <w:t>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x</w:t>
      </w:r>
    </w:p>
    <w:p>
      <w:pPr>
        <w:spacing w:after="0" w:line="21" w:lineRule="exact"/>
        <w:rPr>
          <w:sz w:val="24"/>
          <w:szCs w:val="24"/>
          <w:color w:val="auto"/>
        </w:rPr>
      </w:pPr>
    </w:p>
    <w:p>
      <w:pPr>
        <w:ind w:right="40" w:firstLine="324"/>
        <w:spacing w:after="0" w:line="275"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40"/>
          </w:cols>
          <w:pgMar w:left="240" w:top="894" w:right="219" w:bottom="1440" w:gutter="0" w:footer="0" w:header="0"/>
        </w:sectPr>
      </w:pPr>
    </w:p>
    <w:p>
      <w:pPr>
        <w:spacing w:after="0" w:line="132" w:lineRule="exact"/>
        <w:rPr>
          <w:sz w:val="24"/>
          <w:szCs w:val="24"/>
          <w:color w:val="auto"/>
        </w:rPr>
      </w:pPr>
    </w:p>
    <w:p>
      <w:pPr>
        <w:ind w:left="40"/>
        <w:spacing w:after="0"/>
        <w:rPr>
          <w:sz w:val="20"/>
          <w:szCs w:val="20"/>
          <w:color w:val="auto"/>
        </w:rPr>
      </w:pPr>
      <w:r>
        <w:rPr>
          <w:rFonts w:ascii="Arial" w:cs="Arial" w:eastAsia="Arial" w:hAnsi="Arial"/>
          <w:sz w:val="14"/>
          <w:szCs w:val="14"/>
          <w:color w:val="auto"/>
        </w:rPr>
        <w:t>Large accelerated filer</w:t>
      </w:r>
    </w:p>
    <w:p>
      <w:pPr>
        <w:spacing w:after="0" w:line="20" w:lineRule="exact"/>
        <w:rPr>
          <w:sz w:val="24"/>
          <w:szCs w:val="24"/>
          <w:color w:val="auto"/>
        </w:rPr>
      </w:pPr>
      <w:r>
        <w:rPr>
          <w:sz w:val="24"/>
          <w:szCs w:val="24"/>
          <w:color w:val="auto"/>
        </w:rPr>
        <w:br w:type="column"/>
      </w:r>
    </w:p>
    <w:p>
      <w:pPr>
        <w:spacing w:after="0" w:line="112" w:lineRule="exact"/>
        <w:rPr>
          <w:sz w:val="24"/>
          <w:szCs w:val="24"/>
          <w:color w:val="auto"/>
        </w:rPr>
      </w:pPr>
    </w:p>
    <w:p>
      <w:pPr>
        <w:spacing w:after="0"/>
        <w:rPr>
          <w:sz w:val="20"/>
          <w:szCs w:val="20"/>
          <w:color w:val="auto"/>
        </w:rPr>
      </w:pPr>
      <w:r>
        <w:rPr>
          <w:rFonts w:ascii="Arial" w:cs="Arial" w:eastAsia="Arial" w:hAnsi="Arial"/>
          <w:sz w:val="16"/>
          <w:szCs w:val="16"/>
          <w:color w:val="auto"/>
        </w:rPr>
        <w:t>x</w:t>
      </w:r>
    </w:p>
    <w:p>
      <w:pPr>
        <w:spacing w:after="0" w:line="20" w:lineRule="exact"/>
        <w:rPr>
          <w:sz w:val="24"/>
          <w:szCs w:val="24"/>
          <w:color w:val="auto"/>
        </w:rPr>
      </w:pPr>
      <w:r>
        <w:rPr>
          <w:sz w:val="24"/>
          <w:szCs w:val="24"/>
          <w:color w:val="auto"/>
        </w:rPr>
        <w:br w:type="column"/>
      </w:r>
    </w:p>
    <w:p>
      <w:pPr>
        <w:spacing w:after="0" w:line="112" w:lineRule="exact"/>
        <w:rPr>
          <w:sz w:val="24"/>
          <w:szCs w:val="24"/>
          <w:color w:val="auto"/>
        </w:rPr>
      </w:pPr>
    </w:p>
    <w:p>
      <w:pPr>
        <w:spacing w:after="0"/>
        <w:rPr>
          <w:sz w:val="20"/>
          <w:szCs w:val="20"/>
          <w:color w:val="auto"/>
        </w:rPr>
      </w:pPr>
      <w:r>
        <w:rPr>
          <w:rFonts w:ascii="Arial" w:cs="Arial" w:eastAsia="Arial" w:hAnsi="Arial"/>
          <w:sz w:val="15"/>
          <w:szCs w:val="15"/>
          <w:color w:val="auto"/>
        </w:rPr>
        <w:t>Accelerated filer</w:t>
      </w:r>
    </w:p>
    <w:p>
      <w:pPr>
        <w:spacing w:after="0" w:line="20" w:lineRule="exact"/>
        <w:rPr>
          <w:sz w:val="24"/>
          <w:szCs w:val="24"/>
          <w:color w:val="auto"/>
        </w:rPr>
      </w:pPr>
      <w:r>
        <w:rPr>
          <w:sz w:val="24"/>
          <w:szCs w:val="24"/>
          <w:color w:val="auto"/>
        </w:rPr>
        <w:br w:type="column"/>
      </w:r>
    </w:p>
    <w:p>
      <w:pPr>
        <w:spacing w:after="0" w:line="82"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12" w:lineRule="exact"/>
        <w:rPr>
          <w:sz w:val="24"/>
          <w:szCs w:val="24"/>
          <w:color w:val="auto"/>
        </w:rPr>
      </w:pPr>
    </w:p>
    <w:p>
      <w:pPr>
        <w:spacing w:after="0"/>
        <w:rPr>
          <w:sz w:val="20"/>
          <w:szCs w:val="20"/>
          <w:color w:val="auto"/>
        </w:rPr>
      </w:pPr>
      <w:r>
        <w:rPr>
          <w:rFonts w:ascii="Arial" w:cs="Arial" w:eastAsia="Arial" w:hAnsi="Arial"/>
          <w:sz w:val="14"/>
          <w:szCs w:val="14"/>
          <w:color w:val="auto"/>
        </w:rPr>
        <w:t>Non-accelerated filer</w:t>
      </w:r>
    </w:p>
    <w:p>
      <w:pPr>
        <w:spacing w:after="0" w:line="20" w:lineRule="exact"/>
        <w:rPr>
          <w:sz w:val="24"/>
          <w:szCs w:val="24"/>
          <w:color w:val="auto"/>
        </w:rPr>
      </w:pPr>
      <w:r>
        <w:rPr>
          <w:sz w:val="24"/>
          <w:szCs w:val="24"/>
          <w:color w:val="auto"/>
        </w:rPr>
        <w:br w:type="column"/>
      </w:r>
    </w:p>
    <w:p>
      <w:pPr>
        <w:spacing w:after="0" w:line="82" w:lineRule="exact"/>
        <w:rPr>
          <w:sz w:val="24"/>
          <w:szCs w:val="24"/>
          <w:color w:val="auto"/>
        </w:rPr>
      </w:pPr>
    </w:p>
    <w:p>
      <w:pPr>
        <w:spacing w:after="0" w:line="14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12" w:lineRule="exact"/>
        <w:rPr>
          <w:sz w:val="24"/>
          <w:szCs w:val="24"/>
          <w:color w:val="auto"/>
        </w:rPr>
      </w:pPr>
    </w:p>
    <w:p>
      <w:pPr>
        <w:spacing w:after="0"/>
        <w:rPr>
          <w:sz w:val="20"/>
          <w:szCs w:val="20"/>
          <w:color w:val="auto"/>
        </w:rPr>
      </w:pPr>
      <w:r>
        <w:rPr>
          <w:rFonts w:ascii="Arial" w:cs="Arial" w:eastAsia="Arial" w:hAnsi="Arial"/>
          <w:sz w:val="14"/>
          <w:szCs w:val="14"/>
          <w:color w:val="auto"/>
        </w:rPr>
        <w:t>Smaller reporting company</w:t>
      </w:r>
    </w:p>
    <w:p>
      <w:pPr>
        <w:spacing w:after="0" w:line="20" w:lineRule="exact"/>
        <w:rPr>
          <w:sz w:val="24"/>
          <w:szCs w:val="24"/>
          <w:color w:val="auto"/>
        </w:rPr>
      </w:pPr>
      <w:r>
        <w:rPr>
          <w:sz w:val="24"/>
          <w:szCs w:val="24"/>
          <w:color w:val="auto"/>
        </w:rPr>
        <w:br w:type="column"/>
      </w:r>
    </w:p>
    <w:p>
      <w:pPr>
        <w:spacing w:after="0" w:line="82"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26" w:lineRule="exact"/>
        <w:rPr>
          <w:sz w:val="24"/>
          <w:szCs w:val="24"/>
          <w:color w:val="auto"/>
        </w:rPr>
      </w:pPr>
    </w:p>
    <w:p>
      <w:pPr>
        <w:sectPr>
          <w:pgSz w:w="11900" w:h="16838" w:orient="portrait"/>
          <w:cols w:equalWidth="0" w:num="8">
            <w:col w:w="1480" w:space="140"/>
            <w:col w:w="1000" w:space="720"/>
            <w:col w:w="1080" w:space="120"/>
            <w:col w:w="1000" w:space="720"/>
            <w:col w:w="1380" w:space="80"/>
            <w:col w:w="380" w:space="720"/>
            <w:col w:w="1760" w:space="80"/>
            <w:col w:w="780"/>
          </w:cols>
          <w:pgMar w:left="240" w:top="894" w:right="219" w:bottom="1440" w:gutter="0" w:footer="0" w:header="0"/>
          <w:type w:val="continuous"/>
        </w:sectPr>
      </w:pPr>
    </w:p>
    <w:p>
      <w:pPr>
        <w:jc w:val="center"/>
        <w:ind w:left="2860"/>
        <w:spacing w:after="0"/>
        <w:rPr>
          <w:sz w:val="20"/>
          <w:szCs w:val="20"/>
          <w:color w:val="auto"/>
        </w:rPr>
      </w:pPr>
      <w:r>
        <w:rPr>
          <w:rFonts w:ascii="Arial" w:cs="Arial" w:eastAsia="Arial" w:hAnsi="Arial"/>
          <w:sz w:val="14"/>
          <w:szCs w:val="14"/>
          <w:color w:val="auto"/>
        </w:rPr>
        <w:t>(Do not check if a smaller</w:t>
      </w:r>
    </w:p>
    <w:p>
      <w:pPr>
        <w:spacing w:after="0" w:line="45" w:lineRule="exact"/>
        <w:rPr>
          <w:sz w:val="24"/>
          <w:szCs w:val="24"/>
          <w:color w:val="auto"/>
        </w:rPr>
      </w:pPr>
    </w:p>
    <w:p>
      <w:pPr>
        <w:jc w:val="center"/>
        <w:ind w:left="2860"/>
        <w:spacing w:after="0"/>
        <w:rPr>
          <w:sz w:val="20"/>
          <w:szCs w:val="20"/>
          <w:color w:val="auto"/>
        </w:rPr>
      </w:pPr>
      <w:r>
        <w:rPr>
          <w:rFonts w:ascii="Arial" w:cs="Arial" w:eastAsia="Arial" w:hAnsi="Arial"/>
          <w:sz w:val="16"/>
          <w:szCs w:val="16"/>
          <w:color w:val="auto"/>
        </w:rPr>
        <w:t>reporting company)</w:t>
      </w:r>
    </w:p>
    <w:p>
      <w:pPr>
        <w:sectPr>
          <w:pgSz w:w="11900" w:h="16838" w:orient="portrait"/>
          <w:cols w:equalWidth="0" w:num="1">
            <w:col w:w="11440"/>
          </w:cols>
          <w:pgMar w:left="240" w:top="894" w:right="219" w:bottom="1440" w:gutter="0" w:footer="0" w:header="0"/>
          <w:type w:val="continuous"/>
        </w:sectPr>
      </w:pPr>
    </w:p>
    <w:p>
      <w:pPr>
        <w:spacing w:after="0" w:line="96" w:lineRule="exact"/>
        <w:rPr>
          <w:sz w:val="24"/>
          <w:szCs w:val="24"/>
          <w:color w:val="auto"/>
        </w:rPr>
      </w:pPr>
    </w:p>
    <w:p>
      <w:pPr>
        <w:ind w:left="340"/>
        <w:spacing w:after="0"/>
        <w:rPr>
          <w:sz w:val="20"/>
          <w:szCs w:val="20"/>
          <w:color w:val="auto"/>
        </w:rPr>
      </w:pPr>
      <w:r>
        <w:rPr>
          <w:rFonts w:ascii="Arial" w:cs="Arial" w:eastAsia="Arial" w:hAnsi="Arial"/>
          <w:sz w:val="14"/>
          <w:szCs w:val="14"/>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spacing w:after="0" w:line="46" w:lineRule="exact"/>
        <w:rPr>
          <w:sz w:val="24"/>
          <w:szCs w:val="24"/>
          <w:color w:val="auto"/>
        </w:rPr>
      </w:pPr>
    </w:p>
    <w:p>
      <w:pPr>
        <w:jc w:val="center"/>
        <w:spacing w:after="0" w:line="173" w:lineRule="exact"/>
        <w:rPr>
          <w:sz w:val="20"/>
          <w:szCs w:val="20"/>
          <w:color w:val="auto"/>
        </w:rPr>
      </w:pPr>
      <w:r>
        <w:rPr>
          <w:rFonts w:ascii="Arial" w:cs="Arial" w:eastAsia="Arial" w:hAnsi="Arial"/>
          <w:sz w:val="15"/>
          <w:szCs w:val="15"/>
          <w:color w:val="auto"/>
        </w:rPr>
        <w:t xml:space="preserve">Yes </w:t>
      </w:r>
      <w:r>
        <w:rPr>
          <w:rFonts w:ascii="MS PGothic" w:cs="MS PGothic" w:eastAsia="MS PGothic" w:hAnsi="MS PGothic"/>
          <w:sz w:val="15"/>
          <w:szCs w:val="15"/>
          <w:color w:val="auto"/>
        </w:rPr>
        <w:t>☐</w:t>
      </w:r>
    </w:p>
    <w:p>
      <w:pPr>
        <w:spacing w:after="0" w:line="20" w:lineRule="exact"/>
        <w:rPr>
          <w:sz w:val="24"/>
          <w:szCs w:val="24"/>
          <w:color w:val="auto"/>
        </w:rPr>
      </w:pPr>
      <w:r>
        <w:rPr>
          <w:sz w:val="24"/>
          <w:szCs w:val="24"/>
          <w:color w:val="auto"/>
        </w:rPr>
        <w:br w:type="column"/>
      </w:r>
    </w:p>
    <w:p>
      <w:pPr>
        <w:spacing w:after="0" w:line="76" w:lineRule="exact"/>
        <w:rPr>
          <w:sz w:val="24"/>
          <w:szCs w:val="24"/>
          <w:color w:val="auto"/>
        </w:rPr>
      </w:pPr>
    </w:p>
    <w:p>
      <w:pPr>
        <w:spacing w:after="0"/>
        <w:rPr>
          <w:sz w:val="20"/>
          <w:szCs w:val="20"/>
          <w:color w:val="auto"/>
        </w:rPr>
      </w:pPr>
      <w:r>
        <w:rPr>
          <w:rFonts w:ascii="Arial" w:cs="Arial" w:eastAsia="Arial" w:hAnsi="Arial"/>
          <w:sz w:val="16"/>
          <w:szCs w:val="16"/>
          <w:color w:val="auto"/>
        </w:rPr>
        <w:t>No x</w:t>
      </w:r>
    </w:p>
    <w:p>
      <w:pPr>
        <w:spacing w:after="0" w:line="59" w:lineRule="exact"/>
        <w:rPr>
          <w:sz w:val="24"/>
          <w:szCs w:val="24"/>
          <w:color w:val="auto"/>
        </w:rPr>
      </w:pPr>
    </w:p>
    <w:p>
      <w:pPr>
        <w:sectPr>
          <w:pgSz w:w="11900" w:h="16838" w:orient="portrait"/>
          <w:cols w:equalWidth="0" w:num="3">
            <w:col w:w="7700" w:space="160"/>
            <w:col w:w="460" w:space="160"/>
            <w:col w:w="2960"/>
          </w:cols>
          <w:pgMar w:left="240" w:top="894" w:right="219" w:bottom="1440" w:gutter="0" w:footer="0" w:header="0"/>
          <w:type w:val="continuous"/>
        </w:sectPr>
      </w:pPr>
    </w:p>
    <w:p>
      <w:pPr>
        <w:ind w:right="60" w:firstLine="324"/>
        <w:spacing w:after="0" w:line="256"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$3,844,207,456 based upon the closing price of $11.75 per share on the NASDAQ Global Select Market on July 29, 2016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25" w:lineRule="exact"/>
        <w:rPr>
          <w:sz w:val="24"/>
          <w:szCs w:val="24"/>
          <w:color w:val="auto"/>
        </w:rPr>
      </w:pPr>
    </w:p>
    <w:p>
      <w:pPr>
        <w:ind w:left="340"/>
        <w:spacing w:after="0"/>
        <w:rPr>
          <w:sz w:val="20"/>
          <w:szCs w:val="20"/>
          <w:color w:val="auto"/>
        </w:rPr>
      </w:pPr>
      <w:r>
        <w:rPr>
          <w:rFonts w:ascii="Arial" w:cs="Arial" w:eastAsia="Arial" w:hAnsi="Arial"/>
          <w:sz w:val="16"/>
          <w:szCs w:val="16"/>
          <w:color w:val="auto"/>
        </w:rPr>
        <w:t>As of March 22, 2017, there were 502.4 million common shares of the registrant outstanding.</w:t>
      </w:r>
    </w:p>
    <w:p>
      <w:pPr>
        <w:spacing w:after="0" w:line="55" w:lineRule="exact"/>
        <w:rPr>
          <w:sz w:val="24"/>
          <w:szCs w:val="24"/>
          <w:color w:val="auto"/>
        </w:rPr>
      </w:pPr>
    </w:p>
    <w:p>
      <w:pPr>
        <w:ind w:left="3860"/>
        <w:spacing w:after="0"/>
        <w:rPr>
          <w:sz w:val="20"/>
          <w:szCs w:val="20"/>
          <w:color w:val="auto"/>
        </w:rPr>
      </w:pPr>
      <w:r>
        <w:rPr>
          <w:rFonts w:ascii="Arial" w:cs="Arial" w:eastAsia="Arial" w:hAnsi="Arial"/>
          <w:sz w:val="16"/>
          <w:szCs w:val="16"/>
          <w:b w:val="1"/>
          <w:bCs w:val="1"/>
          <w:color w:val="auto"/>
        </w:rPr>
        <w:t>DOCUMENTS INCORPORATED BY REFERENCE</w:t>
      </w:r>
    </w:p>
    <w:p>
      <w:pPr>
        <w:spacing w:after="0" w:line="36" w:lineRule="exact"/>
        <w:rPr>
          <w:sz w:val="24"/>
          <w:szCs w:val="24"/>
          <w:color w:val="auto"/>
        </w:rPr>
      </w:pPr>
    </w:p>
    <w:p>
      <w:pPr>
        <w:ind w:right="220" w:firstLine="324"/>
        <w:spacing w:after="0" w:line="349" w:lineRule="auto"/>
        <w:rPr>
          <w:sz w:val="20"/>
          <w:szCs w:val="20"/>
          <w:color w:val="auto"/>
        </w:rPr>
      </w:pPr>
      <w:r>
        <w:rPr>
          <w:rFonts w:ascii="Arial" w:cs="Arial" w:eastAsia="Arial" w:hAnsi="Arial"/>
          <w:sz w:val="14"/>
          <w:szCs w:val="14"/>
          <w:color w:val="auto"/>
        </w:rPr>
        <w:t>Portions of Part III of this Form 10-K are incorporated by reference from the registrant’s definitive proxy statement for its 2017 annual general meeting of shareholders, which proxy statement will be filed with the Securities and Exchange Commission within 120 days after the end of the fiscal year covered by this Form 10-K.</w:t>
      </w:r>
    </w:p>
    <w:p>
      <w:pPr>
        <w:spacing w:after="0" w:line="149" w:lineRule="exact"/>
        <w:rPr>
          <w:sz w:val="24"/>
          <w:szCs w:val="24"/>
          <w:color w:val="auto"/>
        </w:rPr>
      </w:pPr>
    </w:p>
    <w:p>
      <w:pPr>
        <w:jc w:val="center"/>
        <w:spacing w:after="0"/>
        <w:rPr>
          <w:sz w:val="20"/>
          <w:szCs w:val="20"/>
          <w:color w:val="auto"/>
        </w:rPr>
      </w:pPr>
      <w:r>
        <w:rPr>
          <w:rFonts w:ascii="Arial" w:cs="Arial" w:eastAsia="Arial" w:hAnsi="Arial"/>
          <w:sz w:val="16"/>
          <w:szCs w:val="16"/>
          <w:b w:val="1"/>
          <w:bCs w:val="1"/>
          <w:color w:val="auto"/>
        </w:rPr>
        <w:t>TRADEMARKS</w:t>
      </w:r>
    </w:p>
    <w:p>
      <w:pPr>
        <w:sectPr>
          <w:pgSz w:w="11900" w:h="16838" w:orient="portrait"/>
          <w:cols w:equalWidth="0" w:num="1">
            <w:col w:w="11440"/>
          </w:cols>
          <w:pgMar w:left="240" w:top="894" w:right="219" w:bottom="1440" w:gutter="0" w:footer="0" w:header="0"/>
          <w:type w:val="continuous"/>
        </w:sectPr>
      </w:pPr>
    </w:p>
    <w:bookmarkStart w:id="1" w:name="page2"/>
    <w:bookmarkEnd w:id="1"/>
    <w:p>
      <w:pPr>
        <w:ind w:left="340"/>
        <w:spacing w:after="0"/>
        <w:rPr>
          <w:sz w:val="20"/>
          <w:szCs w:val="20"/>
          <w:color w:val="auto"/>
        </w:rPr>
      </w:pPr>
      <w:r>
        <w:rPr>
          <w:rFonts w:ascii="Arial" w:cs="Arial" w:eastAsia="Arial" w:hAnsi="Arial"/>
          <w:sz w:val="14"/>
          <w:szCs w:val="14"/>
          <w:color w:val="auto"/>
        </w:rPr>
        <w:t>Marvell</w:t>
      </w:r>
      <w:r>
        <w:rPr>
          <w:rFonts w:ascii="Arial" w:cs="Arial" w:eastAsia="Arial" w:hAnsi="Arial"/>
          <w:sz w:val="18"/>
          <w:szCs w:val="18"/>
          <w:color w:val="auto"/>
          <w:vertAlign w:val="superscript"/>
        </w:rPr>
        <w:t>®</w:t>
      </w:r>
      <w:r>
        <w:rPr>
          <w:rFonts w:ascii="Arial" w:cs="Arial" w:eastAsia="Arial" w:hAnsi="Arial"/>
          <w:sz w:val="14"/>
          <w:szCs w:val="14"/>
          <w:color w:val="auto"/>
        </w:rPr>
        <w:t>, Alaska</w:t>
      </w:r>
      <w:r>
        <w:rPr>
          <w:rFonts w:ascii="Arial" w:cs="Arial" w:eastAsia="Arial" w:hAnsi="Arial"/>
          <w:sz w:val="18"/>
          <w:szCs w:val="18"/>
          <w:color w:val="auto"/>
          <w:vertAlign w:val="superscript"/>
        </w:rPr>
        <w:t>®</w:t>
      </w:r>
      <w:r>
        <w:rPr>
          <w:rFonts w:ascii="Arial" w:cs="Arial" w:eastAsia="Arial" w:hAnsi="Arial"/>
          <w:sz w:val="14"/>
          <w:szCs w:val="14"/>
          <w:color w:val="auto"/>
        </w:rPr>
        <w:t>, ARMADA</w:t>
      </w:r>
      <w:r>
        <w:rPr>
          <w:rFonts w:ascii="Arial" w:cs="Arial" w:eastAsia="Arial" w:hAnsi="Arial"/>
          <w:sz w:val="18"/>
          <w:szCs w:val="18"/>
          <w:color w:val="auto"/>
          <w:vertAlign w:val="superscript"/>
        </w:rPr>
        <w:t>®</w:t>
      </w:r>
      <w:r>
        <w:rPr>
          <w:rFonts w:ascii="Arial" w:cs="Arial" w:eastAsia="Arial" w:hAnsi="Arial"/>
          <w:sz w:val="14"/>
          <w:szCs w:val="14"/>
          <w:color w:val="auto"/>
        </w:rPr>
        <w:t xml:space="preserve"> Avanta</w:t>
      </w:r>
      <w:r>
        <w:rPr>
          <w:rFonts w:ascii="Arial" w:cs="Arial" w:eastAsia="Arial" w:hAnsi="Arial"/>
          <w:sz w:val="18"/>
          <w:szCs w:val="18"/>
          <w:color w:val="auto"/>
          <w:vertAlign w:val="superscript"/>
        </w:rPr>
        <w:t>®</w:t>
      </w:r>
      <w:r>
        <w:rPr>
          <w:rFonts w:ascii="Arial" w:cs="Arial" w:eastAsia="Arial" w:hAnsi="Arial"/>
          <w:sz w:val="14"/>
          <w:szCs w:val="14"/>
          <w:color w:val="auto"/>
        </w:rPr>
        <w:t>, Avastar</w:t>
      </w:r>
      <w:r>
        <w:rPr>
          <w:rFonts w:ascii="Arial" w:cs="Arial" w:eastAsia="Arial" w:hAnsi="Arial"/>
          <w:sz w:val="18"/>
          <w:szCs w:val="18"/>
          <w:color w:val="auto"/>
          <w:vertAlign w:val="superscript"/>
        </w:rPr>
        <w:t>®</w:t>
      </w:r>
      <w:r>
        <w:rPr>
          <w:rFonts w:ascii="Arial" w:cs="Arial" w:eastAsia="Arial" w:hAnsi="Arial"/>
          <w:sz w:val="14"/>
          <w:szCs w:val="14"/>
          <w:color w:val="auto"/>
        </w:rPr>
        <w:t>, Kirkwood</w:t>
      </w:r>
      <w:r>
        <w:rPr>
          <w:rFonts w:ascii="Arial" w:cs="Arial" w:eastAsia="Arial" w:hAnsi="Arial"/>
          <w:sz w:val="18"/>
          <w:szCs w:val="18"/>
          <w:color w:val="auto"/>
          <w:vertAlign w:val="superscript"/>
        </w:rPr>
        <w:t>®</w:t>
      </w:r>
      <w:r>
        <w:rPr>
          <w:rFonts w:ascii="Arial" w:cs="Arial" w:eastAsia="Arial" w:hAnsi="Arial"/>
          <w:sz w:val="14"/>
          <w:szCs w:val="14"/>
          <w:color w:val="auto"/>
        </w:rPr>
        <w:t>, Link Street</w:t>
      </w:r>
      <w:r>
        <w:rPr>
          <w:rFonts w:ascii="Arial" w:cs="Arial" w:eastAsia="Arial" w:hAnsi="Arial"/>
          <w:sz w:val="18"/>
          <w:szCs w:val="18"/>
          <w:color w:val="auto"/>
          <w:vertAlign w:val="superscript"/>
        </w:rPr>
        <w:t>®</w:t>
      </w:r>
      <w:r>
        <w:rPr>
          <w:rFonts w:ascii="Arial" w:cs="Arial" w:eastAsia="Arial" w:hAnsi="Arial"/>
          <w:sz w:val="14"/>
          <w:szCs w:val="14"/>
          <w:color w:val="auto"/>
        </w:rPr>
        <w:t>, Prestera</w:t>
      </w:r>
      <w:r>
        <w:rPr>
          <w:rFonts w:ascii="Arial" w:cs="Arial" w:eastAsia="Arial" w:hAnsi="Arial"/>
          <w:sz w:val="18"/>
          <w:szCs w:val="18"/>
          <w:color w:val="auto"/>
          <w:vertAlign w:val="superscript"/>
        </w:rPr>
        <w:t>®</w:t>
      </w:r>
      <w:r>
        <w:rPr>
          <w:rFonts w:ascii="Arial" w:cs="Arial" w:eastAsia="Arial" w:hAnsi="Arial"/>
          <w:sz w:val="14"/>
          <w:szCs w:val="14"/>
          <w:color w:val="auto"/>
        </w:rPr>
        <w:t>, Xelerated</w:t>
      </w:r>
      <w:r>
        <w:rPr>
          <w:rFonts w:ascii="Arial" w:cs="Arial" w:eastAsia="Arial" w:hAnsi="Arial"/>
          <w:sz w:val="18"/>
          <w:szCs w:val="18"/>
          <w:color w:val="auto"/>
          <w:vertAlign w:val="superscript"/>
        </w:rPr>
        <w:t>®</w:t>
      </w:r>
      <w:r>
        <w:rPr>
          <w:rFonts w:ascii="Arial" w:cs="Arial" w:eastAsia="Arial" w:hAnsi="Arial"/>
          <w:sz w:val="14"/>
          <w:szCs w:val="14"/>
          <w:color w:val="auto"/>
        </w:rPr>
        <w:t xml:space="preserve"> and Yukon</w:t>
      </w:r>
      <w:r>
        <w:rPr>
          <w:rFonts w:ascii="Arial" w:cs="Arial" w:eastAsia="Arial" w:hAnsi="Arial"/>
          <w:sz w:val="18"/>
          <w:szCs w:val="18"/>
          <w:color w:val="auto"/>
          <w:vertAlign w:val="superscript"/>
        </w:rPr>
        <w:t>®</w:t>
      </w:r>
      <w:r>
        <w:rPr>
          <w:rFonts w:ascii="Arial" w:cs="Arial" w:eastAsia="Arial" w:hAnsi="Arial"/>
          <w:sz w:val="14"/>
          <w:szCs w:val="14"/>
          <w:color w:val="auto"/>
        </w:rPr>
        <w:t xml:space="preserve"> are registered trademarks of Marvell International Ltd.</w:t>
      </w:r>
    </w:p>
    <w:p>
      <w:pPr>
        <w:spacing w:after="0"/>
        <w:rPr>
          <w:sz w:val="20"/>
          <w:szCs w:val="20"/>
          <w:color w:val="auto"/>
        </w:rPr>
      </w:pPr>
      <w:r>
        <w:rPr>
          <w:rFonts w:ascii="Arial" w:cs="Arial" w:eastAsia="Arial" w:hAnsi="Arial"/>
          <w:sz w:val="16"/>
          <w:szCs w:val="16"/>
          <w:color w:val="auto"/>
        </w:rPr>
        <w:t>and/or its affiliates. Any other trademarks or trade names mentioned are the property of their respective owners.</w:t>
      </w:r>
    </w:p>
    <w:p>
      <w:pPr>
        <w:sectPr>
          <w:pgSz w:w="11900" w:h="16838" w:orient="portrait"/>
          <w:cols w:equalWidth="0" w:num="1">
            <w:col w:w="11240"/>
          </w:cols>
          <w:pgMar w:left="240" w:top="855" w:right="41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4"/>
        </w:trPr>
        <w:tc>
          <w:tcPr>
            <w:tcW w:w="10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6120" w:type="dxa"/>
            <w:vAlign w:val="bottom"/>
            <w:gridSpan w:val="15"/>
          </w:tcPr>
          <w:p>
            <w:pPr>
              <w:jc w:val="center"/>
              <w:ind w:right="3480"/>
              <w:spacing w:after="0"/>
              <w:rPr>
                <w:sz w:val="20"/>
                <w:szCs w:val="20"/>
                <w:color w:val="auto"/>
              </w:rPr>
            </w:pPr>
            <w:r>
              <w:rPr>
                <w:rFonts w:ascii="Arial" w:cs="Arial" w:eastAsia="Arial" w:hAnsi="Arial"/>
                <w:sz w:val="18"/>
                <w:szCs w:val="18"/>
                <w:b w:val="1"/>
                <w:bCs w:val="1"/>
                <w:color w:val="auto"/>
                <w:w w:val="98"/>
              </w:rPr>
              <w:t>TABLE OF CONTENTS</w:t>
            </w:r>
          </w:p>
        </w:tc>
        <w:tc>
          <w:tcPr>
            <w:tcW w:w="6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99"/>
        </w:trPr>
        <w:tc>
          <w:tcPr>
            <w:tcW w:w="10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900" w:type="dxa"/>
            <w:vAlign w:val="bottom"/>
            <w:tcBorders>
              <w:bottom w:val="single" w:sz="8" w:color="auto"/>
            </w:tcBorders>
            <w:gridSpan w:val="5"/>
          </w:tcPr>
          <w:p>
            <w:pPr>
              <w:ind w:left="300"/>
              <w:spacing w:after="0"/>
              <w:rPr>
                <w:sz w:val="20"/>
                <w:szCs w:val="20"/>
                <w:color w:val="auto"/>
              </w:rPr>
            </w:pPr>
            <w:r>
              <w:rPr>
                <w:rFonts w:ascii="Arial" w:cs="Arial" w:eastAsia="Arial" w:hAnsi="Arial"/>
                <w:sz w:val="14"/>
                <w:szCs w:val="14"/>
                <w:b w:val="1"/>
                <w:bCs w:val="1"/>
                <w:color w:val="auto"/>
              </w:rPr>
              <w:t>Page</w:t>
            </w:r>
          </w:p>
        </w:tc>
      </w:tr>
      <w:tr>
        <w:trPr>
          <w:trHeight w:val="189"/>
        </w:trPr>
        <w:tc>
          <w:tcPr>
            <w:tcW w:w="10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100" w:type="dxa"/>
            <w:vAlign w:val="bottom"/>
            <w:gridSpan w:val="11"/>
          </w:tcPr>
          <w:p>
            <w:pPr>
              <w:jc w:val="center"/>
              <w:ind w:right="4520"/>
              <w:spacing w:after="0" w:line="189" w:lineRule="exact"/>
              <w:rPr>
                <w:rFonts w:ascii="Arial" w:cs="Arial" w:eastAsia="Arial" w:hAnsi="Arial"/>
                <w:sz w:val="18"/>
                <w:szCs w:val="18"/>
                <w:b w:val="1"/>
                <w:bCs w:val="1"/>
                <w:color w:val="0000EE"/>
                <w:w w:val="98"/>
              </w:rPr>
            </w:pPr>
            <w:hyperlink w:anchor="page5">
              <w:r>
                <w:rPr>
                  <w:rFonts w:ascii="Arial" w:cs="Arial" w:eastAsia="Arial" w:hAnsi="Arial"/>
                  <w:sz w:val="18"/>
                  <w:szCs w:val="18"/>
                  <w:b w:val="1"/>
                  <w:bCs w:val="1"/>
                  <w:color w:val="0000EE"/>
                  <w:w w:val="98"/>
                </w:rPr>
                <w:t>PART I</w:t>
              </w:r>
            </w:hyperlink>
          </w:p>
        </w:tc>
        <w:tc>
          <w:tcPr>
            <w:tcW w:w="6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520"/>
        </w:trPr>
        <w:tc>
          <w:tcPr>
            <w:tcW w:w="1040" w:type="dxa"/>
            <w:vAlign w:val="bottom"/>
          </w:tcPr>
          <w:p>
            <w:pPr>
              <w:spacing w:after="0"/>
              <w:rPr>
                <w:sz w:val="20"/>
                <w:szCs w:val="20"/>
                <w:color w:val="auto"/>
              </w:rPr>
            </w:pPr>
            <w:r>
              <w:rPr>
                <w:rFonts w:ascii="Arial" w:cs="Arial" w:eastAsia="Arial" w:hAnsi="Arial"/>
                <w:sz w:val="18"/>
                <w:szCs w:val="18"/>
                <w:color w:val="auto"/>
              </w:rPr>
              <w:t>Item 1.</w:t>
            </w:r>
          </w:p>
        </w:tc>
        <w:tc>
          <w:tcPr>
            <w:tcW w:w="640" w:type="dxa"/>
            <w:vAlign w:val="bottom"/>
            <w:tcBorders>
              <w:bottom w:val="single" w:sz="8" w:color="0000EE"/>
            </w:tcBorders>
          </w:tcPr>
          <w:p>
            <w:pPr>
              <w:spacing w:after="0"/>
              <w:rPr>
                <w:rFonts w:ascii="Arial" w:cs="Arial" w:eastAsia="Arial" w:hAnsi="Arial"/>
                <w:sz w:val="18"/>
                <w:szCs w:val="18"/>
                <w:color w:val="0000EE"/>
                <w:w w:val="84"/>
              </w:rPr>
            </w:pPr>
            <w:hyperlink w:anchor="page5">
              <w:r>
                <w:rPr>
                  <w:rFonts w:ascii="Arial" w:cs="Arial" w:eastAsia="Arial" w:hAnsi="Arial"/>
                  <w:sz w:val="18"/>
                  <w:szCs w:val="18"/>
                  <w:color w:val="0000EE"/>
                  <w:w w:val="84"/>
                </w:rPr>
                <w:t>Business</w:t>
              </w:r>
            </w:hyperlink>
          </w:p>
        </w:tc>
        <w:tc>
          <w:tcPr>
            <w:tcW w:w="3700" w:type="dxa"/>
            <w:vAlign w:val="bottom"/>
            <w:gridSpan w:val="15"/>
          </w:tcPr>
          <w:p>
            <w:pPr>
              <w:spacing w:after="0"/>
              <w:rPr>
                <w:sz w:val="24"/>
                <w:szCs w:val="24"/>
                <w:color w:val="auto"/>
              </w:rPr>
            </w:pPr>
          </w:p>
        </w:tc>
        <w:tc>
          <w:tcPr>
            <w:tcW w:w="580" w:type="dxa"/>
            <w:vAlign w:val="bottom"/>
            <w:tcBorders>
              <w:top w:val="single" w:sz="8" w:color="0000EE"/>
            </w:tcBorders>
            <w:gridSpan w:val="2"/>
          </w:tcPr>
          <w:p>
            <w:pPr>
              <w:spacing w:after="0"/>
              <w:rPr>
                <w:sz w:val="24"/>
                <w:szCs w:val="24"/>
                <w:color w:val="auto"/>
              </w:rPr>
            </w:pPr>
          </w:p>
        </w:tc>
        <w:tc>
          <w:tcPr>
            <w:tcW w:w="4520" w:type="dxa"/>
            <w:vAlign w:val="bottom"/>
            <w:gridSpan w:val="9"/>
          </w:tcPr>
          <w:p>
            <w:pPr>
              <w:spacing w:after="0"/>
              <w:rPr>
                <w:sz w:val="24"/>
                <w:szCs w:val="24"/>
                <w:color w:val="auto"/>
              </w:rPr>
            </w:pPr>
          </w:p>
        </w:tc>
        <w:tc>
          <w:tcPr>
            <w:tcW w:w="780" w:type="dxa"/>
            <w:vAlign w:val="bottom"/>
            <w:gridSpan w:val="3"/>
          </w:tcPr>
          <w:p>
            <w:pPr>
              <w:spacing w:after="0"/>
              <w:rPr>
                <w:sz w:val="24"/>
                <w:szCs w:val="24"/>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5">
              <w:r>
                <w:rPr>
                  <w:rFonts w:ascii="Arial" w:cs="Arial" w:eastAsia="Arial" w:hAnsi="Arial"/>
                  <w:sz w:val="18"/>
                  <w:szCs w:val="18"/>
                  <w:color w:val="0000EE"/>
                  <w:w w:val="79"/>
                </w:rPr>
                <w:t>2</w:t>
              </w:r>
            </w:hyperlink>
          </w:p>
        </w:tc>
        <w:tc>
          <w:tcPr>
            <w:tcW w:w="20" w:type="dxa"/>
            <w:vAlign w:val="bottom"/>
          </w:tcPr>
          <w:p>
            <w:pPr>
              <w:spacing w:after="0"/>
              <w:rPr>
                <w:sz w:val="24"/>
                <w:szCs w:val="24"/>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tcBorders>
              <w:bottom w:val="single" w:sz="8" w:color="0000EE"/>
            </w:tcBorders>
            <w:gridSpan w:val="4"/>
          </w:tcPr>
          <w:p>
            <w:pPr>
              <w:spacing w:after="0"/>
              <w:rPr>
                <w:rFonts w:ascii="Arial" w:cs="Arial" w:eastAsia="Arial" w:hAnsi="Arial"/>
                <w:sz w:val="18"/>
                <w:szCs w:val="18"/>
                <w:color w:val="0000EE"/>
                <w:w w:val="87"/>
              </w:rPr>
            </w:pPr>
            <w:hyperlink w:anchor="page10">
              <w:r>
                <w:rPr>
                  <w:rFonts w:ascii="Arial" w:cs="Arial" w:eastAsia="Arial" w:hAnsi="Arial"/>
                  <w:sz w:val="18"/>
                  <w:szCs w:val="18"/>
                  <w:color w:val="0000EE"/>
                  <w:w w:val="87"/>
                </w:rPr>
                <w:t>Risk Factors</w:t>
              </w:r>
            </w:hyperlink>
          </w:p>
        </w:tc>
        <w:tc>
          <w:tcPr>
            <w:tcW w:w="8540" w:type="dxa"/>
            <w:vAlign w:val="bottom"/>
            <w:gridSpan w:val="23"/>
          </w:tcPr>
          <w:p>
            <w:pPr>
              <w:spacing w:after="0"/>
              <w:rPr>
                <w:sz w:val="21"/>
                <w:szCs w:val="21"/>
                <w:color w:val="auto"/>
              </w:rPr>
            </w:pPr>
          </w:p>
        </w:tc>
        <w:tc>
          <w:tcPr>
            <w:tcW w:w="780" w:type="dxa"/>
            <w:vAlign w:val="bottom"/>
            <w:gridSpan w:val="3"/>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10">
              <w:r>
                <w:rPr>
                  <w:rFonts w:ascii="Arial" w:cs="Arial" w:eastAsia="Arial" w:hAnsi="Arial"/>
                  <w:sz w:val="18"/>
                  <w:szCs w:val="18"/>
                  <w:color w:val="0000EE"/>
                  <w:w w:val="79"/>
                </w:rPr>
                <w:t>7</w:t>
              </w:r>
            </w:hyperlink>
          </w:p>
        </w:tc>
        <w:tc>
          <w:tcPr>
            <w:tcW w:w="20" w:type="dxa"/>
            <w:vAlign w:val="bottom"/>
          </w:tcPr>
          <w:p>
            <w:pPr>
              <w:spacing w:after="0"/>
              <w:rPr>
                <w:sz w:val="21"/>
                <w:szCs w:val="2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1B.</w:t>
            </w:r>
          </w:p>
        </w:tc>
        <w:tc>
          <w:tcPr>
            <w:tcW w:w="9440" w:type="dxa"/>
            <w:vAlign w:val="bottom"/>
            <w:gridSpan w:val="27"/>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Unresolved Staff Comments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26">
              <w:r>
                <w:rPr>
                  <w:rFonts w:ascii="Arial" w:cs="Arial" w:eastAsia="Arial" w:hAnsi="Arial"/>
                  <w:sz w:val="18"/>
                  <w:szCs w:val="18"/>
                  <w:color w:val="0000EE"/>
                </w:rPr>
                <w:t>23</w:t>
              </w:r>
            </w:hyperlink>
          </w:p>
        </w:tc>
      </w:tr>
      <w:tr>
        <w:trPr>
          <w:trHeight w:val="20"/>
        </w:trPr>
        <w:tc>
          <w:tcPr>
            <w:tcW w:w="104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2.</w:t>
            </w:r>
          </w:p>
        </w:tc>
        <w:tc>
          <w:tcPr>
            <w:tcW w:w="2040" w:type="dxa"/>
            <w:vAlign w:val="bottom"/>
            <w:gridSpan w:val="9"/>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Properties</w:t>
              </w:r>
            </w:hyperlink>
          </w:p>
        </w:tc>
        <w:tc>
          <w:tcPr>
            <w:tcW w:w="7400" w:type="dxa"/>
            <w:vAlign w:val="bottom"/>
            <w:gridSpan w:val="18"/>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26">
              <w:r>
                <w:rPr>
                  <w:rFonts w:ascii="Arial" w:cs="Arial" w:eastAsia="Arial" w:hAnsi="Arial"/>
                  <w:sz w:val="18"/>
                  <w:szCs w:val="18"/>
                  <w:color w:val="0000EE"/>
                </w:rPr>
                <w:t>23</w:t>
              </w:r>
            </w:hyperlink>
          </w:p>
        </w:tc>
      </w:tr>
      <w:tr>
        <w:trPr>
          <w:trHeight w:val="20"/>
        </w:trPr>
        <w:tc>
          <w:tcPr>
            <w:tcW w:w="104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3.</w:t>
            </w:r>
          </w:p>
        </w:tc>
        <w:tc>
          <w:tcPr>
            <w:tcW w:w="9440" w:type="dxa"/>
            <w:vAlign w:val="bottom"/>
            <w:gridSpan w:val="27"/>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Legal Proceedings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27">
              <w:r>
                <w:rPr>
                  <w:rFonts w:ascii="Arial" w:cs="Arial" w:eastAsia="Arial" w:hAnsi="Arial"/>
                  <w:sz w:val="18"/>
                  <w:szCs w:val="18"/>
                  <w:color w:val="0000EE"/>
                </w:rPr>
                <w:t>24</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4.</w:t>
            </w:r>
          </w:p>
        </w:tc>
        <w:tc>
          <w:tcPr>
            <w:tcW w:w="9440" w:type="dxa"/>
            <w:vAlign w:val="bottom"/>
            <w:gridSpan w:val="27"/>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Mine Safety Disclosures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27">
              <w:r>
                <w:rPr>
                  <w:rFonts w:ascii="Arial" w:cs="Arial" w:eastAsia="Arial" w:hAnsi="Arial"/>
                  <w:sz w:val="18"/>
                  <w:szCs w:val="18"/>
                  <w:color w:val="0000EE"/>
                </w:rPr>
                <w:t>24</w:t>
              </w:r>
            </w:hyperlink>
          </w:p>
        </w:tc>
      </w:tr>
      <w:tr>
        <w:trPr>
          <w:trHeight w:val="520"/>
        </w:trPr>
        <w:tc>
          <w:tcPr>
            <w:tcW w:w="104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40" w:type="dxa"/>
            <w:vAlign w:val="bottom"/>
            <w:gridSpan w:val="12"/>
          </w:tcPr>
          <w:p>
            <w:pPr>
              <w:jc w:val="center"/>
              <w:ind w:right="4480"/>
              <w:spacing w:after="0"/>
              <w:rPr>
                <w:rFonts w:ascii="Arial" w:cs="Arial" w:eastAsia="Arial" w:hAnsi="Arial"/>
                <w:sz w:val="18"/>
                <w:szCs w:val="18"/>
                <w:b w:val="1"/>
                <w:bCs w:val="1"/>
                <w:color w:val="0000EE"/>
              </w:rPr>
            </w:pPr>
            <w:hyperlink w:anchor="page28">
              <w:r>
                <w:rPr>
                  <w:rFonts w:ascii="Arial" w:cs="Arial" w:eastAsia="Arial" w:hAnsi="Arial"/>
                  <w:sz w:val="18"/>
                  <w:szCs w:val="18"/>
                  <w:b w:val="1"/>
                  <w:bCs w:val="1"/>
                  <w:color w:val="0000EE"/>
                </w:rPr>
                <w:t>PART II</w:t>
              </w:r>
            </w:hyperlink>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20"/>
        </w:trPr>
        <w:tc>
          <w:tcPr>
            <w:tcW w:w="1040" w:type="dxa"/>
            <w:vAlign w:val="bottom"/>
          </w:tcPr>
          <w:p>
            <w:pPr>
              <w:spacing w:after="0" w:line="20" w:lineRule="exact"/>
              <w:rPr>
                <w:sz w:val="1"/>
                <w:szCs w:val="1"/>
                <w:color w:val="auto"/>
              </w:rPr>
            </w:pPr>
          </w:p>
        </w:tc>
        <w:tc>
          <w:tcPr>
            <w:tcW w:w="760" w:type="dxa"/>
            <w:vAlign w:val="bottom"/>
            <w:gridSpan w:val="3"/>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gridSpan w:val="4"/>
          </w:tcPr>
          <w:p>
            <w:pPr>
              <w:spacing w:after="0" w:line="20" w:lineRule="exact"/>
              <w:rPr>
                <w:sz w:val="1"/>
                <w:szCs w:val="1"/>
                <w:color w:val="auto"/>
              </w:rPr>
            </w:pPr>
          </w:p>
        </w:tc>
      </w:tr>
      <w:tr>
        <w:trPr>
          <w:trHeight w:val="520"/>
        </w:trPr>
        <w:tc>
          <w:tcPr>
            <w:tcW w:w="1040" w:type="dxa"/>
            <w:vAlign w:val="bottom"/>
          </w:tcPr>
          <w:p>
            <w:pPr>
              <w:spacing w:after="0"/>
              <w:rPr>
                <w:sz w:val="20"/>
                <w:szCs w:val="20"/>
                <w:color w:val="auto"/>
              </w:rPr>
            </w:pPr>
            <w:r>
              <w:rPr>
                <w:rFonts w:ascii="Arial" w:cs="Arial" w:eastAsia="Arial" w:hAnsi="Arial"/>
                <w:sz w:val="18"/>
                <w:szCs w:val="18"/>
                <w:color w:val="auto"/>
              </w:rPr>
              <w:t>Item 5.</w:t>
            </w:r>
          </w:p>
        </w:tc>
        <w:tc>
          <w:tcPr>
            <w:tcW w:w="8080" w:type="dxa"/>
            <w:vAlign w:val="bottom"/>
            <w:gridSpan w:val="26"/>
          </w:tcPr>
          <w:p>
            <w:pPr>
              <w:spacing w:after="0"/>
              <w:rPr>
                <w:rFonts w:ascii="Arial" w:cs="Arial" w:eastAsia="Arial" w:hAnsi="Arial"/>
                <w:sz w:val="18"/>
                <w:szCs w:val="18"/>
                <w:color w:val="0000EE"/>
                <w:w w:val="90"/>
              </w:rPr>
            </w:pPr>
            <w:hyperlink w:anchor="page28">
              <w:r>
                <w:rPr>
                  <w:rFonts w:ascii="Arial" w:cs="Arial" w:eastAsia="Arial" w:hAnsi="Arial"/>
                  <w:sz w:val="18"/>
                  <w:szCs w:val="18"/>
                  <w:color w:val="0000EE"/>
                  <w:w w:val="90"/>
                </w:rPr>
                <w:t>Market for Registrant’s Common Equity, Related Shareholder Matters and Issuer Purchases of Equity Securities</w:t>
              </w:r>
            </w:hyperlink>
          </w:p>
        </w:tc>
        <w:tc>
          <w:tcPr>
            <w:tcW w:w="1360" w:type="dxa"/>
            <w:vAlign w:val="bottom"/>
          </w:tcPr>
          <w:p>
            <w:pPr>
              <w:spacing w:after="0"/>
              <w:rPr>
                <w:sz w:val="24"/>
                <w:szCs w:val="24"/>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28">
              <w:r>
                <w:rPr>
                  <w:rFonts w:ascii="Arial" w:cs="Arial" w:eastAsia="Arial" w:hAnsi="Arial"/>
                  <w:sz w:val="18"/>
                  <w:szCs w:val="18"/>
                  <w:color w:val="0000EE"/>
                </w:rPr>
                <w:t>25</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4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6.</w:t>
            </w:r>
          </w:p>
        </w:tc>
        <w:tc>
          <w:tcPr>
            <w:tcW w:w="8080" w:type="dxa"/>
            <w:vAlign w:val="bottom"/>
            <w:gridSpan w:val="26"/>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Selected Financial Data</w:t>
              </w:r>
            </w:hyperlink>
          </w:p>
        </w:tc>
        <w:tc>
          <w:tcPr>
            <w:tcW w:w="1360" w:type="dxa"/>
            <w:vAlign w:val="bottom"/>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29">
              <w:r>
                <w:rPr>
                  <w:rFonts w:ascii="Arial" w:cs="Arial" w:eastAsia="Arial" w:hAnsi="Arial"/>
                  <w:sz w:val="18"/>
                  <w:szCs w:val="18"/>
                  <w:color w:val="0000EE"/>
                </w:rPr>
                <w:t>26</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7.</w:t>
            </w:r>
          </w:p>
        </w:tc>
        <w:tc>
          <w:tcPr>
            <w:tcW w:w="6460" w:type="dxa"/>
            <w:vAlign w:val="bottom"/>
            <w:gridSpan w:val="23"/>
          </w:tcPr>
          <w:p>
            <w:pPr>
              <w:spacing w:after="0"/>
              <w:rPr>
                <w:rFonts w:ascii="Arial" w:cs="Arial" w:eastAsia="Arial" w:hAnsi="Arial"/>
                <w:sz w:val="18"/>
                <w:szCs w:val="18"/>
                <w:color w:val="0000EE"/>
                <w:w w:val="90"/>
              </w:rPr>
            </w:pPr>
            <w:hyperlink w:anchor="page31">
              <w:r>
                <w:rPr>
                  <w:rFonts w:ascii="Arial" w:cs="Arial" w:eastAsia="Arial" w:hAnsi="Arial"/>
                  <w:sz w:val="18"/>
                  <w:szCs w:val="18"/>
                  <w:color w:val="0000EE"/>
                  <w:w w:val="90"/>
                </w:rPr>
                <w:t>Management’s Discussion and Analysis of Financial Condition and Results of Operations</w:t>
              </w:r>
            </w:hyperlink>
          </w:p>
        </w:tc>
        <w:tc>
          <w:tcPr>
            <w:tcW w:w="2980" w:type="dxa"/>
            <w:vAlign w:val="bottom"/>
            <w:gridSpan w:val="4"/>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31">
              <w:r>
                <w:rPr>
                  <w:rFonts w:ascii="Arial" w:cs="Arial" w:eastAsia="Arial" w:hAnsi="Arial"/>
                  <w:sz w:val="18"/>
                  <w:szCs w:val="18"/>
                  <w:color w:val="0000EE"/>
                </w:rPr>
                <w:t>28</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4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7A.</w:t>
            </w:r>
          </w:p>
        </w:tc>
        <w:tc>
          <w:tcPr>
            <w:tcW w:w="4360" w:type="dxa"/>
            <w:vAlign w:val="bottom"/>
            <w:gridSpan w:val="17"/>
          </w:tcPr>
          <w:p>
            <w:pPr>
              <w:spacing w:after="0"/>
              <w:rPr>
                <w:rFonts w:ascii="Arial" w:cs="Arial" w:eastAsia="Arial" w:hAnsi="Arial"/>
                <w:sz w:val="18"/>
                <w:szCs w:val="18"/>
                <w:color w:val="0000EE"/>
                <w:w w:val="92"/>
              </w:rPr>
            </w:pPr>
            <w:hyperlink w:anchor="page45">
              <w:r>
                <w:rPr>
                  <w:rFonts w:ascii="Arial" w:cs="Arial" w:eastAsia="Arial" w:hAnsi="Arial"/>
                  <w:sz w:val="18"/>
                  <w:szCs w:val="18"/>
                  <w:color w:val="0000EE"/>
                  <w:w w:val="92"/>
                </w:rPr>
                <w:t>Quantitative and Qualitative Disclosures About Market Risk</w:t>
              </w:r>
            </w:hyperlink>
          </w:p>
        </w:tc>
        <w:tc>
          <w:tcPr>
            <w:tcW w:w="2100" w:type="dxa"/>
            <w:vAlign w:val="bottom"/>
            <w:gridSpan w:val="6"/>
          </w:tcPr>
          <w:p>
            <w:pPr>
              <w:spacing w:after="0"/>
              <w:rPr>
                <w:sz w:val="21"/>
                <w:szCs w:val="21"/>
                <w:color w:val="auto"/>
              </w:rPr>
            </w:pPr>
          </w:p>
        </w:tc>
        <w:tc>
          <w:tcPr>
            <w:tcW w:w="2980" w:type="dxa"/>
            <w:vAlign w:val="bottom"/>
            <w:gridSpan w:val="4"/>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45">
              <w:r>
                <w:rPr>
                  <w:rFonts w:ascii="Arial" w:cs="Arial" w:eastAsia="Arial" w:hAnsi="Arial"/>
                  <w:sz w:val="18"/>
                  <w:szCs w:val="18"/>
                  <w:color w:val="0000EE"/>
                </w:rPr>
                <w:t>42</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8.</w:t>
            </w:r>
          </w:p>
        </w:tc>
        <w:tc>
          <w:tcPr>
            <w:tcW w:w="4360" w:type="dxa"/>
            <w:vAlign w:val="bottom"/>
            <w:gridSpan w:val="17"/>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Financial Statements and Supplementary Data</w:t>
              </w:r>
            </w:hyperlink>
          </w:p>
        </w:tc>
        <w:tc>
          <w:tcPr>
            <w:tcW w:w="5080" w:type="dxa"/>
            <w:vAlign w:val="bottom"/>
            <w:gridSpan w:val="10"/>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47">
              <w:r>
                <w:rPr>
                  <w:rFonts w:ascii="Arial" w:cs="Arial" w:eastAsia="Arial" w:hAnsi="Arial"/>
                  <w:sz w:val="18"/>
                  <w:szCs w:val="18"/>
                  <w:color w:val="0000EE"/>
                </w:rPr>
                <w:t>44</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9.</w:t>
            </w:r>
          </w:p>
        </w:tc>
        <w:tc>
          <w:tcPr>
            <w:tcW w:w="6480" w:type="dxa"/>
            <w:vAlign w:val="bottom"/>
            <w:gridSpan w:val="24"/>
          </w:tcPr>
          <w:p>
            <w:pPr>
              <w:spacing w:after="0"/>
              <w:rPr>
                <w:rFonts w:ascii="Arial" w:cs="Arial" w:eastAsia="Arial" w:hAnsi="Arial"/>
                <w:sz w:val="18"/>
                <w:szCs w:val="18"/>
                <w:color w:val="0000EE"/>
                <w:w w:val="90"/>
              </w:rPr>
            </w:pPr>
            <w:hyperlink w:anchor="page93">
              <w:r>
                <w:rPr>
                  <w:rFonts w:ascii="Arial" w:cs="Arial" w:eastAsia="Arial" w:hAnsi="Arial"/>
                  <w:sz w:val="18"/>
                  <w:szCs w:val="18"/>
                  <w:color w:val="0000EE"/>
                  <w:w w:val="90"/>
                </w:rPr>
                <w:t>Changes in and Disagreements with Accountants on Accounting and Financial Disclosure</w:t>
              </w:r>
            </w:hyperlink>
          </w:p>
        </w:tc>
        <w:tc>
          <w:tcPr>
            <w:tcW w:w="2960" w:type="dxa"/>
            <w:vAlign w:val="bottom"/>
            <w:gridSpan w:val="3"/>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93">
              <w:r>
                <w:rPr>
                  <w:rFonts w:ascii="Arial" w:cs="Arial" w:eastAsia="Arial" w:hAnsi="Arial"/>
                  <w:sz w:val="18"/>
                  <w:szCs w:val="18"/>
                  <w:color w:val="0000EE"/>
                </w:rPr>
                <w:t>90</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18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9A.</w:t>
            </w:r>
          </w:p>
        </w:tc>
        <w:tc>
          <w:tcPr>
            <w:tcW w:w="6480" w:type="dxa"/>
            <w:vAlign w:val="bottom"/>
            <w:gridSpan w:val="24"/>
          </w:tcPr>
          <w:p>
            <w:pPr>
              <w:spacing w:after="0"/>
              <w:rPr>
                <w:rFonts w:ascii="Arial" w:cs="Arial" w:eastAsia="Arial" w:hAnsi="Arial"/>
                <w:sz w:val="18"/>
                <w:szCs w:val="18"/>
                <w:color w:val="0000EE"/>
              </w:rPr>
            </w:pPr>
            <w:hyperlink w:anchor="page93">
              <w:r>
                <w:rPr>
                  <w:rFonts w:ascii="Arial" w:cs="Arial" w:eastAsia="Arial" w:hAnsi="Arial"/>
                  <w:sz w:val="18"/>
                  <w:szCs w:val="18"/>
                  <w:color w:val="0000EE"/>
                </w:rPr>
                <w:t>Controls and Procedures</w:t>
              </w:r>
            </w:hyperlink>
          </w:p>
        </w:tc>
        <w:tc>
          <w:tcPr>
            <w:tcW w:w="2960" w:type="dxa"/>
            <w:vAlign w:val="bottom"/>
            <w:gridSpan w:val="3"/>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93">
              <w:r>
                <w:rPr>
                  <w:rFonts w:ascii="Arial" w:cs="Arial" w:eastAsia="Arial" w:hAnsi="Arial"/>
                  <w:sz w:val="18"/>
                  <w:szCs w:val="18"/>
                  <w:color w:val="0000EE"/>
                </w:rPr>
                <w:t>90</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40" w:type="dxa"/>
            <w:vAlign w:val="bottom"/>
            <w:gridSpan w:val="3"/>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9B.</w:t>
            </w:r>
          </w:p>
        </w:tc>
        <w:tc>
          <w:tcPr>
            <w:tcW w:w="1760" w:type="dxa"/>
            <w:vAlign w:val="bottom"/>
            <w:gridSpan w:val="7"/>
          </w:tcPr>
          <w:p>
            <w:pPr>
              <w:spacing w:after="0"/>
              <w:rPr>
                <w:rFonts w:ascii="Arial" w:cs="Arial" w:eastAsia="Arial" w:hAnsi="Arial"/>
                <w:sz w:val="18"/>
                <w:szCs w:val="18"/>
                <w:color w:val="0000EE"/>
              </w:rPr>
            </w:pPr>
            <w:hyperlink w:anchor="page98">
              <w:r>
                <w:rPr>
                  <w:rFonts w:ascii="Arial" w:cs="Arial" w:eastAsia="Arial" w:hAnsi="Arial"/>
                  <w:sz w:val="18"/>
                  <w:szCs w:val="18"/>
                  <w:color w:val="0000EE"/>
                </w:rPr>
                <w:t>Other Information</w:t>
              </w:r>
            </w:hyperlink>
          </w:p>
        </w:tc>
        <w:tc>
          <w:tcPr>
            <w:tcW w:w="7680" w:type="dxa"/>
            <w:vAlign w:val="bottom"/>
            <w:gridSpan w:val="20"/>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98">
              <w:r>
                <w:rPr>
                  <w:rFonts w:ascii="Arial" w:cs="Arial" w:eastAsia="Arial" w:hAnsi="Arial"/>
                  <w:sz w:val="18"/>
                  <w:szCs w:val="18"/>
                  <w:color w:val="0000EE"/>
                </w:rPr>
                <w:t>95</w:t>
              </w:r>
            </w:hyperlink>
          </w:p>
        </w:tc>
      </w:tr>
      <w:tr>
        <w:trPr>
          <w:trHeight w:val="480"/>
        </w:trPr>
        <w:tc>
          <w:tcPr>
            <w:tcW w:w="104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Borders>
              <w:bottom w:val="single" w:sz="8" w:color="0000EE"/>
            </w:tcBorders>
            <w:gridSpan w:val="7"/>
          </w:tcPr>
          <w:p>
            <w:pPr>
              <w:jc w:val="center"/>
              <w:ind w:right="20"/>
              <w:spacing w:after="0"/>
              <w:rPr>
                <w:rFonts w:ascii="Arial" w:cs="Arial" w:eastAsia="Arial" w:hAnsi="Arial"/>
                <w:sz w:val="18"/>
                <w:szCs w:val="18"/>
                <w:b w:val="1"/>
                <w:bCs w:val="1"/>
                <w:color w:val="0000EE"/>
              </w:rPr>
            </w:pPr>
            <w:hyperlink w:anchor="page101">
              <w:r>
                <w:rPr>
                  <w:rFonts w:ascii="Arial" w:cs="Arial" w:eastAsia="Arial" w:hAnsi="Arial"/>
                  <w:sz w:val="18"/>
                  <w:szCs w:val="18"/>
                  <w:b w:val="1"/>
                  <w:bCs w:val="1"/>
                  <w:color w:val="0000EE"/>
                </w:rPr>
                <w:t>PART III</w:t>
              </w:r>
            </w:hyperlink>
          </w:p>
        </w:tc>
        <w:tc>
          <w:tcPr>
            <w:tcW w:w="4420" w:type="dxa"/>
            <w:vAlign w:val="bottom"/>
            <w:gridSpan w:val="6"/>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520"/>
        </w:trPr>
        <w:tc>
          <w:tcPr>
            <w:tcW w:w="1040" w:type="dxa"/>
            <w:vAlign w:val="bottom"/>
          </w:tcPr>
          <w:p>
            <w:pPr>
              <w:spacing w:after="0"/>
              <w:rPr>
                <w:sz w:val="20"/>
                <w:szCs w:val="20"/>
                <w:color w:val="auto"/>
              </w:rPr>
            </w:pPr>
            <w:r>
              <w:rPr>
                <w:rFonts w:ascii="Arial" w:cs="Arial" w:eastAsia="Arial" w:hAnsi="Arial"/>
                <w:sz w:val="18"/>
                <w:szCs w:val="18"/>
                <w:color w:val="auto"/>
              </w:rPr>
              <w:t>Item 10.</w:t>
            </w:r>
          </w:p>
        </w:tc>
        <w:tc>
          <w:tcPr>
            <w:tcW w:w="9440" w:type="dxa"/>
            <w:vAlign w:val="bottom"/>
            <w:gridSpan w:val="27"/>
          </w:tcPr>
          <w:p>
            <w:pPr>
              <w:spacing w:after="0"/>
              <w:rPr>
                <w:rFonts w:ascii="Arial" w:cs="Arial" w:eastAsia="Arial" w:hAnsi="Arial"/>
                <w:sz w:val="18"/>
                <w:szCs w:val="18"/>
                <w:color w:val="0000EE"/>
              </w:rPr>
            </w:pPr>
            <w:hyperlink w:anchor="page101">
              <w:r>
                <w:rPr>
                  <w:rFonts w:ascii="Arial" w:cs="Arial" w:eastAsia="Arial" w:hAnsi="Arial"/>
                  <w:sz w:val="18"/>
                  <w:szCs w:val="18"/>
                  <w:color w:val="0000EE"/>
                </w:rPr>
                <w:t>Directors, Executive Officers and Corporate Governance</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101">
              <w:r>
                <w:rPr>
                  <w:rFonts w:ascii="Arial" w:cs="Arial" w:eastAsia="Arial" w:hAnsi="Arial"/>
                  <w:sz w:val="18"/>
                  <w:szCs w:val="18"/>
                  <w:color w:val="0000EE"/>
                </w:rPr>
                <w:t>98</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1040" w:type="dxa"/>
            <w:vAlign w:val="bottom"/>
            <w:gridSpan w:val="5"/>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180" w:type="dxa"/>
            <w:vAlign w:val="bottom"/>
            <w:gridSpan w:val="2"/>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840" w:type="dxa"/>
            <w:vAlign w:val="bottom"/>
            <w:gridSpan w:val="3"/>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11.</w:t>
            </w:r>
          </w:p>
        </w:tc>
        <w:tc>
          <w:tcPr>
            <w:tcW w:w="1800" w:type="dxa"/>
            <w:vAlign w:val="bottom"/>
            <w:gridSpan w:val="8"/>
          </w:tcPr>
          <w:p>
            <w:pPr>
              <w:spacing w:after="0"/>
              <w:rPr>
                <w:rFonts w:ascii="Arial" w:cs="Arial" w:eastAsia="Arial" w:hAnsi="Arial"/>
                <w:sz w:val="18"/>
                <w:szCs w:val="18"/>
                <w:color w:val="0000EE"/>
                <w:w w:val="89"/>
              </w:rPr>
            </w:pPr>
            <w:hyperlink w:anchor="page101">
              <w:r>
                <w:rPr>
                  <w:rFonts w:ascii="Arial" w:cs="Arial" w:eastAsia="Arial" w:hAnsi="Arial"/>
                  <w:sz w:val="18"/>
                  <w:szCs w:val="18"/>
                  <w:color w:val="0000EE"/>
                  <w:w w:val="89"/>
                </w:rPr>
                <w:t>Executive Compensation</w:t>
              </w:r>
            </w:hyperlink>
          </w:p>
        </w:tc>
        <w:tc>
          <w:tcPr>
            <w:tcW w:w="2280" w:type="dxa"/>
            <w:vAlign w:val="bottom"/>
            <w:gridSpan w:val="5"/>
          </w:tcPr>
          <w:p>
            <w:pPr>
              <w:spacing w:after="0"/>
              <w:rPr>
                <w:sz w:val="21"/>
                <w:szCs w:val="21"/>
                <w:color w:val="auto"/>
              </w:rPr>
            </w:pPr>
          </w:p>
        </w:tc>
        <w:tc>
          <w:tcPr>
            <w:tcW w:w="5360" w:type="dxa"/>
            <w:vAlign w:val="bottom"/>
            <w:gridSpan w:val="14"/>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101">
              <w:r>
                <w:rPr>
                  <w:rFonts w:ascii="Arial" w:cs="Arial" w:eastAsia="Arial" w:hAnsi="Arial"/>
                  <w:sz w:val="18"/>
                  <w:szCs w:val="18"/>
                  <w:color w:val="0000EE"/>
                </w:rPr>
                <w:t>98</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1040" w:type="dxa"/>
            <w:vAlign w:val="bottom"/>
            <w:gridSpan w:val="5"/>
            <w:shd w:val="clear" w:color="auto" w:fill="0000EE"/>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0" w:type="dxa"/>
            <w:vAlign w:val="bottom"/>
            <w:gridSpan w:val="4"/>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840" w:type="dxa"/>
            <w:vAlign w:val="bottom"/>
            <w:gridSpan w:val="3"/>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12.</w:t>
            </w:r>
          </w:p>
        </w:tc>
        <w:tc>
          <w:tcPr>
            <w:tcW w:w="9440" w:type="dxa"/>
            <w:vAlign w:val="bottom"/>
            <w:gridSpan w:val="27"/>
          </w:tcPr>
          <w:p>
            <w:pPr>
              <w:spacing w:after="0"/>
              <w:rPr>
                <w:rFonts w:ascii="Arial" w:cs="Arial" w:eastAsia="Arial" w:hAnsi="Arial"/>
                <w:sz w:val="18"/>
                <w:szCs w:val="18"/>
                <w:color w:val="0000EE"/>
              </w:rPr>
            </w:pPr>
            <w:hyperlink w:anchor="page101">
              <w:r>
                <w:rPr>
                  <w:rFonts w:ascii="Arial" w:cs="Arial" w:eastAsia="Arial" w:hAnsi="Arial"/>
                  <w:sz w:val="18"/>
                  <w:szCs w:val="18"/>
                  <w:color w:val="0000EE"/>
                </w:rPr>
                <w:t>Security Ownership of Certain Beneficial Owners and Management and Related Shareholder Matters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101">
              <w:r>
                <w:rPr>
                  <w:rFonts w:ascii="Arial" w:cs="Arial" w:eastAsia="Arial" w:hAnsi="Arial"/>
                  <w:sz w:val="18"/>
                  <w:szCs w:val="18"/>
                  <w:color w:val="0000EE"/>
                </w:rPr>
                <w:t>98</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2100" w:type="dxa"/>
            <w:vAlign w:val="bottom"/>
            <w:gridSpan w:val="7"/>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0" w:type="dxa"/>
            <w:vAlign w:val="bottom"/>
            <w:gridSpan w:val="4"/>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840" w:type="dxa"/>
            <w:vAlign w:val="bottom"/>
            <w:gridSpan w:val="3"/>
            <w:shd w:val="clear" w:color="auto" w:fill="0000EE"/>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13.</w:t>
            </w:r>
          </w:p>
        </w:tc>
        <w:tc>
          <w:tcPr>
            <w:tcW w:w="7280" w:type="dxa"/>
            <w:vAlign w:val="bottom"/>
            <w:gridSpan w:val="25"/>
          </w:tcPr>
          <w:p>
            <w:pPr>
              <w:spacing w:after="0"/>
              <w:rPr>
                <w:rFonts w:ascii="Arial" w:cs="Arial" w:eastAsia="Arial" w:hAnsi="Arial"/>
                <w:sz w:val="18"/>
                <w:szCs w:val="18"/>
                <w:color w:val="0000EE"/>
              </w:rPr>
            </w:pPr>
            <w:hyperlink w:anchor="page102">
              <w:r>
                <w:rPr>
                  <w:rFonts w:ascii="Arial" w:cs="Arial" w:eastAsia="Arial" w:hAnsi="Arial"/>
                  <w:sz w:val="18"/>
                  <w:szCs w:val="18"/>
                  <w:color w:val="0000EE"/>
                </w:rPr>
                <w:t>Certain Relationships and Related Transactions, and Director Independence</w:t>
              </w:r>
            </w:hyperlink>
          </w:p>
        </w:tc>
        <w:tc>
          <w:tcPr>
            <w:tcW w:w="2160" w:type="dxa"/>
            <w:vAlign w:val="bottom"/>
            <w:gridSpan w:val="2"/>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102">
              <w:r>
                <w:rPr>
                  <w:rFonts w:ascii="Arial" w:cs="Arial" w:eastAsia="Arial" w:hAnsi="Arial"/>
                  <w:sz w:val="18"/>
                  <w:szCs w:val="18"/>
                  <w:color w:val="0000EE"/>
                </w:rPr>
                <w:t>99</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2100" w:type="dxa"/>
            <w:vAlign w:val="bottom"/>
            <w:gridSpan w:val="7"/>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0" w:type="dxa"/>
            <w:vAlign w:val="bottom"/>
            <w:gridSpan w:val="4"/>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4000" w:type="dxa"/>
            <w:vAlign w:val="bottom"/>
            <w:gridSpan w:val="5"/>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14.</w:t>
            </w:r>
          </w:p>
        </w:tc>
        <w:tc>
          <w:tcPr>
            <w:tcW w:w="5440" w:type="dxa"/>
            <w:vAlign w:val="bottom"/>
            <w:gridSpan w:val="22"/>
          </w:tcPr>
          <w:p>
            <w:pPr>
              <w:spacing w:after="0"/>
              <w:rPr>
                <w:rFonts w:ascii="Arial" w:cs="Arial" w:eastAsia="Arial" w:hAnsi="Arial"/>
                <w:sz w:val="18"/>
                <w:szCs w:val="18"/>
                <w:color w:val="0000EE"/>
              </w:rPr>
            </w:pPr>
            <w:hyperlink w:anchor="page102">
              <w:r>
                <w:rPr>
                  <w:rFonts w:ascii="Arial" w:cs="Arial" w:eastAsia="Arial" w:hAnsi="Arial"/>
                  <w:sz w:val="18"/>
                  <w:szCs w:val="18"/>
                  <w:color w:val="0000EE"/>
                </w:rPr>
                <w:t>Principal Accounting Fees and Services</w:t>
              </w:r>
            </w:hyperlink>
          </w:p>
        </w:tc>
        <w:tc>
          <w:tcPr>
            <w:tcW w:w="4000" w:type="dxa"/>
            <w:vAlign w:val="bottom"/>
            <w:gridSpan w:val="5"/>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102">
              <w:r>
                <w:rPr>
                  <w:rFonts w:ascii="Arial" w:cs="Arial" w:eastAsia="Arial" w:hAnsi="Arial"/>
                  <w:sz w:val="18"/>
                  <w:szCs w:val="18"/>
                  <w:color w:val="0000EE"/>
                </w:rPr>
                <w:t>99</w:t>
              </w:r>
            </w:hyperlink>
          </w:p>
        </w:tc>
      </w:tr>
      <w:tr>
        <w:trPr>
          <w:trHeight w:val="466"/>
        </w:trPr>
        <w:tc>
          <w:tcPr>
            <w:tcW w:w="104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2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00" w:type="dxa"/>
            <w:vAlign w:val="bottom"/>
            <w:tcBorders>
              <w:bottom w:val="single" w:sz="8" w:color="0000EE"/>
            </w:tcBorders>
            <w:gridSpan w:val="5"/>
          </w:tcPr>
          <w:p>
            <w:pPr>
              <w:jc w:val="center"/>
              <w:spacing w:after="0"/>
              <w:rPr>
                <w:rFonts w:ascii="Arial" w:cs="Arial" w:eastAsia="Arial" w:hAnsi="Arial"/>
                <w:sz w:val="18"/>
                <w:szCs w:val="18"/>
                <w:b w:val="1"/>
                <w:bCs w:val="1"/>
                <w:color w:val="0000EE"/>
                <w:w w:val="98"/>
              </w:rPr>
            </w:pPr>
            <w:hyperlink w:anchor="page103">
              <w:r>
                <w:rPr>
                  <w:rFonts w:ascii="Arial" w:cs="Arial" w:eastAsia="Arial" w:hAnsi="Arial"/>
                  <w:sz w:val="18"/>
                  <w:szCs w:val="18"/>
                  <w:b w:val="1"/>
                  <w:bCs w:val="1"/>
                  <w:color w:val="0000EE"/>
                  <w:w w:val="98"/>
                </w:rPr>
                <w:t>PART IV</w:t>
              </w:r>
            </w:hyperlink>
          </w:p>
        </w:tc>
        <w:tc>
          <w:tcPr>
            <w:tcW w:w="4440" w:type="dxa"/>
            <w:vAlign w:val="bottom"/>
            <w:gridSpan w:val="7"/>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493"/>
        </w:trPr>
        <w:tc>
          <w:tcPr>
            <w:tcW w:w="1040" w:type="dxa"/>
            <w:vAlign w:val="bottom"/>
          </w:tcPr>
          <w:p>
            <w:pPr>
              <w:spacing w:after="0"/>
              <w:rPr>
                <w:sz w:val="20"/>
                <w:szCs w:val="20"/>
                <w:color w:val="auto"/>
              </w:rPr>
            </w:pPr>
            <w:r>
              <w:rPr>
                <w:rFonts w:ascii="Arial" w:cs="Arial" w:eastAsia="Arial" w:hAnsi="Arial"/>
                <w:sz w:val="18"/>
                <w:szCs w:val="18"/>
                <w:color w:val="auto"/>
              </w:rPr>
              <w:t>Item 15.</w:t>
            </w:r>
          </w:p>
        </w:tc>
        <w:tc>
          <w:tcPr>
            <w:tcW w:w="290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03">
              <w:r>
                <w:rPr>
                  <w:rFonts w:ascii="Arial" w:cs="Arial" w:eastAsia="Arial" w:hAnsi="Arial"/>
                  <w:sz w:val="18"/>
                  <w:szCs w:val="18"/>
                  <w:color w:val="0000EE"/>
                  <w:w w:val="89"/>
                </w:rPr>
                <w:t>Exhibits, Financial Statement Schedules</w:t>
              </w:r>
            </w:hyperlink>
          </w:p>
        </w:tc>
        <w:tc>
          <w:tcPr>
            <w:tcW w:w="6540" w:type="dxa"/>
            <w:vAlign w:val="bottom"/>
            <w:gridSpan w:val="16"/>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Borders>
              <w:bottom w:val="single" w:sz="8" w:color="0000EE"/>
            </w:tcBorders>
            <w:gridSpan w:val="3"/>
          </w:tcPr>
          <w:p>
            <w:pPr>
              <w:jc w:val="right"/>
              <w:spacing w:after="0"/>
              <w:rPr>
                <w:rFonts w:ascii="Arial" w:cs="Arial" w:eastAsia="Arial" w:hAnsi="Arial"/>
                <w:sz w:val="18"/>
                <w:szCs w:val="18"/>
                <w:color w:val="0000EE"/>
                <w:w w:val="86"/>
              </w:rPr>
            </w:pPr>
            <w:hyperlink w:anchor="page103">
              <w:r>
                <w:rPr>
                  <w:rFonts w:ascii="Arial" w:cs="Arial" w:eastAsia="Arial" w:hAnsi="Arial"/>
                  <w:sz w:val="18"/>
                  <w:szCs w:val="18"/>
                  <w:color w:val="0000EE"/>
                  <w:w w:val="86"/>
                </w:rPr>
                <w:t>100</w:t>
              </w:r>
            </w:hyperlink>
          </w:p>
        </w:tc>
        <w:tc>
          <w:tcPr>
            <w:tcW w:w="20" w:type="dxa"/>
            <w:vAlign w:val="bottom"/>
          </w:tcPr>
          <w:p>
            <w:pPr>
              <w:spacing w:after="0"/>
              <w:rPr>
                <w:sz w:val="24"/>
                <w:szCs w:val="24"/>
                <w:color w:val="auto"/>
              </w:rPr>
            </w:pPr>
          </w:p>
        </w:tc>
      </w:tr>
      <w:tr>
        <w:trPr>
          <w:trHeight w:val="250"/>
        </w:trPr>
        <w:tc>
          <w:tcPr>
            <w:tcW w:w="1040" w:type="dxa"/>
            <w:vAlign w:val="bottom"/>
          </w:tcPr>
          <w:p>
            <w:pPr>
              <w:spacing w:after="0"/>
              <w:rPr>
                <w:sz w:val="21"/>
                <w:szCs w:val="21"/>
                <w:color w:val="auto"/>
              </w:rPr>
            </w:pPr>
          </w:p>
        </w:tc>
        <w:tc>
          <w:tcPr>
            <w:tcW w:w="760" w:type="dxa"/>
            <w:vAlign w:val="bottom"/>
            <w:tcBorders>
              <w:bottom w:val="single" w:sz="8" w:color="0000EE"/>
            </w:tcBorders>
            <w:gridSpan w:val="3"/>
          </w:tcPr>
          <w:p>
            <w:pPr>
              <w:spacing w:after="0"/>
              <w:rPr>
                <w:rFonts w:ascii="Arial" w:cs="Arial" w:eastAsia="Arial" w:hAnsi="Arial"/>
                <w:sz w:val="18"/>
                <w:szCs w:val="18"/>
                <w:color w:val="0000EE"/>
                <w:w w:val="85"/>
              </w:rPr>
            </w:pPr>
            <w:hyperlink w:anchor="page104">
              <w:r>
                <w:rPr>
                  <w:rFonts w:ascii="Arial" w:cs="Arial" w:eastAsia="Arial" w:hAnsi="Arial"/>
                  <w:sz w:val="18"/>
                  <w:szCs w:val="18"/>
                  <w:color w:val="0000EE"/>
                  <w:w w:val="85"/>
                </w:rPr>
                <w:t>Signatures</w:t>
              </w:r>
            </w:hyperlink>
          </w:p>
        </w:tc>
        <w:tc>
          <w:tcPr>
            <w:tcW w:w="8680" w:type="dxa"/>
            <w:vAlign w:val="bottom"/>
            <w:gridSpan w:val="24"/>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Borders>
              <w:bottom w:val="single" w:sz="8" w:color="0000EE"/>
            </w:tcBorders>
            <w:gridSpan w:val="3"/>
          </w:tcPr>
          <w:p>
            <w:pPr>
              <w:jc w:val="right"/>
              <w:spacing w:after="0"/>
              <w:rPr>
                <w:rFonts w:ascii="Arial" w:cs="Arial" w:eastAsia="Arial" w:hAnsi="Arial"/>
                <w:sz w:val="18"/>
                <w:szCs w:val="18"/>
                <w:color w:val="0000EE"/>
                <w:w w:val="86"/>
              </w:rPr>
            </w:pPr>
            <w:hyperlink w:anchor="page104">
              <w:r>
                <w:rPr>
                  <w:rFonts w:ascii="Arial" w:cs="Arial" w:eastAsia="Arial" w:hAnsi="Arial"/>
                  <w:sz w:val="18"/>
                  <w:szCs w:val="18"/>
                  <w:color w:val="0000EE"/>
                  <w:w w:val="86"/>
                </w:rPr>
                <w:t>101</w:t>
              </w:r>
            </w:hyperlink>
          </w:p>
        </w:tc>
        <w:tc>
          <w:tcPr>
            <w:tcW w:w="20" w:type="dxa"/>
            <w:vAlign w:val="bottom"/>
          </w:tcPr>
          <w:p>
            <w:pPr>
              <w:spacing w:after="0"/>
              <w:rPr>
                <w:sz w:val="21"/>
                <w:szCs w:val="21"/>
                <w:color w:val="auto"/>
              </w:rPr>
            </w:pPr>
          </w:p>
        </w:tc>
      </w:tr>
    </w:tbl>
    <w:p>
      <w:pPr>
        <w:sectPr>
          <w:pgSz w:w="11900" w:h="16838" w:orient="portrait"/>
          <w:cols w:equalWidth="0" w:num="1">
            <w:col w:w="11380"/>
          </w:cols>
          <w:pgMar w:left="280" w:top="796" w:right="239" w:bottom="1440" w:gutter="0" w:footer="0" w:header="0"/>
        </w:sectPr>
      </w:pPr>
    </w:p>
    <w:bookmarkStart w:id="3" w:name="page4"/>
    <w:bookmarkEnd w:id="3"/>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Forward-Looking Statements</w:t>
      </w:r>
    </w:p>
    <w:p>
      <w:pPr>
        <w:spacing w:after="0" w:line="175" w:lineRule="exact"/>
        <w:rPr>
          <w:sz w:val="20"/>
          <w:szCs w:val="20"/>
          <w:color w:val="auto"/>
        </w:rPr>
      </w:pPr>
    </w:p>
    <w:p>
      <w:pPr>
        <w:ind w:right="140" w:firstLine="432"/>
        <w:spacing w:after="0" w:line="276" w:lineRule="auto"/>
        <w:rPr>
          <w:sz w:val="20"/>
          <w:szCs w:val="20"/>
          <w:color w:val="auto"/>
        </w:rPr>
      </w:pPr>
      <w:r>
        <w:rPr>
          <w:rFonts w:ascii="Arial" w:cs="Arial" w:eastAsia="Arial" w:hAnsi="Arial"/>
          <w:sz w:val="17"/>
          <w:szCs w:val="17"/>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19" w:lineRule="exact"/>
        <w:rPr>
          <w:sz w:val="20"/>
          <w:szCs w:val="20"/>
          <w:color w:val="auto"/>
        </w:rPr>
      </w:pPr>
    </w:p>
    <w:p>
      <w:pPr>
        <w:ind w:right="500" w:firstLine="432"/>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right="400" w:hanging="328"/>
        <w:spacing w:after="0" w:line="258"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successfully restructure our operations within our anticipated timeframe announced in November 2016 and with our anticipated amounts of costs and savings;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upon the hard disk drive market, which is highly cyclical and intensely competitive;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proceedings;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660" w:right="560" w:hanging="328"/>
        <w:spacing w:after="0" w:line="25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any potential acquisitions or investments;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373"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i w:val="1"/>
          <w:iCs w:val="1"/>
          <w:color w:val="auto"/>
        </w:rPr>
        <w:t>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00"/>
          </w:cols>
          <w:pgMar w:left="240" w:top="796" w:right="35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306"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right="20" w:firstLine="432"/>
        <w:spacing w:after="0" w:line="257" w:lineRule="auto"/>
        <w:rPr>
          <w:sz w:val="20"/>
          <w:szCs w:val="20"/>
          <w:color w:val="auto"/>
        </w:rPr>
      </w:pPr>
      <w:r>
        <w:rPr>
          <w:rFonts w:ascii="Arial" w:cs="Arial" w:eastAsia="Arial" w:hAnsi="Arial"/>
          <w:sz w:val="18"/>
          <w:szCs w:val="18"/>
          <w:color w:val="auto"/>
        </w:rPr>
        <w:t>We are a fabless semiconductor provider of high-performance application-specific standard products. Our core strength of expertise is the development of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 We were incorporated in Bermuda in January 1995.</w:t>
      </w:r>
    </w:p>
    <w:p>
      <w:pPr>
        <w:spacing w:after="0" w:line="80"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China, India, Israel, Japan, Singapore, South Korea, Taiwan and Vietnam. Our fiscal year ends on the Saturday nearest January 31.</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Our website address is located at www.marvell.com. The information contained on our website does not form any part of this Annual Report on</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Form 10-K and is not incorporated by reference herein. We make available free of charge through our website our annual reports on Form 10-K, our quarterly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reports on Form 10-Q, our current reports on Form 8-K and amendments to those reports filed or furnished pursuant to Section 13(a) or 15(d) of the Securities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Exchange Act of 1934, as amended (the “Exchange Act”), as soon as reasonably practicable after we electronically file this material with, or furnish it to,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U.S. Securities and Exchange Commission (“SEC”).</w:t>
      </w:r>
    </w:p>
    <w:p>
      <w:pPr>
        <w:spacing w:after="0" w:line="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229" w:lineRule="exact"/>
        <w:rPr>
          <w:sz w:val="20"/>
          <w:szCs w:val="20"/>
          <w:color w:val="auto"/>
        </w:rPr>
      </w:pPr>
    </w:p>
    <w:p>
      <w:pPr>
        <w:ind w:right="100" w:firstLine="432"/>
        <w:spacing w:after="0" w:line="273" w:lineRule="auto"/>
        <w:rPr>
          <w:sz w:val="20"/>
          <w:szCs w:val="20"/>
          <w:color w:val="auto"/>
        </w:rPr>
      </w:pPr>
      <w:r>
        <w:rPr>
          <w:rFonts w:ascii="Arial" w:cs="Arial" w:eastAsia="Arial" w:hAnsi="Arial"/>
          <w:sz w:val="17"/>
          <w:szCs w:val="17"/>
          <w:color w:val="auto"/>
        </w:rPr>
        <w:t>Over the last several years, we have transitioned from a supplier of stand-alone semiconductor components to a supplier of fully integrated platform solutions. Our platform solutions contain multiple intellectual property components in integrated hardware, along with software that incorporates digital, analog and mixed-signal computing and communication technologies, designed and configured to provide an optimized solution. Our solutions have become increasingly integrated, with more and more components resulting in an all-in-one solution for a given customer’s end product. The demand for such highly integrated platform solutions is generally driven by technological changes and anticipation of the future needs of device manufacturers and end users, including enterprises, campus and service provider networks and, to an increasing extent, data center providers.</w:t>
      </w:r>
    </w:p>
    <w:p>
      <w:pPr>
        <w:spacing w:after="0" w:line="178" w:lineRule="exact"/>
        <w:rPr>
          <w:sz w:val="20"/>
          <w:szCs w:val="20"/>
          <w:color w:val="auto"/>
        </w:rPr>
      </w:pPr>
    </w:p>
    <w:p>
      <w:pPr>
        <w:jc w:val="both"/>
        <w:ind w:right="220" w:firstLine="432"/>
        <w:spacing w:after="0" w:line="264" w:lineRule="auto"/>
        <w:rPr>
          <w:sz w:val="20"/>
          <w:szCs w:val="20"/>
          <w:color w:val="auto"/>
        </w:rPr>
      </w:pPr>
      <w:r>
        <w:rPr>
          <w:rFonts w:ascii="Arial" w:cs="Arial" w:eastAsia="Arial" w:hAnsi="Arial"/>
          <w:sz w:val="18"/>
          <w:szCs w:val="18"/>
          <w:color w:val="auto"/>
        </w:rPr>
        <w:t>A device manufacturer may require technologies leveraged from one end market product into products for other end markets, integrating components and technologies traditionally associated with one end market with components and technologies from another end market. The integration of these various technologies onto a single piece of silicon is referred to as SoC.</w:t>
      </w:r>
    </w:p>
    <w:p>
      <w:pPr>
        <w:spacing w:after="0" w:line="181" w:lineRule="exact"/>
        <w:rPr>
          <w:sz w:val="20"/>
          <w:szCs w:val="20"/>
          <w:color w:val="auto"/>
        </w:rPr>
      </w:pPr>
    </w:p>
    <w:p>
      <w:pPr>
        <w:ind w:right="200" w:firstLine="432"/>
        <w:spacing w:after="0" w:line="273" w:lineRule="auto"/>
        <w:rPr>
          <w:sz w:val="20"/>
          <w:szCs w:val="20"/>
          <w:color w:val="auto"/>
        </w:rPr>
      </w:pPr>
      <w:r>
        <w:rPr>
          <w:rFonts w:ascii="Arial" w:cs="Arial" w:eastAsia="Arial" w:hAnsi="Arial"/>
          <w:sz w:val="17"/>
          <w:szCs w:val="17"/>
          <w:color w:val="auto"/>
        </w:rPr>
        <w:t>In addition, software has become increasingly important to our business over the last several years and we believe software will become even more relevant as the market expects hardware and software to be delivered as an integrated solution offering. On-chip software, which acts as the “driver” for the functionality of the chip, has always been a critical part of our business. However, the software and application-level software that we deliver with our products has become significantly more complex as the range of uses and the needs has increased. For example, a solution that we develop for storage or networking can contain software that has a range of functionalities built in. Alternatively, our solution can allow our customers to deploy their operative systems on top of our chip, as well as deploy their application software on top of our SoC.</w:t>
      </w:r>
    </w:p>
    <w:p>
      <w:pPr>
        <w:spacing w:after="0" w:line="178" w:lineRule="exact"/>
        <w:rPr>
          <w:sz w:val="20"/>
          <w:szCs w:val="20"/>
          <w:color w:val="auto"/>
        </w:rPr>
      </w:pPr>
    </w:p>
    <w:p>
      <w:pPr>
        <w:ind w:right="20" w:firstLine="432"/>
        <w:spacing w:after="0" w:line="273" w:lineRule="auto"/>
        <w:rPr>
          <w:sz w:val="20"/>
          <w:szCs w:val="20"/>
          <w:color w:val="auto"/>
        </w:rPr>
      </w:pPr>
      <w:r>
        <w:rPr>
          <w:rFonts w:ascii="Arial" w:cs="Arial" w:eastAsia="Arial" w:hAnsi="Arial"/>
          <w:sz w:val="17"/>
          <w:szCs w:val="17"/>
          <w:color w:val="auto"/>
        </w:rPr>
        <w:t>Our current product offerings are primarily in three broad product groups: storage, networking and connectivity. In storage, we are a market leader in data storage controller solutions spanning consumer, mobile, desktop and enterprise markets. Our storage solutions enable customers to engineer high-volume products for hard disk drives and solid state drives. Our networking products address end markets in cloud, enterprise, small and medium business and service provider networks. Our connectivity products address end markets in consumer, enterprise, desktop, service provider networks and automotive. Our storage, networking and connectivity products power cutting-edge networks and data centers around the world. The networking &amp; connectivity product groups were previously referred to as smart networked devices and solutions.</w:t>
      </w: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796" w:right="239" w:bottom="1440" w:gutter="0" w:footer="0" w:header="0"/>
        </w:sectPr>
      </w:pPr>
    </w:p>
    <w:bookmarkStart w:id="5" w:name="page6"/>
    <w:bookmarkEnd w:id="5"/>
    <w:p>
      <w:pPr>
        <w:spacing w:after="0" w:line="297" w:lineRule="auto"/>
        <w:rPr>
          <w:sz w:val="20"/>
          <w:szCs w:val="20"/>
          <w:color w:val="auto"/>
        </w:rPr>
      </w:pPr>
      <w:r>
        <w:rPr>
          <w:rFonts w:ascii="Arial" w:cs="Arial" w:eastAsia="Arial" w:hAnsi="Arial"/>
          <w:sz w:val="16"/>
          <w:szCs w:val="16"/>
          <w:color w:val="auto"/>
        </w:rPr>
        <w:t>In connection with the November 2016 announcement of our plan to restructure our operations to refocus our research and development, increase operational efficiency and improve profitability, we also plan to divest certain businesses and we began an active program to locate buyers for several businesses. As of January 28, 2017, two of these businesses were classified as discontinued operations. As required, we retrospectively recast our consolidated statements of operations and balance sheets for all periods presented to reflect these businesses as discontinued operations. Unless noted otherwise, the following discussion refers to our continuing operations. Our net revenue by product group for the last three fiscal years is as follows:</w:t>
      </w:r>
    </w:p>
    <w:p>
      <w:pPr>
        <w:spacing w:after="0" w:line="200" w:lineRule="exact"/>
        <w:rPr>
          <w:sz w:val="20"/>
          <w:szCs w:val="20"/>
          <w:color w:val="auto"/>
        </w:rPr>
      </w:pP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700" w:type="dxa"/>
            <w:vAlign w:val="bottom"/>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left="53"/>
              <w:spacing w:after="0"/>
              <w:rPr>
                <w:sz w:val="20"/>
                <w:szCs w:val="20"/>
                <w:color w:val="auto"/>
              </w:rPr>
            </w:pPr>
            <w:r>
              <w:rPr>
                <w:rFonts w:ascii="Arial" w:cs="Arial" w:eastAsia="Arial" w:hAnsi="Arial"/>
                <w:sz w:val="14"/>
                <w:szCs w:val="14"/>
                <w:b w:val="1"/>
                <w:bCs w:val="1"/>
                <w:color w:val="auto"/>
                <w:w w:val="93"/>
              </w:rPr>
              <w:t>Year Ended</w:t>
            </w:r>
          </w:p>
        </w:tc>
        <w:tc>
          <w:tcPr>
            <w:tcW w:w="700" w:type="dxa"/>
            <w:vAlign w:val="bottom"/>
            <w:tcBorders>
              <w:bottom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r>
      <w:tr>
        <w:trPr>
          <w:trHeight w:val="264"/>
        </w:trPr>
        <w:tc>
          <w:tcPr>
            <w:tcW w:w="3700" w:type="dxa"/>
            <w:vAlign w:val="bottom"/>
          </w:tcPr>
          <w:p>
            <w:pPr>
              <w:spacing w:after="0"/>
              <w:rPr>
                <w:sz w:val="22"/>
                <w:szCs w:val="22"/>
                <w:color w:val="auto"/>
              </w:rPr>
            </w:pPr>
          </w:p>
        </w:tc>
        <w:tc>
          <w:tcPr>
            <w:tcW w:w="116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w w:val="96"/>
              </w:rPr>
              <w:t>January 28, 2017</w:t>
            </w:r>
          </w:p>
        </w:tc>
        <w:tc>
          <w:tcPr>
            <w:tcW w:w="1220" w:type="dxa"/>
            <w:vAlign w:val="bottom"/>
            <w:tcBorders>
              <w:bottom w:val="single" w:sz="8" w:color="auto"/>
            </w:tcBorders>
          </w:tcPr>
          <w:p>
            <w:pPr>
              <w:spacing w:after="0"/>
              <w:rPr>
                <w:sz w:val="22"/>
                <w:szCs w:val="22"/>
                <w:color w:val="auto"/>
              </w:rPr>
            </w:pPr>
          </w:p>
        </w:tc>
        <w:tc>
          <w:tcPr>
            <w:tcW w:w="1680" w:type="dxa"/>
            <w:vAlign w:val="bottom"/>
            <w:tcBorders>
              <w:bottom w:val="single" w:sz="8" w:color="auto"/>
            </w:tcBorders>
            <w:gridSpan w:val="3"/>
          </w:tcPr>
          <w:p>
            <w:pPr>
              <w:ind w:left="60"/>
              <w:spacing w:after="0"/>
              <w:rPr>
                <w:sz w:val="20"/>
                <w:szCs w:val="20"/>
                <w:color w:val="auto"/>
              </w:rPr>
            </w:pPr>
            <w:r>
              <w:rPr>
                <w:rFonts w:ascii="Arial" w:cs="Arial" w:eastAsia="Arial" w:hAnsi="Arial"/>
                <w:sz w:val="14"/>
                <w:szCs w:val="14"/>
                <w:b w:val="1"/>
                <w:bCs w:val="1"/>
                <w:color w:val="auto"/>
              </w:rPr>
              <w:t>January 30, 2016</w:t>
            </w:r>
          </w:p>
        </w:tc>
        <w:tc>
          <w:tcPr>
            <w:tcW w:w="700" w:type="dxa"/>
            <w:vAlign w:val="bottom"/>
            <w:tcBorders>
              <w:bottom w:val="single" w:sz="8" w:color="auto"/>
            </w:tcBorders>
          </w:tcPr>
          <w:p>
            <w:pPr>
              <w:spacing w:after="0"/>
              <w:rPr>
                <w:sz w:val="22"/>
                <w:szCs w:val="22"/>
                <w:color w:val="auto"/>
              </w:rPr>
            </w:pPr>
          </w:p>
        </w:tc>
        <w:tc>
          <w:tcPr>
            <w:tcW w:w="116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w w:val="96"/>
              </w:rPr>
              <w:t>January 31, 2015</w:t>
            </w:r>
          </w:p>
        </w:tc>
        <w:tc>
          <w:tcPr>
            <w:tcW w:w="1020" w:type="dxa"/>
            <w:vAlign w:val="bottom"/>
            <w:tcBorders>
              <w:bottom w:val="single" w:sz="8" w:color="auto"/>
            </w:tcBorders>
          </w:tcPr>
          <w:p>
            <w:pPr>
              <w:spacing w:after="0"/>
              <w:rPr>
                <w:sz w:val="22"/>
                <w:szCs w:val="22"/>
                <w:color w:val="auto"/>
              </w:rPr>
            </w:pPr>
          </w:p>
        </w:tc>
      </w:tr>
      <w:tr>
        <w:trPr>
          <w:trHeight w:val="250"/>
        </w:trPr>
        <w:tc>
          <w:tcPr>
            <w:tcW w:w="37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2380" w:type="dxa"/>
            <w:vAlign w:val="bottom"/>
            <w:gridSpan w:val="4"/>
          </w:tcPr>
          <w:p>
            <w:pPr>
              <w:jc w:val="center"/>
              <w:ind w:right="70"/>
              <w:spacing w:after="0"/>
              <w:rPr>
                <w:sz w:val="20"/>
                <w:szCs w:val="20"/>
                <w:color w:val="auto"/>
              </w:rPr>
            </w:pPr>
            <w:r>
              <w:rPr>
                <w:rFonts w:ascii="Arial" w:cs="Arial" w:eastAsia="Arial" w:hAnsi="Arial"/>
                <w:sz w:val="14"/>
                <w:szCs w:val="14"/>
                <w:b w:val="1"/>
                <w:bCs w:val="1"/>
                <w:color w:val="auto"/>
                <w:w w:val="90"/>
              </w:rPr>
              <w:t>(in millions, except for percentages)</w:t>
            </w:r>
          </w:p>
        </w:tc>
        <w:tc>
          <w:tcPr>
            <w:tcW w:w="3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20" w:type="dxa"/>
            <w:vAlign w:val="bottom"/>
          </w:tcPr>
          <w:p>
            <w:pPr>
              <w:spacing w:after="0"/>
              <w:rPr>
                <w:sz w:val="21"/>
                <w:szCs w:val="21"/>
                <w:color w:val="auto"/>
              </w:rPr>
            </w:pPr>
          </w:p>
        </w:tc>
      </w:tr>
      <w:tr>
        <w:trPr>
          <w:trHeight w:val="256"/>
        </w:trPr>
        <w:tc>
          <w:tcPr>
            <w:tcW w:w="3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Storage</w:t>
            </w:r>
          </w:p>
        </w:tc>
        <w:tc>
          <w:tcPr>
            <w:tcW w:w="4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1,158</w:t>
            </w:r>
          </w:p>
        </w:tc>
        <w:tc>
          <w:tcPr>
            <w:tcW w:w="12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50%</w:t>
            </w:r>
          </w:p>
        </w:tc>
        <w:tc>
          <w:tcPr>
            <w:tcW w:w="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1,201</w:t>
            </w:r>
          </w:p>
        </w:tc>
        <w:tc>
          <w:tcPr>
            <w:tcW w:w="520" w:type="dxa"/>
            <w:vAlign w:val="bottom"/>
            <w:tcBorders>
              <w:bottom w:val="single" w:sz="8" w:color="CCEEFF"/>
            </w:tcBorders>
            <w:shd w:val="clear" w:color="auto" w:fill="CCEEFF"/>
          </w:tcPr>
          <w:p>
            <w:pPr>
              <w:spacing w:after="0"/>
              <w:rPr>
                <w:sz w:val="22"/>
                <w:szCs w:val="22"/>
                <w:color w:val="auto"/>
              </w:rPr>
            </w:pPr>
          </w:p>
        </w:tc>
        <w:tc>
          <w:tcPr>
            <w:tcW w:w="7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45%</w:t>
            </w:r>
          </w:p>
        </w:tc>
        <w:tc>
          <w:tcPr>
            <w:tcW w:w="3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1,745</w:t>
            </w: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w:t>
            </w:r>
          </w:p>
        </w:tc>
      </w:tr>
      <w:tr>
        <w:trPr>
          <w:trHeight w:val="243"/>
        </w:trPr>
        <w:tc>
          <w:tcPr>
            <w:tcW w:w="3700" w:type="dxa"/>
            <w:vAlign w:val="bottom"/>
          </w:tcPr>
          <w:p>
            <w:pPr>
              <w:ind w:left="40"/>
              <w:spacing w:after="0"/>
              <w:rPr>
                <w:sz w:val="20"/>
                <w:szCs w:val="20"/>
                <w:color w:val="auto"/>
              </w:rPr>
            </w:pPr>
            <w:r>
              <w:rPr>
                <w:rFonts w:ascii="Arial" w:cs="Arial" w:eastAsia="Arial" w:hAnsi="Arial"/>
                <w:sz w:val="18"/>
                <w:szCs w:val="18"/>
                <w:color w:val="auto"/>
              </w:rPr>
              <w:t>Networking</w:t>
            </w:r>
          </w:p>
        </w:tc>
        <w:tc>
          <w:tcPr>
            <w:tcW w:w="400" w:type="dxa"/>
            <w:vAlign w:val="bottom"/>
          </w:tcPr>
          <w:p>
            <w:pPr>
              <w:spacing w:after="0"/>
              <w:rPr>
                <w:sz w:val="21"/>
                <w:szCs w:val="21"/>
                <w:color w:val="auto"/>
              </w:rPr>
            </w:pPr>
          </w:p>
        </w:tc>
        <w:tc>
          <w:tcPr>
            <w:tcW w:w="760" w:type="dxa"/>
            <w:vAlign w:val="bottom"/>
          </w:tcPr>
          <w:p>
            <w:pPr>
              <w:jc w:val="right"/>
              <w:ind w:right="10"/>
              <w:spacing w:after="0"/>
              <w:rPr>
                <w:sz w:val="20"/>
                <w:szCs w:val="20"/>
                <w:color w:val="auto"/>
              </w:rPr>
            </w:pPr>
            <w:r>
              <w:rPr>
                <w:rFonts w:ascii="Arial" w:cs="Arial" w:eastAsia="Arial" w:hAnsi="Arial"/>
                <w:sz w:val="18"/>
                <w:szCs w:val="18"/>
                <w:color w:val="auto"/>
              </w:rPr>
              <w:t>590</w:t>
            </w:r>
          </w:p>
        </w:tc>
        <w:tc>
          <w:tcPr>
            <w:tcW w:w="1220" w:type="dxa"/>
            <w:vAlign w:val="bottom"/>
          </w:tcPr>
          <w:p>
            <w:pPr>
              <w:jc w:val="right"/>
              <w:ind w:right="50"/>
              <w:spacing w:after="0"/>
              <w:rPr>
                <w:sz w:val="20"/>
                <w:szCs w:val="20"/>
                <w:color w:val="auto"/>
              </w:rPr>
            </w:pPr>
            <w:r>
              <w:rPr>
                <w:rFonts w:ascii="Arial" w:cs="Arial" w:eastAsia="Arial" w:hAnsi="Arial"/>
                <w:sz w:val="18"/>
                <w:szCs w:val="18"/>
                <w:color w:val="auto"/>
              </w:rPr>
              <w:t>25%</w:t>
            </w:r>
          </w:p>
        </w:tc>
        <w:tc>
          <w:tcPr>
            <w:tcW w:w="380" w:type="dxa"/>
            <w:vAlign w:val="bottom"/>
          </w:tcPr>
          <w:p>
            <w:pPr>
              <w:spacing w:after="0"/>
              <w:rPr>
                <w:sz w:val="21"/>
                <w:szCs w:val="21"/>
                <w:color w:val="auto"/>
              </w:rPr>
            </w:pPr>
          </w:p>
        </w:tc>
        <w:tc>
          <w:tcPr>
            <w:tcW w:w="780" w:type="dxa"/>
            <w:vAlign w:val="bottom"/>
          </w:tcPr>
          <w:p>
            <w:pPr>
              <w:jc w:val="right"/>
              <w:ind w:right="13"/>
              <w:spacing w:after="0"/>
              <w:rPr>
                <w:sz w:val="20"/>
                <w:szCs w:val="20"/>
                <w:color w:val="auto"/>
              </w:rPr>
            </w:pPr>
            <w:r>
              <w:rPr>
                <w:rFonts w:ascii="Arial" w:cs="Arial" w:eastAsia="Arial" w:hAnsi="Arial"/>
                <w:sz w:val="18"/>
                <w:szCs w:val="18"/>
                <w:color w:val="auto"/>
              </w:rPr>
              <w:t>532</w:t>
            </w:r>
          </w:p>
        </w:tc>
        <w:tc>
          <w:tcPr>
            <w:tcW w:w="520" w:type="dxa"/>
            <w:vAlign w:val="bottom"/>
          </w:tcPr>
          <w:p>
            <w:pPr>
              <w:spacing w:after="0"/>
              <w:rPr>
                <w:sz w:val="21"/>
                <w:szCs w:val="21"/>
                <w:color w:val="auto"/>
              </w:rPr>
            </w:pPr>
          </w:p>
        </w:tc>
        <w:tc>
          <w:tcPr>
            <w:tcW w:w="700" w:type="dxa"/>
            <w:vAlign w:val="bottom"/>
          </w:tcPr>
          <w:p>
            <w:pPr>
              <w:jc w:val="right"/>
              <w:ind w:right="50"/>
              <w:spacing w:after="0"/>
              <w:rPr>
                <w:sz w:val="20"/>
                <w:szCs w:val="20"/>
                <w:color w:val="auto"/>
              </w:rPr>
            </w:pPr>
            <w:r>
              <w:rPr>
                <w:rFonts w:ascii="Arial" w:cs="Arial" w:eastAsia="Arial" w:hAnsi="Arial"/>
                <w:sz w:val="18"/>
                <w:szCs w:val="18"/>
                <w:color w:val="auto"/>
              </w:rPr>
              <w:t>20%</w:t>
            </w:r>
          </w:p>
        </w:tc>
        <w:tc>
          <w:tcPr>
            <w:tcW w:w="380" w:type="dxa"/>
            <w:vAlign w:val="bottom"/>
          </w:tcPr>
          <w:p>
            <w:pPr>
              <w:spacing w:after="0"/>
              <w:rPr>
                <w:sz w:val="21"/>
                <w:szCs w:val="21"/>
                <w:color w:val="auto"/>
              </w:rPr>
            </w:pPr>
          </w:p>
        </w:tc>
        <w:tc>
          <w:tcPr>
            <w:tcW w:w="780" w:type="dxa"/>
            <w:vAlign w:val="bottom"/>
          </w:tcPr>
          <w:p>
            <w:pPr>
              <w:jc w:val="right"/>
              <w:ind w:right="10"/>
              <w:spacing w:after="0"/>
              <w:rPr>
                <w:sz w:val="20"/>
                <w:szCs w:val="20"/>
                <w:color w:val="auto"/>
              </w:rPr>
            </w:pPr>
            <w:r>
              <w:rPr>
                <w:rFonts w:ascii="Arial" w:cs="Arial" w:eastAsia="Arial" w:hAnsi="Arial"/>
                <w:sz w:val="18"/>
                <w:szCs w:val="18"/>
                <w:color w:val="auto"/>
              </w:rPr>
              <w:t>661</w:t>
            </w:r>
          </w:p>
        </w:tc>
        <w:tc>
          <w:tcPr>
            <w:tcW w:w="102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7"/>
        </w:trPr>
        <w:tc>
          <w:tcPr>
            <w:tcW w:w="370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38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20" w:type="dxa"/>
            <w:vAlign w:val="bottom"/>
          </w:tcPr>
          <w:p>
            <w:pPr>
              <w:spacing w:after="0"/>
              <w:rPr>
                <w:sz w:val="2"/>
                <w:szCs w:val="2"/>
                <w:color w:val="auto"/>
              </w:rPr>
            </w:pPr>
          </w:p>
        </w:tc>
      </w:tr>
      <w:tr>
        <w:trPr>
          <w:trHeight w:val="250"/>
        </w:trPr>
        <w:tc>
          <w:tcPr>
            <w:tcW w:w="3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Connectivity</w:t>
            </w:r>
          </w:p>
        </w:tc>
        <w:tc>
          <w:tcPr>
            <w:tcW w:w="400" w:type="dxa"/>
            <w:vAlign w:val="bottom"/>
            <w:tcBorders>
              <w:bottom w:val="single" w:sz="8" w:color="CCEEFF"/>
            </w:tcBorders>
            <w:shd w:val="clear" w:color="auto" w:fill="CCEEFF"/>
          </w:tcPr>
          <w:p>
            <w:pPr>
              <w:spacing w:after="0"/>
              <w:rPr>
                <w:sz w:val="21"/>
                <w:szCs w:val="21"/>
                <w:color w:val="auto"/>
              </w:rPr>
            </w:pP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318</w:t>
            </w:r>
          </w:p>
        </w:tc>
        <w:tc>
          <w:tcPr>
            <w:tcW w:w="12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14%</w:t>
            </w:r>
          </w:p>
        </w:tc>
        <w:tc>
          <w:tcPr>
            <w:tcW w:w="38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441</w:t>
            </w:r>
          </w:p>
        </w:tc>
        <w:tc>
          <w:tcPr>
            <w:tcW w:w="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17%</w:t>
            </w:r>
          </w:p>
        </w:tc>
        <w:tc>
          <w:tcPr>
            <w:tcW w:w="38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530</w:t>
            </w: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w:t>
            </w:r>
          </w:p>
        </w:tc>
      </w:tr>
      <w:tr>
        <w:trPr>
          <w:trHeight w:val="243"/>
        </w:trPr>
        <w:tc>
          <w:tcPr>
            <w:tcW w:w="3700" w:type="dxa"/>
            <w:vAlign w:val="bottom"/>
          </w:tcPr>
          <w:p>
            <w:pPr>
              <w:ind w:left="40"/>
              <w:spacing w:after="0"/>
              <w:rPr>
                <w:sz w:val="20"/>
                <w:szCs w:val="20"/>
                <w:color w:val="auto"/>
              </w:rPr>
            </w:pPr>
            <w:r>
              <w:rPr>
                <w:rFonts w:ascii="Arial" w:cs="Arial" w:eastAsia="Arial" w:hAnsi="Arial"/>
                <w:sz w:val="18"/>
                <w:szCs w:val="18"/>
                <w:color w:val="auto"/>
              </w:rPr>
              <w:t>Other</w:t>
            </w:r>
          </w:p>
        </w:tc>
        <w:tc>
          <w:tcPr>
            <w:tcW w:w="400" w:type="dxa"/>
            <w:vAlign w:val="bottom"/>
          </w:tcPr>
          <w:p>
            <w:pPr>
              <w:spacing w:after="0"/>
              <w:rPr>
                <w:sz w:val="21"/>
                <w:szCs w:val="21"/>
                <w:color w:val="auto"/>
              </w:rPr>
            </w:pPr>
          </w:p>
        </w:tc>
        <w:tc>
          <w:tcPr>
            <w:tcW w:w="760" w:type="dxa"/>
            <w:vAlign w:val="bottom"/>
          </w:tcPr>
          <w:p>
            <w:pPr>
              <w:jc w:val="right"/>
              <w:ind w:right="10"/>
              <w:spacing w:after="0"/>
              <w:rPr>
                <w:sz w:val="20"/>
                <w:szCs w:val="20"/>
                <w:color w:val="auto"/>
              </w:rPr>
            </w:pPr>
            <w:r>
              <w:rPr>
                <w:rFonts w:ascii="Arial" w:cs="Arial" w:eastAsia="Arial" w:hAnsi="Arial"/>
                <w:sz w:val="18"/>
                <w:szCs w:val="18"/>
                <w:color w:val="auto"/>
              </w:rPr>
              <w:t>252</w:t>
            </w:r>
          </w:p>
        </w:tc>
        <w:tc>
          <w:tcPr>
            <w:tcW w:w="1220" w:type="dxa"/>
            <w:vAlign w:val="bottom"/>
          </w:tcPr>
          <w:p>
            <w:pPr>
              <w:jc w:val="right"/>
              <w:ind w:right="50"/>
              <w:spacing w:after="0"/>
              <w:rPr>
                <w:sz w:val="20"/>
                <w:szCs w:val="20"/>
                <w:color w:val="auto"/>
              </w:rPr>
            </w:pPr>
            <w:r>
              <w:rPr>
                <w:rFonts w:ascii="Arial" w:cs="Arial" w:eastAsia="Arial" w:hAnsi="Arial"/>
                <w:sz w:val="18"/>
                <w:szCs w:val="18"/>
                <w:color w:val="auto"/>
              </w:rPr>
              <w:t>11%</w:t>
            </w:r>
          </w:p>
        </w:tc>
        <w:tc>
          <w:tcPr>
            <w:tcW w:w="380" w:type="dxa"/>
            <w:vAlign w:val="bottom"/>
          </w:tcPr>
          <w:p>
            <w:pPr>
              <w:spacing w:after="0"/>
              <w:rPr>
                <w:sz w:val="21"/>
                <w:szCs w:val="21"/>
                <w:color w:val="auto"/>
              </w:rPr>
            </w:pPr>
          </w:p>
        </w:tc>
        <w:tc>
          <w:tcPr>
            <w:tcW w:w="780" w:type="dxa"/>
            <w:vAlign w:val="bottom"/>
          </w:tcPr>
          <w:p>
            <w:pPr>
              <w:jc w:val="right"/>
              <w:ind w:right="13"/>
              <w:spacing w:after="0"/>
              <w:rPr>
                <w:sz w:val="20"/>
                <w:szCs w:val="20"/>
                <w:color w:val="auto"/>
              </w:rPr>
            </w:pPr>
            <w:r>
              <w:rPr>
                <w:rFonts w:ascii="Arial" w:cs="Arial" w:eastAsia="Arial" w:hAnsi="Arial"/>
                <w:sz w:val="18"/>
                <w:szCs w:val="18"/>
                <w:color w:val="auto"/>
              </w:rPr>
              <w:t>475</w:t>
            </w:r>
          </w:p>
        </w:tc>
        <w:tc>
          <w:tcPr>
            <w:tcW w:w="520" w:type="dxa"/>
            <w:vAlign w:val="bottom"/>
          </w:tcPr>
          <w:p>
            <w:pPr>
              <w:spacing w:after="0"/>
              <w:rPr>
                <w:sz w:val="21"/>
                <w:szCs w:val="21"/>
                <w:color w:val="auto"/>
              </w:rPr>
            </w:pPr>
          </w:p>
        </w:tc>
        <w:tc>
          <w:tcPr>
            <w:tcW w:w="700" w:type="dxa"/>
            <w:vAlign w:val="bottom"/>
          </w:tcPr>
          <w:p>
            <w:pPr>
              <w:jc w:val="right"/>
              <w:ind w:right="50"/>
              <w:spacing w:after="0"/>
              <w:rPr>
                <w:sz w:val="20"/>
                <w:szCs w:val="20"/>
                <w:color w:val="auto"/>
              </w:rPr>
            </w:pPr>
            <w:r>
              <w:rPr>
                <w:rFonts w:ascii="Arial" w:cs="Arial" w:eastAsia="Arial" w:hAnsi="Arial"/>
                <w:sz w:val="18"/>
                <w:szCs w:val="18"/>
                <w:color w:val="auto"/>
              </w:rPr>
              <w:t>18%</w:t>
            </w:r>
          </w:p>
        </w:tc>
        <w:tc>
          <w:tcPr>
            <w:tcW w:w="380" w:type="dxa"/>
            <w:vAlign w:val="bottom"/>
          </w:tcPr>
          <w:p>
            <w:pPr>
              <w:spacing w:after="0"/>
              <w:rPr>
                <w:sz w:val="21"/>
                <w:szCs w:val="21"/>
                <w:color w:val="auto"/>
              </w:rPr>
            </w:pPr>
          </w:p>
        </w:tc>
        <w:tc>
          <w:tcPr>
            <w:tcW w:w="780" w:type="dxa"/>
            <w:vAlign w:val="bottom"/>
          </w:tcPr>
          <w:p>
            <w:pPr>
              <w:jc w:val="right"/>
              <w:ind w:right="10"/>
              <w:spacing w:after="0"/>
              <w:rPr>
                <w:sz w:val="20"/>
                <w:szCs w:val="20"/>
                <w:color w:val="auto"/>
              </w:rPr>
            </w:pPr>
            <w:r>
              <w:rPr>
                <w:rFonts w:ascii="Arial" w:cs="Arial" w:eastAsia="Arial" w:hAnsi="Arial"/>
                <w:sz w:val="18"/>
                <w:szCs w:val="18"/>
                <w:color w:val="auto"/>
              </w:rPr>
              <w:t>701</w:t>
            </w:r>
          </w:p>
        </w:tc>
        <w:tc>
          <w:tcPr>
            <w:tcW w:w="102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7"/>
        </w:trPr>
        <w:tc>
          <w:tcPr>
            <w:tcW w:w="37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22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520" w:type="dxa"/>
            <w:vAlign w:val="bottom"/>
            <w:tcBorders>
              <w:bottom w:val="single" w:sz="8" w:color="CCEEFF"/>
            </w:tcBorders>
          </w:tcPr>
          <w:p>
            <w:pPr>
              <w:spacing w:after="0"/>
              <w:rPr>
                <w:sz w:val="2"/>
                <w:szCs w:val="2"/>
                <w:color w:val="auto"/>
              </w:rPr>
            </w:pPr>
          </w:p>
        </w:tc>
        <w:tc>
          <w:tcPr>
            <w:tcW w:w="7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20" w:type="dxa"/>
            <w:vAlign w:val="bottom"/>
            <w:tcBorders>
              <w:bottom w:val="single" w:sz="8" w:color="CCEEFF"/>
            </w:tcBorders>
          </w:tcPr>
          <w:p>
            <w:pPr>
              <w:spacing w:after="0"/>
              <w:rPr>
                <w:sz w:val="2"/>
                <w:szCs w:val="2"/>
                <w:color w:val="auto"/>
              </w:rPr>
            </w:pPr>
          </w:p>
        </w:tc>
      </w:tr>
      <w:tr>
        <w:trPr>
          <w:trHeight w:val="269"/>
        </w:trPr>
        <w:tc>
          <w:tcPr>
            <w:tcW w:w="37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w:t>
            </w:r>
          </w:p>
        </w:tc>
        <w:tc>
          <w:tcPr>
            <w:tcW w:w="4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2,318</w:t>
            </w:r>
          </w:p>
        </w:tc>
        <w:tc>
          <w:tcPr>
            <w:tcW w:w="122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2,649</w:t>
            </w:r>
          </w:p>
        </w:tc>
        <w:tc>
          <w:tcPr>
            <w:tcW w:w="520" w:type="dxa"/>
            <w:vAlign w:val="bottom"/>
            <w:tcBorders>
              <w:bottom w:val="single" w:sz="8" w:color="CCEEFF"/>
            </w:tcBorders>
            <w:shd w:val="clear" w:color="auto" w:fill="CCEEFF"/>
          </w:tcPr>
          <w:p>
            <w:pPr>
              <w:spacing w:after="0"/>
              <w:rPr>
                <w:sz w:val="22"/>
                <w:szCs w:val="22"/>
                <w:color w:val="auto"/>
              </w:rPr>
            </w:pPr>
          </w:p>
        </w:tc>
        <w:tc>
          <w:tcPr>
            <w:tcW w:w="7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3,637</w:t>
            </w:r>
          </w:p>
        </w:tc>
        <w:tc>
          <w:tcPr>
            <w:tcW w:w="1020" w:type="dxa"/>
            <w:vAlign w:val="bottom"/>
            <w:tcBorders>
              <w:bottom w:val="single" w:sz="8" w:color="CCEEFF"/>
            </w:tcBorders>
            <w:shd w:val="clear" w:color="auto" w:fill="CCEEFF"/>
          </w:tcPr>
          <w:p>
            <w:pPr>
              <w:spacing w:after="0"/>
              <w:rPr>
                <w:sz w:val="22"/>
                <w:szCs w:val="22"/>
                <w:color w:val="auto"/>
              </w:rPr>
            </w:pPr>
          </w:p>
        </w:tc>
      </w:tr>
      <w:tr>
        <w:trPr>
          <w:trHeight w:val="20"/>
        </w:trPr>
        <w:tc>
          <w:tcPr>
            <w:tcW w:w="37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CCEEFF"/>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Storage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Hard Disk Drive Controllers</w:t>
      </w:r>
    </w:p>
    <w:p>
      <w:pPr>
        <w:spacing w:after="0" w:line="117"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Hard disk drive ("HDD") controllers provide high-performance input/output (I/O) interface control between the HDD and the host system. We support a variety of host system interfaces, including SATA (Serial Advanced Technology Attachment) and SAS (Serial Attached SCSI), which support the complete range of enterprise, desktop and mobile HDDs.</w:t>
      </w:r>
    </w:p>
    <w:p>
      <w:pPr>
        <w:spacing w:after="0" w:line="73"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are a leading HDD controller supplier and currently supply products to all of the major hard drive manufacturers.</w:t>
      </w:r>
    </w:p>
    <w:p>
      <w:pPr>
        <w:spacing w:after="0" w:line="117" w:lineRule="exact"/>
        <w:rPr>
          <w:rFonts w:ascii="Arial" w:cs="Arial" w:eastAsia="Arial" w:hAnsi="Arial"/>
          <w:sz w:val="18"/>
          <w:szCs w:val="18"/>
          <w:color w:val="auto"/>
        </w:rPr>
      </w:pPr>
    </w:p>
    <w:p>
      <w:pPr>
        <w:ind w:left="660" w:right="280" w:hanging="328"/>
        <w:spacing w:after="0" w:line="277"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HDD controllers with advanced technology for HDDs provide a technological advantage that enable a higher level of data storage on smaller form factors and higher volumetric densities.</w:t>
      </w:r>
    </w:p>
    <w:p>
      <w:pPr>
        <w:spacing w:after="0" w:line="62"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7"/>
          <w:szCs w:val="17"/>
          <w:color w:val="auto"/>
        </w:rPr>
      </w:pPr>
      <w:r>
        <w:rPr>
          <w:rFonts w:ascii="Arial" w:cs="Arial" w:eastAsia="Arial" w:hAnsi="Arial"/>
          <w:sz w:val="17"/>
          <w:szCs w:val="17"/>
          <w:color w:val="auto"/>
        </w:rPr>
        <w:t>Our advanced HDD controller SoCs are designed incorporating the latest Marvell IPs using leading advanced semiconductor process nodes.</w:t>
      </w:r>
    </w:p>
    <w:p>
      <w:pPr>
        <w:spacing w:after="0" w:line="12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Solid-State Drive Controllers</w:t>
      </w:r>
    </w:p>
    <w:p>
      <w:pPr>
        <w:spacing w:after="0" w:line="117" w:lineRule="exact"/>
        <w:rPr>
          <w:sz w:val="20"/>
          <w:szCs w:val="20"/>
          <w:color w:val="auto"/>
        </w:rPr>
      </w:pPr>
    </w:p>
    <w:p>
      <w:pPr>
        <w:ind w:right="160" w:firstLine="432"/>
        <w:spacing w:after="0" w:line="264" w:lineRule="auto"/>
        <w:rPr>
          <w:sz w:val="20"/>
          <w:szCs w:val="20"/>
          <w:color w:val="auto"/>
        </w:rPr>
      </w:pPr>
      <w:r>
        <w:rPr>
          <w:rFonts w:ascii="Arial" w:cs="Arial" w:eastAsia="Arial" w:hAnsi="Arial"/>
          <w:sz w:val="18"/>
          <w:szCs w:val="18"/>
          <w:color w:val="auto"/>
        </w:rPr>
        <w:t>Our solid-state- drive ("SSD") controller SoCs are targeted at the fast growing market for flash-based storage systems, for the cloud, enterprise, consumer and mobile computing markets. We support a variety of host system interfaces, including SAS, SATA, peripheral component interconnect express ("PCIe"), and non-volatile memory express ("NVMe").</w:t>
      </w:r>
    </w:p>
    <w:p>
      <w:pPr>
        <w:spacing w:after="0" w:line="73"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are a leading supplier of SSD controllers across a range of customers and market segments.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advanced SSD controller SoCs incorporate the latest Marvell technology using leading advanced process nodes.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7"/>
          <w:szCs w:val="17"/>
          <w:color w:val="auto"/>
        </w:rPr>
      </w:pPr>
      <w:r>
        <w:rPr>
          <w:rFonts w:ascii="Arial" w:cs="Arial" w:eastAsia="Arial" w:hAnsi="Arial"/>
          <w:sz w:val="17"/>
          <w:szCs w:val="17"/>
          <w:color w:val="auto"/>
        </w:rPr>
        <w:t>Our SSD controllers are complemented by our fully featured SDK (software development kit) and FTK (Full Turnkey software solutions.)</w:t>
      </w:r>
    </w:p>
    <w:p>
      <w:pPr>
        <w:spacing w:after="0" w:line="12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HDD Components</w:t>
      </w:r>
    </w:p>
    <w:p>
      <w:pPr>
        <w:spacing w:after="0" w:line="117" w:lineRule="exact"/>
        <w:rPr>
          <w:sz w:val="20"/>
          <w:szCs w:val="20"/>
          <w:color w:val="auto"/>
        </w:rPr>
      </w:pPr>
    </w:p>
    <w:p>
      <w:pPr>
        <w:ind w:right="860" w:firstLine="432"/>
        <w:spacing w:after="0" w:line="277" w:lineRule="auto"/>
        <w:rPr>
          <w:sz w:val="20"/>
          <w:szCs w:val="20"/>
          <w:color w:val="auto"/>
        </w:rPr>
      </w:pPr>
      <w:r>
        <w:rPr>
          <w:rFonts w:ascii="Arial" w:cs="Arial" w:eastAsia="Arial" w:hAnsi="Arial"/>
          <w:sz w:val="18"/>
          <w:szCs w:val="18"/>
          <w:color w:val="auto"/>
        </w:rPr>
        <w:t>In fiscal 2017, Marvell re-entered the HDD preamps business. We are working with a number of customers in developing and qualifying our components.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Enterprise Storage Solutions</w:t>
      </w:r>
    </w:p>
    <w:p>
      <w:pPr>
        <w:spacing w:after="0" w:line="117" w:lineRule="exact"/>
        <w:rPr>
          <w:sz w:val="20"/>
          <w:szCs w:val="20"/>
          <w:color w:val="auto"/>
        </w:rPr>
      </w:pPr>
    </w:p>
    <w:p>
      <w:pPr>
        <w:ind w:right="840" w:firstLine="432"/>
        <w:spacing w:after="0" w:line="308" w:lineRule="auto"/>
        <w:rPr>
          <w:sz w:val="20"/>
          <w:szCs w:val="20"/>
          <w:color w:val="auto"/>
        </w:rPr>
      </w:pPr>
      <w:r>
        <w:rPr>
          <w:rFonts w:ascii="Arial" w:cs="Arial" w:eastAsia="Arial" w:hAnsi="Arial"/>
          <w:sz w:val="17"/>
          <w:szCs w:val="17"/>
          <w:color w:val="auto"/>
        </w:rPr>
        <w:t>We develop software-enabled silicon solutions for enterprise, data centers and cloud computing businesses. The solutions include SATA port multipliers, bridges, SATA, SAS and NVMe redundant array of independent disk controllers and converged storage processors.</w:t>
      </w:r>
    </w:p>
    <w:p>
      <w:pPr>
        <w:spacing w:after="0" w:line="3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Networking</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Ethernet Solutions</w:t>
      </w:r>
    </w:p>
    <w:p>
      <w:pPr>
        <w:spacing w:after="0" w:line="117"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Ethernet connectivity is pervasive throughout networking infrastructures built for enterprise, small and medium business, home office, service provider and data centers. Our Ethernet solutions address a wide variety of end-customer products for those market spaces, from small, cost-effective appliances to large, high-performance modular solutions.</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Our Ethernet products include:</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800" w:right="239" w:bottom="1440" w:gutter="0" w:footer="0" w:header="0"/>
        </w:sectPr>
      </w:pPr>
    </w:p>
    <w:bookmarkStart w:id="6" w:name="page7"/>
    <w:bookmarkEnd w:id="6"/>
    <w:p>
      <w:pPr>
        <w:ind w:left="660" w:right="120" w:hanging="328"/>
        <w:spacing w:after="0" w:line="312" w:lineRule="auto"/>
        <w:tabs>
          <w:tab w:leader="none" w:pos="660" w:val="left"/>
        </w:tabs>
        <w:numPr>
          <w:ilvl w:val="0"/>
          <w:numId w:val="6"/>
        </w:numPr>
        <w:rPr>
          <w:rFonts w:ascii="Arial" w:cs="Arial" w:eastAsia="Arial" w:hAnsi="Arial"/>
          <w:sz w:val="16"/>
          <w:szCs w:val="16"/>
          <w:color w:val="auto"/>
        </w:rPr>
      </w:pPr>
      <w:r>
        <w:rPr>
          <w:rFonts w:ascii="Arial" w:cs="Arial" w:eastAsia="Arial" w:hAnsi="Arial"/>
          <w:sz w:val="16"/>
          <w:szCs w:val="16"/>
          <w:color w:val="auto"/>
        </w:rPr>
        <w:t>A broad selection of Ethernet switches with market-optimized innovative features, such as advanced tunneling and routing, high throughput forwarding and packet processing that make networks more effective at delivering content. Our Ethernet switch product portfolio ranges from low-power, five-port switches to highly integrated, multi-terabit Ethernet SoC devices that can be interconnected to form massive network solutions;</w:t>
      </w:r>
    </w:p>
    <w:p>
      <w:pPr>
        <w:spacing w:after="0" w:line="38" w:lineRule="exact"/>
        <w:rPr>
          <w:rFonts w:ascii="Arial" w:cs="Arial" w:eastAsia="Arial" w:hAnsi="Arial"/>
          <w:sz w:val="16"/>
          <w:szCs w:val="16"/>
          <w:color w:val="auto"/>
        </w:rPr>
      </w:pPr>
    </w:p>
    <w:p>
      <w:pPr>
        <w:ind w:left="660" w:hanging="328"/>
        <w:spacing w:after="0" w:line="277"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broad selection of Ethernet physical-layer transceivers for both fiber and copper interconnect with advanced power management, link security and time synchronization features that complement our Ethernet switch and embedded communication processors; and</w:t>
      </w:r>
    </w:p>
    <w:p>
      <w:pPr>
        <w:spacing w:after="0" w:line="62" w:lineRule="exact"/>
        <w:rPr>
          <w:rFonts w:ascii="Arial" w:cs="Arial" w:eastAsia="Arial" w:hAnsi="Arial"/>
          <w:sz w:val="18"/>
          <w:szCs w:val="18"/>
          <w:color w:val="auto"/>
        </w:rPr>
      </w:pPr>
    </w:p>
    <w:p>
      <w:pPr>
        <w:ind w:left="660" w:right="400" w:hanging="328"/>
        <w:spacing w:after="0" w:line="277"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family of single-chip network interface devices offered in ultra-small form factor with low-power consumption and targeted for client-server network interface cards.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Embedded Communication Processors</w:t>
      </w:r>
    </w:p>
    <w:p>
      <w:pPr>
        <w:spacing w:after="0" w:line="117"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Our range of SoC-embedded communication processors provide multi-core ARM processor architecture optimized to consume low power while simultaneously delivering high-performance per watt. They provide a combination of I/O peripherals, including Ethernet, SATA, SAS, PCIe and universal serial bus and are ideally suited for a range of end-customer networking applications, such as home gateways, networked storage, control plane applications, routers, switches and wireless access points and base stations.</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Connectivity</w:t>
      </w:r>
    </w:p>
    <w:p>
      <w:pPr>
        <w:spacing w:after="0" w:line="117" w:lineRule="exact"/>
        <w:rPr>
          <w:sz w:val="20"/>
          <w:szCs w:val="20"/>
          <w:color w:val="auto"/>
        </w:rPr>
      </w:pPr>
    </w:p>
    <w:p>
      <w:pPr>
        <w:ind w:right="60" w:firstLine="405"/>
        <w:spacing w:after="0" w:line="255" w:lineRule="auto"/>
        <w:rPr>
          <w:sz w:val="20"/>
          <w:szCs w:val="20"/>
          <w:color w:val="auto"/>
        </w:rPr>
      </w:pPr>
      <w:r>
        <w:rPr>
          <w:rFonts w:ascii="Arial" w:cs="Arial" w:eastAsia="Arial" w:hAnsi="Arial"/>
          <w:sz w:val="18"/>
          <w:szCs w:val="18"/>
          <w:color w:val="auto"/>
        </w:rPr>
        <w:t>We offer a broad portfolio of connectivity solutions, including Wi-Fi, and Wi-Fi/Bluetooth integrated SOCs. These products are integrated into a wide variety of end devices, such as enterprise access points, home gateways, multimedia devices, gaming, printers, automotive infotainment and telematics units, and smart industrial devices. Our products are well-positioned to deliver low-power and high-performance functionality with cutting-edge technologies, and to lead the fast-paced developments of Wi-Fi 802.11 and Bluetooth standards. Our connectivity product portfolio includes a single stream 1x1, as well as multi-stream 2x2 and 4x4 multiple input multiple output devices. We deliver both the radio control and processing as well as the RF components for a complete customer solution.</w:t>
      </w:r>
    </w:p>
    <w:p>
      <w:pPr>
        <w:spacing w:after="0" w:line="8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Other Products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Printing Solutions &amp; Custom ASIC</w:t>
      </w:r>
    </w:p>
    <w:p>
      <w:pPr>
        <w:spacing w:after="0" w:line="117" w:lineRule="exact"/>
        <w:rPr>
          <w:sz w:val="20"/>
          <w:szCs w:val="20"/>
          <w:color w:val="auto"/>
        </w:rPr>
      </w:pPr>
    </w:p>
    <w:p>
      <w:pPr>
        <w:ind w:right="100" w:firstLine="432"/>
        <w:spacing w:after="0" w:line="277" w:lineRule="auto"/>
        <w:rPr>
          <w:sz w:val="20"/>
          <w:szCs w:val="20"/>
          <w:color w:val="auto"/>
        </w:rPr>
      </w:pPr>
      <w:r>
        <w:rPr>
          <w:rFonts w:ascii="Arial" w:cs="Arial" w:eastAsia="Arial" w:hAnsi="Arial"/>
          <w:sz w:val="18"/>
          <w:szCs w:val="18"/>
          <w:color w:val="auto"/>
        </w:rPr>
        <w:t>Our printer SoC products power many of today’s laser and ink printers and multi-function peripherals. These SoCs include a family of printer-specific standard products as well as full-custom application-specific integrated circuits.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Communications and Application Processors</w:t>
      </w:r>
    </w:p>
    <w:p>
      <w:pPr>
        <w:spacing w:after="0" w:line="117" w:lineRule="exact"/>
        <w:rPr>
          <w:sz w:val="20"/>
          <w:szCs w:val="20"/>
          <w:color w:val="auto"/>
        </w:rPr>
      </w:pPr>
    </w:p>
    <w:p>
      <w:pPr>
        <w:ind w:right="140" w:firstLine="405"/>
        <w:spacing w:after="0" w:line="342" w:lineRule="auto"/>
        <w:rPr>
          <w:sz w:val="20"/>
          <w:szCs w:val="20"/>
          <w:color w:val="auto"/>
        </w:rPr>
      </w:pPr>
      <w:r>
        <w:rPr>
          <w:rFonts w:ascii="Arial" w:cs="Arial" w:eastAsia="Arial" w:hAnsi="Arial"/>
          <w:sz w:val="16"/>
          <w:szCs w:val="16"/>
          <w:color w:val="auto"/>
        </w:rPr>
        <w:t>While we exited the mobile market in September 2015, several customers continue to ship our LTE communications processors. Our separate line of application processors is targeted for non-mobile applications and deliver leading-edge performance for today’s embedded and Internet of Things solutions.</w:t>
      </w:r>
    </w:p>
    <w:p>
      <w:pPr>
        <w:spacing w:after="0" w:line="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121" w:lineRule="exact"/>
        <w:rPr>
          <w:sz w:val="20"/>
          <w:szCs w:val="20"/>
          <w:color w:val="auto"/>
        </w:rPr>
      </w:pPr>
    </w:p>
    <w:p>
      <w:pPr>
        <w:ind w:right="120" w:firstLine="432"/>
        <w:spacing w:after="0" w:line="279" w:lineRule="auto"/>
        <w:rPr>
          <w:sz w:val="20"/>
          <w:szCs w:val="20"/>
          <w:color w:val="auto"/>
        </w:rPr>
      </w:pPr>
      <w:r>
        <w:rPr>
          <w:rFonts w:ascii="Arial" w:cs="Arial" w:eastAsia="Arial" w:hAnsi="Arial"/>
          <w:sz w:val="17"/>
          <w:szCs w:val="17"/>
          <w:color w:val="auto"/>
        </w:rPr>
        <w:t>We have determined that we operate in one reportable segment: the design, development and sale of integrated circuits. For information regarding our revenue by geographic area, and property and equipment by geographic area, please see “Note 13 — Segment and Geographic Information” in our Notes to the Consolidated Financial Statements set forth in Part II, Item 8 of this Annual Report on Form 10-K. See “Risk Factors” under Item 1A of this Annual Report on Form 10-K for a discussion of the risks associated with our international operations.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121" w:lineRule="exact"/>
        <w:rPr>
          <w:sz w:val="20"/>
          <w:szCs w:val="20"/>
          <w:color w:val="auto"/>
        </w:rPr>
      </w:pPr>
    </w:p>
    <w:p>
      <w:pPr>
        <w:ind w:right="40" w:firstLine="432"/>
        <w:spacing w:after="0" w:line="255" w:lineRule="auto"/>
        <w:rPr>
          <w:sz w:val="20"/>
          <w:szCs w:val="20"/>
          <w:color w:val="auto"/>
        </w:rPr>
      </w:pPr>
      <w:r>
        <w:rPr>
          <w:rFonts w:ascii="Arial" w:cs="Arial" w:eastAsia="Arial" w:hAnsi="Arial"/>
          <w:sz w:val="18"/>
          <w:szCs w:val="18"/>
          <w:color w:val="auto"/>
        </w:rPr>
        <w:t>Our target customers are original equipment manufacturers and original design manufacturers,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Europe and Asia. In addition, we have distributors who support our sales and marketing activities in the United States, Europe and Asia. We also use third-party logistics providers who maintain warehouses in close proximity to our customers’ facilities. We expect that a significant percentage of our sales will continue to come from direct sales to key customers.</w:t>
      </w:r>
    </w:p>
    <w:p>
      <w:pPr>
        <w:spacing w:after="0" w:line="81" w:lineRule="exact"/>
        <w:rPr>
          <w:sz w:val="20"/>
          <w:szCs w:val="20"/>
          <w:color w:val="auto"/>
        </w:rPr>
      </w:pPr>
    </w:p>
    <w:p>
      <w:pPr>
        <w:ind w:right="180" w:firstLine="432"/>
        <w:spacing w:after="0" w:line="264"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Our marketing team works in conjunction with our field sales and application engineering force, and is organized around our product groups.</w:t>
      </w:r>
    </w:p>
    <w:p>
      <w:pPr>
        <w:spacing w:after="0" w:line="20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60"/>
          </w:cols>
          <w:pgMar w:left="240" w:top="908" w:right="299" w:bottom="1440" w:gutter="0" w:footer="0" w:header="0"/>
        </w:sectPr>
      </w:pPr>
    </w:p>
    <w:bookmarkStart w:id="7" w:name="page8"/>
    <w:bookmarkEnd w:id="7"/>
    <w:p>
      <w:pPr>
        <w:ind w:right="160" w:firstLine="432"/>
        <w:spacing w:after="0" w:line="308" w:lineRule="auto"/>
        <w:rPr>
          <w:sz w:val="20"/>
          <w:szCs w:val="20"/>
          <w:color w:val="auto"/>
        </w:rPr>
      </w:pPr>
      <w:r>
        <w:rPr>
          <w:rFonts w:ascii="Arial" w:cs="Arial" w:eastAsia="Arial" w:hAnsi="Arial"/>
          <w:sz w:val="17"/>
          <w:szCs w:val="17"/>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260"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4164330</wp:posOffset>
            </wp:positionH>
            <wp:positionV relativeFrom="paragraph">
              <wp:posOffset>23495</wp:posOffset>
            </wp:positionV>
            <wp:extent cx="307022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3070225" cy="8890"/>
                    </a:xfrm>
                    <a:prstGeom prst="rect">
                      <a:avLst/>
                    </a:prstGeom>
                    <a:noFill/>
                  </pic:spPr>
                </pic:pic>
              </a:graphicData>
            </a:graphic>
          </wp:anchor>
        </w:drawing>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560" w:type="dxa"/>
            <w:vAlign w:val="bottom"/>
          </w:tcPr>
          <w:p>
            <w:pPr>
              <w:spacing w:after="0"/>
              <w:rPr>
                <w:sz w:val="14"/>
                <w:szCs w:val="14"/>
                <w:color w:val="auto"/>
              </w:rPr>
            </w:pPr>
          </w:p>
        </w:tc>
        <w:tc>
          <w:tcPr>
            <w:tcW w:w="1160" w:type="dxa"/>
            <w:vAlign w:val="bottom"/>
          </w:tcPr>
          <w:p>
            <w:pPr>
              <w:ind w:left="400"/>
              <w:spacing w:after="0"/>
              <w:rPr>
                <w:sz w:val="20"/>
                <w:szCs w:val="20"/>
                <w:color w:val="auto"/>
              </w:rPr>
            </w:pPr>
            <w:r>
              <w:rPr>
                <w:rFonts w:ascii="Arial" w:cs="Arial" w:eastAsia="Arial" w:hAnsi="Arial"/>
                <w:sz w:val="14"/>
                <w:szCs w:val="14"/>
                <w:b w:val="1"/>
                <w:bCs w:val="1"/>
                <w:color w:val="auto"/>
                <w:w w:val="95"/>
              </w:rPr>
              <w:t>January 28,</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3"/>
              </w:rPr>
              <w:t>January 30,</w:t>
            </w:r>
          </w:p>
        </w:tc>
        <w:tc>
          <w:tcPr>
            <w:tcW w:w="15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January 31,</w:t>
            </w:r>
          </w:p>
        </w:tc>
      </w:tr>
      <w:tr>
        <w:trPr>
          <w:trHeight w:val="192"/>
        </w:trPr>
        <w:tc>
          <w:tcPr>
            <w:tcW w:w="7720" w:type="dxa"/>
            <w:vAlign w:val="bottom"/>
            <w:gridSpan w:val="2"/>
          </w:tcPr>
          <w:p>
            <w:pPr>
              <w:ind w:left="7180"/>
              <w:spacing w:after="0"/>
              <w:rPr>
                <w:sz w:val="20"/>
                <w:szCs w:val="20"/>
                <w:color w:val="auto"/>
              </w:rPr>
            </w:pPr>
            <w:r>
              <w:rPr>
                <w:rFonts w:ascii="Arial" w:cs="Arial" w:eastAsia="Arial" w:hAnsi="Arial"/>
                <w:sz w:val="14"/>
                <w:szCs w:val="14"/>
                <w:b w:val="1"/>
                <w:bCs w:val="1"/>
                <w:color w:val="auto"/>
              </w:rPr>
              <w:t>2017</w:t>
            </w:r>
          </w:p>
        </w:tc>
        <w:tc>
          <w:tcPr>
            <w:tcW w:w="3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40" w:type="dxa"/>
            <w:vAlign w:val="bottom"/>
          </w:tcPr>
          <w:p>
            <w:pPr>
              <w:jc w:val="right"/>
              <w:ind w:right="37"/>
              <w:spacing w:after="0"/>
              <w:rPr>
                <w:sz w:val="20"/>
                <w:szCs w:val="20"/>
                <w:color w:val="auto"/>
              </w:rPr>
            </w:pPr>
            <w:r>
              <w:rPr>
                <w:rFonts w:ascii="Arial" w:cs="Arial" w:eastAsia="Arial" w:hAnsi="Arial"/>
                <w:sz w:val="14"/>
                <w:szCs w:val="14"/>
                <w:b w:val="1"/>
                <w:bCs w:val="1"/>
                <w:color w:val="auto"/>
              </w:rPr>
              <w:t>2016</w:t>
            </w:r>
          </w:p>
        </w:tc>
        <w:tc>
          <w:tcPr>
            <w:tcW w:w="5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20" w:type="dxa"/>
            <w:vAlign w:val="bottom"/>
          </w:tcPr>
          <w:p>
            <w:pPr>
              <w:jc w:val="right"/>
              <w:ind w:right="37"/>
              <w:spacing w:after="0"/>
              <w:rPr>
                <w:sz w:val="20"/>
                <w:szCs w:val="20"/>
                <w:color w:val="auto"/>
              </w:rPr>
            </w:pPr>
            <w:r>
              <w:rPr>
                <w:rFonts w:ascii="Arial" w:cs="Arial" w:eastAsia="Arial" w:hAnsi="Arial"/>
                <w:sz w:val="14"/>
                <w:szCs w:val="14"/>
                <w:b w:val="1"/>
                <w:bCs w:val="1"/>
                <w:color w:val="auto"/>
              </w:rPr>
              <w:t>2015</w:t>
            </w:r>
          </w:p>
        </w:tc>
        <w:tc>
          <w:tcPr>
            <w:tcW w:w="520" w:type="dxa"/>
            <w:vAlign w:val="bottom"/>
          </w:tcPr>
          <w:p>
            <w:pPr>
              <w:spacing w:after="0"/>
              <w:rPr>
                <w:sz w:val="16"/>
                <w:szCs w:val="16"/>
                <w:color w:val="auto"/>
              </w:rPr>
            </w:pPr>
          </w:p>
        </w:tc>
      </w:tr>
      <w:tr>
        <w:trPr>
          <w:trHeight w:val="250"/>
        </w:trPr>
        <w:tc>
          <w:tcPr>
            <w:tcW w:w="65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Customer:</w:t>
            </w: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CCEEFF"/>
            </w:tcBorders>
            <w:shd w:val="clear" w:color="auto" w:fill="CCEEFF"/>
          </w:tcPr>
          <w:p>
            <w:pPr>
              <w:spacing w:after="0"/>
              <w:rPr>
                <w:sz w:val="21"/>
                <w:szCs w:val="21"/>
                <w:color w:val="auto"/>
              </w:rPr>
            </w:pPr>
          </w:p>
        </w:tc>
        <w:tc>
          <w:tcPr>
            <w:tcW w:w="50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20" w:type="dxa"/>
            <w:vAlign w:val="bottom"/>
            <w:tcBorders>
              <w:top w:val="single" w:sz="8" w:color="auto"/>
              <w:bottom w:val="single" w:sz="8" w:color="CCEEFF"/>
            </w:tcBorders>
            <w:shd w:val="clear" w:color="auto" w:fill="CCEEFF"/>
          </w:tcPr>
          <w:p>
            <w:pPr>
              <w:spacing w:after="0"/>
              <w:rPr>
                <w:sz w:val="21"/>
                <w:szCs w:val="21"/>
                <w:color w:val="auto"/>
              </w:rPr>
            </w:pPr>
          </w:p>
        </w:tc>
        <w:tc>
          <w:tcPr>
            <w:tcW w:w="5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7720" w:type="dxa"/>
            <w:vAlign w:val="bottom"/>
            <w:gridSpan w:val="2"/>
          </w:tcPr>
          <w:p>
            <w:pPr>
              <w:ind w:left="380"/>
              <w:spacing w:after="0"/>
              <w:rPr>
                <w:sz w:val="20"/>
                <w:szCs w:val="20"/>
                <w:color w:val="auto"/>
              </w:rPr>
            </w:pPr>
            <w:r>
              <w:rPr>
                <w:rFonts w:ascii="Arial" w:cs="Arial" w:eastAsia="Arial" w:hAnsi="Arial"/>
                <w:sz w:val="18"/>
                <w:szCs w:val="18"/>
                <w:color w:val="auto"/>
              </w:rPr>
              <w:t>Western Digital*</w:t>
            </w:r>
          </w:p>
        </w:tc>
        <w:tc>
          <w:tcPr>
            <w:tcW w:w="380" w:type="dxa"/>
            <w:vAlign w:val="bottom"/>
          </w:tcPr>
          <w:p>
            <w:pPr>
              <w:jc w:val="right"/>
              <w:spacing w:after="0"/>
              <w:rPr>
                <w:sz w:val="20"/>
                <w:szCs w:val="20"/>
                <w:color w:val="auto"/>
              </w:rPr>
            </w:pPr>
            <w:r>
              <w:rPr>
                <w:rFonts w:ascii="Arial" w:cs="Arial" w:eastAsia="Arial" w:hAnsi="Arial"/>
                <w:sz w:val="18"/>
                <w:szCs w:val="18"/>
                <w:color w:val="auto"/>
                <w:w w:val="88"/>
              </w:rPr>
              <w:t>21%</w:t>
            </w:r>
          </w:p>
        </w:tc>
        <w:tc>
          <w:tcPr>
            <w:tcW w:w="10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20%</w:t>
            </w:r>
          </w:p>
        </w:tc>
      </w:tr>
      <w:tr>
        <w:trPr>
          <w:trHeight w:val="27"/>
        </w:trPr>
        <w:tc>
          <w:tcPr>
            <w:tcW w:w="65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20" w:type="dxa"/>
            <w:vAlign w:val="bottom"/>
          </w:tcPr>
          <w:p>
            <w:pPr>
              <w:spacing w:after="0"/>
              <w:rPr>
                <w:sz w:val="2"/>
                <w:szCs w:val="2"/>
                <w:color w:val="auto"/>
              </w:rPr>
            </w:pPr>
          </w:p>
        </w:tc>
      </w:tr>
      <w:tr>
        <w:trPr>
          <w:trHeight w:val="250"/>
        </w:trPr>
        <w:tc>
          <w:tcPr>
            <w:tcW w:w="7720" w:type="dxa"/>
            <w:vAlign w:val="bottom"/>
            <w:tcBorders>
              <w:bottom w:val="single" w:sz="8" w:color="CCEEFF"/>
            </w:tcBorders>
            <w:gridSpan w:val="2"/>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8"/>
              </w:rPr>
              <w:t>13%</w:t>
            </w:r>
          </w:p>
        </w:tc>
        <w:tc>
          <w:tcPr>
            <w:tcW w:w="1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shd w:val="clear" w:color="auto" w:fill="CCEEFF"/>
              </w:rPr>
              <w:t>**%</w:t>
            </w:r>
          </w:p>
        </w:tc>
        <w:tc>
          <w:tcPr>
            <w:tcW w:w="1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shd w:val="clear" w:color="auto" w:fill="CCEEFF"/>
              </w:rPr>
              <w:t>**%</w:t>
            </w:r>
          </w:p>
        </w:tc>
      </w:tr>
      <w:tr>
        <w:trPr>
          <w:trHeight w:val="243"/>
        </w:trPr>
        <w:tc>
          <w:tcPr>
            <w:tcW w:w="7720" w:type="dxa"/>
            <w:vAlign w:val="bottom"/>
            <w:gridSpan w:val="2"/>
          </w:tcPr>
          <w:p>
            <w:pPr>
              <w:ind w:left="380"/>
              <w:spacing w:after="0"/>
              <w:rPr>
                <w:sz w:val="20"/>
                <w:szCs w:val="20"/>
                <w:color w:val="auto"/>
              </w:rPr>
            </w:pPr>
            <w:r>
              <w:rPr>
                <w:rFonts w:ascii="Arial" w:cs="Arial" w:eastAsia="Arial" w:hAnsi="Arial"/>
                <w:sz w:val="18"/>
                <w:szCs w:val="18"/>
                <w:color w:val="auto"/>
              </w:rPr>
              <w:t>Seagate</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13%</w:t>
            </w:r>
          </w:p>
        </w:tc>
      </w:tr>
      <w:tr>
        <w:trPr>
          <w:trHeight w:val="27"/>
        </w:trPr>
        <w:tc>
          <w:tcPr>
            <w:tcW w:w="65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20" w:type="dxa"/>
            <w:vAlign w:val="bottom"/>
          </w:tcPr>
          <w:p>
            <w:pPr>
              <w:spacing w:after="0"/>
              <w:rPr>
                <w:sz w:val="2"/>
                <w:szCs w:val="2"/>
                <w:color w:val="auto"/>
              </w:rPr>
            </w:pPr>
          </w:p>
        </w:tc>
      </w:tr>
      <w:tr>
        <w:trPr>
          <w:trHeight w:val="243"/>
        </w:trPr>
        <w:tc>
          <w:tcPr>
            <w:tcW w:w="77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Wintech</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10%</w:t>
            </w:r>
          </w:p>
        </w:tc>
        <w:tc>
          <w:tcPr>
            <w:tcW w:w="100" w:type="dxa"/>
            <w:vAlign w:val="bottom"/>
            <w:shd w:val="clear" w:color="auto" w:fill="CCEEFF"/>
          </w:tcPr>
          <w:p>
            <w:pPr>
              <w:spacing w:after="0"/>
              <w:rPr>
                <w:sz w:val="21"/>
                <w:szCs w:val="21"/>
                <w:color w:val="auto"/>
              </w:rPr>
            </w:pPr>
          </w:p>
        </w:tc>
        <w:tc>
          <w:tcPr>
            <w:tcW w:w="15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7"/>
        </w:trPr>
        <w:tc>
          <w:tcPr>
            <w:tcW w:w="656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5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020" w:type="dxa"/>
            <w:vAlign w:val="bottom"/>
            <w:shd w:val="clear" w:color="auto" w:fill="CCEEFF"/>
          </w:tcPr>
          <w:p>
            <w:pPr>
              <w:spacing w:after="0"/>
              <w:rPr>
                <w:sz w:val="2"/>
                <w:szCs w:val="2"/>
                <w:color w:val="auto"/>
              </w:rPr>
            </w:pPr>
          </w:p>
        </w:tc>
        <w:tc>
          <w:tcPr>
            <w:tcW w:w="520" w:type="dxa"/>
            <w:vAlign w:val="bottom"/>
            <w:shd w:val="clear" w:color="auto" w:fill="CCEEFF"/>
          </w:tcPr>
          <w:p>
            <w:pPr>
              <w:spacing w:after="0"/>
              <w:rPr>
                <w:sz w:val="2"/>
                <w:szCs w:val="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7229475" cy="3086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29475" cy="308610"/>
                    </a:xfrm>
                    <a:prstGeom prst="rect">
                      <a:avLst/>
                    </a:prstGeom>
                    <a:noFill/>
                  </pic:spPr>
                </pic:pic>
              </a:graphicData>
            </a:graphic>
          </wp:anchor>
        </w:drawing>
      </w:r>
    </w:p>
    <w:p>
      <w:pPr>
        <w:spacing w:after="0" w:line="290" w:lineRule="exact"/>
        <w:rPr>
          <w:sz w:val="20"/>
          <w:szCs w:val="20"/>
          <w:color w:val="auto"/>
        </w:rPr>
      </w:pPr>
    </w:p>
    <w:p>
      <w:pPr>
        <w:ind w:left="380" w:right="120" w:firstLine="6"/>
        <w:spacing w:after="0" w:line="277" w:lineRule="auto"/>
        <w:tabs>
          <w:tab w:leader="none" w:pos="515"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percentage of net revenues reported for Western Digital for fiscal year 2017 includes net revenue of HGST and SanDisk that became subsidiaries of Western Digital in late fiscal 2016.</w:t>
      </w:r>
    </w:p>
    <w:p>
      <w:pPr>
        <w:spacing w:after="0" w:line="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 Less than 10% of net revenue</w:t>
      </w:r>
    </w:p>
    <w:p>
      <w:pPr>
        <w:spacing w:after="0" w:line="144" w:lineRule="exact"/>
        <w:rPr>
          <w:sz w:val="20"/>
          <w:szCs w:val="20"/>
          <w:color w:val="auto"/>
        </w:rPr>
      </w:pPr>
    </w:p>
    <w:p>
      <w:pPr>
        <w:ind w:firstLine="432"/>
        <w:spacing w:after="0" w:line="302"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Seasonality, including holiday and back to school buying trends, may at times negatively impact our results in the first and fourth quarter, and positively impact our results in the second and third quarter of our fiscal years. In addition, the timing of new product introductions by our customers may cause variations in our quarterly revenues, which may not be indicative of future trends.</w:t>
      </w:r>
    </w:p>
    <w:p>
      <w:pPr>
        <w:spacing w:after="0" w:line="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121" w:lineRule="exact"/>
        <w:rPr>
          <w:sz w:val="20"/>
          <w:szCs w:val="20"/>
          <w:color w:val="auto"/>
        </w:rPr>
      </w:pPr>
    </w:p>
    <w:p>
      <w:pPr>
        <w:ind w:right="120" w:firstLine="432"/>
        <w:spacing w:after="0" w:line="279" w:lineRule="auto"/>
        <w:rPr>
          <w:sz w:val="20"/>
          <w:szCs w:val="20"/>
          <w:color w:val="auto"/>
        </w:rPr>
      </w:pPr>
      <w:r>
        <w:rPr>
          <w:rFonts w:ascii="Arial" w:cs="Arial" w:eastAsia="Arial" w:hAnsi="Arial"/>
          <w:sz w:val="17"/>
          <w:szCs w:val="17"/>
          <w:color w:val="auto"/>
        </w:rPr>
        <w:t>We place firm orders for products with our suppliers generally up to 16 weeks prior to the anticipated delivery date and typically prior to an order for the product. These lead times typically change based on the current capacity at the foundries. We often maintain substantial inventories of our products because the semiconductor industry is characterized by short lead time orders and quick delivery schedules. In addition, increased use of “hubs” managed by third-party logistics providers has resulted in a higher number of inventory locations and higher overall inventory levels.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We do not believe that backlog is a meaningful or reliable indicator for future demand, due to the following:</w:t>
      </w:r>
    </w:p>
    <w:p>
      <w:pPr>
        <w:spacing w:after="0" w:line="63" w:lineRule="exact"/>
        <w:rPr>
          <w:sz w:val="20"/>
          <w:szCs w:val="20"/>
          <w:color w:val="auto"/>
        </w:rPr>
      </w:pPr>
    </w:p>
    <w:p>
      <w:pPr>
        <w:ind w:left="640" w:hanging="321"/>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 industry practice that allows customers to cancel or change orders prior to the scheduled shipment dates;</w:t>
      </w:r>
    </w:p>
    <w:p>
      <w:pPr>
        <w:spacing w:after="0" w:line="63" w:lineRule="exact"/>
        <w:rPr>
          <w:rFonts w:ascii="Arial" w:cs="Arial" w:eastAsia="Arial" w:hAnsi="Arial"/>
          <w:sz w:val="18"/>
          <w:szCs w:val="18"/>
          <w:color w:val="auto"/>
        </w:rPr>
      </w:pPr>
    </w:p>
    <w:p>
      <w:pPr>
        <w:ind w:left="640" w:right="140" w:hanging="321"/>
        <w:spacing w:after="0" w:line="277" w:lineRule="auto"/>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 increasing portion of our revenue comes from products shipped to customers using third-party logistics providers, or “hubs” wherein the product can be pulled at any time by the customer and is therefore never reflected in backlog; and</w:t>
      </w:r>
    </w:p>
    <w:p>
      <w:pPr>
        <w:spacing w:after="0" w:line="8" w:lineRule="exact"/>
        <w:rPr>
          <w:rFonts w:ascii="Arial" w:cs="Arial" w:eastAsia="Arial" w:hAnsi="Arial"/>
          <w:sz w:val="18"/>
          <w:szCs w:val="18"/>
          <w:color w:val="auto"/>
        </w:rPr>
      </w:pPr>
    </w:p>
    <w:p>
      <w:pPr>
        <w:ind w:left="640" w:hanging="321"/>
        <w:spacing w:after="0"/>
        <w:tabs>
          <w:tab w:leader="none" w:pos="640" w:val="left"/>
        </w:tabs>
        <w:numPr>
          <w:ilvl w:val="0"/>
          <w:numId w:val="8"/>
        </w:numPr>
        <w:rPr>
          <w:rFonts w:ascii="Arial" w:cs="Arial" w:eastAsia="Arial" w:hAnsi="Arial"/>
          <w:sz w:val="16"/>
          <w:szCs w:val="16"/>
          <w:color w:val="auto"/>
        </w:rPr>
      </w:pPr>
      <w:r>
        <w:rPr>
          <w:rFonts w:ascii="Arial" w:cs="Arial" w:eastAsia="Arial" w:hAnsi="Arial"/>
          <w:sz w:val="16"/>
          <w:szCs w:val="16"/>
          <w:color w:val="auto"/>
        </w:rPr>
        <w:t>scheduled future shipments include shipments to distributors for which we do not recognize revenue until the products are sold to end customers.</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121" w:lineRule="exact"/>
        <w:rPr>
          <w:sz w:val="20"/>
          <w:szCs w:val="20"/>
          <w:color w:val="auto"/>
        </w:rPr>
      </w:pPr>
    </w:p>
    <w:p>
      <w:pPr>
        <w:ind w:right="60" w:firstLine="432"/>
        <w:spacing w:after="0" w:line="273" w:lineRule="auto"/>
        <w:rPr>
          <w:sz w:val="20"/>
          <w:szCs w:val="20"/>
          <w:color w:val="auto"/>
        </w:rPr>
      </w:pPr>
      <w:r>
        <w:rPr>
          <w:rFonts w:ascii="Arial" w:cs="Arial" w:eastAsia="Arial" w:hAnsi="Arial"/>
          <w:sz w:val="17"/>
          <w:szCs w:val="17"/>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70" w:lineRule="exact"/>
        <w:rPr>
          <w:sz w:val="20"/>
          <w:szCs w:val="20"/>
          <w:color w:val="auto"/>
        </w:rPr>
      </w:pPr>
    </w:p>
    <w:p>
      <w:pPr>
        <w:ind w:right="240" w:firstLine="432"/>
        <w:spacing w:after="0" w:line="276" w:lineRule="auto"/>
        <w:rPr>
          <w:sz w:val="20"/>
          <w:szCs w:val="20"/>
          <w:color w:val="auto"/>
        </w:rPr>
      </w:pPr>
      <w:r>
        <w:rPr>
          <w:rFonts w:ascii="Arial" w:cs="Arial" w:eastAsia="Arial" w:hAnsi="Arial"/>
          <w:sz w:val="17"/>
          <w:szCs w:val="17"/>
          <w:color w:val="auto"/>
        </w:rPr>
        <w:t>We have assembled a core team of engineers who have experience in the areas of mixed-signal circuit design, digital signal processing, embedded microprocessors, complementary metal oxide semiconductor (“CMOS”) technology and system-level architectures. We have invested and will continue to invest a significant amount of funds for research and development. Our research and development expense was $0.8 billion, $1.0 billion and $1.1 billion in fiscal 2017, 2016 and 2015, respectively. See our discussion of research and development expenses in Item 7, Management’s Discussion and Analysis of Financial Condition and Results of Operations, of this Annual Report on Form 10-K for further information.</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908" w:right="239" w:bottom="1440" w:gutter="0" w:footer="0" w:header="0"/>
        </w:sectPr>
      </w:pPr>
    </w:p>
    <w:bookmarkStart w:id="8" w:name="page9"/>
    <w:bookmarkEnd w:id="8"/>
    <w:p>
      <w:pPr>
        <w:ind w:left="44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117" w:lineRule="exact"/>
        <w:rPr>
          <w:sz w:val="20"/>
          <w:szCs w:val="20"/>
          <w:color w:val="auto"/>
        </w:rPr>
      </w:pPr>
    </w:p>
    <w:p>
      <w:pPr>
        <w:ind w:right="20" w:firstLine="432"/>
        <w:spacing w:after="0" w:line="270" w:lineRule="auto"/>
        <w:rPr>
          <w:sz w:val="20"/>
          <w:szCs w:val="20"/>
          <w:color w:val="auto"/>
        </w:rPr>
      </w:pPr>
      <w:r>
        <w:rPr>
          <w:rFonts w:ascii="Arial" w:cs="Arial" w:eastAsia="Arial" w:hAnsi="Arial"/>
          <w:sz w:val="17"/>
          <w:szCs w:val="17"/>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large percentage of our integrated circuit manufacturing to Taiwan Semiconductor Manufacturing Company. We also utilize United Microelectronics Corporation, with the remaining manufacturing outsourced to other foundries located primarily in Asia.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7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117" w:lineRule="exact"/>
        <w:rPr>
          <w:sz w:val="20"/>
          <w:szCs w:val="20"/>
          <w:color w:val="auto"/>
        </w:rPr>
      </w:pPr>
    </w:p>
    <w:p>
      <w:pPr>
        <w:ind w:right="440" w:firstLine="432"/>
        <w:spacing w:after="0" w:line="277" w:lineRule="auto"/>
        <w:rPr>
          <w:sz w:val="20"/>
          <w:szCs w:val="20"/>
          <w:color w:val="auto"/>
        </w:rPr>
      </w:pPr>
      <w:r>
        <w:rPr>
          <w:rFonts w:ascii="Arial" w:cs="Arial" w:eastAsia="Arial" w:hAnsi="Arial"/>
          <w:sz w:val="18"/>
          <w:szCs w:val="18"/>
          <w:color w:val="auto"/>
        </w:rPr>
        <w:t>We outsource all product packaging and testing requirements for our products in production to several assembly and test subcontractors primarily located in China, Korea, Singapore and Taiwan.</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117" w:lineRule="exact"/>
        <w:rPr>
          <w:sz w:val="20"/>
          <w:szCs w:val="20"/>
          <w:color w:val="auto"/>
        </w:rPr>
      </w:pPr>
    </w:p>
    <w:p>
      <w:pPr>
        <w:ind w:right="40" w:firstLine="432"/>
        <w:spacing w:after="0" w:line="279" w:lineRule="auto"/>
        <w:rPr>
          <w:sz w:val="20"/>
          <w:szCs w:val="20"/>
          <w:color w:val="auto"/>
        </w:rPr>
      </w:pPr>
      <w:r>
        <w:rPr>
          <w:rFonts w:ascii="Arial" w:cs="Arial" w:eastAsia="Arial" w:hAnsi="Arial"/>
          <w:sz w:val="17"/>
          <w:szCs w:val="17"/>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complies with ISO 14001:2004, the international standard related to environmental management. We are also working to establish a “conflict-free” supply chain, including ethical sourcing of certain minerals for our products.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121" w:lineRule="exact"/>
        <w:rPr>
          <w:sz w:val="20"/>
          <w:szCs w:val="20"/>
          <w:color w:val="auto"/>
        </w:rPr>
      </w:pPr>
    </w:p>
    <w:p>
      <w:pPr>
        <w:ind w:right="60" w:firstLine="432"/>
        <w:spacing w:after="0" w:line="255" w:lineRule="auto"/>
        <w:rPr>
          <w:sz w:val="20"/>
          <w:szCs w:val="20"/>
          <w:color w:val="auto"/>
        </w:rPr>
      </w:pPr>
      <w:r>
        <w:rPr>
          <w:rFonts w:ascii="Arial" w:cs="Arial" w:eastAsia="Arial" w:hAnsi="Arial"/>
          <w:sz w:val="18"/>
          <w:szCs w:val="18"/>
          <w:color w:val="auto"/>
        </w:rPr>
        <w:t>Our future revenue growth and overall success depend in large part on our ability to protect our intellectual property. We rely on a combination of patents, copyrights, trademarks, trade secret laws, contractual provisions, confidentiality agreements and licenses to protect our intellectual property. As of January 28, 2017, we have approximately 8,700 U.S. and foreign patents issued and approximately 2,000 U.S. and foreign patent applications pending on various aspects of our technology. While we believe the duration of of our patents generally covers the expected lives of our products, our patents may not collectively or individually cover every feature on innovation in our product. In addition, our efforts may not be sufficient to protect our intellectual property from misappropriation or infringement. See “Risk Factors” under Item 1A of this Annual Report on Form 10-K for a discussion of the risks associated with our patents and intellectual property.</w:t>
      </w:r>
    </w:p>
    <w:p>
      <w:pPr>
        <w:spacing w:after="0" w:line="81" w:lineRule="exact"/>
        <w:rPr>
          <w:sz w:val="20"/>
          <w:szCs w:val="20"/>
          <w:color w:val="auto"/>
        </w:rPr>
      </w:pPr>
    </w:p>
    <w:p>
      <w:pPr>
        <w:ind w:right="60" w:firstLine="432"/>
        <w:spacing w:after="0" w:line="259"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9"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73"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w:t>
      </w:r>
    </w:p>
    <w:p>
      <w:pPr>
        <w:spacing w:after="0" w:line="73"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In addition, we have in the past and may in the future be sued by other parties who claim that we have infringed their patents or misappropriated or misused their trade secrets, or who may seek to invalidate one or more of our patents. Although we defend these claims vigorously, it is possible that we will not prevail in pending or future lawsuits. See “Risk Factors” under Item 1A of this Annual Report on Form 10-K and “Note 10 — Commitments and Contingencies” in our Notes to the Consolidated Financial Statements set forth in Part II, Item 8, of this Annual Report on Form 10-K for further discussion of the risks associated with patent litigation matters.</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121" w:lineRule="exact"/>
        <w:rPr>
          <w:sz w:val="20"/>
          <w:szCs w:val="20"/>
          <w:color w:val="auto"/>
        </w:rPr>
      </w:pPr>
    </w:p>
    <w:p>
      <w:pPr>
        <w:ind w:right="460" w:firstLine="432"/>
        <w:spacing w:after="0" w:line="277" w:lineRule="auto"/>
        <w:rPr>
          <w:sz w:val="20"/>
          <w:szCs w:val="20"/>
          <w:color w:val="auto"/>
        </w:rPr>
      </w:pPr>
      <w:r>
        <w:rPr>
          <w:rFonts w:ascii="Arial" w:cs="Arial" w:eastAsia="Arial" w:hAnsi="Arial"/>
          <w:sz w:val="18"/>
          <w:szCs w:val="18"/>
          <w:color w:val="auto"/>
        </w:rPr>
        <w:t>The markets for our products, particularly in networking and connectivity, are intensely competitive, and are characterized by rapid technological change, evolving industry standards, frequent new product introductions and pricing</w:t>
      </w:r>
    </w:p>
    <w:p>
      <w:pPr>
        <w:spacing w:after="0" w:line="1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60"/>
          </w:cols>
          <w:pgMar w:left="240" w:top="908" w:right="299" w:bottom="1440" w:gutter="0" w:footer="0" w:header="0"/>
        </w:sectPr>
      </w:pPr>
    </w:p>
    <w:bookmarkStart w:id="9" w:name="page10"/>
    <w:bookmarkEnd w:id="9"/>
    <w:p>
      <w:pPr>
        <w:ind w:right="200"/>
        <w:spacing w:after="0" w:line="259" w:lineRule="auto"/>
        <w:rPr>
          <w:sz w:val="20"/>
          <w:szCs w:val="20"/>
          <w:color w:val="auto"/>
        </w:rPr>
      </w:pPr>
      <w:r>
        <w:rPr>
          <w:rFonts w:ascii="Arial" w:cs="Arial" w:eastAsia="Arial" w:hAnsi="Arial"/>
          <w:sz w:val="18"/>
          <w:szCs w:val="18"/>
          <w:color w:val="auto"/>
        </w:rPr>
        <w:t>pressures. Competition has intensified as a result of the increasing demand for higher levels of performance and integration and smaller process geometries. We expect competition to intensify as current competitors continue to strengthen the depth and breadth of their product offerings, either through in-house development or by acquiring existing technology. We believe that our ability to compete successfully in the rapidly evolving markets for our products depends on a number of factors, including, but not limited to:</w:t>
      </w:r>
    </w:p>
    <w:p>
      <w:pPr>
        <w:spacing w:after="0" w:line="79" w:lineRule="exact"/>
        <w:rPr>
          <w:sz w:val="20"/>
          <w:szCs w:val="20"/>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performance, features, quality and price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Emergence, rate of adoption and acceptance of new industry standards;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obtain adequate foundry capacity with the appropriate technological capability;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w:t>
      </w:r>
    </w:p>
    <w:p>
      <w:pPr>
        <w:spacing w:after="0" w:line="103" w:lineRule="exact"/>
        <w:rPr>
          <w:sz w:val="20"/>
          <w:szCs w:val="20"/>
          <w:color w:val="auto"/>
        </w:rPr>
      </w:pPr>
    </w:p>
    <w:p>
      <w:pPr>
        <w:ind w:firstLine="432"/>
        <w:spacing w:after="0" w:line="259" w:lineRule="auto"/>
        <w:rPr>
          <w:sz w:val="20"/>
          <w:szCs w:val="20"/>
          <w:color w:val="auto"/>
        </w:rPr>
      </w:pPr>
      <w:r>
        <w:rPr>
          <w:rFonts w:ascii="Arial" w:cs="Arial" w:eastAsia="Arial" w:hAnsi="Arial"/>
          <w:sz w:val="18"/>
          <w:szCs w:val="18"/>
          <w:color w:val="auto"/>
        </w:rPr>
        <w:t>Our major competitors for our products include Broadcom Limited, Cavium, Inc., MediaTek, Inc., QUALCOMM, Inc., Quantenna Communications Inc. and Silicon Motion Technology Corporation. We expect increased competition in the future from emerging or established companies, or alliances among competitors, customers or other third parties, any of which could acquire significant market share. See “Risk Factors” under Item 1A of this Annual Report on Form 10-K for a discussion of competitive risks associated with our business.</w:t>
      </w:r>
    </w:p>
    <w:p>
      <w:pPr>
        <w:spacing w:after="0" w:line="79" w:lineRule="exact"/>
        <w:rPr>
          <w:sz w:val="20"/>
          <w:szCs w:val="20"/>
          <w:color w:val="auto"/>
        </w:rPr>
      </w:pPr>
    </w:p>
    <w:p>
      <w:pPr>
        <w:ind w:right="100" w:firstLine="432"/>
        <w:spacing w:after="0" w:line="276" w:lineRule="auto"/>
        <w:rPr>
          <w:sz w:val="20"/>
          <w:szCs w:val="20"/>
          <w:color w:val="auto"/>
        </w:rPr>
      </w:pPr>
      <w:r>
        <w:rPr>
          <w:rFonts w:ascii="Arial" w:cs="Arial" w:eastAsia="Arial" w:hAnsi="Arial"/>
          <w:sz w:val="17"/>
          <w:szCs w:val="17"/>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and reduce the cost of our products. To accomplish this, we intend to continue to implement design changes that lower the cost of manufacturing, assembly and testing of our products. See “Risk Factors” under Item 1A of this Annual Report on Form 10-K for a discussion of pricing risks.</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of January 28, 2017, we had a total of 4,617 employees.</w:t>
      </w:r>
    </w:p>
    <w:p>
      <w:pPr>
        <w:spacing w:after="0" w:line="11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21" w:lineRule="exact"/>
        <w:rPr>
          <w:sz w:val="20"/>
          <w:szCs w:val="20"/>
          <w:color w:val="auto"/>
        </w:rPr>
      </w:pPr>
    </w:p>
    <w:p>
      <w:pPr>
        <w:ind w:right="160" w:firstLine="432"/>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40"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62"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62" w:lineRule="exact"/>
        <w:rPr>
          <w:sz w:val="20"/>
          <w:szCs w:val="20"/>
          <w:color w:val="auto"/>
        </w:rPr>
      </w:pPr>
    </w:p>
    <w:p>
      <w:pPr>
        <w:ind w:left="820" w:right="140" w:hanging="420"/>
        <w:spacing w:after="0" w:line="277"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62"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117"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117"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117" w:lineRule="exact"/>
        <w:rPr>
          <w:rFonts w:ascii="Arial" w:cs="Arial" w:eastAsia="Arial" w:hAnsi="Arial"/>
          <w:sz w:val="18"/>
          <w:szCs w:val="18"/>
          <w:color w:val="auto"/>
        </w:rPr>
      </w:pPr>
    </w:p>
    <w:p>
      <w:pPr>
        <w:ind w:left="820" w:right="460" w:hanging="420"/>
        <w:spacing w:after="0" w:line="277"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62" w:lineRule="exact"/>
        <w:rPr>
          <w:rFonts w:ascii="Arial" w:cs="Arial" w:eastAsia="Arial" w:hAnsi="Arial"/>
          <w:sz w:val="18"/>
          <w:szCs w:val="18"/>
          <w:color w:val="auto"/>
        </w:rPr>
      </w:pPr>
    </w:p>
    <w:p>
      <w:pPr>
        <w:ind w:left="820" w:right="440" w:hanging="420"/>
        <w:spacing w:after="0" w:line="277"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successfully restructure our operations within our anticipated timeframe announced in November 2016 and with our anticipated savings;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908" w:right="239" w:bottom="1440" w:gutter="0" w:footer="0" w:header="0"/>
        </w:sectPr>
      </w:pPr>
    </w:p>
    <w:bookmarkStart w:id="10" w:name="page11"/>
    <w:bookmarkEnd w:id="10"/>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effects of any potential acquisitions, divestitures or significant investments;</w:t>
      </w:r>
    </w:p>
    <w:p>
      <w:pPr>
        <w:spacing w:after="0" w:line="63" w:lineRule="exact"/>
        <w:rPr>
          <w:rFonts w:ascii="Arial" w:cs="Arial" w:eastAsia="Arial" w:hAnsi="Arial"/>
          <w:sz w:val="18"/>
          <w:szCs w:val="18"/>
          <w:color w:val="auto"/>
        </w:rPr>
      </w:pPr>
    </w:p>
    <w:p>
      <w:pPr>
        <w:ind w:left="820" w:right="240" w:hanging="420"/>
        <w:spacing w:after="0" w:line="387"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7"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40" w:lineRule="exact"/>
        <w:rPr>
          <w:rFonts w:ascii="Arial" w:cs="Arial" w:eastAsia="Arial" w:hAnsi="Arial"/>
          <w:sz w:val="16"/>
          <w:szCs w:val="16"/>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117"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117"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117" w:lineRule="exact"/>
        <w:rPr>
          <w:rFonts w:ascii="Arial" w:cs="Arial" w:eastAsia="Arial" w:hAnsi="Arial"/>
          <w:sz w:val="18"/>
          <w:szCs w:val="18"/>
          <w:color w:val="auto"/>
        </w:rPr>
      </w:pPr>
    </w:p>
    <w:p>
      <w:pPr>
        <w:ind w:left="820" w:right="160" w:hanging="420"/>
        <w:spacing w:after="0" w:line="277"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62"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117" w:lineRule="exact"/>
        <w:rPr>
          <w:rFonts w:ascii="Arial" w:cs="Arial" w:eastAsia="Arial" w:hAnsi="Arial"/>
          <w:sz w:val="18"/>
          <w:szCs w:val="18"/>
          <w:color w:val="auto"/>
        </w:rPr>
      </w:pPr>
    </w:p>
    <w:p>
      <w:pPr>
        <w:ind w:left="820" w:right="360" w:hanging="420"/>
        <w:spacing w:after="0" w:line="342" w:lineRule="auto"/>
        <w:tabs>
          <w:tab w:leader="none" w:pos="8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5" w:lineRule="exact"/>
        <w:rPr>
          <w:rFonts w:ascii="Arial" w:cs="Arial" w:eastAsia="Arial" w:hAnsi="Arial"/>
          <w:sz w:val="16"/>
          <w:szCs w:val="16"/>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attract and retain a highly skilled workforce, especially managerial, engineering, sales and marketing personnel.</w:t>
      </w:r>
    </w:p>
    <w:p>
      <w:pPr>
        <w:spacing w:after="0" w:line="117" w:lineRule="exact"/>
        <w:rPr>
          <w:sz w:val="20"/>
          <w:szCs w:val="20"/>
          <w:color w:val="auto"/>
        </w:rPr>
      </w:pPr>
    </w:p>
    <w:p>
      <w:pPr>
        <w:ind w:firstLine="432"/>
        <w:spacing w:after="0" w:line="255"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During fiscal 2017, our common shares traded as low as $8.32 and as high as $15.45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3"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including efforts such as our restructuring announced in November 2016, our business and profitability could be materially and adversely affected.</w:t>
      </w:r>
    </w:p>
    <w:p>
      <w:pPr>
        <w:spacing w:after="0" w:line="73" w:lineRule="exact"/>
        <w:rPr>
          <w:sz w:val="20"/>
          <w:szCs w:val="20"/>
          <w:color w:val="auto"/>
        </w:rPr>
      </w:pPr>
    </w:p>
    <w:p>
      <w:pPr>
        <w:ind w:right="100" w:firstLine="392"/>
        <w:spacing w:after="0" w:line="276" w:lineRule="auto"/>
        <w:rPr>
          <w:sz w:val="20"/>
          <w:szCs w:val="20"/>
          <w:color w:val="auto"/>
        </w:rPr>
      </w:pPr>
      <w:r>
        <w:rPr>
          <w:rFonts w:ascii="Arial" w:cs="Arial" w:eastAsia="Arial" w:hAnsi="Arial"/>
          <w:sz w:val="17"/>
          <w:szCs w:val="17"/>
          <w:color w:val="auto"/>
        </w:rPr>
        <w:t>To achieve our business objectives, it may be necessary from time to time for us to expand or contract our operations. For example, in November 2016, we announced a plan to restructure our operations to refocus our research and development, increase operational efficiency and improve profitability. We expect that the restructuring actions, which include discontinuing investment in specific research and development programs, streamlining engineering processes, and consolidating research and development sites, will eliminate approximately 900 positions worldwide. In addition, we are in the process of divesting certain businesses. These actions are expected to be fully executed by the end of October 2017.</w:t>
      </w:r>
    </w:p>
    <w:p>
      <w:pPr>
        <w:spacing w:after="0" w:line="64" w:lineRule="exact"/>
        <w:rPr>
          <w:sz w:val="20"/>
          <w:szCs w:val="20"/>
          <w:color w:val="auto"/>
        </w:rPr>
      </w:pPr>
    </w:p>
    <w:p>
      <w:pPr>
        <w:ind w:right="100" w:firstLine="392"/>
        <w:spacing w:after="0" w:line="293" w:lineRule="auto"/>
        <w:rPr>
          <w:sz w:val="20"/>
          <w:szCs w:val="20"/>
          <w:color w:val="auto"/>
        </w:rPr>
      </w:pPr>
      <w:r>
        <w:rPr>
          <w:rFonts w:ascii="Arial" w:cs="Arial" w:eastAsia="Arial" w:hAnsi="Arial"/>
          <w:sz w:val="16"/>
          <w:szCs w:val="16"/>
          <w:color w:val="auto"/>
        </w:rPr>
        <w:t>Our ability to scale our workforce and operations in a sufficiently timely manner to respond effectively to changes in demand for our existing products, or to the demand for new products requested by our customers, is critical to our future success. While we expect to realize efficiencies from these actions, these activities might not produce the full efficiency and cost reduction benefits we expect. Further, such benefits might be realized later than expected, and the ongoing costs of implementing these measures might be greater than anticipated. If these measures are not successful or sustainable, we might undertake additional realignment and cost reduction efforts, which could result in future charges. In the event that we are unable to execute on our restructuring plan to the extent currently anticipated, our ability to meet competitive challenges or exploit key market opportunities could be materially and adversely affected.</w:t>
      </w:r>
    </w:p>
    <w:p>
      <w:pPr>
        <w:spacing w:after="0" w:line="165"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170"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908" w:right="259" w:bottom="1440" w:gutter="0" w:footer="0" w:header="0"/>
        </w:sectPr>
      </w:pPr>
    </w:p>
    <w:bookmarkStart w:id="11" w:name="page12"/>
    <w:bookmarkEnd w:id="11"/>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248" w:lineRule="exact"/>
        <w:rPr>
          <w:rFonts w:ascii="Arial" w:cs="Arial" w:eastAsia="Arial" w:hAnsi="Arial"/>
          <w:sz w:val="16"/>
          <w:szCs w:val="16"/>
          <w:color w:val="auto"/>
        </w:rPr>
      </w:pPr>
    </w:p>
    <w:p>
      <w:pPr>
        <w:ind w:left="820" w:hanging="420"/>
        <w:spacing w:after="0" w:line="277" w:lineRule="auto"/>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225" w:lineRule="exact"/>
        <w:rPr>
          <w:rFonts w:ascii="Arial" w:cs="Arial" w:eastAsia="Arial" w:hAnsi="Arial"/>
          <w:sz w:val="18"/>
          <w:szCs w:val="18"/>
          <w:color w:val="auto"/>
        </w:rPr>
      </w:pPr>
    </w:p>
    <w:p>
      <w:pPr>
        <w:ind w:left="820" w:right="720" w:hanging="420"/>
        <w:spacing w:after="0" w:line="277" w:lineRule="auto"/>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225" w:lineRule="exact"/>
        <w:rPr>
          <w:sz w:val="20"/>
          <w:szCs w:val="20"/>
          <w:color w:val="auto"/>
        </w:rPr>
      </w:pPr>
    </w:p>
    <w:p>
      <w:pPr>
        <w:ind w:right="200" w:firstLine="378"/>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47" w:lineRule="exact"/>
        <w:rPr>
          <w:sz w:val="20"/>
          <w:szCs w:val="20"/>
          <w:color w:val="auto"/>
        </w:rPr>
      </w:pPr>
    </w:p>
    <w:p>
      <w:pPr>
        <w:jc w:val="both"/>
        <w:ind w:firstLine="378"/>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6"/>
          <w:szCs w:val="16"/>
          <w:color w:val="auto"/>
        </w:rPr>
        <w:t>If we do enter into agreements with respect to acquisitions, divestitures, or other transactions, we may fail to complete them due to factors such as:</w:t>
      </w:r>
    </w:p>
    <w:p>
      <w:pPr>
        <w:spacing w:after="0" w:line="248" w:lineRule="exact"/>
        <w:rPr>
          <w:sz w:val="20"/>
          <w:szCs w:val="20"/>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IP disputes or other litigation; or</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225" w:lineRule="exact"/>
        <w:rPr>
          <w:sz w:val="20"/>
          <w:szCs w:val="20"/>
          <w:color w:val="auto"/>
        </w:rPr>
      </w:pPr>
    </w:p>
    <w:p>
      <w:pPr>
        <w:ind w:right="360" w:firstLine="378"/>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225" w:lineRule="exact"/>
        <w:rPr>
          <w:sz w:val="20"/>
          <w:szCs w:val="20"/>
          <w:color w:val="auto"/>
        </w:rPr>
      </w:pPr>
    </w:p>
    <w:p>
      <w:pPr>
        <w:ind w:right="40" w:firstLine="378"/>
        <w:spacing w:after="0" w:line="286" w:lineRule="auto"/>
        <w:rPr>
          <w:sz w:val="20"/>
          <w:szCs w:val="20"/>
          <w:color w:val="auto"/>
        </w:rPr>
      </w:pPr>
      <w:r>
        <w:rPr>
          <w:rFonts w:ascii="Arial" w:cs="Arial" w:eastAsia="Arial" w:hAnsi="Arial"/>
          <w:sz w:val="16"/>
          <w:szCs w:val="16"/>
          <w:color w:val="auto"/>
        </w:rPr>
        <w:t>The semiconductor industry, and specifically the storage, networking and connectivity markets, are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and commit to future roadmaps that have technical risks. Some of our competitors may be better situated to meet changing customer needs and secure design wins. Increasing competition in the markets in which we operate may negatively impact our revenues and gross margins.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w:t>
      </w:r>
    </w:p>
    <w:p>
      <w:pPr>
        <w:spacing w:after="0" w:line="1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800" w:right="279" w:bottom="1440" w:gutter="0" w:footer="0" w:header="0"/>
        </w:sectPr>
      </w:pPr>
    </w:p>
    <w:bookmarkStart w:id="12" w:name="page13"/>
    <w:bookmarkEnd w:id="12"/>
    <w:p>
      <w:pPr>
        <w:ind w:right="20"/>
        <w:spacing w:after="0" w:line="277" w:lineRule="auto"/>
        <w:rPr>
          <w:sz w:val="20"/>
          <w:szCs w:val="20"/>
          <w:color w:val="auto"/>
        </w:rPr>
      </w:pPr>
      <w:r>
        <w:rPr>
          <w:rFonts w:ascii="Arial" w:cs="Arial" w:eastAsia="Arial" w:hAnsi="Arial"/>
          <w:sz w:val="18"/>
          <w:szCs w:val="18"/>
          <w:color w:val="auto"/>
        </w:rPr>
        <w:t>compete successfully against existing or new competitors, which would harm our results of operations. As the technology inflections happen, our competitors may get ahead of us and negatively impact our market share.</w:t>
      </w:r>
    </w:p>
    <w:p>
      <w:pPr>
        <w:spacing w:after="0" w:line="170" w:lineRule="exact"/>
        <w:rPr>
          <w:sz w:val="20"/>
          <w:szCs w:val="20"/>
          <w:color w:val="auto"/>
        </w:rPr>
      </w:pPr>
    </w:p>
    <w:p>
      <w:pPr>
        <w:ind w:right="100" w:firstLine="37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18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170" w:lineRule="exact"/>
        <w:rPr>
          <w:sz w:val="20"/>
          <w:szCs w:val="20"/>
          <w:color w:val="auto"/>
        </w:rPr>
      </w:pPr>
    </w:p>
    <w:p>
      <w:pPr>
        <w:ind w:firstLine="378"/>
        <w:spacing w:after="0" w:line="264" w:lineRule="auto"/>
        <w:rPr>
          <w:sz w:val="20"/>
          <w:szCs w:val="20"/>
          <w:color w:val="auto"/>
        </w:rPr>
      </w:pPr>
      <w:r>
        <w:rPr>
          <w:rFonts w:ascii="Arial" w:cs="Arial" w:eastAsia="Arial" w:hAnsi="Arial"/>
          <w:sz w:val="18"/>
          <w:szCs w:val="18"/>
          <w:color w:val="auto"/>
        </w:rPr>
        <w:t>The HDD industry is intensely competitive and technology inflections are happening rapidly. 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81" w:lineRule="exact"/>
        <w:rPr>
          <w:sz w:val="20"/>
          <w:szCs w:val="20"/>
          <w:color w:val="auto"/>
        </w:rPr>
      </w:pPr>
    </w:p>
    <w:p>
      <w:pPr>
        <w:ind w:right="140" w:firstLine="378"/>
        <w:spacing w:after="0" w:line="264"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81"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In addition, the HDD industry has experienced significant consolidation.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87" w:lineRule="exact"/>
        <w:rPr>
          <w:sz w:val="20"/>
          <w:szCs w:val="20"/>
          <w:color w:val="auto"/>
        </w:rPr>
      </w:pPr>
    </w:p>
    <w:p>
      <w:pPr>
        <w:ind w:right="180" w:firstLine="378"/>
        <w:spacing w:after="0" w:line="293" w:lineRule="auto"/>
        <w:rPr>
          <w:sz w:val="20"/>
          <w:szCs w:val="20"/>
          <w:color w:val="auto"/>
        </w:rPr>
      </w:pPr>
      <w:r>
        <w:rPr>
          <w:rFonts w:ascii="Arial" w:cs="Arial" w:eastAsia="Arial" w:hAnsi="Arial"/>
          <w:sz w:val="16"/>
          <w:szCs w:val="16"/>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 Additionally, we depend on a few customers for our SSD controllers and as such, the loss of any SSD controller customer or a significant reduction in sales we make to them may harm our financial condition and results of operations. Unlike in the HDD industry, SSD customers may develop their own controllers, which could pose a challenge to our market share in the SSD space.</w:t>
      </w:r>
    </w:p>
    <w:p>
      <w:pPr>
        <w:spacing w:after="0" w:line="57"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revenues may decrease substantially and our results of operations and financial condition may be harmed.</w:t>
      </w:r>
    </w:p>
    <w:p>
      <w:pPr>
        <w:spacing w:after="0" w:line="57" w:lineRule="exact"/>
        <w:rPr>
          <w:sz w:val="20"/>
          <w:szCs w:val="20"/>
          <w:color w:val="auto"/>
        </w:rPr>
      </w:pPr>
    </w:p>
    <w:p>
      <w:pPr>
        <w:ind w:right="40" w:firstLine="432"/>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34% and 33% of our net revenue for fiscal 2017 and fiscal 2016,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 For example, Toshiba Corporation has recently announced significant financial difficulties not directly related to their semiconductor business but which may have an adverse effect on its overall financial condition or result in a divestiture of the semiconductor portion of its business that purchases our products.</w:t>
      </w:r>
    </w:p>
    <w:p>
      <w:pPr>
        <w:spacing w:after="0" w:line="167" w:lineRule="exact"/>
        <w:rPr>
          <w:sz w:val="20"/>
          <w:szCs w:val="20"/>
          <w:color w:val="auto"/>
        </w:rPr>
      </w:pPr>
    </w:p>
    <w:p>
      <w:pPr>
        <w:ind w:right="140" w:firstLine="378"/>
        <w:spacing w:after="0" w:line="264" w:lineRule="auto"/>
        <w:rPr>
          <w:sz w:val="20"/>
          <w:szCs w:val="20"/>
          <w:color w:val="auto"/>
        </w:rPr>
      </w:pPr>
      <w:r>
        <w:rPr>
          <w:rFonts w:ascii="Arial" w:cs="Arial" w:eastAsia="Arial" w:hAnsi="Arial"/>
          <w:sz w:val="18"/>
          <w:szCs w:val="18"/>
          <w:color w:val="auto"/>
        </w:rPr>
        <w:t>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40" w:top="800" w:right="259" w:bottom="1440" w:gutter="0" w:footer="0" w:header="0"/>
        </w:sectPr>
      </w:pPr>
    </w:p>
    <w:bookmarkStart w:id="13" w:name="page14"/>
    <w:bookmarkEnd w:id="13"/>
    <w:p>
      <w:pPr>
        <w:ind w:left="820" w:right="420" w:hanging="420"/>
        <w:spacing w:after="0" w:line="277"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225" w:lineRule="exact"/>
        <w:rPr>
          <w:rFonts w:ascii="Arial" w:cs="Arial" w:eastAsia="Arial" w:hAnsi="Arial"/>
          <w:sz w:val="18"/>
          <w:szCs w:val="18"/>
          <w:color w:val="auto"/>
        </w:rPr>
      </w:pPr>
    </w:p>
    <w:p>
      <w:pPr>
        <w:ind w:left="820" w:right="180" w:hanging="420"/>
        <w:spacing w:after="0" w:line="264"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has announced an intent to sell a portion of its semiconductor business), which could lead to changing demand for our products, replacement of our products by the merged entity with those of our competitors and cancellation of orders.</w:t>
      </w:r>
    </w:p>
    <w:p>
      <w:pPr>
        <w:spacing w:after="0" w:line="181" w:lineRule="exact"/>
        <w:rPr>
          <w:sz w:val="20"/>
          <w:szCs w:val="20"/>
          <w:color w:val="auto"/>
        </w:rPr>
      </w:pPr>
    </w:p>
    <w:p>
      <w:pPr>
        <w:ind w:right="280" w:firstLine="378"/>
        <w:spacing w:after="0" w:line="277" w:lineRule="auto"/>
        <w:rPr>
          <w:sz w:val="20"/>
          <w:szCs w:val="20"/>
          <w:color w:val="auto"/>
        </w:rPr>
      </w:pPr>
      <w:r>
        <w:rPr>
          <w:rFonts w:ascii="Arial" w:cs="Arial" w:eastAsia="Arial" w:hAnsi="Arial"/>
          <w:sz w:val="18"/>
          <w:szCs w:val="18"/>
          <w:color w:val="auto"/>
        </w:rPr>
        <w:t>In addition, if regulatory activity, such as enforcement of U.S. export control and sanctions laws, were to materially limit our ability to makes sales to any of our significant customers, it could harm our results of operations, reputation and financial condition.</w:t>
      </w:r>
    </w:p>
    <w:p>
      <w:pPr>
        <w:spacing w:after="0" w:line="170"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7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in a timely and cost-effective manner.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8"/>
          <w:szCs w:val="18"/>
          <w:i w:val="1"/>
          <w:iCs w:val="1"/>
          <w:color w:val="auto"/>
        </w:rPr>
        <w:t>We may be unable to protect our intellectual property, which would negatively</w:t>
      </w:r>
      <w:r>
        <w:rPr>
          <w:rFonts w:ascii="Arial" w:cs="Arial" w:eastAsia="Arial" w:hAnsi="Arial"/>
          <w:sz w:val="18"/>
          <w:szCs w:val="18"/>
          <w:color w:val="auto"/>
        </w:rPr>
        <w:t xml:space="preserve"> </w:t>
      </w:r>
      <w:r>
        <w:rPr>
          <w:rFonts w:ascii="Arial" w:cs="Arial" w:eastAsia="Arial" w:hAnsi="Arial"/>
          <w:sz w:val="18"/>
          <w:szCs w:val="18"/>
          <w:i w:val="1"/>
          <w:iCs w:val="1"/>
          <w:color w:val="auto"/>
        </w:rPr>
        <w:t>affect our ability to compete.”</w:t>
      </w:r>
    </w:p>
    <w:p>
      <w:pPr>
        <w:spacing w:after="0" w:line="193" w:lineRule="exact"/>
        <w:rPr>
          <w:sz w:val="20"/>
          <w:szCs w:val="20"/>
          <w:color w:val="auto"/>
        </w:rPr>
      </w:pPr>
    </w:p>
    <w:p>
      <w:pPr>
        <w:ind w:right="20"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88"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170" w:lineRule="exact"/>
        <w:rPr>
          <w:sz w:val="20"/>
          <w:szCs w:val="20"/>
          <w:color w:val="auto"/>
        </w:rPr>
      </w:pPr>
    </w:p>
    <w:p>
      <w:pPr>
        <w:ind w:right="60" w:firstLine="378"/>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54" w:lineRule="exact"/>
        <w:rPr>
          <w:sz w:val="20"/>
          <w:szCs w:val="20"/>
          <w:color w:val="auto"/>
        </w:rPr>
      </w:pPr>
    </w:p>
    <w:p>
      <w:pPr>
        <w:ind w:firstLine="378"/>
        <w:spacing w:after="0" w:line="253" w:lineRule="auto"/>
        <w:rPr>
          <w:sz w:val="20"/>
          <w:szCs w:val="20"/>
          <w:color w:val="auto"/>
        </w:rPr>
      </w:pPr>
      <w:r>
        <w:rPr>
          <w:rFonts w:ascii="Arial" w:cs="Arial" w:eastAsia="Arial" w:hAnsi="Arial"/>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800" w:right="239" w:bottom="1440" w:gutter="0" w:footer="0" w:header="0"/>
        </w:sectPr>
      </w:pPr>
    </w:p>
    <w:bookmarkStart w:id="14" w:name="page15"/>
    <w:bookmarkEnd w:id="14"/>
    <w:p>
      <w:pPr>
        <w:ind w:right="820"/>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47"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181" w:lineRule="exact"/>
        <w:rPr>
          <w:sz w:val="20"/>
          <w:szCs w:val="20"/>
          <w:color w:val="auto"/>
        </w:rPr>
      </w:pPr>
    </w:p>
    <w:p>
      <w:pPr>
        <w:jc w:val="both"/>
        <w:ind w:right="24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right="60" w:firstLine="378"/>
        <w:spacing w:after="0" w:line="271"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79"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75"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88" w:lineRule="exact"/>
        <w:rPr>
          <w:sz w:val="20"/>
          <w:szCs w:val="20"/>
          <w:color w:val="auto"/>
        </w:rPr>
      </w:pPr>
    </w:p>
    <w:p>
      <w:pPr>
        <w:ind w:right="120" w:firstLine="378"/>
        <w:spacing w:after="0" w:line="257"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1017" w:right="239" w:bottom="1440" w:gutter="0" w:footer="0" w:header="0"/>
        </w:sectPr>
      </w:pPr>
    </w:p>
    <w:bookmarkStart w:id="15" w:name="page16"/>
    <w:bookmarkEnd w:id="15"/>
    <w:p>
      <w:pPr>
        <w:ind w:right="200"/>
        <w:spacing w:after="0" w:line="277" w:lineRule="auto"/>
        <w:rPr>
          <w:sz w:val="20"/>
          <w:szCs w:val="20"/>
          <w:color w:val="auto"/>
        </w:rPr>
      </w:pPr>
      <w:r>
        <w:rPr>
          <w:rFonts w:ascii="Arial" w:cs="Arial" w:eastAsia="Arial" w:hAnsi="Arial"/>
          <w:sz w:val="18"/>
          <w:szCs w:val="18"/>
          <w:color w:val="auto"/>
        </w:rPr>
        <w:t>us. Moreover, if we are able to secure foundry capacity, we may be obligated to use all of that capacity or incur penalties. These penalties may be expensive and could harm our financial results.</w:t>
      </w:r>
    </w:p>
    <w:p>
      <w:pPr>
        <w:spacing w:after="0" w:line="170"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firstLine="378"/>
        <w:spacing w:after="0" w:line="270"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which is a new technology.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 material</w:t>
      </w:r>
      <w:r>
        <w:rPr>
          <w:rFonts w:ascii="Arial" w:cs="Arial" w:eastAsia="Arial" w:hAnsi="Arial"/>
          <w:sz w:val="17"/>
          <w:szCs w:val="17"/>
          <w:color w:val="auto"/>
        </w:rPr>
        <w:t xml:space="preserve"> </w:t>
      </w:r>
      <w:r>
        <w:rPr>
          <w:rFonts w:ascii="Arial" w:cs="Arial" w:eastAsia="Arial" w:hAnsi="Arial"/>
          <w:sz w:val="17"/>
          <w:szCs w:val="17"/>
          <w:i w:val="1"/>
          <w:iCs w:val="1"/>
          <w:color w:val="auto"/>
        </w:rPr>
        <w:t>adverse effect on us.</w:t>
      </w:r>
      <w:r>
        <w:rPr>
          <w:rFonts w:ascii="Arial" w:cs="Arial" w:eastAsia="Arial" w:hAnsi="Arial"/>
          <w:sz w:val="17"/>
          <w:szCs w:val="17"/>
          <w:color w:val="auto"/>
        </w:rPr>
        <w:t>”</w:t>
      </w:r>
    </w:p>
    <w:p>
      <w:pPr>
        <w:spacing w:after="0" w:line="178" w:lineRule="exact"/>
        <w:rPr>
          <w:sz w:val="20"/>
          <w:szCs w:val="20"/>
          <w:color w:val="auto"/>
        </w:rPr>
      </w:pPr>
    </w:p>
    <w:p>
      <w:pPr>
        <w:jc w:val="both"/>
        <w:ind w:right="52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225" w:lineRule="exact"/>
        <w:rPr>
          <w:sz w:val="20"/>
          <w:szCs w:val="20"/>
          <w:color w:val="auto"/>
        </w:rPr>
      </w:pPr>
    </w:p>
    <w:p>
      <w:pPr>
        <w:ind w:right="24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81"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320" w:firstLine="378"/>
        <w:spacing w:after="0" w:line="255" w:lineRule="auto"/>
        <w:rPr>
          <w:sz w:val="20"/>
          <w:szCs w:val="20"/>
          <w:color w:val="auto"/>
        </w:rPr>
      </w:pPr>
      <w:r>
        <w:rPr>
          <w:rFonts w:ascii="Arial" w:cs="Arial" w:eastAsia="Arial" w:hAnsi="Arial"/>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193" w:lineRule="exact"/>
        <w:rPr>
          <w:sz w:val="20"/>
          <w:szCs w:val="20"/>
          <w:color w:val="auto"/>
        </w:rPr>
      </w:pPr>
    </w:p>
    <w:p>
      <w:pPr>
        <w:ind w:right="160" w:firstLine="378"/>
        <w:spacing w:after="0" w:line="257" w:lineRule="auto"/>
        <w:rPr>
          <w:sz w:val="20"/>
          <w:szCs w:val="20"/>
          <w:color w:val="auto"/>
        </w:rPr>
      </w:pPr>
      <w:r>
        <w:rPr>
          <w:rFonts w:ascii="Arial" w:cs="Arial" w:eastAsia="Arial" w:hAnsi="Arial"/>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188"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800" w:right="239" w:bottom="1440" w:gutter="0" w:footer="0" w:header="0"/>
        </w:sectPr>
      </w:pPr>
    </w:p>
    <w:bookmarkStart w:id="16" w:name="page17"/>
    <w:bookmarkEnd w:id="16"/>
    <w:p>
      <w:pPr>
        <w:ind w:right="16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235"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delay in revenue recognition or loss of revenues;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66" w:lineRule="exact"/>
        <w:rPr>
          <w:sz w:val="20"/>
          <w:szCs w:val="20"/>
          <w:color w:val="auto"/>
        </w:rPr>
      </w:pPr>
    </w:p>
    <w:p>
      <w:pPr>
        <w:jc w:val="both"/>
        <w:ind w:right="200"/>
        <w:spacing w:after="0" w:line="312" w:lineRule="auto"/>
        <w:rPr>
          <w:sz w:val="20"/>
          <w:szCs w:val="20"/>
          <w:color w:val="auto"/>
        </w:rPr>
      </w:pPr>
      <w:r>
        <w:rPr>
          <w:rFonts w:ascii="Arial" w:cs="Arial" w:eastAsia="Arial" w:hAnsi="Arial"/>
          <w:sz w:val="16"/>
          <w:szCs w:val="16"/>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147" w:lineRule="exact"/>
        <w:rPr>
          <w:sz w:val="20"/>
          <w:szCs w:val="20"/>
          <w:color w:val="auto"/>
        </w:rPr>
      </w:pPr>
    </w:p>
    <w:p>
      <w:pPr>
        <w:jc w:val="both"/>
        <w:ind w:right="180"/>
        <w:spacing w:after="0" w:line="264" w:lineRule="auto"/>
        <w:rPr>
          <w:sz w:val="20"/>
          <w:szCs w:val="20"/>
          <w:color w:val="auto"/>
        </w:rPr>
      </w:pPr>
      <w:r>
        <w:rPr>
          <w:rFonts w:ascii="Arial" w:cs="Arial" w:eastAsia="Arial" w:hAnsi="Arial"/>
          <w:sz w:val="18"/>
          <w:szCs w:val="18"/>
          <w:b w:val="1"/>
          <w:bCs w:val="1"/>
          <w:i w:val="1"/>
          <w:iCs w:val="1"/>
          <w:color w:val="auto"/>
        </w:rPr>
        <w:t>We have recently experienced a significant transition at the executive management level. If our new executive team is unable to engage and align mid-management or attract and retain the key talent needed for us to timely achieve our business objectives, our business and results of operations could be harmed.</w:t>
      </w:r>
    </w:p>
    <w:p>
      <w:pPr>
        <w:spacing w:after="0" w:line="181" w:lineRule="exact"/>
        <w:rPr>
          <w:sz w:val="20"/>
          <w:szCs w:val="20"/>
          <w:color w:val="auto"/>
        </w:rPr>
      </w:pPr>
    </w:p>
    <w:p>
      <w:pPr>
        <w:ind w:right="20" w:firstLine="378"/>
        <w:spacing w:after="0" w:line="270" w:lineRule="auto"/>
        <w:rPr>
          <w:sz w:val="20"/>
          <w:szCs w:val="20"/>
          <w:color w:val="auto"/>
        </w:rPr>
      </w:pPr>
      <w:r>
        <w:rPr>
          <w:rFonts w:ascii="Arial" w:cs="Arial" w:eastAsia="Arial" w:hAnsi="Arial"/>
          <w:sz w:val="17"/>
          <w:szCs w:val="17"/>
          <w:color w:val="auto"/>
        </w:rPr>
        <w:t>In April 2016, our co-founders, Dr. Sehat Sutardja and Ms. Weili Dai, left the company. Shortly thereafter, our board of directors was reconstituted in connection with our agreement with Starboard Value LLC and the company’s executive management team subsequently went through a significant transition, including the hiring of a new President and CEO, Chief Financial Officer, Chief Accounting Officer and Controller, Chief Operations Officer, Chief Legal Officer, Chief Human Resources Officer, Executive Vice President of Worldwide Sales and Marketing and appointment of new leaders for our storage, and networking and connectivity groups, and our corporate development organization. At the time of the filing of this Annual Report on Form 10-K, the longest tenured member of our executive team has been employed by the company for approximately ten months. While the individual members of our executive management team each have significant industry-related experience, they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5" w:lineRule="exact"/>
        <w:rPr>
          <w:sz w:val="20"/>
          <w:szCs w:val="20"/>
          <w:color w:val="auto"/>
        </w:rPr>
      </w:pPr>
    </w:p>
    <w:p>
      <w:pPr>
        <w:ind w:right="140"/>
        <w:spacing w:after="0" w:line="319" w:lineRule="auto"/>
        <w:rPr>
          <w:sz w:val="20"/>
          <w:szCs w:val="20"/>
          <w:color w:val="auto"/>
        </w:rPr>
      </w:pPr>
      <w:r>
        <w:rPr>
          <w:rFonts w:ascii="Arial" w:cs="Arial" w:eastAsia="Arial" w:hAnsi="Arial"/>
          <w:sz w:val="16"/>
          <w:szCs w:val="16"/>
          <w:color w:val="auto"/>
        </w:rPr>
        <w:t>In addition, the marketplace for senior executive management candidates is very competitive and limited, particularly in the Silicon Valley where our U.S. operations are based. Our growth may be adversely impacted if we are unable to attract and retain such key employees. Turnover of senior management can adversely impact our stock price, our results of operations and our client relationships, and has made recruiting for future management positions more difficult. Competition for senior leadership may increase our compensation expenses, which may negatively affect our profitability.</w:t>
      </w:r>
    </w:p>
    <w:p>
      <w:pPr>
        <w:spacing w:after="0" w:line="143" w:lineRule="exact"/>
        <w:rPr>
          <w:sz w:val="20"/>
          <w:szCs w:val="20"/>
          <w:color w:val="auto"/>
        </w:rPr>
      </w:pPr>
    </w:p>
    <w:p>
      <w:pPr>
        <w:ind w:right="260"/>
        <w:spacing w:after="0" w:line="342" w:lineRule="auto"/>
        <w:rPr>
          <w:sz w:val="20"/>
          <w:szCs w:val="20"/>
          <w:color w:val="auto"/>
        </w:rPr>
      </w:pPr>
      <w:r>
        <w:rPr>
          <w:rFonts w:ascii="Arial" w:cs="Arial" w:eastAsia="Arial" w:hAnsi="Arial"/>
          <w:sz w:val="16"/>
          <w:szCs w:val="16"/>
          <w:b w:val="1"/>
          <w:bCs w:val="1"/>
          <w:i w:val="1"/>
          <w:iCs w:val="1"/>
          <w:color w:val="auto"/>
        </w:rPr>
        <w:t>We depend on highly skilled engineering and sales and marketing personnel to support our business operations. If we are unable to retain our current personnel or attract additional qualified personnel, our ability to develop and successfully market our products could be harmed.</w:t>
      </w:r>
    </w:p>
    <w:p>
      <w:pPr>
        <w:spacing w:after="0" w:line="124" w:lineRule="exact"/>
        <w:rPr>
          <w:sz w:val="20"/>
          <w:szCs w:val="20"/>
          <w:color w:val="auto"/>
        </w:rPr>
      </w:pPr>
    </w:p>
    <w:p>
      <w:pPr>
        <w:ind w:firstLine="378"/>
        <w:spacing w:after="0" w:line="290"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 loss of such personnel could harm our business, as their knowledge of our business and industry would be extremely difficult to replace. In addition, the impact on employee morale experienced in connection with our recent restructuring efforts, which eliminated approximately 900 jobs worldwide, could make it more difficult for us to add to our workforce when needed due to speculation regarding our future restructuring activities.</w:t>
      </w: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80"/>
          </w:cols>
          <w:pgMar w:left="240" w:top="800" w:right="279" w:bottom="1440" w:gutter="0" w:footer="0" w:header="0"/>
        </w:sectPr>
      </w:pPr>
    </w:p>
    <w:bookmarkStart w:id="17" w:name="page18"/>
    <w:bookmarkEnd w:id="17"/>
    <w:p>
      <w:pPr>
        <w:ind w:right="480"/>
        <w:spacing w:after="0" w:line="264" w:lineRule="auto"/>
        <w:rPr>
          <w:sz w:val="20"/>
          <w:szCs w:val="20"/>
          <w:color w:val="auto"/>
        </w:rPr>
      </w:pPr>
      <w:r>
        <w:rPr>
          <w:rFonts w:ascii="Arial" w:cs="Arial" w:eastAsia="Arial" w:hAnsi="Arial"/>
          <w:sz w:val="18"/>
          <w:szCs w:val="18"/>
          <w:color w:val="auto"/>
        </w:rPr>
        <w:t>In addition, if recently introduced federal legislation relating to proposed changes to the H-1B and other visa programs is approved, such changes could negatively impact our ability to recruit and retain certain highly skilled technical personnel to support our product development teams, which could potentially increase our costs and harm our business and results of operations.</w:t>
      </w:r>
    </w:p>
    <w:p>
      <w:pPr>
        <w:spacing w:after="0" w:line="181"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18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viruses, destructive or inadequate code, malware, power failures, cyber-attacks, internal malfeasance or other events. 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78"/>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revenues.</w:t>
      </w:r>
    </w:p>
    <w:p>
      <w:pPr>
        <w:spacing w:after="0" w:line="187"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former member of our board of directors, related to his stated belief of ownership of certain patent rights related to the Final-Level Cache invention and his later assignment of associated patent rights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79" w:lineRule="exact"/>
        <w:rPr>
          <w:sz w:val="20"/>
          <w:szCs w:val="20"/>
          <w:color w:val="auto"/>
        </w:rPr>
      </w:pPr>
    </w:p>
    <w:p>
      <w:pPr>
        <w:ind w:right="80" w:firstLine="378"/>
        <w:spacing w:after="0" w:line="290"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16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800" w:right="259" w:bottom="1440" w:gutter="0" w:footer="0" w:header="0"/>
        </w:sectPr>
      </w:pPr>
    </w:p>
    <w:bookmarkStart w:id="18" w:name="page19"/>
    <w:bookmarkEnd w:id="18"/>
    <w:p>
      <w:pPr>
        <w:ind w:right="140"/>
        <w:spacing w:after="0" w:line="257" w:lineRule="auto"/>
        <w:rPr>
          <w:sz w:val="20"/>
          <w:szCs w:val="20"/>
          <w:color w:val="auto"/>
        </w:rPr>
      </w:pPr>
      <w:r>
        <w:rPr>
          <w:rFonts w:ascii="Arial" w:cs="Arial" w:eastAsia="Arial" w:hAnsi="Arial"/>
          <w:sz w:val="18"/>
          <w:szCs w:val="18"/>
          <w:color w:val="auto"/>
        </w:rPr>
        <w:t>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188"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181"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65" w:lineRule="exact"/>
        <w:rPr>
          <w:sz w:val="20"/>
          <w:szCs w:val="20"/>
          <w:color w:val="auto"/>
        </w:rPr>
      </w:pPr>
    </w:p>
    <w:p>
      <w:pPr>
        <w:ind w:right="6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78" w:lineRule="exact"/>
        <w:rPr>
          <w:sz w:val="20"/>
          <w:szCs w:val="20"/>
          <w:color w:val="auto"/>
        </w:rPr>
      </w:pPr>
    </w:p>
    <w:p>
      <w:pPr>
        <w:ind w:right="20" w:firstLine="378"/>
        <w:spacing w:after="0" w:line="257"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88"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93"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800" w:right="239" w:bottom="1440" w:gutter="0" w:footer="0" w:header="0"/>
        </w:sectPr>
      </w:pPr>
    </w:p>
    <w:bookmarkStart w:id="19" w:name="page20"/>
    <w:bookmarkEnd w:id="19"/>
    <w:p>
      <w:pPr>
        <w:ind w:firstLine="378"/>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94% of our net revenue in fiscal 2017 and 96% of our net revenue in each of fiscal 2015 and 2016.</w:t>
      </w:r>
    </w:p>
    <w:p>
      <w:pPr>
        <w:spacing w:after="0" w:line="173"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18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25" w:lineRule="exact"/>
        <w:rPr>
          <w:sz w:val="20"/>
          <w:szCs w:val="20"/>
          <w:color w:val="auto"/>
        </w:rPr>
      </w:pPr>
    </w:p>
    <w:p>
      <w:pPr>
        <w:ind w:left="820" w:hanging="420"/>
        <w:spacing w:after="0"/>
        <w:tabs>
          <w:tab w:leader="none" w:pos="8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48" w:lineRule="exact"/>
        <w:rPr>
          <w:rFonts w:ascii="Arial" w:cs="Arial" w:eastAsia="Arial" w:hAnsi="Arial"/>
          <w:sz w:val="16"/>
          <w:szCs w:val="16"/>
          <w:color w:val="auto"/>
        </w:rPr>
      </w:pPr>
    </w:p>
    <w:p>
      <w:pPr>
        <w:ind w:left="820" w:right="420" w:hanging="420"/>
        <w:spacing w:after="0" w:line="277"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170" w:lineRule="exact"/>
        <w:rPr>
          <w:rFonts w:ascii="Arial" w:cs="Arial" w:eastAsia="Arial" w:hAnsi="Arial"/>
          <w:sz w:val="18"/>
          <w:szCs w:val="18"/>
          <w:color w:val="auto"/>
        </w:rPr>
      </w:pPr>
    </w:p>
    <w:p>
      <w:pPr>
        <w:ind w:left="820" w:right="700" w:hanging="420"/>
        <w:spacing w:after="0" w:line="277"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170" w:lineRule="exact"/>
        <w:rPr>
          <w:rFonts w:ascii="Arial" w:cs="Arial" w:eastAsia="Arial" w:hAnsi="Arial"/>
          <w:sz w:val="18"/>
          <w:szCs w:val="18"/>
          <w:color w:val="auto"/>
        </w:rPr>
      </w:pPr>
    </w:p>
    <w:p>
      <w:pPr>
        <w:ind w:left="820" w:right="40" w:hanging="420"/>
        <w:spacing w:after="0" w:line="277"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225" w:lineRule="exact"/>
        <w:rPr>
          <w:rFonts w:ascii="Arial" w:cs="Arial" w:eastAsia="Arial" w:hAnsi="Arial"/>
          <w:sz w:val="18"/>
          <w:szCs w:val="18"/>
          <w:color w:val="auto"/>
        </w:rPr>
      </w:pPr>
    </w:p>
    <w:p>
      <w:pPr>
        <w:ind w:left="820" w:right="420" w:hanging="420"/>
        <w:spacing w:after="0" w:line="277"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trade restrictions, higher tariffs, or changes in cross border taxation, particularly in light of the prospect of changes in U.S. international trade policies following the recent U.S. presidential election;</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225" w:lineRule="exact"/>
        <w:rPr>
          <w:sz w:val="20"/>
          <w:szCs w:val="20"/>
          <w:color w:val="auto"/>
        </w:rPr>
      </w:pPr>
    </w:p>
    <w:p>
      <w:pPr>
        <w:ind w:right="440" w:firstLine="378"/>
        <w:spacing w:after="0" w:line="30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54" w:lineRule="exact"/>
        <w:rPr>
          <w:sz w:val="20"/>
          <w:szCs w:val="20"/>
          <w:color w:val="auto"/>
        </w:rPr>
      </w:pPr>
    </w:p>
    <w:p>
      <w:pPr>
        <w:ind w:right="44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1016" w:right="259" w:bottom="1440" w:gutter="0" w:footer="0" w:header="0"/>
        </w:sectPr>
      </w:pPr>
    </w:p>
    <w:bookmarkStart w:id="20" w:name="page21"/>
    <w:bookmarkEnd w:id="20"/>
    <w:p>
      <w:pPr>
        <w:ind w:right="68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170" w:lineRule="exact"/>
        <w:rPr>
          <w:sz w:val="20"/>
          <w:szCs w:val="20"/>
          <w:color w:val="auto"/>
        </w:rPr>
      </w:pPr>
    </w:p>
    <w:p>
      <w:pPr>
        <w:ind w:right="60" w:firstLine="378"/>
        <w:spacing w:after="0" w:line="255"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93" w:lineRule="exact"/>
        <w:rPr>
          <w:sz w:val="20"/>
          <w:szCs w:val="20"/>
          <w:color w:val="auto"/>
        </w:rPr>
      </w:pPr>
    </w:p>
    <w:p>
      <w:pPr>
        <w:ind w:firstLine="378"/>
        <w:spacing w:after="0" w:line="286" w:lineRule="auto"/>
        <w:rPr>
          <w:sz w:val="20"/>
          <w:szCs w:val="20"/>
          <w:color w:val="auto"/>
        </w:rPr>
      </w:pPr>
      <w:r>
        <w:rPr>
          <w:rFonts w:ascii="Arial" w:cs="Arial" w:eastAsia="Arial" w:hAnsi="Arial"/>
          <w:sz w:val="17"/>
          <w:szCs w:val="17"/>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66" w:lineRule="exact"/>
        <w:rPr>
          <w:sz w:val="20"/>
          <w:szCs w:val="20"/>
          <w:color w:val="auto"/>
        </w:rPr>
      </w:pPr>
    </w:p>
    <w:p>
      <w:pPr>
        <w:ind w:right="40" w:firstLine="378"/>
        <w:spacing w:after="0" w:line="294"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w:t>
      </w:r>
      <w:r>
        <w:rPr>
          <w:rFonts w:ascii="Arial" w:cs="Arial" w:eastAsia="Arial" w:hAnsi="Arial"/>
          <w:sz w:val="13"/>
          <w:szCs w:val="13"/>
          <w:color w:val="auto"/>
        </w:rPr>
        <w:t>.</w:t>
      </w:r>
      <w:r>
        <w:rPr>
          <w:rFonts w:ascii="Arial" w:cs="Arial" w:eastAsia="Arial" w:hAnsi="Arial"/>
          <w:sz w:val="16"/>
          <w:szCs w:val="16"/>
          <w:color w:val="auto"/>
        </w:rPr>
        <w:t xml:space="preserve">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64"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225" w:lineRule="exact"/>
        <w:rPr>
          <w:sz w:val="20"/>
          <w:szCs w:val="20"/>
          <w:color w:val="auto"/>
        </w:rPr>
      </w:pPr>
    </w:p>
    <w:p>
      <w:pPr>
        <w:ind w:right="60" w:firstLine="378"/>
        <w:spacing w:after="0" w:line="268"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185" w:lineRule="exact"/>
        <w:rPr>
          <w:sz w:val="20"/>
          <w:szCs w:val="20"/>
          <w:color w:val="auto"/>
        </w:rPr>
      </w:pPr>
    </w:p>
    <w:p>
      <w:pPr>
        <w:ind w:right="80" w:firstLine="378"/>
        <w:spacing w:after="0" w:line="276"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The European Commission has also conducted investigations in multiple countries focusing on whether local country tax rulings or tax legislation provides preferential tax treatment that violates European Union state aid rules and concluded that certain countries, including Ireland and Belgium, have provided illegal state aid in certain cases. We can provide no assurance that</w:t>
      </w:r>
    </w:p>
    <w:p>
      <w:pPr>
        <w:spacing w:after="0" w:line="2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1017" w:right="239" w:bottom="1440" w:gutter="0" w:footer="0" w:header="0"/>
        </w:sectPr>
      </w:pPr>
    </w:p>
    <w:bookmarkStart w:id="21" w:name="page22"/>
    <w:bookmarkEnd w:id="21"/>
    <w:p>
      <w:pPr>
        <w:spacing w:after="0"/>
        <w:rPr>
          <w:sz w:val="20"/>
          <w:szCs w:val="20"/>
          <w:color w:val="auto"/>
        </w:rPr>
      </w:pPr>
      <w:r>
        <w:rPr>
          <w:rFonts w:ascii="Arial" w:cs="Arial" w:eastAsia="Arial" w:hAnsi="Arial"/>
          <w:sz w:val="17"/>
          <w:szCs w:val="17"/>
          <w:color w:val="auto"/>
        </w:rPr>
        <w:t>additional investigations would not have an adverse impact on some of our operations in countries in which future investigations may be conducted.</w:t>
      </w:r>
    </w:p>
    <w:p>
      <w:pPr>
        <w:spacing w:after="0" w:line="237" w:lineRule="exact"/>
        <w:rPr>
          <w:sz w:val="20"/>
          <w:szCs w:val="20"/>
          <w:color w:val="auto"/>
        </w:rPr>
      </w:pPr>
    </w:p>
    <w:p>
      <w:pPr>
        <w:ind w:right="60" w:firstLine="378"/>
        <w:spacing w:after="0" w:line="259" w:lineRule="auto"/>
        <w:rPr>
          <w:sz w:val="20"/>
          <w:szCs w:val="20"/>
          <w:color w:val="auto"/>
        </w:rPr>
      </w:pPr>
      <w:r>
        <w:rPr>
          <w:rFonts w:ascii="Arial" w:cs="Arial" w:eastAsia="Arial" w:hAnsi="Arial"/>
          <w:sz w:val="18"/>
          <w:szCs w:val="18"/>
          <w:color w:val="auto"/>
        </w:rPr>
        <w:t>In addition, the current U.S. administration and key members of Congress have made public statements indicating that tax reform is a priority. Certain changes to U.S. tax laws, including reduction of the U.S. corporate tax rate, expansion of the U.S. tax base by eliminating certain deductions, implementation of a territorial tax system, and addition of a border adjustment mechanism, could have material consequences on the amount of tax we pay in the U.S. and thereby on our financial position and results of operations.</w:t>
      </w:r>
    </w:p>
    <w:p>
      <w:pPr>
        <w:spacing w:after="0" w:line="187" w:lineRule="exact"/>
        <w:rPr>
          <w:sz w:val="20"/>
          <w:szCs w:val="20"/>
          <w:color w:val="auto"/>
        </w:rPr>
      </w:pPr>
    </w:p>
    <w:p>
      <w:pPr>
        <w:ind w:right="140"/>
        <w:spacing w:after="0" w:line="279" w:lineRule="auto"/>
        <w:rPr>
          <w:sz w:val="20"/>
          <w:szCs w:val="20"/>
          <w:color w:val="auto"/>
        </w:rPr>
      </w:pPr>
      <w:r>
        <w:rPr>
          <w:rFonts w:ascii="Arial" w:cs="Arial" w:eastAsia="Arial" w:hAnsi="Arial"/>
          <w:sz w:val="17"/>
          <w:szCs w:val="17"/>
          <w:b w:val="1"/>
          <w:bCs w:val="1"/>
          <w:i w:val="1"/>
          <w:iCs w:val="1"/>
          <w:color w:val="auto"/>
        </w:rPr>
        <w:t>During fiscal 2016 and continuing into fiscal 2017, we identified material weaknesses in our internal controls over financial reporting. If we are unable to develop, implement and maintain effective internal controls in future periods, our consolidated financial statements could contain material misstatements which would cause us to issue a restatement thereof. A restatement of our consolidated financial statements could cause our investors to lose confidence in our reported financial information and lead to a decline in our stock price.</w:t>
      </w:r>
    </w:p>
    <w:p>
      <w:pPr>
        <w:spacing w:after="0" w:line="171" w:lineRule="exact"/>
        <w:rPr>
          <w:sz w:val="20"/>
          <w:szCs w:val="20"/>
          <w:color w:val="auto"/>
        </w:rPr>
      </w:pPr>
    </w:p>
    <w:p>
      <w:pPr>
        <w:ind w:firstLine="378"/>
        <w:spacing w:after="0" w:line="269" w:lineRule="auto"/>
        <w:rPr>
          <w:sz w:val="20"/>
          <w:szCs w:val="20"/>
          <w:color w:val="auto"/>
        </w:rPr>
      </w:pPr>
      <w:r>
        <w:rPr>
          <w:rFonts w:ascii="Arial" w:cs="Arial" w:eastAsia="Arial" w:hAnsi="Arial"/>
          <w:sz w:val="17"/>
          <w:szCs w:val="17"/>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January 28, 2017. The specific material weaknesses are described in Item 9A of this Annual Report on Form 10-K.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83" w:lineRule="exact"/>
        <w:rPr>
          <w:sz w:val="20"/>
          <w:szCs w:val="20"/>
          <w:color w:val="auto"/>
        </w:rPr>
      </w:pPr>
    </w:p>
    <w:p>
      <w:pPr>
        <w:ind w:right="160" w:firstLine="392"/>
        <w:spacing w:after="0" w:line="290"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66"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170" w:lineRule="exact"/>
        <w:rPr>
          <w:sz w:val="20"/>
          <w:szCs w:val="20"/>
          <w:color w:val="auto"/>
        </w:rPr>
      </w:pPr>
    </w:p>
    <w:p>
      <w:pPr>
        <w:ind w:firstLine="378"/>
        <w:spacing w:after="0" w:line="272" w:lineRule="auto"/>
        <w:rPr>
          <w:sz w:val="20"/>
          <w:szCs w:val="20"/>
          <w:color w:val="auto"/>
        </w:rPr>
      </w:pPr>
      <w:r>
        <w:rPr>
          <w:rFonts w:ascii="Arial" w:cs="Arial" w:eastAsia="Arial" w:hAnsi="Arial"/>
          <w:sz w:val="17"/>
          <w:szCs w:val="17"/>
          <w:color w:val="auto"/>
        </w:rPr>
        <w:t>As previously disclosed in our public filings,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78" w:lineRule="exact"/>
        <w:rPr>
          <w:sz w:val="20"/>
          <w:szCs w:val="20"/>
          <w:color w:val="auto"/>
        </w:rPr>
      </w:pPr>
    </w:p>
    <w:p>
      <w:pPr>
        <w:ind w:right="40" w:firstLine="392"/>
        <w:spacing w:after="0" w:line="259" w:lineRule="auto"/>
        <w:rPr>
          <w:sz w:val="20"/>
          <w:szCs w:val="20"/>
          <w:color w:val="auto"/>
        </w:rPr>
      </w:pPr>
      <w:r>
        <w:rPr>
          <w:rFonts w:ascii="Arial" w:cs="Arial" w:eastAsia="Arial" w:hAnsi="Arial"/>
          <w:sz w:val="18"/>
          <w:szCs w:val="18"/>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fiscal 2016 and the beginning of fiscal 2017 in meeting our periodic reports on the confidence of investors,</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800" w:right="259" w:bottom="1440" w:gutter="0" w:footer="0" w:header="0"/>
        </w:sectPr>
      </w:pPr>
    </w:p>
    <w:bookmarkStart w:id="22" w:name="page23"/>
    <w:bookmarkEnd w:id="22"/>
    <w:p>
      <w:pPr>
        <w:ind w:right="20"/>
        <w:spacing w:after="0" w:line="257" w:lineRule="auto"/>
        <w:rPr>
          <w:sz w:val="20"/>
          <w:szCs w:val="20"/>
          <w:color w:val="auto"/>
        </w:rPr>
      </w:pPr>
      <w:r>
        <w:rPr>
          <w:rFonts w:ascii="Arial" w:cs="Arial" w:eastAsia="Arial" w:hAnsi="Arial"/>
          <w:sz w:val="18"/>
          <w:szCs w:val="18"/>
          <w:color w:val="auto"/>
        </w:rPr>
        <w:t>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the twelve months preceding the filing of such registration statements, which may make it more difficult, costly or time consuming for us to raise capital if we should choose to do so.</w:t>
      </w:r>
    </w:p>
    <w:p>
      <w:pPr>
        <w:spacing w:after="0" w:line="188"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As a result of the matter reported above, we are exposed to greater risks associated with litigation, regulatory proceedings and government enforcement actions. In addition, securities class actions or other lawsuits have been filed against us, our directors and officers. Any future such investigations or additional lawsuits may adversely affect our business, financial condition, results of operations and cash flows.</w:t>
      </w:r>
    </w:p>
    <w:p>
      <w:pPr>
        <w:spacing w:after="0" w:line="181"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181"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Consolidated Financial Statements set forth in Part II, Item 8 of this Annual Report on Form 10-K for a more detailed description of a number of the litigation matters in which we are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 unable to protect our</w:t>
      </w:r>
      <w:r>
        <w:rPr>
          <w:rFonts w:ascii="Arial" w:cs="Arial" w:eastAsia="Arial" w:hAnsi="Arial"/>
          <w:sz w:val="17"/>
          <w:szCs w:val="17"/>
          <w:color w:val="auto"/>
        </w:rPr>
        <w:t xml:space="preserve"> </w:t>
      </w:r>
      <w:r>
        <w:rPr>
          <w:rFonts w:ascii="Arial" w:cs="Arial" w:eastAsia="Arial" w:hAnsi="Arial"/>
          <w:sz w:val="17"/>
          <w:szCs w:val="17"/>
          <w:i w:val="1"/>
          <w:iCs w:val="1"/>
          <w:color w:val="auto"/>
        </w:rPr>
        <w:t>intellectual property, which would negatively affect our ability to compete.”</w:t>
      </w:r>
    </w:p>
    <w:p>
      <w:pPr>
        <w:spacing w:after="0" w:line="178" w:lineRule="exact"/>
        <w:rPr>
          <w:sz w:val="20"/>
          <w:szCs w:val="20"/>
          <w:color w:val="auto"/>
        </w:rPr>
      </w:pPr>
    </w:p>
    <w:p>
      <w:pPr>
        <w:ind w:right="140" w:firstLine="378"/>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54" w:lineRule="exact"/>
        <w:rPr>
          <w:sz w:val="20"/>
          <w:szCs w:val="20"/>
          <w:color w:val="auto"/>
        </w:rPr>
      </w:pPr>
    </w:p>
    <w:p>
      <w:pPr>
        <w:ind w:left="820" w:right="280" w:hanging="420"/>
        <w:spacing w:after="0" w:line="277"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225" w:lineRule="exact"/>
        <w:rPr>
          <w:rFonts w:ascii="Arial" w:cs="Arial" w:eastAsia="Arial" w:hAnsi="Arial"/>
          <w:sz w:val="18"/>
          <w:szCs w:val="18"/>
          <w:color w:val="auto"/>
        </w:rPr>
      </w:pPr>
    </w:p>
    <w:p>
      <w:pPr>
        <w:ind w:left="820" w:right="380" w:hanging="420"/>
        <w:spacing w:after="0" w:line="277"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48" w:lineRule="exact"/>
        <w:rPr>
          <w:rFonts w:ascii="Arial" w:cs="Arial" w:eastAsia="Arial" w:hAnsi="Arial"/>
          <w:sz w:val="16"/>
          <w:szCs w:val="16"/>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4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87" w:lineRule="exact"/>
        <w:rPr>
          <w:sz w:val="20"/>
          <w:szCs w:val="20"/>
          <w:color w:val="auto"/>
        </w:rPr>
      </w:pPr>
    </w:p>
    <w:p>
      <w:pPr>
        <w:ind w:right="400" w:firstLine="378"/>
        <w:spacing w:after="0" w:line="264"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800" w:right="239" w:bottom="1440" w:gutter="0" w:footer="0" w:header="0"/>
        </w:sectPr>
      </w:pPr>
    </w:p>
    <w:bookmarkStart w:id="23" w:name="page24"/>
    <w:bookmarkEnd w:id="23"/>
    <w:p>
      <w:pPr>
        <w:ind w:right="20"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154"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170"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I-Item 3, “Legal Proceedings” of this Annual Report on Form 10-K.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the amounts we previously advanced to them.</w:t>
      </w:r>
    </w:p>
    <w:p>
      <w:pPr>
        <w:spacing w:after="0" w:line="167"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In addition, we have incurred significant expenses in connection with the Audit Committee’s independent investigation, the pending government investigations, and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225" w:lineRule="exact"/>
        <w:rPr>
          <w:sz w:val="20"/>
          <w:szCs w:val="20"/>
          <w:color w:val="auto"/>
        </w:rPr>
      </w:pPr>
    </w:p>
    <w:p>
      <w:pPr>
        <w:ind w:right="120" w:firstLine="378"/>
        <w:spacing w:after="0" w:line="257" w:lineRule="auto"/>
        <w:rPr>
          <w:sz w:val="20"/>
          <w:szCs w:val="20"/>
          <w:color w:val="auto"/>
        </w:rPr>
      </w:pPr>
      <w:r>
        <w:rPr>
          <w:rFonts w:ascii="Arial" w:cs="Arial" w:eastAsia="Arial" w:hAnsi="Arial"/>
          <w:sz w:val="18"/>
          <w:szCs w:val="18"/>
          <w:color w:val="auto"/>
        </w:rPr>
        <w:t>We had approximately $2.0 billion of goodwill on our consolidated balance sheet as of January 28, 2017.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188" w:lineRule="exact"/>
        <w:rPr>
          <w:sz w:val="20"/>
          <w:szCs w:val="20"/>
          <w:color w:val="auto"/>
        </w:rPr>
      </w:pPr>
    </w:p>
    <w:p>
      <w:pPr>
        <w:ind w:right="60" w:firstLine="378"/>
        <w:spacing w:after="0" w:line="254" w:lineRule="auto"/>
        <w:rPr>
          <w:sz w:val="20"/>
          <w:szCs w:val="20"/>
          <w:color w:val="auto"/>
        </w:rPr>
      </w:pPr>
      <w:r>
        <w:rPr>
          <w:rFonts w:ascii="Arial" w:cs="Arial" w:eastAsia="Arial" w:hAnsi="Arial"/>
          <w:sz w:val="18"/>
          <w:szCs w:val="18"/>
          <w:color w:val="auto"/>
        </w:rPr>
        <w:t>We have identified that our business operates as a single operating segment with two components (Storage, and Networking &amp; Connectivity), which we have concluded can be aggregated into a single reporting unit for purposes of testing goodwill impairment. As part of our restructuring announced in November 2016, our former Smart Networked Devices and Solutions component was renamed to Networking &amp; Connectivity.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192" w:lineRule="exact"/>
        <w:rPr>
          <w:sz w:val="20"/>
          <w:szCs w:val="20"/>
          <w:color w:val="auto"/>
        </w:rPr>
      </w:pPr>
    </w:p>
    <w:p>
      <w:pPr>
        <w:ind w:right="6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00" w:lineRule="exact"/>
        <w:rPr>
          <w:sz w:val="20"/>
          <w:szCs w:val="20"/>
          <w:color w:val="auto"/>
        </w:rPr>
      </w:pP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800" w:right="259" w:bottom="1440" w:gutter="0" w:footer="0" w:header="0"/>
        </w:sectPr>
      </w:pPr>
    </w:p>
    <w:bookmarkStart w:id="24" w:name="page25"/>
    <w:bookmarkEnd w:id="24"/>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248" w:lineRule="exact"/>
        <w:rPr>
          <w:sz w:val="20"/>
          <w:szCs w:val="20"/>
          <w:color w:val="auto"/>
        </w:rPr>
      </w:pPr>
    </w:p>
    <w:p>
      <w:pPr>
        <w:ind w:right="140" w:firstLine="392"/>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54" w:lineRule="exact"/>
        <w:rPr>
          <w:sz w:val="20"/>
          <w:szCs w:val="20"/>
          <w:color w:val="auto"/>
        </w:rPr>
      </w:pPr>
    </w:p>
    <w:p>
      <w:pPr>
        <w:ind w:right="20" w:firstLine="392"/>
        <w:spacing w:after="0" w:line="271" w:lineRule="auto"/>
        <w:rPr>
          <w:sz w:val="20"/>
          <w:szCs w:val="20"/>
          <w:color w:val="auto"/>
        </w:rPr>
      </w:pPr>
      <w:r>
        <w:rPr>
          <w:rFonts w:ascii="Arial" w:cs="Arial" w:eastAsia="Arial" w:hAnsi="Arial"/>
          <w:sz w:val="17"/>
          <w:szCs w:val="17"/>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79"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70"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500" w:firstLine="378"/>
        <w:spacing w:after="0" w:line="277" w:lineRule="auto"/>
        <w:rPr>
          <w:sz w:val="20"/>
          <w:szCs w:val="20"/>
          <w:color w:val="auto"/>
        </w:rPr>
      </w:pPr>
      <w:r>
        <w:rPr>
          <w:rFonts w:ascii="Arial" w:cs="Arial" w:eastAsia="Arial" w:hAnsi="Arial"/>
          <w:sz w:val="18"/>
          <w:szCs w:val="18"/>
          <w:color w:val="auto"/>
        </w:rPr>
        <w:t>Our buildings in Santa Clara, California; Singapore; Etoy, Switzerland; and Shanghai, China subject us to the risks of owning real property, which include, but are not limited to:</w:t>
      </w:r>
    </w:p>
    <w:p>
      <w:pPr>
        <w:spacing w:after="0" w:line="170" w:lineRule="exact"/>
        <w:rPr>
          <w:sz w:val="20"/>
          <w:szCs w:val="20"/>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25" w:lineRule="exact"/>
        <w:rPr>
          <w:rFonts w:ascii="Arial" w:cs="Arial" w:eastAsia="Arial" w:hAnsi="Arial"/>
          <w:sz w:val="18"/>
          <w:szCs w:val="18"/>
          <w:color w:val="auto"/>
        </w:rPr>
      </w:pPr>
    </w:p>
    <w:p>
      <w:pPr>
        <w:ind w:left="820" w:right="20" w:hanging="420"/>
        <w:spacing w:after="0" w:line="277"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36" w:lineRule="exact"/>
        <w:rPr>
          <w:rFonts w:ascii="Arial" w:cs="Arial" w:eastAsia="Arial" w:hAnsi="Arial"/>
          <w:sz w:val="17"/>
          <w:szCs w:val="17"/>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800" w:right="239" w:bottom="1440" w:gutter="0" w:footer="0" w:header="0"/>
        </w:sectPr>
      </w:pPr>
    </w:p>
    <w:bookmarkStart w:id="25" w:name="page26"/>
    <w:bookmarkEnd w:id="25"/>
    <w:p>
      <w:pPr>
        <w:ind w:left="820" w:right="320" w:hanging="420"/>
        <w:spacing w:after="0" w:line="277"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170"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7" w:lineRule="exact"/>
        <w:rPr>
          <w:sz w:val="20"/>
          <w:szCs w:val="20"/>
          <w:color w:val="auto"/>
        </w:rPr>
      </w:pPr>
    </w:p>
    <w:p>
      <w:pPr>
        <w:ind w:right="100" w:firstLine="378"/>
        <w:spacing w:after="0" w:line="271" w:lineRule="auto"/>
        <w:rPr>
          <w:sz w:val="20"/>
          <w:szCs w:val="20"/>
          <w:color w:val="auto"/>
        </w:rPr>
      </w:pPr>
      <w:r>
        <w:rPr>
          <w:rFonts w:ascii="Arial" w:cs="Arial" w:eastAsia="Arial" w:hAnsi="Arial"/>
          <w:sz w:val="17"/>
          <w:szCs w:val="17"/>
          <w:color w:val="auto"/>
        </w:rPr>
        <w:t>In May 2012, we announced the declaration of our first quarterly cash dividend. In November 2016, we announced that our board of directors had authorized a $1 billion share repurchase program and our intention to repurchase approximately $500 million worth of shares during the period from November 2016 to October 2017.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179"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147"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67"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79"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22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11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Properties</w:t>
      </w: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800" w:right="239" w:bottom="1440" w:gutter="0" w:footer="0" w:header="0"/>
        </w:sectPr>
      </w:pPr>
    </w:p>
    <w:bookmarkStart w:id="26" w:name="page27"/>
    <w:bookmarkEnd w:id="26"/>
    <w:p>
      <w:pPr>
        <w:ind w:left="44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January 28, 2017:</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280" w:type="dxa"/>
            <w:vAlign w:val="bottom"/>
            <w:tcBorders>
              <w:bottom w:val="single" w:sz="8" w:color="auto"/>
            </w:tcBorders>
            <w:gridSpan w:val="3"/>
          </w:tcPr>
          <w:p>
            <w:pPr>
              <w:jc w:val="right"/>
              <w:ind w:right="1153"/>
              <w:spacing w:after="0"/>
              <w:rPr>
                <w:sz w:val="20"/>
                <w:szCs w:val="20"/>
                <w:color w:val="auto"/>
              </w:rPr>
            </w:pPr>
            <w:r>
              <w:rPr>
                <w:rFonts w:ascii="Arial" w:cs="Arial" w:eastAsia="Arial" w:hAnsi="Arial"/>
                <w:sz w:val="14"/>
                <w:szCs w:val="14"/>
                <w:b w:val="1"/>
                <w:bCs w:val="1"/>
                <w:color w:val="auto"/>
              </w:rPr>
              <w:t>(Square feet)</w:t>
            </w:r>
          </w:p>
        </w:tc>
      </w:tr>
      <w:tr>
        <w:trPr>
          <w:trHeight w:val="264"/>
        </w:trPr>
        <w:tc>
          <w:tcPr>
            <w:tcW w:w="208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Locations</w:t>
            </w:r>
          </w:p>
        </w:tc>
        <w:tc>
          <w:tcPr>
            <w:tcW w:w="120" w:type="dxa"/>
            <w:vAlign w:val="bottom"/>
            <w:tcBorders>
              <w:bottom w:val="single" w:sz="8" w:color="CCEEFF"/>
            </w:tcBorders>
          </w:tcPr>
          <w:p>
            <w:pPr>
              <w:spacing w:after="0"/>
              <w:rPr>
                <w:sz w:val="22"/>
                <w:szCs w:val="22"/>
                <w:color w:val="auto"/>
              </w:rPr>
            </w:pPr>
          </w:p>
        </w:tc>
        <w:tc>
          <w:tcPr>
            <w:tcW w:w="20" w:type="dxa"/>
            <w:vAlign w:val="bottom"/>
            <w:tcBorders>
              <w:bottom w:val="single" w:sz="8" w:color="auto"/>
            </w:tcBorders>
          </w:tcPr>
          <w:p>
            <w:pPr>
              <w:spacing w:after="0"/>
              <w:rPr>
                <w:sz w:val="22"/>
                <w:szCs w:val="22"/>
                <w:color w:val="auto"/>
              </w:rPr>
            </w:pPr>
          </w:p>
        </w:tc>
        <w:tc>
          <w:tcPr>
            <w:tcW w:w="5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Primary Use</w:t>
            </w:r>
          </w:p>
        </w:tc>
        <w:tc>
          <w:tcPr>
            <w:tcW w:w="120" w:type="dxa"/>
            <w:vAlign w:val="bottom"/>
            <w:tcBorders>
              <w:bottom w:val="single" w:sz="8" w:color="CCEEFF"/>
            </w:tcBorders>
          </w:tcPr>
          <w:p>
            <w:pPr>
              <w:spacing w:after="0"/>
              <w:rPr>
                <w:sz w:val="22"/>
                <w:szCs w:val="22"/>
                <w:color w:val="auto"/>
              </w:rPr>
            </w:pPr>
          </w:p>
        </w:tc>
        <w:tc>
          <w:tcPr>
            <w:tcW w:w="148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Owned Facilities</w:t>
            </w:r>
          </w:p>
        </w:tc>
        <w:tc>
          <w:tcPr>
            <w:tcW w:w="100" w:type="dxa"/>
            <w:vAlign w:val="bottom"/>
            <w:tcBorders>
              <w:bottom w:val="single" w:sz="8" w:color="CCEEFF"/>
            </w:tcBorders>
          </w:tcPr>
          <w:p>
            <w:pPr>
              <w:spacing w:after="0"/>
              <w:rPr>
                <w:sz w:val="22"/>
                <w:szCs w:val="22"/>
                <w:color w:val="auto"/>
              </w:rPr>
            </w:pPr>
          </w:p>
        </w:tc>
        <w:tc>
          <w:tcPr>
            <w:tcW w:w="17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Leased Facilities (1)</w:t>
            </w:r>
          </w:p>
        </w:tc>
      </w:tr>
      <w:tr>
        <w:trPr>
          <w:trHeight w:val="228"/>
        </w:trPr>
        <w:tc>
          <w:tcPr>
            <w:tcW w:w="22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United States</w:t>
            </w:r>
          </w:p>
        </w:tc>
        <w:tc>
          <w:tcPr>
            <w:tcW w:w="594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Headquarters in Santa Clara, California: Research and design, sales and</w:t>
            </w:r>
          </w:p>
        </w:tc>
        <w:tc>
          <w:tcPr>
            <w:tcW w:w="1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700" w:type="dxa"/>
            <w:vAlign w:val="bottom"/>
            <w:shd w:val="clear" w:color="auto" w:fill="CCEEFF"/>
          </w:tcPr>
          <w:p>
            <w:pPr>
              <w:spacing w:after="0"/>
              <w:rPr>
                <w:sz w:val="19"/>
                <w:szCs w:val="19"/>
                <w:color w:val="auto"/>
              </w:rPr>
            </w:pPr>
          </w:p>
        </w:tc>
      </w:tr>
      <w:tr>
        <w:trPr>
          <w:trHeight w:val="237"/>
        </w:trPr>
        <w:tc>
          <w:tcPr>
            <w:tcW w:w="20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59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marketing, administration and operations</w:t>
            </w:r>
          </w:p>
        </w:tc>
        <w:tc>
          <w:tcPr>
            <w:tcW w:w="14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993,000</w:t>
            </w:r>
          </w:p>
        </w:tc>
        <w:tc>
          <w:tcPr>
            <w:tcW w:w="100" w:type="dxa"/>
            <w:vAlign w:val="bottom"/>
            <w:tcBorders>
              <w:bottom w:val="single" w:sz="8" w:color="CCEEFF"/>
            </w:tcBorders>
            <w:shd w:val="clear" w:color="auto" w:fill="CCEEFF"/>
          </w:tcPr>
          <w:p>
            <w:pPr>
              <w:spacing w:after="0"/>
              <w:rPr>
                <w:sz w:val="20"/>
                <w:szCs w:val="20"/>
                <w:color w:val="auto"/>
              </w:rPr>
            </w:pPr>
          </w:p>
        </w:tc>
        <w:tc>
          <w:tcPr>
            <w:tcW w:w="17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230,000</w:t>
            </w:r>
          </w:p>
        </w:tc>
      </w:tr>
      <w:tr>
        <w:trPr>
          <w:trHeight w:val="243"/>
        </w:trPr>
        <w:tc>
          <w:tcPr>
            <w:tcW w:w="2200" w:type="dxa"/>
            <w:vAlign w:val="bottom"/>
            <w:gridSpan w:val="2"/>
          </w:tcPr>
          <w:p>
            <w:pPr>
              <w:ind w:left="40"/>
              <w:spacing w:after="0"/>
              <w:rPr>
                <w:sz w:val="20"/>
                <w:szCs w:val="20"/>
                <w:color w:val="auto"/>
              </w:rPr>
            </w:pPr>
            <w:r>
              <w:rPr>
                <w:rFonts w:ascii="Arial" w:cs="Arial" w:eastAsia="Arial" w:hAnsi="Arial"/>
                <w:sz w:val="18"/>
                <w:szCs w:val="18"/>
                <w:color w:val="auto"/>
              </w:rPr>
              <w:t>China</w:t>
            </w:r>
          </w:p>
        </w:tc>
        <w:tc>
          <w:tcPr>
            <w:tcW w:w="5940" w:type="dxa"/>
            <w:vAlign w:val="bottom"/>
            <w:gridSpan w:val="3"/>
          </w:tcPr>
          <w:p>
            <w:pPr>
              <w:ind w:left="20"/>
              <w:spacing w:after="0"/>
              <w:rPr>
                <w:sz w:val="20"/>
                <w:szCs w:val="20"/>
                <w:color w:val="auto"/>
              </w:rPr>
            </w:pPr>
            <w:r>
              <w:rPr>
                <w:rFonts w:ascii="Arial" w:cs="Arial" w:eastAsia="Arial" w:hAnsi="Arial"/>
                <w:sz w:val="18"/>
                <w:szCs w:val="18"/>
                <w:color w:val="auto"/>
              </w:rPr>
              <w:t>Research and design, and sales and marketing</w:t>
            </w:r>
          </w:p>
        </w:tc>
        <w:tc>
          <w:tcPr>
            <w:tcW w:w="1480" w:type="dxa"/>
            <w:vAlign w:val="bottom"/>
          </w:tcPr>
          <w:p>
            <w:pPr>
              <w:jc w:val="right"/>
              <w:ind w:right="34"/>
              <w:spacing w:after="0"/>
              <w:rPr>
                <w:sz w:val="20"/>
                <w:szCs w:val="20"/>
                <w:color w:val="auto"/>
              </w:rPr>
            </w:pPr>
            <w:r>
              <w:rPr>
                <w:rFonts w:ascii="Arial" w:cs="Arial" w:eastAsia="Arial" w:hAnsi="Arial"/>
                <w:sz w:val="18"/>
                <w:szCs w:val="18"/>
                <w:color w:val="auto"/>
              </w:rPr>
              <w:t>115,000</w:t>
            </w:r>
          </w:p>
        </w:tc>
        <w:tc>
          <w:tcPr>
            <w:tcW w:w="100" w:type="dxa"/>
            <w:vAlign w:val="bottom"/>
          </w:tcPr>
          <w:p>
            <w:pPr>
              <w:spacing w:after="0"/>
              <w:rPr>
                <w:sz w:val="21"/>
                <w:szCs w:val="21"/>
                <w:color w:val="auto"/>
              </w:rPr>
            </w:pPr>
          </w:p>
        </w:tc>
        <w:tc>
          <w:tcPr>
            <w:tcW w:w="1700" w:type="dxa"/>
            <w:vAlign w:val="bottom"/>
          </w:tcPr>
          <w:p>
            <w:pPr>
              <w:jc w:val="right"/>
              <w:ind w:right="13"/>
              <w:spacing w:after="0"/>
              <w:rPr>
                <w:sz w:val="20"/>
                <w:szCs w:val="20"/>
                <w:color w:val="auto"/>
              </w:rPr>
            </w:pPr>
            <w:r>
              <w:rPr>
                <w:rFonts w:ascii="Arial" w:cs="Arial" w:eastAsia="Arial" w:hAnsi="Arial"/>
                <w:sz w:val="18"/>
                <w:szCs w:val="18"/>
                <w:color w:val="auto"/>
              </w:rPr>
              <w:t>227,000</w:t>
            </w:r>
          </w:p>
        </w:tc>
      </w:tr>
      <w:tr>
        <w:trPr>
          <w:trHeight w:val="27"/>
        </w:trPr>
        <w:tc>
          <w:tcPr>
            <w:tcW w:w="2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r>
      <w:tr>
        <w:trPr>
          <w:trHeight w:val="250"/>
        </w:trPr>
        <w:tc>
          <w:tcPr>
            <w:tcW w:w="2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Singapore</w:t>
            </w:r>
          </w:p>
        </w:tc>
        <w:tc>
          <w:tcPr>
            <w:tcW w:w="59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Operations, and research and design</w:t>
            </w:r>
          </w:p>
        </w:tc>
        <w:tc>
          <w:tcPr>
            <w:tcW w:w="14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340,000</w:t>
            </w:r>
          </w:p>
        </w:tc>
        <w:tc>
          <w:tcPr>
            <w:tcW w:w="100" w:type="dxa"/>
            <w:vAlign w:val="bottom"/>
            <w:tcBorders>
              <w:bottom w:val="single" w:sz="8" w:color="CCEEFF"/>
            </w:tcBorders>
            <w:shd w:val="clear" w:color="auto" w:fill="CCEEFF"/>
          </w:tcPr>
          <w:p>
            <w:pPr>
              <w:spacing w:after="0"/>
              <w:rPr>
                <w:sz w:val="21"/>
                <w:szCs w:val="21"/>
                <w:color w:val="auto"/>
              </w:rPr>
            </w:pPr>
          </w:p>
        </w:tc>
        <w:tc>
          <w:tcPr>
            <w:tcW w:w="17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2200" w:type="dxa"/>
            <w:vAlign w:val="bottom"/>
            <w:gridSpan w:val="2"/>
          </w:tcPr>
          <w:p>
            <w:pPr>
              <w:ind w:left="40"/>
              <w:spacing w:after="0"/>
              <w:rPr>
                <w:sz w:val="20"/>
                <w:szCs w:val="20"/>
                <w:color w:val="auto"/>
              </w:rPr>
            </w:pPr>
            <w:r>
              <w:rPr>
                <w:rFonts w:ascii="Arial" w:cs="Arial" w:eastAsia="Arial" w:hAnsi="Arial"/>
                <w:sz w:val="18"/>
                <w:szCs w:val="18"/>
                <w:color w:val="auto"/>
              </w:rPr>
              <w:t>Switzerland</w:t>
            </w:r>
          </w:p>
        </w:tc>
        <w:tc>
          <w:tcPr>
            <w:tcW w:w="5940" w:type="dxa"/>
            <w:vAlign w:val="bottom"/>
            <w:gridSpan w:val="3"/>
          </w:tcPr>
          <w:p>
            <w:pPr>
              <w:ind w:left="20"/>
              <w:spacing w:after="0"/>
              <w:rPr>
                <w:sz w:val="20"/>
                <w:szCs w:val="20"/>
                <w:color w:val="auto"/>
              </w:rPr>
            </w:pPr>
            <w:r>
              <w:rPr>
                <w:rFonts w:ascii="Arial" w:cs="Arial" w:eastAsia="Arial" w:hAnsi="Arial"/>
                <w:sz w:val="18"/>
                <w:szCs w:val="18"/>
                <w:color w:val="auto"/>
              </w:rPr>
              <w:t>Research and design</w:t>
            </w:r>
          </w:p>
        </w:tc>
        <w:tc>
          <w:tcPr>
            <w:tcW w:w="1480" w:type="dxa"/>
            <w:vAlign w:val="bottom"/>
          </w:tcPr>
          <w:p>
            <w:pPr>
              <w:jc w:val="right"/>
              <w:ind w:right="34"/>
              <w:spacing w:after="0"/>
              <w:rPr>
                <w:sz w:val="20"/>
                <w:szCs w:val="20"/>
                <w:color w:val="auto"/>
              </w:rPr>
            </w:pPr>
            <w:r>
              <w:rPr>
                <w:rFonts w:ascii="Arial" w:cs="Arial" w:eastAsia="Arial" w:hAnsi="Arial"/>
                <w:sz w:val="18"/>
                <w:szCs w:val="18"/>
                <w:color w:val="auto"/>
              </w:rPr>
              <w:t>26,000</w:t>
            </w:r>
          </w:p>
        </w:tc>
        <w:tc>
          <w:tcPr>
            <w:tcW w:w="100" w:type="dxa"/>
            <w:vAlign w:val="bottom"/>
          </w:tcPr>
          <w:p>
            <w:pPr>
              <w:spacing w:after="0"/>
              <w:rPr>
                <w:sz w:val="21"/>
                <w:szCs w:val="21"/>
                <w:color w:val="auto"/>
              </w:rPr>
            </w:pPr>
          </w:p>
        </w:tc>
        <w:tc>
          <w:tcPr>
            <w:tcW w:w="170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2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r>
      <w:tr>
        <w:trPr>
          <w:trHeight w:val="270"/>
        </w:trPr>
        <w:tc>
          <w:tcPr>
            <w:tcW w:w="2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Israel</w:t>
            </w:r>
          </w:p>
        </w:tc>
        <w:tc>
          <w:tcPr>
            <w:tcW w:w="59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Research and design</w:t>
            </w:r>
          </w:p>
        </w:tc>
        <w:tc>
          <w:tcPr>
            <w:tcW w:w="15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7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345,000</w:t>
            </w:r>
          </w:p>
        </w:tc>
      </w:tr>
      <w:tr>
        <w:trPr>
          <w:trHeight w:val="257"/>
        </w:trPr>
        <w:tc>
          <w:tcPr>
            <w:tcW w:w="20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920" w:type="dxa"/>
            <w:vAlign w:val="bottom"/>
            <w:gridSpan w:val="2"/>
          </w:tcPr>
          <w:p>
            <w:pPr>
              <w:jc w:val="center"/>
              <w:ind w:right="160"/>
              <w:spacing w:after="0"/>
              <w:rPr>
                <w:sz w:val="20"/>
                <w:szCs w:val="20"/>
                <w:color w:val="auto"/>
              </w:rPr>
            </w:pPr>
            <w:r>
              <w:rPr>
                <w:rFonts w:ascii="Arial" w:cs="Arial" w:eastAsia="Arial" w:hAnsi="Arial"/>
                <w:sz w:val="18"/>
                <w:szCs w:val="18"/>
                <w:b w:val="1"/>
                <w:bCs w:val="1"/>
                <w:color w:val="auto"/>
                <w:w w:val="92"/>
              </w:rPr>
              <w:t>Total</w:t>
            </w:r>
          </w:p>
        </w:tc>
        <w:tc>
          <w:tcPr>
            <w:tcW w:w="14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b w:val="1"/>
                <w:bCs w:val="1"/>
                <w:color w:val="auto"/>
              </w:rPr>
              <w:t>1,474,000</w:t>
            </w:r>
          </w:p>
        </w:tc>
        <w:tc>
          <w:tcPr>
            <w:tcW w:w="100" w:type="dxa"/>
            <w:vAlign w:val="bottom"/>
          </w:tcPr>
          <w:p>
            <w:pPr>
              <w:spacing w:after="0"/>
              <w:rPr>
                <w:sz w:val="22"/>
                <w:szCs w:val="22"/>
                <w:color w:val="auto"/>
              </w:rPr>
            </w:pPr>
          </w:p>
        </w:tc>
        <w:tc>
          <w:tcPr>
            <w:tcW w:w="1700" w:type="dxa"/>
            <w:vAlign w:val="bottom"/>
            <w:tcBorders>
              <w:top w:val="single" w:sz="8" w:color="auto"/>
              <w:bottom w:val="single" w:sz="8" w:color="auto"/>
            </w:tcBorders>
          </w:tcPr>
          <w:p>
            <w:pPr>
              <w:jc w:val="right"/>
              <w:ind w:right="13"/>
              <w:spacing w:after="0"/>
              <w:rPr>
                <w:sz w:val="20"/>
                <w:szCs w:val="20"/>
                <w:color w:val="auto"/>
              </w:rPr>
            </w:pPr>
            <w:r>
              <w:rPr>
                <w:rFonts w:ascii="Arial" w:cs="Arial" w:eastAsia="Arial" w:hAnsi="Arial"/>
                <w:sz w:val="18"/>
                <w:szCs w:val="18"/>
                <w:b w:val="1"/>
                <w:bCs w:val="1"/>
                <w:color w:val="auto"/>
              </w:rPr>
              <w:t>802,000</w:t>
            </w:r>
          </w:p>
        </w:tc>
      </w:tr>
      <w:tr>
        <w:trPr>
          <w:trHeight w:val="20"/>
        </w:trPr>
        <w:tc>
          <w:tcPr>
            <w:tcW w:w="20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r>
      <w:tr>
        <w:trPr>
          <w:trHeight w:val="230"/>
        </w:trPr>
        <w:tc>
          <w:tcPr>
            <w:tcW w:w="208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58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700" w:type="dxa"/>
            <w:vAlign w:val="bottom"/>
          </w:tcPr>
          <w:p>
            <w:pPr>
              <w:spacing w:after="0"/>
              <w:rPr>
                <w:sz w:val="20"/>
                <w:szCs w:val="20"/>
                <w:color w:val="auto"/>
              </w:rPr>
            </w:pPr>
          </w:p>
        </w:tc>
      </w:tr>
    </w:tbl>
    <w:p>
      <w:pPr>
        <w:spacing w:after="0" w:line="242" w:lineRule="exact"/>
        <w:rPr>
          <w:sz w:val="20"/>
          <w:szCs w:val="20"/>
          <w:color w:val="auto"/>
        </w:rPr>
      </w:pPr>
    </w:p>
    <w:p>
      <w:pPr>
        <w:ind w:left="860" w:hanging="852"/>
        <w:spacing w:after="0"/>
        <w:tabs>
          <w:tab w:leader="none" w:pos="8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Lease terms expire in various years from 2017 through 2025.</w:t>
      </w:r>
    </w:p>
    <w:p>
      <w:pPr>
        <w:spacing w:after="0" w:line="131" w:lineRule="exact"/>
        <w:rPr>
          <w:sz w:val="20"/>
          <w:szCs w:val="20"/>
          <w:color w:val="auto"/>
        </w:rPr>
      </w:pPr>
    </w:p>
    <w:p>
      <w:pPr>
        <w:jc w:val="both"/>
        <w:ind w:right="140" w:firstLine="432"/>
        <w:spacing w:after="0" w:line="286" w:lineRule="auto"/>
        <w:rPr>
          <w:sz w:val="20"/>
          <w:szCs w:val="20"/>
          <w:color w:val="auto"/>
        </w:rPr>
      </w:pPr>
      <w:r>
        <w:rPr>
          <w:rFonts w:ascii="Arial" w:cs="Arial" w:eastAsia="Arial" w:hAnsi="Arial"/>
          <w:sz w:val="17"/>
          <w:szCs w:val="17"/>
          <w:color w:val="auto"/>
        </w:rPr>
        <w:t>We also lease smaller facilities in Canada, Denmark, Germany, Hong Kong, India, Indonesia, Italy, Japan, Malaysia, South Korea, Spain, Taiwan, The Netherlands and Vietnam,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5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121" w:lineRule="exact"/>
        <w:rPr>
          <w:sz w:val="20"/>
          <w:szCs w:val="20"/>
          <w:color w:val="auto"/>
        </w:rPr>
      </w:pPr>
    </w:p>
    <w:p>
      <w:pPr>
        <w:ind w:right="180" w:firstLine="432"/>
        <w:spacing w:after="0" w:line="264" w:lineRule="auto"/>
        <w:rPr>
          <w:sz w:val="20"/>
          <w:szCs w:val="20"/>
          <w:color w:val="auto"/>
        </w:rPr>
      </w:pPr>
      <w:r>
        <w:rPr>
          <w:rFonts w:ascii="Arial" w:cs="Arial" w:eastAsia="Arial" w:hAnsi="Arial"/>
          <w:sz w:val="18"/>
          <w:szCs w:val="18"/>
          <w:color w:val="auto"/>
        </w:rPr>
        <w:t>The information set forth under “Note 10 — Commitments and Contingencies” in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69"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Not Applicable.</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908" w:right="239" w:bottom="1440" w:gutter="0" w:footer="0" w:header="0"/>
        </w:sectPr>
      </w:pPr>
    </w:p>
    <w:bookmarkStart w:id="27" w:name="page28"/>
    <w:bookmarkEnd w:id="27"/>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11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Related Shareholder Matters and Issuer Purchases of Equity Securities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121"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For fiscal 2017 and fiscal 2016, the following table shows for the periods indicated the high and low sales prices for our common shares on the NASDAQ Global Select Market.</w:t>
      </w: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00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3"/>
          </w:tcPr>
          <w:p>
            <w:pPr>
              <w:jc w:val="right"/>
              <w:ind w:right="50"/>
              <w:spacing w:after="0"/>
              <w:rPr>
                <w:sz w:val="20"/>
                <w:szCs w:val="20"/>
                <w:color w:val="auto"/>
              </w:rPr>
            </w:pPr>
            <w:r>
              <w:rPr>
                <w:rFonts w:ascii="Arial" w:cs="Arial" w:eastAsia="Arial" w:hAnsi="Arial"/>
                <w:sz w:val="14"/>
                <w:szCs w:val="14"/>
                <w:b w:val="1"/>
                <w:bCs w:val="1"/>
                <w:color w:val="auto"/>
              </w:rPr>
              <w:t>Fiscal 2017</w:t>
            </w:r>
          </w:p>
        </w:tc>
        <w:tc>
          <w:tcPr>
            <w:tcW w:w="10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3"/>
          </w:tcPr>
          <w:p>
            <w:pPr>
              <w:jc w:val="right"/>
              <w:ind w:right="50"/>
              <w:spacing w:after="0"/>
              <w:rPr>
                <w:sz w:val="20"/>
                <w:szCs w:val="20"/>
                <w:color w:val="auto"/>
              </w:rPr>
            </w:pPr>
            <w:r>
              <w:rPr>
                <w:rFonts w:ascii="Arial" w:cs="Arial" w:eastAsia="Arial" w:hAnsi="Arial"/>
                <w:sz w:val="14"/>
                <w:szCs w:val="14"/>
                <w:b w:val="1"/>
                <w:bCs w:val="1"/>
                <w:color w:val="auto"/>
              </w:rPr>
              <w:t>Fiscal 2016</w:t>
            </w:r>
          </w:p>
        </w:tc>
        <w:tc>
          <w:tcPr>
            <w:tcW w:w="1000" w:type="dxa"/>
            <w:vAlign w:val="bottom"/>
            <w:tcBorders>
              <w:bottom w:val="single" w:sz="8" w:color="auto"/>
            </w:tcBorders>
          </w:tcPr>
          <w:p>
            <w:pPr>
              <w:spacing w:after="0"/>
              <w:rPr>
                <w:sz w:val="16"/>
                <w:szCs w:val="16"/>
                <w:color w:val="auto"/>
              </w:rPr>
            </w:pPr>
          </w:p>
        </w:tc>
      </w:tr>
      <w:tr>
        <w:trPr>
          <w:trHeight w:val="264"/>
        </w:trPr>
        <w:tc>
          <w:tcPr>
            <w:tcW w:w="50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220" w:type="dxa"/>
            <w:vAlign w:val="bottom"/>
            <w:gridSpan w:val="2"/>
          </w:tcPr>
          <w:p>
            <w:pPr>
              <w:ind w:left="240"/>
              <w:spacing w:after="0"/>
              <w:rPr>
                <w:sz w:val="20"/>
                <w:szCs w:val="20"/>
                <w:color w:val="auto"/>
              </w:rPr>
            </w:pPr>
            <w:r>
              <w:rPr>
                <w:rFonts w:ascii="Arial" w:cs="Arial" w:eastAsia="Arial" w:hAnsi="Arial"/>
                <w:sz w:val="14"/>
                <w:szCs w:val="14"/>
                <w:b w:val="1"/>
                <w:bCs w:val="1"/>
                <w:color w:val="auto"/>
              </w:rPr>
              <w:t>High</w:t>
            </w:r>
          </w:p>
        </w:tc>
        <w:tc>
          <w:tcPr>
            <w:tcW w:w="440" w:type="dxa"/>
            <w:vAlign w:val="bottom"/>
          </w:tcPr>
          <w:p>
            <w:pPr>
              <w:spacing w:after="0"/>
              <w:rPr>
                <w:sz w:val="22"/>
                <w:szCs w:val="22"/>
                <w:color w:val="auto"/>
              </w:rPr>
            </w:pPr>
          </w:p>
        </w:tc>
        <w:tc>
          <w:tcPr>
            <w:tcW w:w="1120" w:type="dxa"/>
            <w:vAlign w:val="bottom"/>
            <w:gridSpan w:val="2"/>
          </w:tcPr>
          <w:p>
            <w:pPr>
              <w:ind w:left="140"/>
              <w:spacing w:after="0"/>
              <w:rPr>
                <w:sz w:val="20"/>
                <w:szCs w:val="20"/>
                <w:color w:val="auto"/>
              </w:rPr>
            </w:pPr>
            <w:r>
              <w:rPr>
                <w:rFonts w:ascii="Arial" w:cs="Arial" w:eastAsia="Arial" w:hAnsi="Arial"/>
                <w:sz w:val="14"/>
                <w:szCs w:val="14"/>
                <w:b w:val="1"/>
                <w:bCs w:val="1"/>
                <w:color w:val="auto"/>
              </w:rPr>
              <w:t>Low</w:t>
            </w:r>
          </w:p>
        </w:tc>
        <w:tc>
          <w:tcPr>
            <w:tcW w:w="340" w:type="dxa"/>
            <w:vAlign w:val="bottom"/>
          </w:tcPr>
          <w:p>
            <w:pPr>
              <w:spacing w:after="0"/>
              <w:rPr>
                <w:sz w:val="22"/>
                <w:szCs w:val="22"/>
                <w:color w:val="auto"/>
              </w:rPr>
            </w:pPr>
          </w:p>
        </w:tc>
        <w:tc>
          <w:tcPr>
            <w:tcW w:w="1200" w:type="dxa"/>
            <w:vAlign w:val="bottom"/>
            <w:gridSpan w:val="2"/>
          </w:tcPr>
          <w:p>
            <w:pPr>
              <w:ind w:left="220"/>
              <w:spacing w:after="0"/>
              <w:rPr>
                <w:sz w:val="20"/>
                <w:szCs w:val="20"/>
                <w:color w:val="auto"/>
              </w:rPr>
            </w:pPr>
            <w:r>
              <w:rPr>
                <w:rFonts w:ascii="Arial" w:cs="Arial" w:eastAsia="Arial" w:hAnsi="Arial"/>
                <w:sz w:val="14"/>
                <w:szCs w:val="14"/>
                <w:b w:val="1"/>
                <w:bCs w:val="1"/>
                <w:color w:val="auto"/>
              </w:rPr>
              <w:t>High</w:t>
            </w:r>
          </w:p>
        </w:tc>
        <w:tc>
          <w:tcPr>
            <w:tcW w:w="440" w:type="dxa"/>
            <w:vAlign w:val="bottom"/>
          </w:tcPr>
          <w:p>
            <w:pPr>
              <w:spacing w:after="0"/>
              <w:rPr>
                <w:sz w:val="22"/>
                <w:szCs w:val="22"/>
                <w:color w:val="auto"/>
              </w:rPr>
            </w:pPr>
          </w:p>
        </w:tc>
        <w:tc>
          <w:tcPr>
            <w:tcW w:w="1000" w:type="dxa"/>
            <w:vAlign w:val="bottom"/>
          </w:tcPr>
          <w:p>
            <w:pPr>
              <w:jc w:val="right"/>
              <w:ind w:right="494"/>
              <w:spacing w:after="0"/>
              <w:rPr>
                <w:sz w:val="20"/>
                <w:szCs w:val="20"/>
                <w:color w:val="auto"/>
              </w:rPr>
            </w:pPr>
            <w:r>
              <w:rPr>
                <w:rFonts w:ascii="Arial" w:cs="Arial" w:eastAsia="Arial" w:hAnsi="Arial"/>
                <w:sz w:val="14"/>
                <w:szCs w:val="14"/>
                <w:b w:val="1"/>
                <w:bCs w:val="1"/>
                <w:color w:val="auto"/>
              </w:rPr>
              <w:t>Low</w:t>
            </w:r>
          </w:p>
        </w:tc>
      </w:tr>
      <w:tr>
        <w:trPr>
          <w:trHeight w:val="250"/>
        </w:trPr>
        <w:tc>
          <w:tcPr>
            <w:tcW w:w="50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First Quarter</w:t>
            </w:r>
          </w:p>
        </w:tc>
        <w:tc>
          <w:tcPr>
            <w:tcW w:w="340" w:type="dxa"/>
            <w:vAlign w:val="bottom"/>
            <w:tcBorders>
              <w:top w:val="single" w:sz="8" w:color="auto"/>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11.00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440" w:type="dxa"/>
            <w:vAlign w:val="bottom"/>
            <w:tcBorders>
              <w:top w:val="single" w:sz="8" w:color="auto"/>
              <w:bottom w:val="single" w:sz="8" w:color="CCEEFF"/>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8.32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16.78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440" w:type="dxa"/>
            <w:vAlign w:val="bottom"/>
            <w:tcBorders>
              <w:top w:val="single" w:sz="8" w:color="auto"/>
              <w:bottom w:val="single" w:sz="8" w:color="CCEEFF"/>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13.71</w:t>
            </w:r>
          </w:p>
        </w:tc>
      </w:tr>
      <w:tr>
        <w:trPr>
          <w:trHeight w:val="243"/>
        </w:trPr>
        <w:tc>
          <w:tcPr>
            <w:tcW w:w="5000" w:type="dxa"/>
            <w:vAlign w:val="bottom"/>
          </w:tcPr>
          <w:p>
            <w:pPr>
              <w:ind w:left="40"/>
              <w:spacing w:after="0"/>
              <w:rPr>
                <w:sz w:val="20"/>
                <w:szCs w:val="20"/>
                <w:color w:val="auto"/>
              </w:rPr>
            </w:pPr>
            <w:r>
              <w:rPr>
                <w:rFonts w:ascii="Arial" w:cs="Arial" w:eastAsia="Arial" w:hAnsi="Arial"/>
                <w:sz w:val="18"/>
                <w:szCs w:val="18"/>
                <w:color w:val="auto"/>
              </w:rPr>
              <w:t>Second Quarter</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36"/>
              <w:spacing w:after="0"/>
              <w:rPr>
                <w:sz w:val="20"/>
                <w:szCs w:val="20"/>
                <w:color w:val="auto"/>
              </w:rPr>
            </w:pPr>
            <w:r>
              <w:rPr>
                <w:rFonts w:ascii="Arial" w:cs="Arial" w:eastAsia="Arial" w:hAnsi="Arial"/>
                <w:sz w:val="18"/>
                <w:szCs w:val="18"/>
                <w:color w:val="auto"/>
              </w:rPr>
              <w:t>12.05</w:t>
            </w:r>
          </w:p>
        </w:tc>
        <w:tc>
          <w:tcPr>
            <w:tcW w:w="100" w:type="dxa"/>
            <w:vAlign w:val="bottom"/>
          </w:tcPr>
          <w:p>
            <w:pPr>
              <w:spacing w:after="0"/>
              <w:rPr>
                <w:sz w:val="21"/>
                <w:szCs w:val="21"/>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4"/>
              <w:spacing w:after="0"/>
              <w:rPr>
                <w:sz w:val="20"/>
                <w:szCs w:val="20"/>
                <w:color w:val="auto"/>
              </w:rPr>
            </w:pPr>
            <w:r>
              <w:rPr>
                <w:rFonts w:ascii="Arial" w:cs="Arial" w:eastAsia="Arial" w:hAnsi="Arial"/>
                <w:sz w:val="18"/>
                <w:szCs w:val="18"/>
                <w:color w:val="auto"/>
              </w:rPr>
              <w:t>9.05</w:t>
            </w:r>
          </w:p>
        </w:tc>
        <w:tc>
          <w:tcPr>
            <w:tcW w:w="120" w:type="dxa"/>
            <w:vAlign w:val="bottom"/>
          </w:tcPr>
          <w:p>
            <w:pPr>
              <w:spacing w:after="0"/>
              <w:rPr>
                <w:sz w:val="21"/>
                <w:szCs w:val="21"/>
                <w:color w:val="auto"/>
              </w:rPr>
            </w:pP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36"/>
              <w:spacing w:after="0"/>
              <w:rPr>
                <w:sz w:val="20"/>
                <w:szCs w:val="20"/>
                <w:color w:val="auto"/>
              </w:rPr>
            </w:pPr>
            <w:r>
              <w:rPr>
                <w:rFonts w:ascii="Arial" w:cs="Arial" w:eastAsia="Arial" w:hAnsi="Arial"/>
                <w:sz w:val="18"/>
                <w:szCs w:val="18"/>
                <w:color w:val="auto"/>
              </w:rPr>
              <w:t>14.73</w:t>
            </w:r>
          </w:p>
        </w:tc>
        <w:tc>
          <w:tcPr>
            <w:tcW w:w="100" w:type="dxa"/>
            <w:vAlign w:val="bottom"/>
          </w:tcPr>
          <w:p>
            <w:pPr>
              <w:spacing w:after="0"/>
              <w:rPr>
                <w:sz w:val="21"/>
                <w:szCs w:val="21"/>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4"/>
              <w:spacing w:after="0"/>
              <w:rPr>
                <w:sz w:val="20"/>
                <w:szCs w:val="20"/>
                <w:color w:val="auto"/>
              </w:rPr>
            </w:pPr>
            <w:r>
              <w:rPr>
                <w:rFonts w:ascii="Arial" w:cs="Arial" w:eastAsia="Arial" w:hAnsi="Arial"/>
                <w:sz w:val="18"/>
                <w:szCs w:val="18"/>
                <w:color w:val="auto"/>
              </w:rPr>
              <w:t>11.95</w:t>
            </w:r>
          </w:p>
        </w:tc>
      </w:tr>
      <w:tr>
        <w:trPr>
          <w:trHeight w:val="27"/>
        </w:trPr>
        <w:tc>
          <w:tcPr>
            <w:tcW w:w="5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5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Third Quarter</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13.61</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11.27</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13.35</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7.55</w:t>
            </w:r>
          </w:p>
        </w:tc>
      </w:tr>
      <w:tr>
        <w:trPr>
          <w:trHeight w:val="243"/>
        </w:trPr>
        <w:tc>
          <w:tcPr>
            <w:tcW w:w="5000" w:type="dxa"/>
            <w:vAlign w:val="bottom"/>
          </w:tcPr>
          <w:p>
            <w:pPr>
              <w:ind w:left="40"/>
              <w:spacing w:after="0"/>
              <w:rPr>
                <w:sz w:val="20"/>
                <w:szCs w:val="20"/>
                <w:color w:val="auto"/>
              </w:rPr>
            </w:pPr>
            <w:r>
              <w:rPr>
                <w:rFonts w:ascii="Arial" w:cs="Arial" w:eastAsia="Arial" w:hAnsi="Arial"/>
                <w:sz w:val="18"/>
                <w:szCs w:val="18"/>
                <w:color w:val="auto"/>
              </w:rPr>
              <w:t>Fourth Quarter</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36"/>
              <w:spacing w:after="0"/>
              <w:rPr>
                <w:sz w:val="20"/>
                <w:szCs w:val="20"/>
                <w:color w:val="auto"/>
              </w:rPr>
            </w:pPr>
            <w:r>
              <w:rPr>
                <w:rFonts w:ascii="Arial" w:cs="Arial" w:eastAsia="Arial" w:hAnsi="Arial"/>
                <w:sz w:val="18"/>
                <w:szCs w:val="18"/>
                <w:color w:val="auto"/>
              </w:rPr>
              <w:t>15.45</w:t>
            </w:r>
          </w:p>
        </w:tc>
        <w:tc>
          <w:tcPr>
            <w:tcW w:w="100" w:type="dxa"/>
            <w:vAlign w:val="bottom"/>
          </w:tcPr>
          <w:p>
            <w:pPr>
              <w:spacing w:after="0"/>
              <w:rPr>
                <w:sz w:val="21"/>
                <w:szCs w:val="21"/>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4"/>
              <w:spacing w:after="0"/>
              <w:rPr>
                <w:sz w:val="20"/>
                <w:szCs w:val="20"/>
                <w:color w:val="auto"/>
              </w:rPr>
            </w:pPr>
            <w:r>
              <w:rPr>
                <w:rFonts w:ascii="Arial" w:cs="Arial" w:eastAsia="Arial" w:hAnsi="Arial"/>
                <w:sz w:val="18"/>
                <w:szCs w:val="18"/>
                <w:color w:val="auto"/>
              </w:rPr>
              <w:t>12.30</w:t>
            </w:r>
          </w:p>
        </w:tc>
        <w:tc>
          <w:tcPr>
            <w:tcW w:w="120" w:type="dxa"/>
            <w:vAlign w:val="bottom"/>
          </w:tcPr>
          <w:p>
            <w:pPr>
              <w:spacing w:after="0"/>
              <w:rPr>
                <w:sz w:val="21"/>
                <w:szCs w:val="21"/>
                <w:color w:val="auto"/>
              </w:rPr>
            </w:pP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36"/>
              <w:spacing w:after="0"/>
              <w:rPr>
                <w:sz w:val="20"/>
                <w:szCs w:val="20"/>
                <w:color w:val="auto"/>
              </w:rPr>
            </w:pPr>
            <w:r>
              <w:rPr>
                <w:rFonts w:ascii="Arial" w:cs="Arial" w:eastAsia="Arial" w:hAnsi="Arial"/>
                <w:sz w:val="18"/>
                <w:szCs w:val="18"/>
                <w:color w:val="auto"/>
              </w:rPr>
              <w:t>9.62</w:t>
            </w:r>
          </w:p>
        </w:tc>
        <w:tc>
          <w:tcPr>
            <w:tcW w:w="100" w:type="dxa"/>
            <w:vAlign w:val="bottom"/>
          </w:tcPr>
          <w:p>
            <w:pPr>
              <w:spacing w:after="0"/>
              <w:rPr>
                <w:sz w:val="21"/>
                <w:szCs w:val="21"/>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4"/>
              <w:spacing w:after="0"/>
              <w:rPr>
                <w:sz w:val="20"/>
                <w:szCs w:val="20"/>
                <w:color w:val="auto"/>
              </w:rPr>
            </w:pPr>
            <w:r>
              <w:rPr>
                <w:rFonts w:ascii="Arial" w:cs="Arial" w:eastAsia="Arial" w:hAnsi="Arial"/>
                <w:sz w:val="18"/>
                <w:szCs w:val="18"/>
                <w:color w:val="auto"/>
              </w:rPr>
              <w:t>7.40</w:t>
            </w:r>
          </w:p>
        </w:tc>
      </w:tr>
    </w:tbl>
    <w:p>
      <w:pPr>
        <w:spacing w:after="0" w:line="121"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As of March 22, 2017, the approximate number of record holders of our common shares was 130 (not including beneficial owners of stock held in street name).</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121" w:lineRule="exact"/>
        <w:rPr>
          <w:sz w:val="20"/>
          <w:szCs w:val="20"/>
          <w:color w:val="auto"/>
        </w:rPr>
      </w:pPr>
    </w:p>
    <w:p>
      <w:pPr>
        <w:ind w:right="60" w:firstLine="432"/>
        <w:spacing w:after="0" w:line="277"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62" w:lineRule="exact"/>
        <w:rPr>
          <w:sz w:val="20"/>
          <w:szCs w:val="20"/>
          <w:color w:val="auto"/>
        </w:rPr>
      </w:pPr>
    </w:p>
    <w:p>
      <w:pPr>
        <w:ind w:right="40" w:firstLine="432"/>
        <w:spacing w:after="0" w:line="259"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28, 2012 through January 28, 2017. The graph compares a $100 investment on January 28, 2012 in our common shares with a $100 investment on January 29, 2012 in each index and assumes that any dividends were reinvested. Shareholder returns over the indicated periods should not be considered indicative of future stock prices or shareholder returns.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904" w:right="239" w:bottom="1440" w:gutter="0" w:footer="0" w:header="0"/>
        </w:sectPr>
      </w:pPr>
    </w:p>
    <w:bookmarkStart w:id="28" w:name="page29"/>
    <w:bookmarkEnd w:id="28"/>
    <w:tbl>
      <w:tblPr>
        <w:tblLayout w:type="fixed"/>
        <w:tblInd w:w="0" w:type="dxa"/>
        <w:tblCellMar>
          <w:top w:w="0" w:type="dxa"/>
          <w:left w:w="0" w:type="dxa"/>
          <w:bottom w:w="0" w:type="dxa"/>
          <w:right w:w="0" w:type="dxa"/>
        </w:tblCellMar>
      </w:tblPr>
      <w:tr>
        <w:trPr>
          <w:trHeight w:val="192"/>
        </w:trPr>
        <w:tc>
          <w:tcPr>
            <w:tcW w:w="3240" w:type="dxa"/>
            <w:vAlign w:val="bottom"/>
            <w:tcBorders>
              <w:bottom w:val="single" w:sz="8" w:color="CCEEFF"/>
            </w:tcBorders>
          </w:tcPr>
          <w:p>
            <w:pPr>
              <w:spacing w:after="0"/>
              <w:rPr>
                <w:sz w:val="16"/>
                <w:szCs w:val="16"/>
                <w:color w:val="auto"/>
              </w:rPr>
            </w:pPr>
          </w:p>
        </w:tc>
        <w:tc>
          <w:tcPr>
            <w:tcW w:w="1240" w:type="dxa"/>
            <w:vAlign w:val="bottom"/>
            <w:tcBorders>
              <w:bottom w:val="single" w:sz="8" w:color="auto"/>
            </w:tcBorders>
          </w:tcPr>
          <w:p>
            <w:pPr>
              <w:jc w:val="right"/>
              <w:ind w:right="254"/>
              <w:spacing w:after="0"/>
              <w:rPr>
                <w:sz w:val="20"/>
                <w:szCs w:val="20"/>
                <w:color w:val="auto"/>
              </w:rPr>
            </w:pPr>
            <w:r>
              <w:rPr>
                <w:rFonts w:ascii="Arial" w:cs="Arial" w:eastAsia="Arial" w:hAnsi="Arial"/>
                <w:sz w:val="14"/>
                <w:szCs w:val="14"/>
                <w:b w:val="1"/>
                <w:bCs w:val="1"/>
                <w:color w:val="auto"/>
              </w:rPr>
              <w:t>1/28/2012</w:t>
            </w:r>
          </w:p>
        </w:tc>
        <w:tc>
          <w:tcPr>
            <w:tcW w:w="120" w:type="dxa"/>
            <w:vAlign w:val="bottom"/>
            <w:tcBorders>
              <w:bottom w:val="single" w:sz="8" w:color="CCEEFF"/>
            </w:tcBorders>
          </w:tcPr>
          <w:p>
            <w:pPr>
              <w:spacing w:after="0"/>
              <w:rPr>
                <w:sz w:val="16"/>
                <w:szCs w:val="16"/>
                <w:color w:val="auto"/>
              </w:rPr>
            </w:pPr>
          </w:p>
        </w:tc>
        <w:tc>
          <w:tcPr>
            <w:tcW w:w="122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2/2/2013</w:t>
            </w:r>
          </w:p>
        </w:tc>
        <w:tc>
          <w:tcPr>
            <w:tcW w:w="100" w:type="dxa"/>
            <w:vAlign w:val="bottom"/>
            <w:tcBorders>
              <w:bottom w:val="single" w:sz="8" w:color="CCEEFF"/>
            </w:tcBorders>
          </w:tcPr>
          <w:p>
            <w:pPr>
              <w:spacing w:after="0"/>
              <w:rPr>
                <w:sz w:val="16"/>
                <w:szCs w:val="16"/>
                <w:color w:val="auto"/>
              </w:rPr>
            </w:pPr>
          </w:p>
        </w:tc>
        <w:tc>
          <w:tcPr>
            <w:tcW w:w="122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2/1/2014</w:t>
            </w:r>
          </w:p>
        </w:tc>
        <w:tc>
          <w:tcPr>
            <w:tcW w:w="100" w:type="dxa"/>
            <w:vAlign w:val="bottom"/>
            <w:tcBorders>
              <w:bottom w:val="single" w:sz="8" w:color="CCEEFF"/>
            </w:tcBorders>
          </w:tcPr>
          <w:p>
            <w:pPr>
              <w:spacing w:after="0"/>
              <w:rPr>
                <w:sz w:val="16"/>
                <w:szCs w:val="16"/>
                <w:color w:val="auto"/>
              </w:rPr>
            </w:pPr>
          </w:p>
        </w:tc>
        <w:tc>
          <w:tcPr>
            <w:tcW w:w="12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1/31/2015</w:t>
            </w:r>
          </w:p>
        </w:tc>
        <w:tc>
          <w:tcPr>
            <w:tcW w:w="120" w:type="dxa"/>
            <w:vAlign w:val="bottom"/>
            <w:tcBorders>
              <w:bottom w:val="single" w:sz="8" w:color="CCEEFF"/>
            </w:tcBorders>
          </w:tcPr>
          <w:p>
            <w:pPr>
              <w:spacing w:after="0"/>
              <w:rPr>
                <w:sz w:val="16"/>
                <w:szCs w:val="16"/>
                <w:color w:val="auto"/>
              </w:rPr>
            </w:pPr>
          </w:p>
        </w:tc>
        <w:tc>
          <w:tcPr>
            <w:tcW w:w="120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1/30/2016</w:t>
            </w:r>
          </w:p>
        </w:tc>
        <w:tc>
          <w:tcPr>
            <w:tcW w:w="120" w:type="dxa"/>
            <w:vAlign w:val="bottom"/>
            <w:tcBorders>
              <w:bottom w:val="single" w:sz="8" w:color="CCEEFF"/>
            </w:tcBorders>
          </w:tcPr>
          <w:p>
            <w:pPr>
              <w:spacing w:after="0"/>
              <w:rPr>
                <w:sz w:val="16"/>
                <w:szCs w:val="16"/>
                <w:color w:val="auto"/>
              </w:rPr>
            </w:pPr>
          </w:p>
        </w:tc>
        <w:tc>
          <w:tcPr>
            <w:tcW w:w="120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1/28/2017</w:t>
            </w:r>
          </w:p>
        </w:tc>
      </w:tr>
      <w:tr>
        <w:trPr>
          <w:trHeight w:val="250"/>
        </w:trPr>
        <w:tc>
          <w:tcPr>
            <w:tcW w:w="32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Marvell Technology Group Ltd.</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100.00</w:t>
            </w:r>
          </w:p>
        </w:tc>
        <w:tc>
          <w:tcPr>
            <w:tcW w:w="1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61.27</w:t>
            </w:r>
          </w:p>
        </w:tc>
        <w:tc>
          <w:tcPr>
            <w:tcW w:w="10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98.21</w:t>
            </w:r>
          </w:p>
        </w:tc>
        <w:tc>
          <w:tcPr>
            <w:tcW w:w="10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103.56</w:t>
            </w:r>
          </w:p>
        </w:tc>
        <w:tc>
          <w:tcPr>
            <w:tcW w:w="1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60.46</w:t>
            </w:r>
          </w:p>
        </w:tc>
        <w:tc>
          <w:tcPr>
            <w:tcW w:w="1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105.26</w:t>
            </w:r>
          </w:p>
        </w:tc>
      </w:tr>
      <w:tr>
        <w:trPr>
          <w:trHeight w:val="243"/>
        </w:trPr>
        <w:tc>
          <w:tcPr>
            <w:tcW w:w="3240" w:type="dxa"/>
            <w:vAlign w:val="bottom"/>
          </w:tcPr>
          <w:p>
            <w:pPr>
              <w:ind w:left="40"/>
              <w:spacing w:after="0"/>
              <w:rPr>
                <w:sz w:val="20"/>
                <w:szCs w:val="20"/>
                <w:color w:val="auto"/>
              </w:rPr>
            </w:pPr>
            <w:r>
              <w:rPr>
                <w:rFonts w:ascii="Arial" w:cs="Arial" w:eastAsia="Arial" w:hAnsi="Arial"/>
                <w:sz w:val="18"/>
                <w:szCs w:val="18"/>
                <w:b w:val="1"/>
                <w:bCs w:val="1"/>
                <w:color w:val="auto"/>
              </w:rPr>
              <w:t>S&amp;P 500</w:t>
            </w:r>
          </w:p>
        </w:tc>
        <w:tc>
          <w:tcPr>
            <w:tcW w:w="1240" w:type="dxa"/>
            <w:vAlign w:val="bottom"/>
          </w:tcPr>
          <w:p>
            <w:pPr>
              <w:jc w:val="right"/>
              <w:ind w:right="34"/>
              <w:spacing w:after="0"/>
              <w:rPr>
                <w:sz w:val="20"/>
                <w:szCs w:val="20"/>
                <w:color w:val="auto"/>
              </w:rPr>
            </w:pPr>
            <w:r>
              <w:rPr>
                <w:rFonts w:ascii="Arial" w:cs="Arial" w:eastAsia="Arial" w:hAnsi="Arial"/>
                <w:sz w:val="18"/>
                <w:szCs w:val="18"/>
                <w:b w:val="1"/>
                <w:bCs w:val="1"/>
                <w:color w:val="auto"/>
              </w:rPr>
              <w:t>100.00</w:t>
            </w:r>
          </w:p>
        </w:tc>
        <w:tc>
          <w:tcPr>
            <w:tcW w:w="12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b w:val="1"/>
                <w:bCs w:val="1"/>
                <w:color w:val="auto"/>
              </w:rPr>
              <w:t>116.78</w:t>
            </w:r>
          </w:p>
        </w:tc>
        <w:tc>
          <w:tcPr>
            <w:tcW w:w="10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b w:val="1"/>
                <w:bCs w:val="1"/>
                <w:color w:val="auto"/>
              </w:rPr>
              <w:t>141.91</w:t>
            </w:r>
          </w:p>
        </w:tc>
        <w:tc>
          <w:tcPr>
            <w:tcW w:w="10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b w:val="1"/>
                <w:bCs w:val="1"/>
                <w:color w:val="auto"/>
              </w:rPr>
              <w:t>162.09</w:t>
            </w:r>
          </w:p>
        </w:tc>
        <w:tc>
          <w:tcPr>
            <w:tcW w:w="12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b w:val="1"/>
                <w:bCs w:val="1"/>
                <w:color w:val="auto"/>
              </w:rPr>
              <w:t>161.01</w:t>
            </w:r>
          </w:p>
        </w:tc>
        <w:tc>
          <w:tcPr>
            <w:tcW w:w="12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b w:val="1"/>
                <w:bCs w:val="1"/>
                <w:color w:val="auto"/>
              </w:rPr>
              <w:t>193.28</w:t>
            </w:r>
          </w:p>
        </w:tc>
      </w:tr>
      <w:tr>
        <w:trPr>
          <w:trHeight w:val="27"/>
        </w:trPr>
        <w:tc>
          <w:tcPr>
            <w:tcW w:w="3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32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PHLX Semiconductor</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100.00</w:t>
            </w:r>
          </w:p>
        </w:tc>
        <w:tc>
          <w:tcPr>
            <w:tcW w:w="1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107.03</w:t>
            </w:r>
          </w:p>
        </w:tc>
        <w:tc>
          <w:tcPr>
            <w:tcW w:w="10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128.87</w:t>
            </w:r>
          </w:p>
        </w:tc>
        <w:tc>
          <w:tcPr>
            <w:tcW w:w="10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160.17</w:t>
            </w:r>
          </w:p>
        </w:tc>
        <w:tc>
          <w:tcPr>
            <w:tcW w:w="1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148.48</w:t>
            </w:r>
          </w:p>
        </w:tc>
        <w:tc>
          <w:tcPr>
            <w:tcW w:w="1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216.97</w:t>
            </w:r>
          </w:p>
        </w:tc>
      </w:tr>
      <w:tr>
        <w:trPr>
          <w:trHeight w:val="324"/>
        </w:trPr>
        <w:tc>
          <w:tcPr>
            <w:tcW w:w="3240" w:type="dxa"/>
            <w:vAlign w:val="bottom"/>
          </w:tcPr>
          <w:p>
            <w:pPr>
              <w:spacing w:after="0"/>
              <w:rPr>
                <w:sz w:val="20"/>
                <w:szCs w:val="20"/>
                <w:color w:val="auto"/>
              </w:rPr>
            </w:pPr>
            <w:r>
              <w:rPr>
                <w:rFonts w:ascii="Arial" w:cs="Arial" w:eastAsia="Arial" w:hAnsi="Arial"/>
                <w:sz w:val="18"/>
                <w:szCs w:val="18"/>
                <w:b w:val="1"/>
                <w:bCs w:val="1"/>
                <w:color w:val="auto"/>
              </w:rPr>
              <w:t>Dividends</w:t>
            </w:r>
          </w:p>
        </w:tc>
        <w:tc>
          <w:tcPr>
            <w:tcW w:w="1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r>
    </w:tbl>
    <w:p>
      <w:pPr>
        <w:spacing w:after="0" w:line="94" w:lineRule="exact"/>
        <w:rPr>
          <w:sz w:val="20"/>
          <w:szCs w:val="20"/>
          <w:color w:val="auto"/>
        </w:rPr>
      </w:pPr>
    </w:p>
    <w:p>
      <w:pPr>
        <w:ind w:right="360" w:firstLine="432"/>
        <w:spacing w:after="0" w:line="342" w:lineRule="auto"/>
        <w:rPr>
          <w:sz w:val="20"/>
          <w:szCs w:val="20"/>
          <w:color w:val="auto"/>
        </w:rPr>
      </w:pPr>
      <w:r>
        <w:rPr>
          <w:rFonts w:ascii="Arial" w:cs="Arial" w:eastAsia="Arial" w:hAnsi="Arial"/>
          <w:sz w:val="16"/>
          <w:szCs w:val="16"/>
          <w:color w:val="auto"/>
        </w:rPr>
        <w:t>Our board of directors declared quarterly cash dividends of $0.06 per share payable to holders of our common shares in each quarter of fiscal 2017, 2016 and 2015. As a result, we paid total cash dividends of $122.3 million in fiscal 2017, and $122.8 million in both fiscal 2016 and 2015.</w:t>
      </w:r>
    </w:p>
    <w:p>
      <w:pPr>
        <w:spacing w:after="0" w:line="16" w:lineRule="exact"/>
        <w:rPr>
          <w:sz w:val="20"/>
          <w:szCs w:val="20"/>
          <w:color w:val="auto"/>
        </w:rPr>
      </w:pPr>
    </w:p>
    <w:p>
      <w:pPr>
        <w:ind w:firstLine="432"/>
        <w:spacing w:after="0" w:line="302" w:lineRule="auto"/>
        <w:rPr>
          <w:sz w:val="20"/>
          <w:szCs w:val="20"/>
          <w:color w:val="auto"/>
        </w:rPr>
      </w:pPr>
      <w:r>
        <w:rPr>
          <w:rFonts w:ascii="Arial" w:cs="Arial" w:eastAsia="Arial" w:hAnsi="Arial"/>
          <w:sz w:val="16"/>
          <w:szCs w:val="16"/>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developments in ongoing litigation, statutory requirements under Bermuda law and other factors that the Company’s board of directors may deem relevant. The Company’s dividend payments may change from time to time, and we cannot provide assurance that we will continue to declare dividends at all or in any particular amounts.</w:t>
      </w:r>
    </w:p>
    <w:p>
      <w:pPr>
        <w:spacing w:after="0" w:line="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following table presents details of our share repurchases during the three months ended January 28, 2017 (in thousands, except per share data):</w:t>
      </w:r>
    </w:p>
    <w:p>
      <w:pPr>
        <w:spacing w:after="0" w:line="298" w:lineRule="exact"/>
        <w:rPr>
          <w:sz w:val="20"/>
          <w:szCs w:val="20"/>
          <w:color w:val="auto"/>
        </w:rPr>
      </w:pPr>
    </w:p>
    <w:tbl>
      <w:tblPr>
        <w:tblLayout w:type="fixed"/>
        <w:tblInd w:w="800" w:type="dxa"/>
        <w:tblCellMar>
          <w:top w:w="0" w:type="dxa"/>
          <w:left w:w="0" w:type="dxa"/>
          <w:bottom w:w="0" w:type="dxa"/>
          <w:right w:w="0" w:type="dxa"/>
        </w:tblCellMar>
      </w:tblPr>
      <w:tr>
        <w:trPr>
          <w:trHeight w:val="216"/>
        </w:trPr>
        <w:tc>
          <w:tcPr>
            <w:tcW w:w="27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120" w:type="dxa"/>
            <w:vAlign w:val="bottom"/>
          </w:tcPr>
          <w:p>
            <w:pPr>
              <w:jc w:val="center"/>
              <w:spacing w:after="0"/>
              <w:rPr>
                <w:sz w:val="20"/>
                <w:szCs w:val="20"/>
                <w:color w:val="auto"/>
              </w:rPr>
            </w:pPr>
            <w:r>
              <w:rPr>
                <w:rFonts w:ascii="Arial" w:cs="Arial" w:eastAsia="Arial" w:hAnsi="Arial"/>
                <w:sz w:val="18"/>
                <w:szCs w:val="18"/>
                <w:b w:val="1"/>
                <w:bCs w:val="1"/>
                <w:color w:val="auto"/>
                <w:w w:val="89"/>
              </w:rPr>
              <w:t>Total Number of Shares</w:t>
            </w:r>
          </w:p>
        </w:tc>
        <w:tc>
          <w:tcPr>
            <w:tcW w:w="2580" w:type="dxa"/>
            <w:vAlign w:val="bottom"/>
            <w:gridSpan w:val="2"/>
          </w:tcPr>
          <w:p>
            <w:pPr>
              <w:jc w:val="center"/>
              <w:spacing w:after="0"/>
              <w:rPr>
                <w:sz w:val="20"/>
                <w:szCs w:val="20"/>
                <w:color w:val="auto"/>
              </w:rPr>
            </w:pPr>
            <w:r>
              <w:rPr>
                <w:rFonts w:ascii="Arial" w:cs="Arial" w:eastAsia="Arial" w:hAnsi="Arial"/>
                <w:sz w:val="18"/>
                <w:szCs w:val="18"/>
                <w:b w:val="1"/>
                <w:bCs w:val="1"/>
                <w:color w:val="auto"/>
                <w:w w:val="92"/>
              </w:rPr>
              <w:t>Approximated Dollar Value of</w:t>
            </w:r>
          </w:p>
        </w:tc>
      </w:tr>
      <w:tr>
        <w:trPr>
          <w:trHeight w:val="216"/>
        </w:trPr>
        <w:tc>
          <w:tcPr>
            <w:tcW w:w="2720" w:type="dxa"/>
            <w:vAlign w:val="bottom"/>
          </w:tcPr>
          <w:p>
            <w:pPr>
              <w:spacing w:after="0"/>
              <w:rPr>
                <w:sz w:val="18"/>
                <w:szCs w:val="18"/>
                <w:color w:val="auto"/>
              </w:rPr>
            </w:pPr>
          </w:p>
        </w:tc>
        <w:tc>
          <w:tcPr>
            <w:tcW w:w="1280" w:type="dxa"/>
            <w:vAlign w:val="bottom"/>
            <w:gridSpan w:val="2"/>
          </w:tcPr>
          <w:p>
            <w:pPr>
              <w:jc w:val="center"/>
              <w:ind w:right="120"/>
              <w:spacing w:after="0"/>
              <w:rPr>
                <w:sz w:val="20"/>
                <w:szCs w:val="20"/>
                <w:color w:val="auto"/>
              </w:rPr>
            </w:pPr>
            <w:r>
              <w:rPr>
                <w:rFonts w:ascii="Arial" w:cs="Arial" w:eastAsia="Arial" w:hAnsi="Arial"/>
                <w:sz w:val="18"/>
                <w:szCs w:val="18"/>
                <w:b w:val="1"/>
                <w:bCs w:val="1"/>
                <w:color w:val="auto"/>
                <w:w w:val="93"/>
              </w:rPr>
              <w:t>Total Number</w:t>
            </w:r>
          </w:p>
        </w:tc>
        <w:tc>
          <w:tcPr>
            <w:tcW w:w="120" w:type="dxa"/>
            <w:vAlign w:val="bottom"/>
          </w:tcPr>
          <w:p>
            <w:pPr>
              <w:spacing w:after="0"/>
              <w:rPr>
                <w:sz w:val="18"/>
                <w:szCs w:val="18"/>
                <w:color w:val="auto"/>
              </w:rPr>
            </w:pPr>
          </w:p>
        </w:tc>
        <w:tc>
          <w:tcPr>
            <w:tcW w:w="1040" w:type="dxa"/>
            <w:vAlign w:val="bottom"/>
          </w:tcPr>
          <w:p>
            <w:pPr>
              <w:jc w:val="center"/>
              <w:ind w:right="110"/>
              <w:spacing w:after="0"/>
              <w:rPr>
                <w:sz w:val="20"/>
                <w:szCs w:val="20"/>
                <w:color w:val="auto"/>
              </w:rPr>
            </w:pPr>
            <w:r>
              <w:rPr>
                <w:rFonts w:ascii="Arial" w:cs="Arial" w:eastAsia="Arial" w:hAnsi="Arial"/>
                <w:sz w:val="18"/>
                <w:szCs w:val="18"/>
                <w:b w:val="1"/>
                <w:bCs w:val="1"/>
                <w:color w:val="auto"/>
                <w:w w:val="90"/>
              </w:rPr>
              <w:t>Average</w:t>
            </w:r>
          </w:p>
        </w:tc>
        <w:tc>
          <w:tcPr>
            <w:tcW w:w="2120" w:type="dxa"/>
            <w:vAlign w:val="bottom"/>
          </w:tcPr>
          <w:p>
            <w:pPr>
              <w:jc w:val="center"/>
              <w:spacing w:after="0"/>
              <w:rPr>
                <w:sz w:val="20"/>
                <w:szCs w:val="20"/>
                <w:color w:val="auto"/>
              </w:rPr>
            </w:pPr>
            <w:r>
              <w:rPr>
                <w:rFonts w:ascii="Arial" w:cs="Arial" w:eastAsia="Arial" w:hAnsi="Arial"/>
                <w:sz w:val="18"/>
                <w:szCs w:val="18"/>
                <w:b w:val="1"/>
                <w:bCs w:val="1"/>
                <w:color w:val="auto"/>
                <w:w w:val="88"/>
              </w:rPr>
              <w:t>Purchased as Part of</w:t>
            </w:r>
          </w:p>
        </w:tc>
        <w:tc>
          <w:tcPr>
            <w:tcW w:w="320" w:type="dxa"/>
            <w:vAlign w:val="bottom"/>
          </w:tcPr>
          <w:p>
            <w:pPr>
              <w:spacing w:after="0"/>
              <w:rPr>
                <w:sz w:val="18"/>
                <w:szCs w:val="18"/>
                <w:color w:val="auto"/>
              </w:rPr>
            </w:pPr>
          </w:p>
        </w:tc>
        <w:tc>
          <w:tcPr>
            <w:tcW w:w="2260" w:type="dxa"/>
            <w:vAlign w:val="bottom"/>
          </w:tcPr>
          <w:p>
            <w:pPr>
              <w:jc w:val="center"/>
              <w:ind w:right="150"/>
              <w:spacing w:after="0"/>
              <w:rPr>
                <w:sz w:val="20"/>
                <w:szCs w:val="20"/>
                <w:color w:val="auto"/>
              </w:rPr>
            </w:pPr>
            <w:r>
              <w:rPr>
                <w:rFonts w:ascii="Arial" w:cs="Arial" w:eastAsia="Arial" w:hAnsi="Arial"/>
                <w:sz w:val="18"/>
                <w:szCs w:val="18"/>
                <w:b w:val="1"/>
                <w:bCs w:val="1"/>
                <w:color w:val="auto"/>
                <w:w w:val="91"/>
              </w:rPr>
              <w:t>Shares that May Yet Be</w:t>
            </w:r>
          </w:p>
        </w:tc>
      </w:tr>
      <w:tr>
        <w:trPr>
          <w:trHeight w:val="216"/>
        </w:trPr>
        <w:tc>
          <w:tcPr>
            <w:tcW w:w="2720" w:type="dxa"/>
            <w:vAlign w:val="bottom"/>
          </w:tcPr>
          <w:p>
            <w:pPr>
              <w:spacing w:after="0"/>
              <w:rPr>
                <w:sz w:val="18"/>
                <w:szCs w:val="18"/>
                <w:color w:val="auto"/>
              </w:rPr>
            </w:pPr>
          </w:p>
        </w:tc>
        <w:tc>
          <w:tcPr>
            <w:tcW w:w="1280" w:type="dxa"/>
            <w:vAlign w:val="bottom"/>
            <w:gridSpan w:val="2"/>
          </w:tcPr>
          <w:p>
            <w:pPr>
              <w:jc w:val="center"/>
              <w:ind w:right="120"/>
              <w:spacing w:after="0"/>
              <w:rPr>
                <w:sz w:val="20"/>
                <w:szCs w:val="20"/>
                <w:color w:val="auto"/>
              </w:rPr>
            </w:pPr>
            <w:r>
              <w:rPr>
                <w:rFonts w:ascii="Arial" w:cs="Arial" w:eastAsia="Arial" w:hAnsi="Arial"/>
                <w:sz w:val="18"/>
                <w:szCs w:val="18"/>
                <w:b w:val="1"/>
                <w:bCs w:val="1"/>
                <w:color w:val="auto"/>
                <w:w w:val="87"/>
              </w:rPr>
              <w:t>of Shares</w:t>
            </w:r>
          </w:p>
        </w:tc>
        <w:tc>
          <w:tcPr>
            <w:tcW w:w="120" w:type="dxa"/>
            <w:vAlign w:val="bottom"/>
          </w:tcPr>
          <w:p>
            <w:pPr>
              <w:spacing w:after="0"/>
              <w:rPr>
                <w:sz w:val="18"/>
                <w:szCs w:val="18"/>
                <w:color w:val="auto"/>
              </w:rPr>
            </w:pPr>
          </w:p>
        </w:tc>
        <w:tc>
          <w:tcPr>
            <w:tcW w:w="1040" w:type="dxa"/>
            <w:vAlign w:val="bottom"/>
          </w:tcPr>
          <w:p>
            <w:pPr>
              <w:jc w:val="center"/>
              <w:ind w:right="110"/>
              <w:spacing w:after="0"/>
              <w:rPr>
                <w:sz w:val="20"/>
                <w:szCs w:val="20"/>
                <w:color w:val="auto"/>
              </w:rPr>
            </w:pPr>
            <w:r>
              <w:rPr>
                <w:rFonts w:ascii="Arial" w:cs="Arial" w:eastAsia="Arial" w:hAnsi="Arial"/>
                <w:sz w:val="18"/>
                <w:szCs w:val="18"/>
                <w:b w:val="1"/>
                <w:bCs w:val="1"/>
                <w:color w:val="auto"/>
                <w:w w:val="91"/>
              </w:rPr>
              <w:t>Price Paid</w:t>
            </w:r>
          </w:p>
        </w:tc>
        <w:tc>
          <w:tcPr>
            <w:tcW w:w="2120" w:type="dxa"/>
            <w:vAlign w:val="bottom"/>
          </w:tcPr>
          <w:p>
            <w:pPr>
              <w:jc w:val="center"/>
              <w:spacing w:after="0"/>
              <w:rPr>
                <w:sz w:val="20"/>
                <w:szCs w:val="20"/>
                <w:color w:val="auto"/>
              </w:rPr>
            </w:pPr>
            <w:r>
              <w:rPr>
                <w:rFonts w:ascii="Arial" w:cs="Arial" w:eastAsia="Arial" w:hAnsi="Arial"/>
                <w:sz w:val="18"/>
                <w:szCs w:val="18"/>
                <w:b w:val="1"/>
                <w:bCs w:val="1"/>
                <w:color w:val="auto"/>
                <w:w w:val="88"/>
              </w:rPr>
              <w:t>Publicly Announced</w:t>
            </w:r>
          </w:p>
        </w:tc>
        <w:tc>
          <w:tcPr>
            <w:tcW w:w="2580" w:type="dxa"/>
            <w:vAlign w:val="bottom"/>
            <w:gridSpan w:val="2"/>
          </w:tcPr>
          <w:p>
            <w:pPr>
              <w:jc w:val="center"/>
              <w:spacing w:after="0"/>
              <w:rPr>
                <w:sz w:val="20"/>
                <w:szCs w:val="20"/>
                <w:color w:val="auto"/>
              </w:rPr>
            </w:pPr>
            <w:r>
              <w:rPr>
                <w:rFonts w:ascii="Arial" w:cs="Arial" w:eastAsia="Arial" w:hAnsi="Arial"/>
                <w:sz w:val="18"/>
                <w:szCs w:val="18"/>
                <w:b w:val="1"/>
                <w:bCs w:val="1"/>
                <w:color w:val="auto"/>
                <w:w w:val="89"/>
              </w:rPr>
              <w:t>Purchased Under the Plans or</w:t>
            </w:r>
          </w:p>
        </w:tc>
      </w:tr>
      <w:tr>
        <w:trPr>
          <w:trHeight w:val="234"/>
        </w:trPr>
        <w:tc>
          <w:tcPr>
            <w:tcW w:w="2720" w:type="dxa"/>
            <w:vAlign w:val="bottom"/>
          </w:tcPr>
          <w:p>
            <w:pPr>
              <w:ind w:left="20"/>
              <w:spacing w:after="0"/>
              <w:rPr>
                <w:sz w:val="20"/>
                <w:szCs w:val="20"/>
                <w:color w:val="auto"/>
              </w:rPr>
            </w:pPr>
            <w:r>
              <w:rPr>
                <w:rFonts w:ascii="Arial" w:cs="Arial" w:eastAsia="Arial" w:hAnsi="Arial"/>
                <w:sz w:val="18"/>
                <w:szCs w:val="18"/>
                <w:b w:val="1"/>
                <w:bCs w:val="1"/>
                <w:color w:val="auto"/>
              </w:rPr>
              <w:t>Period (1)</w:t>
            </w:r>
          </w:p>
        </w:tc>
        <w:tc>
          <w:tcPr>
            <w:tcW w:w="1280" w:type="dxa"/>
            <w:vAlign w:val="bottom"/>
            <w:gridSpan w:val="2"/>
          </w:tcPr>
          <w:p>
            <w:pPr>
              <w:jc w:val="center"/>
              <w:ind w:right="120"/>
              <w:spacing w:after="0"/>
              <w:rPr>
                <w:sz w:val="20"/>
                <w:szCs w:val="20"/>
                <w:color w:val="auto"/>
              </w:rPr>
            </w:pPr>
            <w:r>
              <w:rPr>
                <w:rFonts w:ascii="Arial" w:cs="Arial" w:eastAsia="Arial" w:hAnsi="Arial"/>
                <w:sz w:val="18"/>
                <w:szCs w:val="18"/>
                <w:b w:val="1"/>
                <w:bCs w:val="1"/>
                <w:color w:val="auto"/>
                <w:w w:val="86"/>
              </w:rPr>
              <w:t>Purchased</w:t>
            </w:r>
          </w:p>
        </w:tc>
        <w:tc>
          <w:tcPr>
            <w:tcW w:w="120" w:type="dxa"/>
            <w:vAlign w:val="bottom"/>
          </w:tcPr>
          <w:p>
            <w:pPr>
              <w:spacing w:after="0"/>
              <w:rPr>
                <w:sz w:val="20"/>
                <w:szCs w:val="20"/>
                <w:color w:val="auto"/>
              </w:rPr>
            </w:pPr>
          </w:p>
        </w:tc>
        <w:tc>
          <w:tcPr>
            <w:tcW w:w="1040" w:type="dxa"/>
            <w:vAlign w:val="bottom"/>
          </w:tcPr>
          <w:p>
            <w:pPr>
              <w:jc w:val="center"/>
              <w:ind w:right="110"/>
              <w:spacing w:after="0"/>
              <w:rPr>
                <w:sz w:val="20"/>
                <w:szCs w:val="20"/>
                <w:color w:val="auto"/>
              </w:rPr>
            </w:pPr>
            <w:r>
              <w:rPr>
                <w:rFonts w:ascii="Arial" w:cs="Arial" w:eastAsia="Arial" w:hAnsi="Arial"/>
                <w:sz w:val="18"/>
                <w:szCs w:val="18"/>
                <w:b w:val="1"/>
                <w:bCs w:val="1"/>
                <w:color w:val="auto"/>
                <w:w w:val="91"/>
              </w:rPr>
              <w:t>per Share</w:t>
            </w:r>
          </w:p>
        </w:tc>
        <w:tc>
          <w:tcPr>
            <w:tcW w:w="2120" w:type="dxa"/>
            <w:vAlign w:val="bottom"/>
          </w:tcPr>
          <w:p>
            <w:pPr>
              <w:jc w:val="center"/>
              <w:spacing w:after="0"/>
              <w:rPr>
                <w:sz w:val="20"/>
                <w:szCs w:val="20"/>
                <w:color w:val="auto"/>
              </w:rPr>
            </w:pPr>
            <w:r>
              <w:rPr>
                <w:rFonts w:ascii="Arial" w:cs="Arial" w:eastAsia="Arial" w:hAnsi="Arial"/>
                <w:sz w:val="18"/>
                <w:szCs w:val="18"/>
                <w:b w:val="1"/>
                <w:bCs w:val="1"/>
                <w:color w:val="auto"/>
                <w:w w:val="88"/>
              </w:rPr>
              <w:t>Plans or Programs</w:t>
            </w:r>
          </w:p>
        </w:tc>
        <w:tc>
          <w:tcPr>
            <w:tcW w:w="320" w:type="dxa"/>
            <w:vAlign w:val="bottom"/>
          </w:tcPr>
          <w:p>
            <w:pPr>
              <w:spacing w:after="0"/>
              <w:rPr>
                <w:sz w:val="20"/>
                <w:szCs w:val="20"/>
                <w:color w:val="auto"/>
              </w:rPr>
            </w:pPr>
          </w:p>
        </w:tc>
        <w:tc>
          <w:tcPr>
            <w:tcW w:w="2260" w:type="dxa"/>
            <w:vAlign w:val="bottom"/>
          </w:tcPr>
          <w:p>
            <w:pPr>
              <w:jc w:val="center"/>
              <w:ind w:right="150"/>
              <w:spacing w:after="0"/>
              <w:rPr>
                <w:sz w:val="20"/>
                <w:szCs w:val="20"/>
                <w:color w:val="auto"/>
              </w:rPr>
            </w:pPr>
            <w:r>
              <w:rPr>
                <w:rFonts w:ascii="Arial" w:cs="Arial" w:eastAsia="Arial" w:hAnsi="Arial"/>
                <w:sz w:val="18"/>
                <w:szCs w:val="18"/>
                <w:b w:val="1"/>
                <w:bCs w:val="1"/>
                <w:color w:val="auto"/>
                <w:w w:val="91"/>
              </w:rPr>
              <w:t>Programs (2)</w:t>
            </w:r>
          </w:p>
        </w:tc>
      </w:tr>
      <w:tr>
        <w:trPr>
          <w:trHeight w:val="27"/>
        </w:trPr>
        <w:tc>
          <w:tcPr>
            <w:tcW w:w="27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12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2260" w:type="dxa"/>
            <w:vAlign w:val="bottom"/>
            <w:tcBorders>
              <w:bottom w:val="single" w:sz="8" w:color="auto"/>
            </w:tcBorders>
          </w:tcPr>
          <w:p>
            <w:pPr>
              <w:spacing w:after="0"/>
              <w:rPr>
                <w:sz w:val="2"/>
                <w:szCs w:val="2"/>
                <w:color w:val="auto"/>
              </w:rPr>
            </w:pPr>
          </w:p>
        </w:tc>
      </w:tr>
      <w:tr>
        <w:trPr>
          <w:trHeight w:val="237"/>
        </w:trPr>
        <w:tc>
          <w:tcPr>
            <w:tcW w:w="2720" w:type="dxa"/>
            <w:vAlign w:val="bottom"/>
          </w:tcPr>
          <w:p>
            <w:pPr>
              <w:ind w:left="20"/>
              <w:spacing w:after="0"/>
              <w:rPr>
                <w:sz w:val="20"/>
                <w:szCs w:val="20"/>
                <w:color w:val="auto"/>
              </w:rPr>
            </w:pPr>
            <w:r>
              <w:rPr>
                <w:rFonts w:ascii="Arial" w:cs="Arial" w:eastAsia="Arial" w:hAnsi="Arial"/>
                <w:sz w:val="18"/>
                <w:szCs w:val="18"/>
                <w:color w:val="auto"/>
              </w:rPr>
              <w:t>October 30 - November 26</w:t>
            </w: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821,263</w:t>
            </w:r>
          </w:p>
        </w:tc>
        <w:tc>
          <w:tcPr>
            <w:tcW w:w="100" w:type="dxa"/>
            <w:vAlign w:val="bottom"/>
          </w:tcPr>
          <w:p>
            <w:pPr>
              <w:spacing w:after="0"/>
              <w:rPr>
                <w:sz w:val="20"/>
                <w:szCs w:val="20"/>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12.86</w:t>
            </w:r>
          </w:p>
        </w:tc>
        <w:tc>
          <w:tcPr>
            <w:tcW w:w="2120" w:type="dxa"/>
            <w:vAlign w:val="bottom"/>
          </w:tcPr>
          <w:p>
            <w:pPr>
              <w:jc w:val="right"/>
              <w:ind w:right="30"/>
              <w:spacing w:after="0"/>
              <w:rPr>
                <w:sz w:val="20"/>
                <w:szCs w:val="20"/>
                <w:color w:val="auto"/>
              </w:rPr>
            </w:pPr>
            <w:r>
              <w:rPr>
                <w:rFonts w:ascii="Arial" w:cs="Arial" w:eastAsia="Arial" w:hAnsi="Arial"/>
                <w:sz w:val="18"/>
                <w:szCs w:val="18"/>
                <w:color w:val="auto"/>
              </w:rPr>
              <w:t>821,263</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260" w:type="dxa"/>
            <w:vAlign w:val="bottom"/>
          </w:tcPr>
          <w:p>
            <w:pPr>
              <w:jc w:val="right"/>
              <w:ind w:right="30"/>
              <w:spacing w:after="0"/>
              <w:rPr>
                <w:sz w:val="20"/>
                <w:szCs w:val="20"/>
                <w:color w:val="auto"/>
              </w:rPr>
            </w:pPr>
            <w:r>
              <w:rPr>
                <w:rFonts w:ascii="Arial" w:cs="Arial" w:eastAsia="Arial" w:hAnsi="Arial"/>
                <w:sz w:val="18"/>
                <w:szCs w:val="18"/>
                <w:color w:val="auto"/>
              </w:rPr>
              <w:t>1,000,000</w:t>
            </w:r>
          </w:p>
        </w:tc>
      </w:tr>
      <w:tr>
        <w:trPr>
          <w:trHeight w:val="270"/>
        </w:trPr>
        <w:tc>
          <w:tcPr>
            <w:tcW w:w="2720" w:type="dxa"/>
            <w:vAlign w:val="bottom"/>
          </w:tcPr>
          <w:p>
            <w:pPr>
              <w:ind w:left="20"/>
              <w:spacing w:after="0"/>
              <w:rPr>
                <w:sz w:val="20"/>
                <w:szCs w:val="20"/>
                <w:color w:val="auto"/>
              </w:rPr>
            </w:pPr>
            <w:r>
              <w:rPr>
                <w:rFonts w:ascii="Arial" w:cs="Arial" w:eastAsia="Arial" w:hAnsi="Arial"/>
                <w:sz w:val="18"/>
                <w:szCs w:val="18"/>
                <w:color w:val="auto"/>
              </w:rPr>
              <w:t>November 27 - December 24</w:t>
            </w: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4,112,294</w:t>
            </w:r>
          </w:p>
        </w:tc>
        <w:tc>
          <w:tcPr>
            <w:tcW w:w="100" w:type="dxa"/>
            <w:vAlign w:val="bottom"/>
          </w:tcPr>
          <w:p>
            <w:pPr>
              <w:spacing w:after="0"/>
              <w:rPr>
                <w:sz w:val="23"/>
                <w:szCs w:val="23"/>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14.30</w:t>
            </w:r>
          </w:p>
        </w:tc>
        <w:tc>
          <w:tcPr>
            <w:tcW w:w="2120" w:type="dxa"/>
            <w:vAlign w:val="bottom"/>
          </w:tcPr>
          <w:p>
            <w:pPr>
              <w:jc w:val="right"/>
              <w:ind w:right="30"/>
              <w:spacing w:after="0"/>
              <w:rPr>
                <w:sz w:val="20"/>
                <w:szCs w:val="20"/>
                <w:color w:val="auto"/>
              </w:rPr>
            </w:pPr>
            <w:r>
              <w:rPr>
                <w:rFonts w:ascii="Arial" w:cs="Arial" w:eastAsia="Arial" w:hAnsi="Arial"/>
                <w:sz w:val="18"/>
                <w:szCs w:val="18"/>
                <w:color w:val="auto"/>
              </w:rPr>
              <w:t>4,112,294</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260" w:type="dxa"/>
            <w:vAlign w:val="bottom"/>
          </w:tcPr>
          <w:p>
            <w:pPr>
              <w:jc w:val="right"/>
              <w:ind w:right="30"/>
              <w:spacing w:after="0"/>
              <w:rPr>
                <w:sz w:val="20"/>
                <w:szCs w:val="20"/>
                <w:color w:val="auto"/>
              </w:rPr>
            </w:pPr>
            <w:r>
              <w:rPr>
                <w:rFonts w:ascii="Arial" w:cs="Arial" w:eastAsia="Arial" w:hAnsi="Arial"/>
                <w:sz w:val="18"/>
                <w:szCs w:val="18"/>
                <w:color w:val="auto"/>
              </w:rPr>
              <w:t>941,211</w:t>
            </w:r>
          </w:p>
        </w:tc>
      </w:tr>
      <w:tr>
        <w:trPr>
          <w:trHeight w:val="270"/>
        </w:trPr>
        <w:tc>
          <w:tcPr>
            <w:tcW w:w="2720" w:type="dxa"/>
            <w:vAlign w:val="bottom"/>
          </w:tcPr>
          <w:p>
            <w:pPr>
              <w:ind w:left="20"/>
              <w:spacing w:after="0"/>
              <w:rPr>
                <w:sz w:val="20"/>
                <w:szCs w:val="20"/>
                <w:color w:val="auto"/>
              </w:rPr>
            </w:pPr>
            <w:r>
              <w:rPr>
                <w:rFonts w:ascii="Arial" w:cs="Arial" w:eastAsia="Arial" w:hAnsi="Arial"/>
                <w:sz w:val="18"/>
                <w:szCs w:val="18"/>
                <w:color w:val="auto"/>
              </w:rPr>
              <w:t>December 25 - January 28</w:t>
            </w: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4,007,739</w:t>
            </w:r>
          </w:p>
        </w:tc>
        <w:tc>
          <w:tcPr>
            <w:tcW w:w="100" w:type="dxa"/>
            <w:vAlign w:val="bottom"/>
          </w:tcPr>
          <w:p>
            <w:pPr>
              <w:spacing w:after="0"/>
              <w:rPr>
                <w:sz w:val="23"/>
                <w:szCs w:val="23"/>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70"/>
              <w:spacing w:after="0"/>
              <w:rPr>
                <w:sz w:val="20"/>
                <w:szCs w:val="20"/>
                <w:color w:val="auto"/>
              </w:rPr>
            </w:pPr>
            <w:r>
              <w:rPr>
                <w:rFonts w:ascii="Arial" w:cs="Arial" w:eastAsia="Arial" w:hAnsi="Arial"/>
                <w:sz w:val="18"/>
                <w:szCs w:val="18"/>
                <w:color w:val="auto"/>
              </w:rPr>
              <w:t>14.27</w:t>
            </w:r>
          </w:p>
        </w:tc>
        <w:tc>
          <w:tcPr>
            <w:tcW w:w="2120" w:type="dxa"/>
            <w:vAlign w:val="bottom"/>
          </w:tcPr>
          <w:p>
            <w:pPr>
              <w:jc w:val="right"/>
              <w:ind w:right="30"/>
              <w:spacing w:after="0"/>
              <w:rPr>
                <w:sz w:val="20"/>
                <w:szCs w:val="20"/>
                <w:color w:val="auto"/>
              </w:rPr>
            </w:pPr>
            <w:r>
              <w:rPr>
                <w:rFonts w:ascii="Arial" w:cs="Arial" w:eastAsia="Arial" w:hAnsi="Arial"/>
                <w:sz w:val="18"/>
                <w:szCs w:val="18"/>
                <w:color w:val="auto"/>
              </w:rPr>
              <w:t>4,007,739</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260" w:type="dxa"/>
            <w:vAlign w:val="bottom"/>
          </w:tcPr>
          <w:p>
            <w:pPr>
              <w:jc w:val="right"/>
              <w:ind w:right="30"/>
              <w:spacing w:after="0"/>
              <w:rPr>
                <w:sz w:val="20"/>
                <w:szCs w:val="20"/>
                <w:color w:val="auto"/>
              </w:rPr>
            </w:pPr>
            <w:r>
              <w:rPr>
                <w:rFonts w:ascii="Arial" w:cs="Arial" w:eastAsia="Arial" w:hAnsi="Arial"/>
                <w:sz w:val="18"/>
                <w:szCs w:val="18"/>
                <w:color w:val="auto"/>
              </w:rPr>
              <w:t>884,032</w:t>
            </w:r>
          </w:p>
        </w:tc>
      </w:tr>
      <w:tr>
        <w:trPr>
          <w:trHeight w:val="27"/>
        </w:trPr>
        <w:tc>
          <w:tcPr>
            <w:tcW w:w="2720" w:type="dxa"/>
            <w:vAlign w:val="bottom"/>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120" w:type="dxa"/>
            <w:vAlign w:val="bottom"/>
            <w:tcBorders>
              <w:bottom w:val="single" w:sz="8" w:color="auto"/>
            </w:tcBorders>
          </w:tcPr>
          <w:p>
            <w:pPr>
              <w:spacing w:after="0"/>
              <w:rPr>
                <w:sz w:val="2"/>
                <w:szCs w:val="2"/>
                <w:color w:val="auto"/>
              </w:rPr>
            </w:pPr>
          </w:p>
        </w:tc>
        <w:tc>
          <w:tcPr>
            <w:tcW w:w="320" w:type="dxa"/>
            <w:vAlign w:val="bottom"/>
          </w:tcPr>
          <w:p>
            <w:pPr>
              <w:spacing w:after="0"/>
              <w:rPr>
                <w:sz w:val="2"/>
                <w:szCs w:val="2"/>
                <w:color w:val="auto"/>
              </w:rPr>
            </w:pPr>
          </w:p>
        </w:tc>
        <w:tc>
          <w:tcPr>
            <w:tcW w:w="2260" w:type="dxa"/>
            <w:vAlign w:val="bottom"/>
          </w:tcPr>
          <w:p>
            <w:pPr>
              <w:spacing w:after="0"/>
              <w:rPr>
                <w:sz w:val="2"/>
                <w:szCs w:val="2"/>
                <w:color w:val="auto"/>
              </w:rPr>
            </w:pPr>
          </w:p>
        </w:tc>
      </w:tr>
      <w:tr>
        <w:trPr>
          <w:trHeight w:val="257"/>
        </w:trPr>
        <w:tc>
          <w:tcPr>
            <w:tcW w:w="2720" w:type="dxa"/>
            <w:vAlign w:val="bottom"/>
          </w:tcPr>
          <w:p>
            <w:pPr>
              <w:ind w:left="20"/>
              <w:spacing w:after="0"/>
              <w:rPr>
                <w:sz w:val="20"/>
                <w:szCs w:val="20"/>
                <w:color w:val="auto"/>
              </w:rPr>
            </w:pPr>
            <w:r>
              <w:rPr>
                <w:rFonts w:ascii="Arial" w:cs="Arial" w:eastAsia="Arial" w:hAnsi="Arial"/>
                <w:sz w:val="18"/>
                <w:szCs w:val="18"/>
                <w:color w:val="auto"/>
              </w:rPr>
              <w:t>Total</w:t>
            </w:r>
          </w:p>
        </w:tc>
        <w:tc>
          <w:tcPr>
            <w:tcW w:w="118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rPr>
              <w:t>8,941,296</w:t>
            </w:r>
          </w:p>
        </w:tc>
        <w:tc>
          <w:tcPr>
            <w:tcW w:w="100" w:type="dxa"/>
            <w:vAlign w:val="bottom"/>
          </w:tcPr>
          <w:p>
            <w:pPr>
              <w:spacing w:after="0"/>
              <w:rPr>
                <w:sz w:val="22"/>
                <w:szCs w:val="22"/>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rPr>
              <w:t>14.15</w:t>
            </w:r>
          </w:p>
        </w:tc>
        <w:tc>
          <w:tcPr>
            <w:tcW w:w="21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rPr>
              <w:t>8,941,296</w:t>
            </w:r>
          </w:p>
        </w:tc>
        <w:tc>
          <w:tcPr>
            <w:tcW w:w="3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260" w:type="dxa"/>
            <w:vAlign w:val="bottom"/>
          </w:tcPr>
          <w:p>
            <w:pPr>
              <w:jc w:val="right"/>
              <w:ind w:right="30"/>
              <w:spacing w:after="0"/>
              <w:rPr>
                <w:sz w:val="20"/>
                <w:szCs w:val="20"/>
                <w:color w:val="auto"/>
              </w:rPr>
            </w:pPr>
            <w:r>
              <w:rPr>
                <w:rFonts w:ascii="Arial" w:cs="Arial" w:eastAsia="Arial" w:hAnsi="Arial"/>
                <w:sz w:val="18"/>
                <w:szCs w:val="18"/>
                <w:color w:val="auto"/>
              </w:rPr>
              <w:t>884,032</w:t>
            </w:r>
          </w:p>
        </w:tc>
      </w:tr>
      <w:tr>
        <w:trPr>
          <w:trHeight w:val="20"/>
        </w:trPr>
        <w:tc>
          <w:tcPr>
            <w:tcW w:w="2720" w:type="dxa"/>
            <w:vAlign w:val="bottom"/>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1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326" w:lineRule="exact"/>
        <w:rPr>
          <w:sz w:val="20"/>
          <w:szCs w:val="20"/>
          <w:color w:val="auto"/>
        </w:rPr>
      </w:pPr>
    </w:p>
    <w:p>
      <w:pPr>
        <w:ind w:left="1140" w:right="340" w:hanging="484"/>
        <w:spacing w:after="0" w:line="277" w:lineRule="auto"/>
        <w:tabs>
          <w:tab w:leader="none" w:pos="909"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January 28, 2017 are based on our fiscal accounting periods which follow a quarterly 4-4-5 week fiscal accounting period.</w:t>
      </w:r>
    </w:p>
    <w:p>
      <w:pPr>
        <w:spacing w:after="0" w:line="170" w:lineRule="exact"/>
        <w:rPr>
          <w:rFonts w:ascii="Arial" w:cs="Arial" w:eastAsia="Arial" w:hAnsi="Arial"/>
          <w:sz w:val="18"/>
          <w:szCs w:val="18"/>
          <w:color w:val="auto"/>
        </w:rPr>
      </w:pPr>
    </w:p>
    <w:p>
      <w:pPr>
        <w:ind w:left="1140" w:right="80" w:hanging="484"/>
        <w:spacing w:after="0" w:line="255" w:lineRule="auto"/>
        <w:tabs>
          <w:tab w:leader="none" w:pos="909" w:val="left"/>
        </w:tabs>
        <w:numPr>
          <w:ilvl w:val="0"/>
          <w:numId w:val="21"/>
        </w:numPr>
        <w:rPr>
          <w:rFonts w:ascii="Arial" w:cs="Arial" w:eastAsia="Arial" w:hAnsi="Arial"/>
          <w:sz w:val="18"/>
          <w:szCs w:val="18"/>
          <w:color w:val="auto"/>
        </w:rPr>
      </w:pPr>
      <w:r>
        <w:rPr>
          <w:rFonts w:ascii="Arial" w:cs="Arial" w:eastAsia="Arial" w:hAnsi="Arial"/>
          <w:sz w:val="18"/>
          <w:szCs w:val="18"/>
          <w:color w:val="auto"/>
        </w:rPr>
        <w:t>On November 17, 2016, the Company announced that its Board of Directors authorized a $1 billion share repurchase plan. The newly authorized stock repurchase program replaces in its entirety the prior $3.25 billion stock repurchase program, which had approximately $115 million of repurchase authority remaining as of November 17, 2016.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81" w:lineRule="exact"/>
        <w:rPr>
          <w:sz w:val="20"/>
          <w:szCs w:val="20"/>
          <w:color w:val="auto"/>
        </w:rPr>
      </w:pPr>
    </w:p>
    <w:p>
      <w:pPr>
        <w:ind w:firstLine="432"/>
        <w:spacing w:after="0" w:line="259" w:lineRule="auto"/>
        <w:rPr>
          <w:sz w:val="20"/>
          <w:szCs w:val="20"/>
          <w:color w:val="auto"/>
        </w:rPr>
      </w:pPr>
      <w:r>
        <w:rPr>
          <w:rFonts w:ascii="Arial" w:cs="Arial" w:eastAsia="Arial" w:hAnsi="Arial"/>
          <w:sz w:val="18"/>
          <w:szCs w:val="18"/>
          <w:color w:val="auto"/>
        </w:rPr>
        <w:t>From August 2010 when our Board of Directors initially authorized a share repurchase program through January 28, 2017, a total 254.9 million shares have been repurchased to date under the Company’s share repurchase program for a total $3.3 billion in cash and $884.0 million was available for future share repurchases. Subsequent to the end of the quarter through March 15, 2017, the Company repurchased an additional 2.7 million of its common shares for $43.7 million at an average price per share of $15.91.</w:t>
      </w:r>
    </w:p>
    <w:p>
      <w:pPr>
        <w:spacing w:after="0" w:line="399"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i w:val="1"/>
          <w:iCs w:val="1"/>
          <w:color w:val="auto"/>
        </w:rPr>
        <w:t>Selected Financial Data</w:t>
      </w:r>
    </w:p>
    <w:p>
      <w:pPr>
        <w:spacing w:after="0" w:line="121" w:lineRule="exact"/>
        <w:rPr>
          <w:sz w:val="20"/>
          <w:szCs w:val="20"/>
          <w:color w:val="auto"/>
        </w:rPr>
      </w:pPr>
    </w:p>
    <w:p>
      <w:pPr>
        <w:ind w:right="260" w:firstLine="432"/>
        <w:spacing w:after="0" w:line="277"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130" w:right="239" w:bottom="1440" w:gutter="0" w:footer="0" w:header="0"/>
        </w:sectPr>
      </w:pPr>
    </w:p>
    <w:bookmarkStart w:id="29" w:name="page30"/>
    <w:bookmarkEnd w:id="29"/>
    <w:p>
      <w:pPr>
        <w:ind w:right="40"/>
        <w:spacing w:after="0" w:line="273" w:lineRule="auto"/>
        <w:rPr>
          <w:sz w:val="20"/>
          <w:szCs w:val="20"/>
          <w:color w:val="auto"/>
        </w:rPr>
      </w:pPr>
      <w:r>
        <w:rPr>
          <w:rFonts w:ascii="Arial" w:cs="Arial" w:eastAsia="Arial" w:hAnsi="Arial"/>
          <w:sz w:val="18"/>
          <w:szCs w:val="18"/>
          <w:color w:val="auto"/>
        </w:rPr>
        <w:t xml:space="preserve">Supplementary Data” contained elsewhere in this Annual Report on Form 10-K. </w:t>
      </w:r>
      <w:r>
        <w:rPr>
          <w:rFonts w:ascii="Arial" w:cs="Arial" w:eastAsia="Arial" w:hAnsi="Arial"/>
          <w:sz w:val="19"/>
          <w:szCs w:val="19"/>
          <w:color w:val="auto"/>
        </w:rPr>
        <w:t>I</w:t>
      </w:r>
      <w:r>
        <w:rPr>
          <w:rFonts w:ascii="Arial" w:cs="Arial" w:eastAsia="Arial" w:hAnsi="Arial"/>
          <w:sz w:val="18"/>
          <w:szCs w:val="18"/>
          <w:color w:val="auto"/>
        </w:rPr>
        <w:t>n connection with the November 2016 announcement of our plan to restructure our operations to refocus our research and development, increase operational efficiency and improve profitability, we also plan to divest certain businesses and we began an active program to locate buyers for several businesses. As of January 28, 2017, two of these businesses were classified as discontinued operations. As required we retrospectively recast our consolidated statements of operations and balance sheets for all periods presented to reflect these businesses as discontinued operations.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jc w:val="right"/>
              <w:ind w:right="152"/>
              <w:spacing w:after="0"/>
              <w:rPr>
                <w:sz w:val="20"/>
                <w:szCs w:val="20"/>
                <w:color w:val="auto"/>
              </w:rPr>
            </w:pPr>
            <w:r>
              <w:rPr>
                <w:rFonts w:ascii="Arial" w:cs="Arial" w:eastAsia="Arial" w:hAnsi="Arial"/>
                <w:sz w:val="14"/>
                <w:szCs w:val="14"/>
                <w:b w:val="1"/>
                <w:bCs w:val="1"/>
                <w:color w:val="auto"/>
              </w:rPr>
              <w:t>January 28,</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gridSpan w:val="2"/>
          </w:tcPr>
          <w:p>
            <w:pPr>
              <w:ind w:left="80"/>
              <w:spacing w:after="0"/>
              <w:rPr>
                <w:sz w:val="20"/>
                <w:szCs w:val="20"/>
                <w:color w:val="auto"/>
              </w:rPr>
            </w:pPr>
            <w:r>
              <w:rPr>
                <w:rFonts w:ascii="Arial" w:cs="Arial" w:eastAsia="Arial" w:hAnsi="Arial"/>
                <w:sz w:val="14"/>
                <w:szCs w:val="14"/>
                <w:b w:val="1"/>
                <w:bCs w:val="1"/>
                <w:color w:val="auto"/>
              </w:rPr>
              <w:t>January 30,</w:t>
            </w:r>
          </w:p>
        </w:tc>
        <w:tc>
          <w:tcPr>
            <w:tcW w:w="160" w:type="dxa"/>
            <w:vAlign w:val="bottom"/>
          </w:tcPr>
          <w:p>
            <w:pPr>
              <w:spacing w:after="0"/>
              <w:rPr>
                <w:sz w:val="14"/>
                <w:szCs w:val="14"/>
                <w:color w:val="auto"/>
              </w:rPr>
            </w:pPr>
          </w:p>
        </w:tc>
        <w:tc>
          <w:tcPr>
            <w:tcW w:w="10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January 31,</w:t>
            </w:r>
          </w:p>
        </w:tc>
        <w:tc>
          <w:tcPr>
            <w:tcW w:w="200" w:type="dxa"/>
            <w:vAlign w:val="bottom"/>
          </w:tcPr>
          <w:p>
            <w:pPr>
              <w:spacing w:after="0"/>
              <w:rPr>
                <w:sz w:val="14"/>
                <w:szCs w:val="14"/>
                <w:color w:val="auto"/>
              </w:rPr>
            </w:pPr>
          </w:p>
        </w:tc>
        <w:tc>
          <w:tcPr>
            <w:tcW w:w="1200" w:type="dxa"/>
            <w:vAlign w:val="bottom"/>
          </w:tcPr>
          <w:p>
            <w:pPr>
              <w:jc w:val="right"/>
              <w:ind w:right="312"/>
              <w:spacing w:after="0"/>
              <w:rPr>
                <w:sz w:val="20"/>
                <w:szCs w:val="20"/>
                <w:color w:val="auto"/>
              </w:rPr>
            </w:pPr>
            <w:r>
              <w:rPr>
                <w:rFonts w:ascii="Arial" w:cs="Arial" w:eastAsia="Arial" w:hAnsi="Arial"/>
                <w:sz w:val="14"/>
                <w:szCs w:val="14"/>
                <w:b w:val="1"/>
                <w:bCs w:val="1"/>
                <w:color w:val="auto"/>
              </w:rPr>
              <w:t>February 1,</w:t>
            </w:r>
          </w:p>
        </w:tc>
        <w:tc>
          <w:tcPr>
            <w:tcW w:w="160" w:type="dxa"/>
            <w:vAlign w:val="bottom"/>
          </w:tcPr>
          <w:p>
            <w:pPr>
              <w:spacing w:after="0"/>
              <w:rPr>
                <w:sz w:val="14"/>
                <w:szCs w:val="14"/>
                <w:color w:val="auto"/>
              </w:rPr>
            </w:pPr>
          </w:p>
        </w:tc>
        <w:tc>
          <w:tcPr>
            <w:tcW w:w="1060" w:type="dxa"/>
            <w:vAlign w:val="bottom"/>
          </w:tcPr>
          <w:p>
            <w:pPr>
              <w:jc w:val="right"/>
              <w:ind w:right="172"/>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48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2017 (1)</w:t>
            </w:r>
          </w:p>
        </w:tc>
        <w:tc>
          <w:tcPr>
            <w:tcW w:w="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2016 (2)</w:t>
            </w:r>
          </w:p>
        </w:tc>
        <w:tc>
          <w:tcPr>
            <w:tcW w:w="1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92"/>
              <w:spacing w:after="0"/>
              <w:rPr>
                <w:sz w:val="20"/>
                <w:szCs w:val="20"/>
                <w:color w:val="auto"/>
              </w:rPr>
            </w:pPr>
            <w:r>
              <w:rPr>
                <w:rFonts w:ascii="Arial" w:cs="Arial" w:eastAsia="Arial" w:hAnsi="Arial"/>
                <w:sz w:val="14"/>
                <w:szCs w:val="14"/>
                <w:b w:val="1"/>
                <w:bCs w:val="1"/>
                <w:color w:val="auto"/>
                <w:w w:val="89"/>
              </w:rPr>
              <w:t>2015</w:t>
            </w: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32"/>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2013</w:t>
            </w:r>
          </w:p>
        </w:tc>
      </w:tr>
      <w:tr>
        <w:trPr>
          <w:trHeight w:val="250"/>
        </w:trPr>
        <w:tc>
          <w:tcPr>
            <w:tcW w:w="48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160" w:type="dxa"/>
            <w:vAlign w:val="bottom"/>
            <w:gridSpan w:val="10"/>
          </w:tcPr>
          <w:p>
            <w:pPr>
              <w:jc w:val="center"/>
              <w:spacing w:after="0"/>
              <w:rPr>
                <w:sz w:val="20"/>
                <w:szCs w:val="20"/>
                <w:color w:val="auto"/>
              </w:rPr>
            </w:pPr>
            <w:r>
              <w:rPr>
                <w:rFonts w:ascii="Arial" w:cs="Arial" w:eastAsia="Arial" w:hAnsi="Arial"/>
                <w:sz w:val="14"/>
                <w:szCs w:val="14"/>
                <w:b w:val="1"/>
                <w:bCs w:val="1"/>
                <w:color w:val="auto"/>
                <w:w w:val="90"/>
              </w:rPr>
              <w:t>(in thousands, except per share amounts and number of employees)</w:t>
            </w:r>
          </w:p>
        </w:tc>
        <w:tc>
          <w:tcPr>
            <w:tcW w:w="16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56"/>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Statements of Operations Data:</w:t>
            </w: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spacing w:after="0"/>
              <w:rPr>
                <w:sz w:val="22"/>
                <w:szCs w:val="22"/>
                <w:color w:val="auto"/>
              </w:rPr>
            </w:pPr>
          </w:p>
        </w:tc>
        <w:tc>
          <w:tcPr>
            <w:tcW w:w="4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Net revenue</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2,317,674</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2,649,216</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3,637,206</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3,340,717</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3,155,165</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Cost of goods sold</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1,029,527</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1,442,517</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1,799,425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1,613,673</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1,482,563</w:t>
            </w:r>
          </w:p>
        </w:tc>
      </w:tr>
      <w:tr>
        <w:trPr>
          <w:trHeight w:val="243"/>
        </w:trPr>
        <w:tc>
          <w:tcPr>
            <w:tcW w:w="4800" w:type="dxa"/>
            <w:vAlign w:val="bottom"/>
          </w:tcPr>
          <w:p>
            <w:pPr>
              <w:ind w:left="380"/>
              <w:spacing w:after="0"/>
              <w:rPr>
                <w:sz w:val="20"/>
                <w:szCs w:val="20"/>
                <w:color w:val="auto"/>
              </w:rPr>
            </w:pPr>
            <w:r>
              <w:rPr>
                <w:rFonts w:ascii="Arial" w:cs="Arial" w:eastAsia="Arial" w:hAnsi="Arial"/>
                <w:sz w:val="18"/>
                <w:szCs w:val="18"/>
                <w:color w:val="auto"/>
              </w:rPr>
              <w:t>Research and development</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831,398</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994,733</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1,091,547</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1,080,228</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991,950</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99,994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(775,505)</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456,376</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348,615</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365,136</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Income (loss) from continuing operations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43,994</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(769,155)</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483,787</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384,170</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377,861</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Loss from discontinued operations, net of tax</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(22,843)</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(42,245)</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(48,441)</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(68,850)</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(71,276)</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21,151</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(811,400)</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435,346</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315,320</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306,585</w:t>
            </w:r>
          </w:p>
        </w:tc>
      </w:tr>
      <w:tr>
        <w:trPr>
          <w:trHeight w:val="27"/>
        </w:trPr>
        <w:tc>
          <w:tcPr>
            <w:tcW w:w="48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44"/>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per share:</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800" w:type="dxa"/>
            <w:vAlign w:val="bottom"/>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0.09</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(1.51)</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0.95</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0.77</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0.68</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0.93</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0.76</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0.67</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Loss from discontinued operations per share:</w:t>
            </w:r>
          </w:p>
        </w:tc>
        <w:tc>
          <w:tcPr>
            <w:tcW w:w="2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(0.13)</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(0.13)</w:t>
            </w:r>
          </w:p>
        </w:tc>
      </w:tr>
      <w:tr>
        <w:trPr>
          <w:trHeight w:val="243"/>
        </w:trPr>
        <w:tc>
          <w:tcPr>
            <w:tcW w:w="4800" w:type="dxa"/>
            <w:vAlign w:val="bottom"/>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(0.05)</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12"/>
              <w:spacing w:after="0"/>
              <w:rPr>
                <w:sz w:val="20"/>
                <w:szCs w:val="20"/>
                <w:color w:val="auto"/>
              </w:rPr>
            </w:pPr>
            <w:r>
              <w:rPr>
                <w:rFonts w:ascii="Arial" w:cs="Arial" w:eastAsia="Arial" w:hAnsi="Arial"/>
                <w:sz w:val="18"/>
                <w:szCs w:val="18"/>
                <w:color w:val="auto"/>
              </w:rPr>
              <w:t>(0.13)</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(0.13)</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800" w:type="dxa"/>
            <w:vAlign w:val="bottom"/>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0.04</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(1.59)</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0.85</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0.64</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0.55</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0.84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0.63</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0.54</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2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509,738</w:t>
            </w: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510,945</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511,089</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496,518</w:t>
            </w:r>
          </w:p>
        </w:tc>
        <w:tc>
          <w:tcPr>
            <w:tcW w:w="1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555,310</w:t>
            </w:r>
          </w:p>
        </w:tc>
      </w:tr>
      <w:tr>
        <w:trPr>
          <w:trHeight w:val="243"/>
        </w:trPr>
        <w:tc>
          <w:tcPr>
            <w:tcW w:w="4800" w:type="dxa"/>
            <w:vAlign w:val="bottom"/>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517,513</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510,945</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520,760</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504,413</w:t>
            </w:r>
          </w:p>
        </w:tc>
        <w:tc>
          <w:tcPr>
            <w:tcW w:w="1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563,123</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Balance Sheet Data:</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Cash, cash equivalents and short-term investments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1,668,360</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2,282,749</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2,529,555</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1,969,405</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1,918,990</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Working capital</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1,783,914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1,728,877</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2,746,904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2,232,081</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2,025,739</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4,648,650</w:t>
            </w:r>
          </w:p>
        </w:tc>
        <w:tc>
          <w:tcPr>
            <w:tcW w:w="34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5,442,127</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5,884,387</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5,451,010</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5,261,764</w:t>
            </w: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shareholders’ equity</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4,027,651</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4,140,123</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5,146,089</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4,675,910</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4,484,595</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b w:val="1"/>
                <w:bCs w:val="1"/>
                <w:color w:val="auto"/>
              </w:rPr>
              <w:t>Other Data:</w:t>
            </w:r>
          </w:p>
        </w:tc>
        <w:tc>
          <w:tcPr>
            <w:tcW w:w="2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7"/>
        </w:trPr>
        <w:tc>
          <w:tcPr>
            <w:tcW w:w="4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dividends declared per share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34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0.24</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0.24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0.24</w:t>
            </w: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0.18</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Number of employees</w:t>
            </w: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4,617</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5,437</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ind w:right="32"/>
              <w:spacing w:after="0"/>
              <w:rPr>
                <w:sz w:val="20"/>
                <w:szCs w:val="20"/>
                <w:color w:val="auto"/>
              </w:rPr>
            </w:pPr>
            <w:r>
              <w:rPr>
                <w:rFonts w:ascii="Arial" w:cs="Arial" w:eastAsia="Arial" w:hAnsi="Arial"/>
                <w:sz w:val="18"/>
                <w:szCs w:val="18"/>
                <w:color w:val="auto"/>
              </w:rPr>
              <w:t>7,163</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tcPr>
          <w:p>
            <w:pPr>
              <w:jc w:val="right"/>
              <w:ind w:right="172"/>
              <w:spacing w:after="0"/>
              <w:rPr>
                <w:sz w:val="20"/>
                <w:szCs w:val="20"/>
                <w:color w:val="auto"/>
              </w:rPr>
            </w:pPr>
            <w:r>
              <w:rPr>
                <w:rFonts w:ascii="Arial" w:cs="Arial" w:eastAsia="Arial" w:hAnsi="Arial"/>
                <w:sz w:val="18"/>
                <w:szCs w:val="18"/>
                <w:color w:val="auto"/>
              </w:rPr>
              <w:t>7,355</w:t>
            </w:r>
          </w:p>
        </w:tc>
        <w:tc>
          <w:tcPr>
            <w:tcW w:w="160" w:type="dxa"/>
            <w:vAlign w:val="bottom"/>
          </w:tcPr>
          <w:p>
            <w:pPr>
              <w:spacing w:after="0"/>
              <w:rPr>
                <w:sz w:val="21"/>
                <w:szCs w:val="21"/>
                <w:color w:val="auto"/>
              </w:rPr>
            </w:pPr>
          </w:p>
        </w:tc>
        <w:tc>
          <w:tcPr>
            <w:tcW w:w="1060" w:type="dxa"/>
            <w:vAlign w:val="bottom"/>
          </w:tcPr>
          <w:p>
            <w:pPr>
              <w:jc w:val="right"/>
              <w:ind w:right="12"/>
              <w:spacing w:after="0"/>
              <w:rPr>
                <w:sz w:val="20"/>
                <w:szCs w:val="20"/>
                <w:color w:val="auto"/>
              </w:rPr>
            </w:pPr>
            <w:r>
              <w:rPr>
                <w:rFonts w:ascii="Arial" w:cs="Arial" w:eastAsia="Arial" w:hAnsi="Arial"/>
                <w:sz w:val="18"/>
                <w:szCs w:val="18"/>
                <w:color w:val="auto"/>
              </w:rPr>
              <w:t>7,259</w:t>
            </w:r>
          </w:p>
        </w:tc>
      </w:tr>
    </w:tbl>
    <w:p>
      <w:pPr>
        <w:spacing w:after="0" w:line="337" w:lineRule="exact"/>
        <w:rPr>
          <w:sz w:val="20"/>
          <w:szCs w:val="20"/>
          <w:color w:val="auto"/>
        </w:rPr>
      </w:pPr>
    </w:p>
    <w:p>
      <w:pPr>
        <w:ind w:left="660" w:right="340" w:hanging="652"/>
        <w:spacing w:after="0" w:line="264" w:lineRule="auto"/>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Fiscal 2017 includes $105.2 million of restructuring and other related charges that include $52.6 million for impairment of certain equipment, technology licenses and to fully impair a nonrefundable deposit due to the non-utilization of the related contract. Fiscal 2017 also included $68.0 million of tax expense related to restructuring actions taken.</w:t>
      </w:r>
    </w:p>
    <w:p>
      <w:pPr>
        <w:spacing w:after="0" w:line="19" w:lineRule="exact"/>
        <w:rPr>
          <w:rFonts w:ascii="Arial" w:cs="Arial" w:eastAsia="Arial" w:hAnsi="Arial"/>
          <w:sz w:val="18"/>
          <w:szCs w:val="18"/>
          <w:color w:val="auto"/>
        </w:rPr>
      </w:pPr>
    </w:p>
    <w:p>
      <w:pPr>
        <w:ind w:left="660" w:right="220" w:hanging="652"/>
        <w:spacing w:after="0" w:line="257" w:lineRule="auto"/>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Fiscal 2016 includes $751.4 million of charges for litigation matters recognized by the Company including a $736.0 million charge related to the $750 million settlement reached with CMU, as well as certain other pending litigation.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our Board of Directors of</w:t>
      </w: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906" w:right="239" w:bottom="1440" w:gutter="0" w:footer="0" w:header="0"/>
        </w:sectPr>
      </w:pPr>
    </w:p>
    <w:bookmarkStart w:id="30" w:name="page31"/>
    <w:bookmarkEnd w:id="30"/>
    <w:p>
      <w:pPr>
        <w:ind w:left="660"/>
        <w:spacing w:after="0"/>
        <w:rPr>
          <w:sz w:val="20"/>
          <w:szCs w:val="20"/>
          <w:color w:val="auto"/>
        </w:rPr>
      </w:pPr>
      <w:r>
        <w:rPr>
          <w:rFonts w:ascii="Arial" w:cs="Arial" w:eastAsia="Arial" w:hAnsi="Arial"/>
          <w:sz w:val="18"/>
          <w:szCs w:val="18"/>
          <w:color w:val="auto"/>
        </w:rPr>
        <w:t>$15.4 million to our former CEO Dr. Sehat Sutardja and $11.4 million of costs for the surety bonds related to the litigation with CMU.</w:t>
      </w:r>
    </w:p>
    <w:p>
      <w:pPr>
        <w:spacing w:after="0" w:line="39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280" w:firstLine="432"/>
        <w:spacing w:after="0" w:line="259" w:lineRule="auto"/>
        <w:rPr>
          <w:sz w:val="20"/>
          <w:szCs w:val="20"/>
          <w:color w:val="auto"/>
        </w:rPr>
      </w:pPr>
      <w:r>
        <w:rPr>
          <w:rFonts w:ascii="Arial" w:cs="Arial" w:eastAsia="Arial" w:hAnsi="Arial"/>
          <w:sz w:val="18"/>
          <w:szCs w:val="18"/>
          <w:i w:val="1"/>
          <w:iCs w:val="1"/>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7"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color w:val="auto"/>
        </w:rPr>
        <w:t>Net revenue in fiscal 2017 was $2.3 billion and was 13% lower than net revenue of $2.6 billion in fiscal 2016. The decline was primarily due to a 47% decrease in sales of our other products and a 28% decrease in sales of our connectivity products. These decreases were primarily driven by the previously announced restructuring of the mobile platform business.</w:t>
      </w:r>
    </w:p>
    <w:p>
      <w:pPr>
        <w:spacing w:after="0" w:line="82"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i w:val="1"/>
          <w:iCs w:val="1"/>
          <w:color w:val="auto"/>
        </w:rPr>
        <w:t xml:space="preserve">Restructuring. </w:t>
      </w:r>
      <w:r>
        <w:rPr>
          <w:rFonts w:ascii="Arial" w:cs="Arial" w:eastAsia="Arial" w:hAnsi="Arial"/>
          <w:sz w:val="18"/>
          <w:szCs w:val="18"/>
          <w:color w:val="auto"/>
        </w:rPr>
        <w:t>In November 2016, we announced a restructuring plan intended to refocus our research and development, increase operational efficiency</w:t>
      </w:r>
      <w:r>
        <w:rPr>
          <w:rFonts w:ascii="Arial" w:cs="Arial" w:eastAsia="Arial" w:hAnsi="Arial"/>
          <w:sz w:val="18"/>
          <w:szCs w:val="18"/>
          <w:i w:val="1"/>
          <w:iCs w:val="1"/>
          <w:color w:val="auto"/>
        </w:rPr>
        <w:t xml:space="preserve"> </w:t>
      </w:r>
      <w:r>
        <w:rPr>
          <w:rFonts w:ascii="Arial" w:cs="Arial" w:eastAsia="Arial" w:hAnsi="Arial"/>
          <w:sz w:val="18"/>
          <w:szCs w:val="18"/>
          <w:color w:val="auto"/>
        </w:rPr>
        <w:t>and improve profitability. During fiscal 2017 we recorded restructuring and other related charges of $105.2 million. In connection with our restructuring plan, we also plan to divest certain businesses and we began an active program to locate buyers for several businesses. As of January 28, 2017, two of these businesses have been classified as discontinued operations and we have retrospectively recast our consolidated financial statements for all periods presented to reflect these businesses as discontinued operations. These actions are expected to lower annual operating expenses to the $820 million to $830 million range. Unless noted otherwise, our discussion under Part II, Item 7, Management’s Discussion and Analysis of Financial Condition and Results of Operations refers to our continuing operations.</w:t>
      </w:r>
    </w:p>
    <w:p>
      <w:pPr>
        <w:spacing w:after="0" w:line="81" w:lineRule="exact"/>
        <w:rPr>
          <w:sz w:val="20"/>
          <w:szCs w:val="20"/>
          <w:color w:val="auto"/>
        </w:rPr>
      </w:pPr>
    </w:p>
    <w:p>
      <w:pPr>
        <w:ind w:left="420"/>
        <w:spacing w:after="0"/>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believe our financial position is strong and we remain committed to deliver shareholder value through our share repurchase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and dividend programs. We previously announced our intention to repurchase shares of our common stock up to $1 billion, of which we intend to repurchase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$500 million from November 2016 through October 2017. In the fourth quarter of fiscal 2017, we repurchased 8.9 million shares of our common stock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$126.5 million. Including these stock repurchases, we returned $303.9 million to stockholders in fiscal 2017, including $181.6 million through repurchases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common stock and $122.3 million of cash dividends.</w:t>
      </w:r>
    </w:p>
    <w:p>
      <w:pPr>
        <w:spacing w:after="0" w:line="103" w:lineRule="exact"/>
        <w:rPr>
          <w:sz w:val="20"/>
          <w:szCs w:val="20"/>
          <w:color w:val="auto"/>
        </w:rPr>
      </w:pPr>
    </w:p>
    <w:p>
      <w:pPr>
        <w:ind w:right="420" w:firstLine="405"/>
        <w:spacing w:after="0" w:line="308" w:lineRule="auto"/>
        <w:rPr>
          <w:sz w:val="20"/>
          <w:szCs w:val="20"/>
          <w:color w:val="auto"/>
        </w:rPr>
      </w:pPr>
      <w:r>
        <w:rPr>
          <w:rFonts w:ascii="Arial" w:cs="Arial" w:eastAsia="Arial" w:hAnsi="Arial"/>
          <w:sz w:val="17"/>
          <w:szCs w:val="17"/>
          <w:color w:val="auto"/>
        </w:rPr>
        <w:t>Our cash, cash equivalents and short-term investments were $1.7 billion at January 28, 2017. We used cash flow from operations of $358.4 million through the fourth quarter of fiscal 2017, primarily due to the $750 million settlement with CMU that was fully paid in April 2016.</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Significant Customers</w:t>
      </w:r>
    </w:p>
    <w:p>
      <w:pPr>
        <w:spacing w:after="0" w:line="121" w:lineRule="exact"/>
        <w:rPr>
          <w:sz w:val="20"/>
          <w:szCs w:val="20"/>
          <w:color w:val="auto"/>
        </w:rPr>
      </w:pPr>
    </w:p>
    <w:p>
      <w:pPr>
        <w:ind w:right="240" w:firstLine="405"/>
        <w:spacing w:after="0" w:line="312"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See the table in our discussion of “Customers, Sales and Marketing” in Item 1 of this Annual Report on Form 10-K for further information. We continuously monitor the creditworthiness of our distributors and believe these distributors’ sales to diverse end customers and geographies further serve to mitigate our exposure to credit risk.</w:t>
      </w:r>
    </w:p>
    <w:p>
      <w:pPr>
        <w:spacing w:after="0" w:line="39"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Most of our sales are made to customers located outside of the United States, primarily in Asia. Sales shipped to customers with operations in Asia represented approximately 94% of our net revenues in fiscal 2017, and 96% of our net revenue in each of fiscal 2016 and 2015. Because many manufacturers and manufacturing subcontractors of our customers are located in Asia, we expect that most of our net revenue will continue to be represented by sales to our customers in that region.</w:t>
      </w:r>
    </w:p>
    <w:p>
      <w:pPr>
        <w:spacing w:after="0" w:line="79" w:lineRule="exact"/>
        <w:rPr>
          <w:sz w:val="20"/>
          <w:szCs w:val="20"/>
          <w:color w:val="auto"/>
        </w:rPr>
      </w:pPr>
    </w:p>
    <w:p>
      <w:pPr>
        <w:ind w:right="100" w:firstLine="392"/>
        <w:spacing w:after="0" w:line="257"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121"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we</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881" w:right="239" w:bottom="1440" w:gutter="0" w:footer="0" w:header="0"/>
        </w:sectPr>
      </w:pPr>
    </w:p>
    <w:bookmarkStart w:id="31" w:name="page32"/>
    <w:bookmarkEnd w:id="31"/>
    <w:p>
      <w:pPr>
        <w:ind w:right="140"/>
        <w:spacing w:after="0" w:line="273" w:lineRule="auto"/>
        <w:rPr>
          <w:sz w:val="20"/>
          <w:szCs w:val="20"/>
          <w:color w:val="auto"/>
        </w:rPr>
      </w:pPr>
      <w:r>
        <w:rPr>
          <w:rFonts w:ascii="Arial" w:cs="Arial" w:eastAsia="Arial" w:hAnsi="Arial"/>
          <w:sz w:val="17"/>
          <w:szCs w:val="17"/>
          <w:color w:val="auto"/>
        </w:rPr>
        <w:t>evaluate our estimates, including those related to revenue recognition, provisions for sales returns and allowances, share-based compensation, income taxes, inventory excess and obsolescence, goodwill and other intangible assets, restructuring, litigation and other contingencies.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70" w:lineRule="exact"/>
        <w:rPr>
          <w:sz w:val="20"/>
          <w:szCs w:val="20"/>
          <w:color w:val="auto"/>
        </w:rPr>
      </w:pPr>
    </w:p>
    <w:p>
      <w:pPr>
        <w:ind w:right="40" w:firstLine="432"/>
        <w:spacing w:after="0" w:line="297"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We recognize revenue when there is persuasive evidence of an arrangement, delivery has occurred, the fee is fixed or</w:t>
      </w:r>
      <w:r>
        <w:rPr>
          <w:rFonts w:ascii="Arial" w:cs="Arial" w:eastAsia="Arial" w:hAnsi="Arial"/>
          <w:sz w:val="16"/>
          <w:szCs w:val="16"/>
          <w:i w:val="1"/>
          <w:iCs w:val="1"/>
          <w:color w:val="auto"/>
        </w:rPr>
        <w:t xml:space="preserve"> </w:t>
      </w:r>
      <w:r>
        <w:rPr>
          <w:rFonts w:ascii="Arial" w:cs="Arial" w:eastAsia="Arial" w:hAnsi="Arial"/>
          <w:sz w:val="16"/>
          <w:szCs w:val="16"/>
          <w:color w:val="auto"/>
        </w:rPr>
        <w:t>determinable, and collection is reasonably assured. If we grant extended payment terms greater than our standard terms for a customer such that collectability is not assured, the revenue and the corresponding cost of goods sold are deferred upon shipment and will be recognized when the payment becomes due provided all other revenue recognition criteria have been satisfied. Additional review and approval by management is required for any transaction with extended payment terms that exceed 90 days to determine proper revenue recognition, which may be subject to management judgment.</w:t>
      </w:r>
    </w:p>
    <w:p>
      <w:pPr>
        <w:spacing w:after="0" w:line="50" w:lineRule="exact"/>
        <w:rPr>
          <w:sz w:val="20"/>
          <w:szCs w:val="20"/>
          <w:color w:val="auto"/>
        </w:rPr>
      </w:pPr>
    </w:p>
    <w:p>
      <w:pPr>
        <w:ind w:right="80" w:firstLine="432"/>
        <w:spacing w:after="0" w:line="291"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and limited rights of stock rotation on product unsold by the distributors. Although title passes to the distributor upon shipment, terms and payment by our distributors is not contingent on resale of the product. Product revenue on sales made through distributors with price protection and stock rotation rights is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w:t>
      </w:r>
    </w:p>
    <w:p>
      <w:pPr>
        <w:spacing w:after="0" w:line="59" w:lineRule="exact"/>
        <w:rPr>
          <w:sz w:val="20"/>
          <w:szCs w:val="20"/>
          <w:color w:val="auto"/>
        </w:rPr>
      </w:pPr>
    </w:p>
    <w:p>
      <w:pPr>
        <w:ind w:firstLine="432"/>
        <w:spacing w:after="0" w:line="342" w:lineRule="auto"/>
        <w:rPr>
          <w:sz w:val="20"/>
          <w:szCs w:val="20"/>
          <w:color w:val="auto"/>
        </w:rPr>
      </w:pPr>
      <w:r>
        <w:rPr>
          <w:rFonts w:ascii="Arial" w:cs="Arial" w:eastAsia="Arial" w:hAnsi="Arial"/>
          <w:sz w:val="16"/>
          <w:szCs w:val="16"/>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16" w:lineRule="exact"/>
        <w:rPr>
          <w:sz w:val="20"/>
          <w:szCs w:val="20"/>
          <w:color w:val="auto"/>
        </w:rPr>
      </w:pPr>
    </w:p>
    <w:p>
      <w:pPr>
        <w:ind w:right="80" w:firstLine="432"/>
        <w:spacing w:after="0" w:line="255"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In addition, payments to our customers, in cases where products with potential quality issues are not returned to us and the related quality issue can otherwise not be verified, or where the amount of the payment is not sufficiently supported by the fair value of the quality issue, may be recorded as a reduction of revenue. Actual returns could differ from these estimates. We account for rebates by recording reductions to revenue in the same period that the related revenue is recorded. The amount of these reductions is based upon the terms agreed to with the customers.</w:t>
      </w:r>
    </w:p>
    <w:p>
      <w:pPr>
        <w:spacing w:after="0" w:line="85" w:lineRule="exact"/>
        <w:rPr>
          <w:sz w:val="20"/>
          <w:szCs w:val="20"/>
          <w:color w:val="auto"/>
        </w:rPr>
      </w:pPr>
    </w:p>
    <w:p>
      <w:pPr>
        <w:ind w:right="40" w:firstLine="432"/>
        <w:spacing w:after="0" w:line="291" w:lineRule="auto"/>
        <w:rPr>
          <w:sz w:val="20"/>
          <w:szCs w:val="20"/>
          <w:color w:val="auto"/>
        </w:rPr>
      </w:pPr>
      <w:r>
        <w:rPr>
          <w:rFonts w:ascii="Arial" w:cs="Arial" w:eastAsia="Arial" w:hAnsi="Arial"/>
          <w:sz w:val="16"/>
          <w:szCs w:val="16"/>
          <w:i w:val="1"/>
          <w:iCs w:val="1"/>
          <w:color w:val="auto"/>
        </w:rPr>
        <w:t xml:space="preserve">Share-Based Compensation. </w:t>
      </w:r>
      <w:r>
        <w:rPr>
          <w:rFonts w:ascii="Arial" w:cs="Arial" w:eastAsia="Arial" w:hAnsi="Arial"/>
          <w:sz w:val="16"/>
          <w:szCs w:val="16"/>
          <w:color w:val="auto"/>
        </w:rPr>
        <w:t>We measure our share-based compensation at the grant date, based on the fair value of the award, and recognize expense</w:t>
      </w:r>
      <w:r>
        <w:rPr>
          <w:rFonts w:ascii="Arial" w:cs="Arial" w:eastAsia="Arial" w:hAnsi="Arial"/>
          <w:sz w:val="16"/>
          <w:szCs w:val="16"/>
          <w:i w:val="1"/>
          <w:iCs w:val="1"/>
          <w:color w:val="auto"/>
        </w:rPr>
        <w:t xml:space="preserve"> </w:t>
      </w:r>
      <w:r>
        <w:rPr>
          <w:rFonts w:ascii="Arial" w:cs="Arial" w:eastAsia="Arial" w:hAnsi="Arial"/>
          <w:sz w:val="16"/>
          <w:szCs w:val="16"/>
          <w:color w:val="auto"/>
        </w:rPr>
        <w:t>over the requisite service period. We amortize share-based compensation expense for time-based awards under the straight-line attribution method over the vesting period. Share-based compensation expense for performance-based awards is recognized when it becomes probable that the performance conditions will be met. Once it becomes probable that a performance-based award will vest, we recognize compensation expense equal to the number of shares expected to vest multiplied by the fair value of the award at the grant date, which is amortized using the accelerated method. In the case of performance-based awards based on total shareholder return (“TSR”), share-based compensation expense is amortized over the requisite service period. For stock purchase rights under the stock purchase plan, the Company amortizes share-based compensation expense ratably over the two-year offering period.</w:t>
      </w:r>
    </w:p>
    <w:p>
      <w:pPr>
        <w:spacing w:after="0" w:line="59" w:lineRule="exact"/>
        <w:rPr>
          <w:sz w:val="20"/>
          <w:szCs w:val="20"/>
          <w:color w:val="auto"/>
        </w:rPr>
      </w:pPr>
    </w:p>
    <w:p>
      <w:pPr>
        <w:ind w:firstLine="432"/>
        <w:spacing w:after="0" w:line="276" w:lineRule="auto"/>
        <w:rPr>
          <w:sz w:val="20"/>
          <w:szCs w:val="20"/>
          <w:color w:val="auto"/>
        </w:rPr>
      </w:pPr>
      <w:r>
        <w:rPr>
          <w:rFonts w:ascii="Arial" w:cs="Arial" w:eastAsia="Arial" w:hAnsi="Arial"/>
          <w:sz w:val="17"/>
          <w:szCs w:val="17"/>
          <w:color w:val="auto"/>
        </w:rPr>
        <w:t>We estimate the fair value of time-based stock option and stock purchase awards on the date of grant using the Black Scholes option-pricing model. The fair value of TSR awards is estimated on the date of grant using a Monte Carlo simulation model since the award is indexed to the price of our common stock as set forth under the terms of the award. The value of the portion of the awards that is ultimately expected to vest is recognized as expense over the requisite service periods. The Black-Scholes and Monte Carlo models incorporate various highly subjective assumptions including expected term of awards, expected future stock price volatility, expected dividend yield and risk-free interest rate.</w:t>
      </w:r>
    </w:p>
    <w:p>
      <w:pPr>
        <w:spacing w:after="0" w:line="64" w:lineRule="exact"/>
        <w:rPr>
          <w:sz w:val="20"/>
          <w:szCs w:val="20"/>
          <w:color w:val="auto"/>
        </w:rPr>
      </w:pPr>
    </w:p>
    <w:p>
      <w:pPr>
        <w:ind w:firstLine="432"/>
        <w:spacing w:after="0" w:line="255" w:lineRule="auto"/>
        <w:rPr>
          <w:sz w:val="20"/>
          <w:szCs w:val="20"/>
          <w:color w:val="auto"/>
        </w:rPr>
      </w:pPr>
      <w:r>
        <w:rPr>
          <w:rFonts w:ascii="Arial" w:cs="Arial" w:eastAsia="Arial" w:hAnsi="Arial"/>
          <w:sz w:val="18"/>
          <w:szCs w:val="18"/>
          <w:color w:val="auto"/>
        </w:rPr>
        <w:t>In developing estimates used to calculate assumptions, we establish the expected term for employee stock options, as well as expected forfeiture rates, based on the historical settlement experience and after giving consideration to vesting schedules. Assumptions for stock option exercises and pre-vesting terminations of stock options were stratified by two employee groups and one employee/non-employee group with sufficiently distinct behavior patterns. Expected volatility was developed based on an equally weighted combination of historical stock price volatility and implied volatility derived from traded options on our stock in the marketplace. The expected dividend yield is calculated by dividing annualized dividend payments by the closing stock price on the grant date of the option.</w:t>
      </w:r>
    </w:p>
    <w:p>
      <w:pPr>
        <w:spacing w:after="0" w:line="2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908" w:right="259" w:bottom="1440" w:gutter="0" w:footer="0" w:header="0"/>
        </w:sectPr>
      </w:pPr>
    </w:p>
    <w:bookmarkStart w:id="32" w:name="page33"/>
    <w:bookmarkEnd w:id="32"/>
    <w:p>
      <w:pPr>
        <w:ind w:right="220" w:firstLine="432"/>
        <w:spacing w:after="0" w:line="279" w:lineRule="auto"/>
        <w:rPr>
          <w:sz w:val="20"/>
          <w:szCs w:val="20"/>
          <w:color w:val="auto"/>
        </w:rPr>
      </w:pPr>
      <w:r>
        <w:rPr>
          <w:rFonts w:ascii="Arial" w:cs="Arial" w:eastAsia="Arial" w:hAnsi="Arial"/>
          <w:sz w:val="17"/>
          <w:szCs w:val="17"/>
          <w:color w:val="auto"/>
        </w:rPr>
        <w:t>The fair value of each restricted stock unit is estimated based on the market price of the Company’s common shares on the date of grant less the expected dividend yield. 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63" w:lineRule="exact"/>
        <w:rPr>
          <w:sz w:val="20"/>
          <w:szCs w:val="20"/>
          <w:color w:val="auto"/>
        </w:rPr>
      </w:pPr>
    </w:p>
    <w:p>
      <w:pPr>
        <w:ind w:right="40" w:firstLine="432"/>
        <w:spacing w:after="0" w:line="270" w:lineRule="auto"/>
        <w:rPr>
          <w:sz w:val="20"/>
          <w:szCs w:val="20"/>
          <w:color w:val="auto"/>
        </w:rPr>
      </w:pPr>
      <w:r>
        <w:rPr>
          <w:rFonts w:ascii="Arial" w:cs="Arial" w:eastAsia="Arial" w:hAnsi="Arial"/>
          <w:sz w:val="17"/>
          <w:szCs w:val="17"/>
          <w:color w:val="auto"/>
        </w:rPr>
        <w:t>Share-based compensation expense is recorded net of estimated forfeitures such that expense is recorded only for those share-based awards that are expected to vest. Previously recognized expense is reversed for the portion of awards forfeited prior to vesting as and when forfeitures occurred. Forfeitures are estimated at the time of grant and revised, if necessary, in subsequent periods if actual forfeitures differ from initial estimates. Assumptions for forfeitures are stratified by employee groups with sufficiently distinct behavior patterns. Changes in the estimated forfeiture rate can have a significant effect on reported share-based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70" w:lineRule="exact"/>
        <w:rPr>
          <w:sz w:val="20"/>
          <w:szCs w:val="20"/>
          <w:color w:val="auto"/>
        </w:rPr>
      </w:pPr>
    </w:p>
    <w:p>
      <w:pPr>
        <w:ind w:right="80" w:firstLine="432"/>
        <w:spacing w:after="0" w:line="286" w:lineRule="auto"/>
        <w:rPr>
          <w:sz w:val="20"/>
          <w:szCs w:val="20"/>
          <w:color w:val="auto"/>
        </w:rPr>
      </w:pPr>
      <w:r>
        <w:rPr>
          <w:rFonts w:ascii="Arial" w:cs="Arial" w:eastAsia="Arial" w:hAnsi="Arial"/>
          <w:sz w:val="17"/>
          <w:szCs w:val="17"/>
          <w:i w:val="1"/>
          <w:iCs w:val="1"/>
          <w:color w:val="auto"/>
        </w:rPr>
        <w:t xml:space="preserve">Accounting for Income Taxes. </w:t>
      </w:r>
      <w:r>
        <w:rPr>
          <w:rFonts w:ascii="Arial" w:cs="Arial" w:eastAsia="Arial" w:hAnsi="Arial"/>
          <w:sz w:val="17"/>
          <w:szCs w:val="17"/>
          <w:color w:val="auto"/>
        </w:rPr>
        <w:t>We estimate our income taxes in each of the jurisdictions in which we operate. This process involves estimating our</w:t>
      </w:r>
      <w:r>
        <w:rPr>
          <w:rFonts w:ascii="Arial" w:cs="Arial" w:eastAsia="Arial" w:hAnsi="Arial"/>
          <w:sz w:val="17"/>
          <w:szCs w:val="17"/>
          <w:i w:val="1"/>
          <w:iCs w:val="1"/>
          <w:color w:val="auto"/>
        </w:rPr>
        <w:t xml:space="preserve"> </w:t>
      </w:r>
      <w:r>
        <w:rPr>
          <w:rFonts w:ascii="Arial" w:cs="Arial" w:eastAsia="Arial" w:hAnsi="Arial"/>
          <w:sz w:val="17"/>
          <w:szCs w:val="17"/>
          <w:color w:val="auto"/>
        </w:rPr>
        <w:t>actual tax exposure together with assessing temporary differences resulting from the differing treatment of certain items for tax return and financial statement purposes. These differences result in deferred tax assets and liabilities, which are included in our consolidated balance sheets.</w:t>
      </w:r>
    </w:p>
    <w:p>
      <w:pPr>
        <w:spacing w:after="0" w:line="57"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79" w:lineRule="exact"/>
        <w:rPr>
          <w:sz w:val="20"/>
          <w:szCs w:val="20"/>
          <w:color w:val="auto"/>
        </w:rPr>
      </w:pPr>
    </w:p>
    <w:p>
      <w:pPr>
        <w:jc w:val="both"/>
        <w:ind w:right="40" w:firstLine="432"/>
        <w:spacing w:after="0" w:line="286"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including cumulative losses in recent years and projected future taxable income, to determine whether all or some portion of the deferred tax assets will not be realized. Using available evidence and judgment, we establish a valuation allowance for deferred tax assets, when it is determined that it is more likely than not that they will not be realized. Valuation allowances have been provided primarily against the U.S. research and development credits.</w:t>
      </w:r>
    </w:p>
    <w:p>
      <w:pPr>
        <w:spacing w:after="0" w:line="2" w:lineRule="exact"/>
        <w:rPr>
          <w:sz w:val="20"/>
          <w:szCs w:val="20"/>
          <w:color w:val="auto"/>
        </w:rPr>
      </w:pPr>
    </w:p>
    <w:p>
      <w:pPr>
        <w:ind w:right="320"/>
        <w:spacing w:after="0" w:line="323" w:lineRule="auto"/>
        <w:rPr>
          <w:sz w:val="20"/>
          <w:szCs w:val="20"/>
          <w:color w:val="auto"/>
        </w:rPr>
      </w:pPr>
      <w:r>
        <w:rPr>
          <w:rFonts w:ascii="Arial" w:cs="Arial" w:eastAsia="Arial" w:hAnsi="Arial"/>
          <w:sz w:val="16"/>
          <w:szCs w:val="16"/>
          <w:color w:val="auto"/>
        </w:rPr>
        <w:t>Valuation allowances have also been provided against certain acquired operating losses and the deferred tax assets of foreign subsidiaries. A change in the assessment of the realization of deferred tax assets may materially impact our tax provision in the period in which a change of assessment occurs.</w:t>
      </w:r>
    </w:p>
    <w:p>
      <w:pPr>
        <w:spacing w:after="0" w:line="31" w:lineRule="exact"/>
        <w:rPr>
          <w:sz w:val="20"/>
          <w:szCs w:val="20"/>
          <w:color w:val="auto"/>
        </w:rPr>
      </w:pPr>
    </w:p>
    <w:p>
      <w:pPr>
        <w:ind w:right="40" w:firstLine="432"/>
        <w:spacing w:after="0" w:line="272" w:lineRule="auto"/>
        <w:rPr>
          <w:sz w:val="20"/>
          <w:szCs w:val="20"/>
          <w:color w:val="auto"/>
        </w:rPr>
      </w:pPr>
      <w:r>
        <w:rPr>
          <w:rFonts w:ascii="Arial" w:cs="Arial" w:eastAsia="Arial" w:hAnsi="Arial"/>
          <w:sz w:val="17"/>
          <w:szCs w:val="17"/>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70" w:lineRule="exact"/>
        <w:rPr>
          <w:sz w:val="20"/>
          <w:szCs w:val="20"/>
          <w:color w:val="auto"/>
        </w:rPr>
      </w:pPr>
    </w:p>
    <w:p>
      <w:pPr>
        <w:ind w:firstLine="432"/>
        <w:spacing w:after="0" w:line="289"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GAAP and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908" w:right="239" w:bottom="1440" w:gutter="0" w:footer="0" w:header="0"/>
        </w:sectPr>
      </w:pPr>
    </w:p>
    <w:bookmarkStart w:id="33" w:name="page34"/>
    <w:bookmarkEnd w:id="33"/>
    <w:p>
      <w:pPr>
        <w:ind w:right="160" w:firstLine="432"/>
        <w:spacing w:after="0" w:line="308" w:lineRule="auto"/>
        <w:rPr>
          <w:sz w:val="20"/>
          <w:szCs w:val="20"/>
          <w:color w:val="auto"/>
        </w:rPr>
      </w:pPr>
      <w:r>
        <w:rPr>
          <w:rFonts w:ascii="Arial" w:cs="Arial" w:eastAsia="Arial" w:hAnsi="Arial"/>
          <w:sz w:val="17"/>
          <w:szCs w:val="17"/>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38" w:lineRule="exact"/>
        <w:rPr>
          <w:sz w:val="20"/>
          <w:szCs w:val="20"/>
          <w:color w:val="auto"/>
        </w:rPr>
      </w:pPr>
    </w:p>
    <w:p>
      <w:pPr>
        <w:ind w:right="20" w:firstLine="432"/>
        <w:spacing w:after="0" w:line="286" w:lineRule="auto"/>
        <w:rPr>
          <w:sz w:val="20"/>
          <w:szCs w:val="20"/>
          <w:color w:val="auto"/>
        </w:rPr>
      </w:pPr>
      <w:r>
        <w:rPr>
          <w:rFonts w:ascii="Arial" w:cs="Arial" w:eastAsia="Arial" w:hAnsi="Arial"/>
          <w:sz w:val="16"/>
          <w:szCs w:val="16"/>
          <w:i w:val="1"/>
          <w:iCs w:val="1"/>
          <w:color w:val="auto"/>
        </w:rPr>
        <w:t xml:space="preserve">Inventories. </w:t>
      </w:r>
      <w:r>
        <w:rPr>
          <w:rFonts w:ascii="Arial" w:cs="Arial" w:eastAsia="Arial" w:hAnsi="Arial"/>
          <w:sz w:val="16"/>
          <w:szCs w:val="16"/>
          <w:color w:val="auto"/>
        </w:rPr>
        <w:t>We value our inventory at the lower of cost or market, cost being determined under the first-in, first-out method. We regularly review</w:t>
      </w:r>
      <w:r>
        <w:rPr>
          <w:rFonts w:ascii="Arial" w:cs="Arial" w:eastAsia="Arial" w:hAnsi="Arial"/>
          <w:sz w:val="16"/>
          <w:szCs w:val="16"/>
          <w:i w:val="1"/>
          <w:iCs w:val="1"/>
          <w:color w:val="auto"/>
        </w:rPr>
        <w:t xml:space="preserve"> </w:t>
      </w:r>
      <w:r>
        <w:rPr>
          <w:rFonts w:ascii="Arial" w:cs="Arial" w:eastAsia="Arial" w:hAnsi="Arial"/>
          <w:sz w:val="16"/>
          <w:szCs w:val="16"/>
          <w:color w:val="auto"/>
        </w:rPr>
        <w:t>inventory quantities on hand and record a reduction to the total carrying value of our inventory for any difference between cost and estimated market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67" w:lineRule="exact"/>
        <w:rPr>
          <w:sz w:val="20"/>
          <w:szCs w:val="20"/>
          <w:color w:val="auto"/>
        </w:rPr>
      </w:pPr>
    </w:p>
    <w:p>
      <w:pPr>
        <w:ind w:right="60" w:firstLine="432"/>
        <w:spacing w:after="0" w:line="264"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19" w:lineRule="exact"/>
        <w:rPr>
          <w:sz w:val="20"/>
          <w:szCs w:val="20"/>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63" w:lineRule="exact"/>
        <w:rPr>
          <w:rFonts w:ascii="Arial" w:cs="Arial" w:eastAsia="Arial" w:hAnsi="Arial"/>
          <w:sz w:val="18"/>
          <w:szCs w:val="18"/>
          <w:color w:val="auto"/>
        </w:rPr>
      </w:pPr>
    </w:p>
    <w:p>
      <w:pPr>
        <w:ind w:left="640" w:right="100" w:hanging="321"/>
        <w:spacing w:after="0" w:line="277" w:lineRule="auto"/>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8" w:lineRule="exact"/>
        <w:rPr>
          <w:rFonts w:ascii="Arial" w:cs="Arial" w:eastAsia="Arial" w:hAnsi="Arial"/>
          <w:sz w:val="18"/>
          <w:szCs w:val="18"/>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current expectation that the asset will more likely than not be sold or disposed of significantly before the end of its estimated useful life.</w:t>
      </w:r>
    </w:p>
    <w:p>
      <w:pPr>
        <w:spacing w:after="0" w:line="117" w:lineRule="exact"/>
        <w:rPr>
          <w:sz w:val="20"/>
          <w:szCs w:val="20"/>
          <w:color w:val="auto"/>
        </w:rPr>
      </w:pPr>
    </w:p>
    <w:p>
      <w:pPr>
        <w:jc w:val="both"/>
        <w:ind w:right="200" w:firstLine="432"/>
        <w:spacing w:after="0" w:line="302"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46" w:lineRule="exact"/>
        <w:rPr>
          <w:sz w:val="20"/>
          <w:szCs w:val="20"/>
          <w:color w:val="auto"/>
        </w:rPr>
      </w:pPr>
    </w:p>
    <w:p>
      <w:pPr>
        <w:ind w:right="100" w:firstLine="432"/>
        <w:spacing w:after="0" w:line="290" w:lineRule="auto"/>
        <w:rPr>
          <w:sz w:val="20"/>
          <w:szCs w:val="20"/>
          <w:color w:val="auto"/>
        </w:rPr>
      </w:pPr>
      <w:r>
        <w:rPr>
          <w:rFonts w:ascii="Arial" w:cs="Arial" w:eastAsia="Arial" w:hAnsi="Arial"/>
          <w:sz w:val="16"/>
          <w:szCs w:val="16"/>
          <w:i w:val="1"/>
          <w:iCs w:val="1"/>
          <w:color w:val="auto"/>
        </w:rPr>
        <w:t xml:space="preserve">Goodwill. </w:t>
      </w:r>
      <w:r>
        <w:rPr>
          <w:rFonts w:ascii="Arial" w:cs="Arial" w:eastAsia="Arial" w:hAnsi="Arial"/>
          <w:sz w:val="16"/>
          <w:szCs w:val="16"/>
          <w:color w:val="auto"/>
        </w:rPr>
        <w:t>We record goodwill when the consideration paid for a business acquisition exceeds the fair value of net tangible and intangible assets</w:t>
      </w:r>
      <w:r>
        <w:rPr>
          <w:rFonts w:ascii="Arial" w:cs="Arial" w:eastAsia="Arial" w:hAnsi="Arial"/>
          <w:sz w:val="16"/>
          <w:szCs w:val="16"/>
          <w:i w:val="1"/>
          <w:iCs w:val="1"/>
          <w:color w:val="auto"/>
        </w:rPr>
        <w:t xml:space="preserve"> </w:t>
      </w:r>
      <w:r>
        <w:rPr>
          <w:rFonts w:ascii="Arial" w:cs="Arial" w:eastAsia="Arial" w:hAnsi="Arial"/>
          <w:sz w:val="16"/>
          <w:szCs w:val="16"/>
          <w:color w:val="auto"/>
        </w:rPr>
        <w:t>acquired. We review goodwill for impairment annually on the last business day of our fiscal fourth quarter and whenever events or changes in circumstances indicate the carrying amount of goodwill may not be recoverable. We have identified that our business operates as a single operating segment which can further be divided into two components; Storage, and Networking &amp; Connectivity. Management concluded that goodwill is recoverable from these two components working jointly due to a fact pattern demonstrating significant sharing of assets, corporate resources, and benefits from common research and development. The two components also exhibit similar economic characteristics. Accordingly, management concluded that these two components should be aggregated into a single reporting unit for purposes of testing goodwill impairment. As part of our restructuring announced in November 2016, our former Smart Networked Devices and Solutions component was renamed to Networking &amp; Connectivity.</w:t>
      </w:r>
    </w:p>
    <w:p>
      <w:pPr>
        <w:spacing w:after="0" w:line="58"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When testing goodwill for impairment, we first assess qualitative factors to determine whether it is more likely than not that the fair value of a reporting unit is less than its carrying value. Factors we consider important which could trigger a goodwill impairment review include;</w:t>
      </w:r>
    </w:p>
    <w:p>
      <w:pPr>
        <w:spacing w:after="0" w:line="8" w:lineRule="exact"/>
        <w:rPr>
          <w:sz w:val="20"/>
          <w:szCs w:val="20"/>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80"/>
          </w:cols>
          <w:pgMar w:left="240" w:top="908" w:right="279" w:bottom="1440" w:gutter="0" w:footer="0" w:header="0"/>
        </w:sectPr>
      </w:pPr>
    </w:p>
    <w:bookmarkStart w:id="34" w:name="page35"/>
    <w:bookmarkEnd w:id="34"/>
    <w:p>
      <w:pPr>
        <w:ind w:left="640" w:hanging="321"/>
        <w:spacing w:after="0"/>
        <w:tabs>
          <w:tab w:leader="none" w:pos="6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17" w:lineRule="exact"/>
        <w:rPr>
          <w:sz w:val="20"/>
          <w:szCs w:val="20"/>
          <w:color w:val="auto"/>
        </w:rPr>
      </w:pPr>
    </w:p>
    <w:p>
      <w:pPr>
        <w:ind w:firstLine="432"/>
        <w:spacing w:after="0" w:line="270" w:lineRule="auto"/>
        <w:rPr>
          <w:sz w:val="20"/>
          <w:szCs w:val="20"/>
          <w:color w:val="auto"/>
        </w:rPr>
      </w:pPr>
      <w:r>
        <w:rPr>
          <w:rFonts w:ascii="Arial" w:cs="Arial" w:eastAsia="Arial" w:hAnsi="Arial"/>
          <w:sz w:val="17"/>
          <w:szCs w:val="17"/>
          <w:color w:val="auto"/>
        </w:rPr>
        <w:t>If we conclude that it is more likely than not that the fair value of a reporting unit is less than its carrying amount or if we note multiple qualitative factors indicating potential impairment, then a two-step quantitative impairment test is performed. The first step requires comparing the fair value of the reporting unit to its net book value, including goodwill. A potential impairment exists if the fair value of the reporting unit is lower than its net book value. Determining the fair value of a reporting unit involves the use of significant estimates and assumptions. Our goodwill impairment test uses a weighting of the income method and the market method to estimate a reporting unit’s fair value. The income method is based on a discounted future cash flow approach that uses the following assumptions and inputs: revenue based on assumed market segment growth rates and our assumed market segment share, estimated costs, and appropriate discount rates based on our weighted average cost of capital as determined by considering the observable weighted average cost of capital of comparable companies. The market method is based on quoted prices of our shares as well as an implied control premium (the excess of the reporting unit’s fair value over Marvell’s market capitalization). We evaluate the control premium by comparing it to observable control premiums from recent comparable market acquisition transactions.</w:t>
      </w:r>
    </w:p>
    <w:p>
      <w:pPr>
        <w:spacing w:after="0" w:line="70"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The second step of the process is only performed if a potential impairment exists, and it involves determining the implied fair value of the reporting unit’s goodwill and comparing it to the carrying value of goodwill. If the carrying value of goodwill were to exceed its implied fair value, then the Company will record a charge for the amount of impairment in the fiscal quarter in which the determination is made.</w:t>
      </w:r>
    </w:p>
    <w:p>
      <w:pPr>
        <w:spacing w:after="0" w:line="73" w:lineRule="exact"/>
        <w:rPr>
          <w:sz w:val="20"/>
          <w:szCs w:val="20"/>
          <w:color w:val="auto"/>
        </w:rPr>
      </w:pPr>
    </w:p>
    <w:p>
      <w:pPr>
        <w:ind w:right="40" w:firstLine="432"/>
        <w:spacing w:after="0" w:line="270" w:lineRule="auto"/>
        <w:rPr>
          <w:sz w:val="20"/>
          <w:szCs w:val="20"/>
          <w:color w:val="auto"/>
        </w:rPr>
      </w:pPr>
      <w:r>
        <w:rPr>
          <w:rFonts w:ascii="Arial" w:cs="Arial" w:eastAsia="Arial" w:hAnsi="Arial"/>
          <w:sz w:val="17"/>
          <w:szCs w:val="17"/>
          <w:color w:val="auto"/>
        </w:rPr>
        <w:t>In connection with the restructuring plan we announced in November 2016 (see “Note 8 - Restructuring and Other Related Charges”), our Board of Directors approved a plan to sell certain businesses that are classified and reported in the consolidated statement of operations as discontinued operations. As a result, goodwill was allocated to these businesses based on relative fair value since each represents a portion of our reporting unit. We obtained an independent valuation to determine the fair value of these businesses for purposes of allocating the goodwill and to complete a step one assessment for goodwill impairment of our continuing operations. Although we engaged an independent valuation specialist to provide the fair value calculations, management provided the necessary estimates used in the specialists calculations. Significant management judgment is required in determining the estimations of future cash flows, which is dependent on internal forecasts, the long-term rate of growth for our business, the life over which cash flows will occur, and the weighted average cost of capital. Management assumes full responsibility for the valuation results and the accuracy and completeness of the underlying financial data and corresponding assumptions.</w:t>
      </w:r>
    </w:p>
    <w:p>
      <w:pPr>
        <w:spacing w:after="0" w:line="74" w:lineRule="exact"/>
        <w:rPr>
          <w:sz w:val="20"/>
          <w:szCs w:val="20"/>
          <w:color w:val="auto"/>
        </w:rPr>
      </w:pPr>
    </w:p>
    <w:p>
      <w:pPr>
        <w:ind w:firstLine="432"/>
        <w:spacing w:after="0" w:line="312" w:lineRule="auto"/>
        <w:rPr>
          <w:sz w:val="20"/>
          <w:szCs w:val="20"/>
          <w:color w:val="auto"/>
        </w:rPr>
      </w:pPr>
      <w:r>
        <w:rPr>
          <w:rFonts w:ascii="Arial" w:cs="Arial" w:eastAsia="Arial" w:hAnsi="Arial"/>
          <w:sz w:val="16"/>
          <w:szCs w:val="16"/>
          <w:color w:val="auto"/>
        </w:rPr>
        <w:t>As of the last day of the fourth quarter of fiscal 2017, we performed our annual impairment assessment for testing goodwill. A step one assessment was performed due to the allocation of our goodwill to certain businesses that we classified and reported as discontinued operations. Based on the independent valuation we obtained, we determined there was no impairment as the fair value significantly exceeded the Company’s carrying value.</w:t>
      </w:r>
    </w:p>
    <w:p>
      <w:pPr>
        <w:spacing w:after="0" w:line="39" w:lineRule="exact"/>
        <w:rPr>
          <w:sz w:val="20"/>
          <w:szCs w:val="20"/>
          <w:color w:val="auto"/>
        </w:rPr>
      </w:pPr>
    </w:p>
    <w:p>
      <w:pPr>
        <w:ind w:right="20" w:firstLine="432"/>
        <w:spacing w:after="0" w:line="293" w:lineRule="auto"/>
        <w:rPr>
          <w:sz w:val="20"/>
          <w:szCs w:val="20"/>
          <w:color w:val="auto"/>
        </w:rPr>
      </w:pPr>
      <w:r>
        <w:rPr>
          <w:rFonts w:ascii="Arial" w:cs="Arial" w:eastAsia="Arial" w:hAnsi="Arial"/>
          <w:sz w:val="16"/>
          <w:szCs w:val="16"/>
          <w:i w:val="1"/>
          <w:iCs w:val="1"/>
          <w:color w:val="auto"/>
        </w:rPr>
        <w:t xml:space="preserve">Legal Contingencies. </w:t>
      </w:r>
      <w:r>
        <w:rPr>
          <w:rFonts w:ascii="Arial" w:cs="Arial" w:eastAsia="Arial" w:hAnsi="Arial"/>
          <w:sz w:val="16"/>
          <w:szCs w:val="16"/>
          <w:color w:val="auto"/>
        </w:rPr>
        <w:t>From time to time, we are involved in legal actions or other third-party assertions arising in the ordinary course of business.</w:t>
      </w:r>
      <w:r>
        <w:rPr>
          <w:rFonts w:ascii="Arial" w:cs="Arial" w:eastAsia="Arial" w:hAnsi="Arial"/>
          <w:sz w:val="16"/>
          <w:szCs w:val="16"/>
          <w:i w:val="1"/>
          <w:iCs w:val="1"/>
          <w:color w:val="auto"/>
        </w:rPr>
        <w:t xml:space="preserve"> </w:t>
      </w:r>
      <w:r>
        <w:rPr>
          <w:rFonts w:ascii="Arial" w:cs="Arial" w:eastAsia="Arial" w:hAnsi="Arial"/>
          <w:sz w:val="16"/>
          <w:szCs w:val="16"/>
          <w:color w:val="auto"/>
        </w:rPr>
        <w:t>There can be no assurance these actions or other third-party assertions will be resolved without costly litigation, in a manner that does not adversely impact our financial position, results of operations or cash flows or without requiring royalty payments in the future, which may adversely impact gross margins. We record a liability when it is probable that a loss has been incurred and the amount can be reasonably estimated. In determining the probability of a loss and consequently, determining a reasonable estimate, management is required to use significant judgment. Given the uncertainties associated with any litigation, the actual outcome can be different than our estimates and could adversely affect our results of operations, financial position and cash flows.</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 - Continuing Operations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table sets forth information derived from our consolidated statements of operations expressed as a percentage of net revenue:</w:t>
      </w:r>
    </w:p>
    <w:p>
      <w:pPr>
        <w:spacing w:after="0" w:line="26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60"/>
          </w:cols>
          <w:pgMar w:left="240" w:top="854" w:right="299" w:bottom="1440" w:gutter="0" w:footer="0" w:header="0"/>
        </w:sectPr>
      </w:pPr>
    </w:p>
    <w:bookmarkStart w:id="35" w:name="page36"/>
    <w:bookmarkEnd w:id="35"/>
    <w:tbl>
      <w:tblPr>
        <w:tblLayout w:type="fixed"/>
        <w:tblInd w:w="0" w:type="dxa"/>
        <w:tblCellMar>
          <w:top w:w="0" w:type="dxa"/>
          <w:left w:w="0" w:type="dxa"/>
          <w:bottom w:w="0" w:type="dxa"/>
          <w:right w:w="0" w:type="dxa"/>
        </w:tblCellMar>
      </w:tblPr>
      <w:tr>
        <w:trPr>
          <w:trHeight w:val="192"/>
        </w:trPr>
        <w:tc>
          <w:tcPr>
            <w:tcW w:w="59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ind w:left="480"/>
              <w:spacing w:after="0"/>
              <w:rPr>
                <w:sz w:val="20"/>
                <w:szCs w:val="20"/>
                <w:color w:val="auto"/>
              </w:rPr>
            </w:pPr>
            <w:r>
              <w:rPr>
                <w:rFonts w:ascii="Arial" w:cs="Arial" w:eastAsia="Arial" w:hAnsi="Arial"/>
                <w:sz w:val="14"/>
                <w:szCs w:val="14"/>
                <w:b w:val="1"/>
                <w:bCs w:val="1"/>
                <w:color w:val="auto"/>
              </w:rPr>
              <w:t>Year Ended</w:t>
            </w:r>
          </w:p>
        </w:tc>
        <w:tc>
          <w:tcPr>
            <w:tcW w:w="15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9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620" w:type="dxa"/>
            <w:vAlign w:val="bottom"/>
            <w:gridSpan w:val="3"/>
          </w:tcPr>
          <w:p>
            <w:pPr>
              <w:jc w:val="center"/>
              <w:ind w:right="120"/>
              <w:spacing w:after="0" w:line="153" w:lineRule="exact"/>
              <w:rPr>
                <w:sz w:val="20"/>
                <w:szCs w:val="20"/>
                <w:color w:val="auto"/>
              </w:rPr>
            </w:pPr>
            <w:r>
              <w:rPr>
                <w:rFonts w:ascii="Arial" w:cs="Arial" w:eastAsia="Arial" w:hAnsi="Arial"/>
                <w:sz w:val="14"/>
                <w:szCs w:val="14"/>
                <w:b w:val="1"/>
                <w:bCs w:val="1"/>
                <w:color w:val="auto"/>
                <w:w w:val="95"/>
              </w:rPr>
              <w:t>January 28,</w:t>
            </w:r>
          </w:p>
        </w:tc>
        <w:tc>
          <w:tcPr>
            <w:tcW w:w="1700" w:type="dxa"/>
            <w:vAlign w:val="bottom"/>
            <w:gridSpan w:val="3"/>
          </w:tcPr>
          <w:p>
            <w:pPr>
              <w:jc w:val="center"/>
              <w:ind w:right="100"/>
              <w:spacing w:after="0" w:line="153" w:lineRule="exact"/>
              <w:rPr>
                <w:sz w:val="20"/>
                <w:szCs w:val="20"/>
                <w:color w:val="auto"/>
              </w:rPr>
            </w:pPr>
            <w:r>
              <w:rPr>
                <w:rFonts w:ascii="Arial" w:cs="Arial" w:eastAsia="Arial" w:hAnsi="Arial"/>
                <w:sz w:val="14"/>
                <w:szCs w:val="14"/>
                <w:b w:val="1"/>
                <w:bCs w:val="1"/>
                <w:color w:val="auto"/>
                <w:w w:val="93"/>
              </w:rPr>
              <w:t>January 30,</w:t>
            </w:r>
          </w:p>
        </w:tc>
        <w:tc>
          <w:tcPr>
            <w:tcW w:w="1580" w:type="dxa"/>
            <w:vAlign w:val="bottom"/>
          </w:tcPr>
          <w:p>
            <w:pPr>
              <w:jc w:val="right"/>
              <w:ind w:right="354"/>
              <w:spacing w:after="0" w:line="153" w:lineRule="exact"/>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92"/>
        </w:trPr>
        <w:tc>
          <w:tcPr>
            <w:tcW w:w="5940" w:type="dxa"/>
            <w:vAlign w:val="bottom"/>
            <w:tcBorders>
              <w:bottom w:val="single" w:sz="8" w:color="CCEEFF"/>
            </w:tcBorders>
          </w:tcPr>
          <w:p>
            <w:pPr>
              <w:spacing w:after="0"/>
              <w:rPr>
                <w:sz w:val="16"/>
                <w:szCs w:val="16"/>
                <w:color w:val="auto"/>
              </w:rPr>
            </w:pPr>
          </w:p>
        </w:tc>
        <w:tc>
          <w:tcPr>
            <w:tcW w:w="300" w:type="dxa"/>
            <w:vAlign w:val="bottom"/>
            <w:tcBorders>
              <w:bottom w:val="single" w:sz="8" w:color="CCEEFF"/>
            </w:tcBorders>
          </w:tcPr>
          <w:p>
            <w:pPr>
              <w:spacing w:after="0"/>
              <w:rPr>
                <w:sz w:val="16"/>
                <w:szCs w:val="16"/>
                <w:color w:val="auto"/>
              </w:rPr>
            </w:pPr>
          </w:p>
        </w:tc>
        <w:tc>
          <w:tcPr>
            <w:tcW w:w="260" w:type="dxa"/>
            <w:vAlign w:val="bottom"/>
            <w:tcBorders>
              <w:bottom w:val="single" w:sz="8" w:color="CCEEFF"/>
            </w:tcBorders>
          </w:tcPr>
          <w:p>
            <w:pPr>
              <w:spacing w:after="0"/>
              <w:rPr>
                <w:sz w:val="16"/>
                <w:szCs w:val="16"/>
                <w:color w:val="auto"/>
              </w:rPr>
            </w:pPr>
          </w:p>
        </w:tc>
        <w:tc>
          <w:tcPr>
            <w:tcW w:w="1060" w:type="dxa"/>
            <w:vAlign w:val="bottom"/>
            <w:tcBorders>
              <w:bottom w:val="single" w:sz="8" w:color="auto"/>
            </w:tcBorders>
          </w:tcPr>
          <w:p>
            <w:pPr>
              <w:jc w:val="right"/>
              <w:ind w:right="84"/>
              <w:spacing w:after="0"/>
              <w:rPr>
                <w:sz w:val="20"/>
                <w:szCs w:val="20"/>
                <w:color w:val="auto"/>
              </w:rPr>
            </w:pPr>
            <w:r>
              <w:rPr>
                <w:rFonts w:ascii="Arial" w:cs="Arial" w:eastAsia="Arial" w:hAnsi="Arial"/>
                <w:sz w:val="14"/>
                <w:szCs w:val="14"/>
                <w:b w:val="1"/>
                <w:bCs w:val="1"/>
                <w:color w:val="auto"/>
              </w:rPr>
              <w:t>2017</w:t>
            </w:r>
          </w:p>
        </w:tc>
        <w:tc>
          <w:tcPr>
            <w:tcW w:w="46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320" w:type="dxa"/>
            <w:vAlign w:val="bottom"/>
            <w:tcBorders>
              <w:bottom w:val="single" w:sz="8" w:color="auto"/>
            </w:tcBorders>
          </w:tcPr>
          <w:p>
            <w:pPr>
              <w:jc w:val="right"/>
              <w:ind w:right="294"/>
              <w:spacing w:after="0"/>
              <w:rPr>
                <w:sz w:val="20"/>
                <w:szCs w:val="20"/>
                <w:color w:val="auto"/>
              </w:rPr>
            </w:pPr>
            <w:r>
              <w:rPr>
                <w:rFonts w:ascii="Arial" w:cs="Arial" w:eastAsia="Arial" w:hAnsi="Arial"/>
                <w:sz w:val="14"/>
                <w:szCs w:val="14"/>
                <w:b w:val="1"/>
                <w:bCs w:val="1"/>
                <w:color w:val="auto"/>
              </w:rPr>
              <w:t>2016</w:t>
            </w:r>
          </w:p>
        </w:tc>
        <w:tc>
          <w:tcPr>
            <w:tcW w:w="26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58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2015</w:t>
            </w:r>
          </w:p>
        </w:tc>
        <w:tc>
          <w:tcPr>
            <w:tcW w:w="0" w:type="dxa"/>
            <w:vAlign w:val="bottom"/>
          </w:tcPr>
          <w:p>
            <w:pPr>
              <w:spacing w:after="0"/>
              <w:rPr>
                <w:sz w:val="1"/>
                <w:szCs w:val="1"/>
                <w:color w:val="auto"/>
              </w:rPr>
            </w:pPr>
          </w:p>
        </w:tc>
      </w:tr>
      <w:tr>
        <w:trPr>
          <w:trHeight w:val="250"/>
        </w:trPr>
        <w:tc>
          <w:tcPr>
            <w:tcW w:w="5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00" w:type="dxa"/>
            <w:vAlign w:val="bottom"/>
            <w:tcBorders>
              <w:bottom w:val="single" w:sz="8" w:color="CCEEFF"/>
            </w:tcBorders>
            <w:shd w:val="clear" w:color="auto" w:fill="CCEEFF"/>
          </w:tcPr>
          <w:p>
            <w:pPr>
              <w:spacing w:after="0"/>
              <w:rPr>
                <w:sz w:val="21"/>
                <w:szCs w:val="21"/>
                <w:color w:val="auto"/>
              </w:rPr>
            </w:pPr>
          </w:p>
        </w:tc>
        <w:tc>
          <w:tcPr>
            <w:tcW w:w="178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100.0 %</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43"/>
        </w:trPr>
        <w:tc>
          <w:tcPr>
            <w:tcW w:w="5940" w:type="dxa"/>
            <w:vAlign w:val="bottom"/>
          </w:tcPr>
          <w:p>
            <w:pPr>
              <w:ind w:left="40"/>
              <w:spacing w:after="0"/>
              <w:rPr>
                <w:sz w:val="20"/>
                <w:szCs w:val="20"/>
                <w:color w:val="auto"/>
              </w:rPr>
            </w:pPr>
            <w:r>
              <w:rPr>
                <w:rFonts w:ascii="Arial" w:cs="Arial" w:eastAsia="Arial" w:hAnsi="Arial"/>
                <w:sz w:val="18"/>
                <w:szCs w:val="18"/>
                <w:color w:val="auto"/>
              </w:rPr>
              <w:t>Operating costs and expenses:</w:t>
            </w:r>
          </w:p>
        </w:tc>
        <w:tc>
          <w:tcPr>
            <w:tcW w:w="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9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2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9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Cost of goods sold</w:t>
            </w:r>
          </w:p>
        </w:tc>
        <w:tc>
          <w:tcPr>
            <w:tcW w:w="300" w:type="dxa"/>
            <w:vAlign w:val="bottom"/>
            <w:tcBorders>
              <w:bottom w:val="single" w:sz="8" w:color="CCEEFF"/>
            </w:tcBorders>
            <w:shd w:val="clear" w:color="auto" w:fill="CCEEFF"/>
          </w:tcPr>
          <w:p>
            <w:pPr>
              <w:spacing w:after="0"/>
              <w:rPr>
                <w:sz w:val="21"/>
                <w:szCs w:val="21"/>
                <w:color w:val="auto"/>
              </w:rPr>
            </w:pPr>
          </w:p>
        </w:tc>
        <w:tc>
          <w:tcPr>
            <w:tcW w:w="1780" w:type="dxa"/>
            <w:vAlign w:val="bottom"/>
            <w:tcBorders>
              <w:bottom w:val="single" w:sz="8" w:color="CCEEFF"/>
            </w:tcBorders>
            <w:gridSpan w:val="3"/>
            <w:shd w:val="clear" w:color="auto" w:fill="CCEEFF"/>
          </w:tcPr>
          <w:p>
            <w:pPr>
              <w:jc w:val="right"/>
              <w:ind w:right="111"/>
              <w:spacing w:after="0"/>
              <w:rPr>
                <w:sz w:val="20"/>
                <w:szCs w:val="20"/>
                <w:color w:val="auto"/>
              </w:rPr>
            </w:pPr>
            <w:r>
              <w:rPr>
                <w:rFonts w:ascii="Arial" w:cs="Arial" w:eastAsia="Arial" w:hAnsi="Arial"/>
                <w:sz w:val="18"/>
                <w:szCs w:val="18"/>
                <w:color w:val="auto"/>
              </w:rPr>
              <w:t>44.4</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54.5</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49.5</w:t>
            </w:r>
          </w:p>
        </w:tc>
        <w:tc>
          <w:tcPr>
            <w:tcW w:w="0" w:type="dxa"/>
            <w:vAlign w:val="bottom"/>
          </w:tcPr>
          <w:p>
            <w:pPr>
              <w:spacing w:after="0"/>
              <w:rPr>
                <w:sz w:val="1"/>
                <w:szCs w:val="1"/>
                <w:color w:val="auto"/>
              </w:rPr>
            </w:pPr>
          </w:p>
        </w:tc>
      </w:tr>
      <w:tr>
        <w:trPr>
          <w:trHeight w:val="243"/>
        </w:trPr>
        <w:tc>
          <w:tcPr>
            <w:tcW w:w="5940" w:type="dxa"/>
            <w:vAlign w:val="bottom"/>
          </w:tcPr>
          <w:p>
            <w:pPr>
              <w:ind w:left="380"/>
              <w:spacing w:after="0"/>
              <w:rPr>
                <w:sz w:val="20"/>
                <w:szCs w:val="20"/>
                <w:color w:val="auto"/>
              </w:rPr>
            </w:pPr>
            <w:r>
              <w:rPr>
                <w:rFonts w:ascii="Arial" w:cs="Arial" w:eastAsia="Arial" w:hAnsi="Arial"/>
                <w:sz w:val="18"/>
                <w:szCs w:val="18"/>
                <w:color w:val="auto"/>
              </w:rPr>
              <w:t>Research and development</w:t>
            </w:r>
          </w:p>
        </w:tc>
        <w:tc>
          <w:tcPr>
            <w:tcW w:w="300" w:type="dxa"/>
            <w:vAlign w:val="bottom"/>
          </w:tcPr>
          <w:p>
            <w:pPr>
              <w:spacing w:after="0"/>
              <w:rPr>
                <w:sz w:val="21"/>
                <w:szCs w:val="21"/>
                <w:color w:val="auto"/>
              </w:rPr>
            </w:pPr>
          </w:p>
        </w:tc>
        <w:tc>
          <w:tcPr>
            <w:tcW w:w="1780" w:type="dxa"/>
            <w:vAlign w:val="bottom"/>
            <w:gridSpan w:val="3"/>
          </w:tcPr>
          <w:p>
            <w:pPr>
              <w:jc w:val="right"/>
              <w:ind w:right="111"/>
              <w:spacing w:after="0"/>
              <w:rPr>
                <w:sz w:val="20"/>
                <w:szCs w:val="20"/>
                <w:color w:val="auto"/>
              </w:rPr>
            </w:pPr>
            <w:r>
              <w:rPr>
                <w:rFonts w:ascii="Arial" w:cs="Arial" w:eastAsia="Arial" w:hAnsi="Arial"/>
                <w:sz w:val="18"/>
                <w:szCs w:val="18"/>
                <w:color w:val="auto"/>
              </w:rPr>
              <w:t>35.9</w:t>
            </w:r>
          </w:p>
        </w:tc>
        <w:tc>
          <w:tcPr>
            <w:tcW w:w="100" w:type="dxa"/>
            <w:vAlign w:val="bottom"/>
          </w:tcPr>
          <w:p>
            <w:pPr>
              <w:spacing w:after="0"/>
              <w:rPr>
                <w:sz w:val="21"/>
                <w:szCs w:val="21"/>
                <w:color w:val="auto"/>
              </w:rPr>
            </w:pP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37.5</w:t>
            </w:r>
          </w:p>
        </w:tc>
        <w:tc>
          <w:tcPr>
            <w:tcW w:w="12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30.0</w:t>
            </w:r>
          </w:p>
        </w:tc>
        <w:tc>
          <w:tcPr>
            <w:tcW w:w="0" w:type="dxa"/>
            <w:vAlign w:val="bottom"/>
          </w:tcPr>
          <w:p>
            <w:pPr>
              <w:spacing w:after="0"/>
              <w:rPr>
                <w:sz w:val="1"/>
                <w:szCs w:val="1"/>
                <w:color w:val="auto"/>
              </w:rPr>
            </w:pPr>
          </w:p>
        </w:tc>
      </w:tr>
      <w:tr>
        <w:trPr>
          <w:trHeight w:val="27"/>
        </w:trPr>
        <w:tc>
          <w:tcPr>
            <w:tcW w:w="59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9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Selling and marketing</w:t>
            </w:r>
          </w:p>
        </w:tc>
        <w:tc>
          <w:tcPr>
            <w:tcW w:w="3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w w:val="95"/>
              </w:rPr>
              <w:t>5.0</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43"/>
        </w:trPr>
        <w:tc>
          <w:tcPr>
            <w:tcW w:w="5940" w:type="dxa"/>
            <w:vAlign w:val="bottom"/>
          </w:tcPr>
          <w:p>
            <w:pPr>
              <w:ind w:left="380"/>
              <w:spacing w:after="0"/>
              <w:rPr>
                <w:sz w:val="20"/>
                <w:szCs w:val="20"/>
                <w:color w:val="auto"/>
              </w:rPr>
            </w:pPr>
            <w:r>
              <w:rPr>
                <w:rFonts w:ascii="Arial" w:cs="Arial" w:eastAsia="Arial" w:hAnsi="Arial"/>
                <w:sz w:val="18"/>
                <w:szCs w:val="18"/>
                <w:color w:val="auto"/>
              </w:rPr>
              <w:t>General and administrative</w:t>
            </w:r>
          </w:p>
        </w:tc>
        <w:tc>
          <w:tcPr>
            <w:tcW w:w="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60" w:type="dxa"/>
            <w:vAlign w:val="bottom"/>
          </w:tcPr>
          <w:p>
            <w:pPr>
              <w:jc w:val="right"/>
              <w:ind w:right="111"/>
              <w:spacing w:after="0"/>
              <w:rPr>
                <w:sz w:val="20"/>
                <w:szCs w:val="20"/>
                <w:color w:val="auto"/>
              </w:rPr>
            </w:pPr>
            <w:r>
              <w:rPr>
                <w:rFonts w:ascii="Arial" w:cs="Arial" w:eastAsia="Arial" w:hAnsi="Arial"/>
                <w:sz w:val="18"/>
                <w:szCs w:val="18"/>
                <w:color w:val="auto"/>
                <w:w w:val="95"/>
              </w:rPr>
              <w:t>5.5</w:t>
            </w:r>
          </w:p>
        </w:tc>
        <w:tc>
          <w:tcPr>
            <w:tcW w:w="100" w:type="dxa"/>
            <w:vAlign w:val="bottom"/>
          </w:tcPr>
          <w:p>
            <w:pPr>
              <w:spacing w:after="0"/>
              <w:rPr>
                <w:sz w:val="21"/>
                <w:szCs w:val="21"/>
                <w:color w:val="auto"/>
              </w:rPr>
            </w:pP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5.5</w:t>
            </w:r>
          </w:p>
        </w:tc>
        <w:tc>
          <w:tcPr>
            <w:tcW w:w="12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7"/>
        </w:trPr>
        <w:tc>
          <w:tcPr>
            <w:tcW w:w="59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9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Carnegie Mellon University litigation settlement</w:t>
            </w:r>
          </w:p>
        </w:tc>
        <w:tc>
          <w:tcPr>
            <w:tcW w:w="3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24.7</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5940" w:type="dxa"/>
            <w:vAlign w:val="bottom"/>
          </w:tcPr>
          <w:p>
            <w:pPr>
              <w:ind w:left="380"/>
              <w:spacing w:after="0"/>
              <w:rPr>
                <w:sz w:val="20"/>
                <w:szCs w:val="20"/>
                <w:color w:val="auto"/>
              </w:rPr>
            </w:pPr>
            <w:r>
              <w:rPr>
                <w:rFonts w:ascii="Arial" w:cs="Arial" w:eastAsia="Arial" w:hAnsi="Arial"/>
                <w:sz w:val="18"/>
                <w:szCs w:val="18"/>
                <w:color w:val="auto"/>
              </w:rPr>
              <w:t>Restructuring and other related charges</w:t>
            </w:r>
          </w:p>
        </w:tc>
        <w:tc>
          <w:tcPr>
            <w:tcW w:w="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60" w:type="dxa"/>
            <w:vAlign w:val="bottom"/>
          </w:tcPr>
          <w:p>
            <w:pPr>
              <w:jc w:val="right"/>
              <w:ind w:right="111"/>
              <w:spacing w:after="0"/>
              <w:rPr>
                <w:sz w:val="20"/>
                <w:szCs w:val="20"/>
                <w:color w:val="auto"/>
              </w:rPr>
            </w:pPr>
            <w:r>
              <w:rPr>
                <w:rFonts w:ascii="Arial" w:cs="Arial" w:eastAsia="Arial" w:hAnsi="Arial"/>
                <w:sz w:val="18"/>
                <w:szCs w:val="18"/>
                <w:color w:val="auto"/>
                <w:w w:val="95"/>
              </w:rPr>
              <w:t>4.5</w:t>
            </w:r>
          </w:p>
        </w:tc>
        <w:tc>
          <w:tcPr>
            <w:tcW w:w="100" w:type="dxa"/>
            <w:vAlign w:val="bottom"/>
          </w:tcPr>
          <w:p>
            <w:pPr>
              <w:spacing w:after="0"/>
              <w:rPr>
                <w:sz w:val="21"/>
                <w:szCs w:val="21"/>
                <w:color w:val="auto"/>
              </w:rPr>
            </w:pP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2.0</w:t>
            </w:r>
          </w:p>
        </w:tc>
        <w:tc>
          <w:tcPr>
            <w:tcW w:w="12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5940" w:type="dxa"/>
            <w:vAlign w:val="bottom"/>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9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Amortization and write-off of acquired intangible assets</w:t>
            </w:r>
          </w:p>
        </w:tc>
        <w:tc>
          <w:tcPr>
            <w:tcW w:w="3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spacing w:after="0"/>
              <w:rPr>
                <w:sz w:val="23"/>
                <w:szCs w:val="23"/>
                <w:color w:val="auto"/>
              </w:rPr>
            </w:pPr>
          </w:p>
        </w:tc>
        <w:tc>
          <w:tcPr>
            <w:tcW w:w="46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w w:val="95"/>
              </w:rPr>
              <w:t>0.3</w:t>
            </w:r>
          </w:p>
        </w:tc>
        <w:tc>
          <w:tcPr>
            <w:tcW w:w="10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0.4</w:t>
            </w:r>
          </w:p>
        </w:tc>
        <w:tc>
          <w:tcPr>
            <w:tcW w:w="12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37"/>
        </w:trPr>
        <w:tc>
          <w:tcPr>
            <w:tcW w:w="5940" w:type="dxa"/>
            <w:vAlign w:val="bottom"/>
          </w:tcPr>
          <w:p>
            <w:pPr>
              <w:ind w:left="720"/>
              <w:spacing w:after="0"/>
              <w:rPr>
                <w:sz w:val="20"/>
                <w:szCs w:val="20"/>
                <w:color w:val="auto"/>
              </w:rPr>
            </w:pPr>
            <w:r>
              <w:rPr>
                <w:rFonts w:ascii="Arial" w:cs="Arial" w:eastAsia="Arial" w:hAnsi="Arial"/>
                <w:sz w:val="18"/>
                <w:szCs w:val="18"/>
                <w:color w:val="auto"/>
              </w:rPr>
              <w:t>Total operating costs and expenses</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20" w:type="dxa"/>
            <w:vAlign w:val="bottom"/>
            <w:tcBorders>
              <w:top w:val="single" w:sz="8" w:color="auto"/>
            </w:tcBorders>
            <w:gridSpan w:val="2"/>
          </w:tcPr>
          <w:p>
            <w:pPr>
              <w:jc w:val="right"/>
              <w:ind w:right="111"/>
              <w:spacing w:after="0"/>
              <w:rPr>
                <w:sz w:val="20"/>
                <w:szCs w:val="20"/>
                <w:color w:val="auto"/>
              </w:rPr>
            </w:pPr>
            <w:r>
              <w:rPr>
                <w:rFonts w:ascii="Arial" w:cs="Arial" w:eastAsia="Arial" w:hAnsi="Arial"/>
                <w:sz w:val="18"/>
                <w:szCs w:val="18"/>
                <w:color w:val="auto"/>
              </w:rPr>
              <w:t>95.6</w:t>
            </w:r>
          </w:p>
        </w:tc>
        <w:tc>
          <w:tcPr>
            <w:tcW w:w="100" w:type="dxa"/>
            <w:vAlign w:val="bottom"/>
          </w:tcPr>
          <w:p>
            <w:pPr>
              <w:spacing w:after="0"/>
              <w:rPr>
                <w:sz w:val="20"/>
                <w:szCs w:val="20"/>
                <w:color w:val="auto"/>
              </w:rPr>
            </w:pPr>
          </w:p>
        </w:tc>
        <w:tc>
          <w:tcPr>
            <w:tcW w:w="1580" w:type="dxa"/>
            <w:vAlign w:val="bottom"/>
            <w:tcBorders>
              <w:top w:val="single" w:sz="8" w:color="auto"/>
            </w:tcBorders>
            <w:gridSpan w:val="2"/>
          </w:tcPr>
          <w:p>
            <w:pPr>
              <w:jc w:val="right"/>
              <w:ind w:right="240"/>
              <w:spacing w:after="0"/>
              <w:rPr>
                <w:sz w:val="20"/>
                <w:szCs w:val="20"/>
                <w:color w:val="auto"/>
              </w:rPr>
            </w:pPr>
            <w:r>
              <w:rPr>
                <w:rFonts w:ascii="Arial" w:cs="Arial" w:eastAsia="Arial" w:hAnsi="Arial"/>
                <w:sz w:val="18"/>
                <w:szCs w:val="18"/>
                <w:color w:val="auto"/>
              </w:rPr>
              <w:t>129.3</w:t>
            </w:r>
          </w:p>
        </w:tc>
        <w:tc>
          <w:tcPr>
            <w:tcW w:w="120" w:type="dxa"/>
            <w:vAlign w:val="bottom"/>
          </w:tcPr>
          <w:p>
            <w:pPr>
              <w:spacing w:after="0"/>
              <w:rPr>
                <w:sz w:val="20"/>
                <w:szCs w:val="20"/>
                <w:color w:val="auto"/>
              </w:rPr>
            </w:pPr>
          </w:p>
        </w:tc>
        <w:tc>
          <w:tcPr>
            <w:tcW w:w="158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87.4</w:t>
            </w:r>
          </w:p>
        </w:tc>
        <w:tc>
          <w:tcPr>
            <w:tcW w:w="0" w:type="dxa"/>
            <w:vAlign w:val="bottom"/>
          </w:tcPr>
          <w:p>
            <w:pPr>
              <w:spacing w:after="0"/>
              <w:rPr>
                <w:sz w:val="1"/>
                <w:szCs w:val="1"/>
                <w:color w:val="auto"/>
              </w:rPr>
            </w:pPr>
          </w:p>
        </w:tc>
      </w:tr>
      <w:tr>
        <w:trPr>
          <w:trHeight w:val="27"/>
        </w:trPr>
        <w:tc>
          <w:tcPr>
            <w:tcW w:w="5940" w:type="dxa"/>
            <w:vAlign w:val="bottom"/>
            <w:tcBorders>
              <w:bottom w:val="single" w:sz="8" w:color="CCEEFF"/>
            </w:tcBorders>
          </w:tcPr>
          <w:p>
            <w:pPr>
              <w:spacing w:after="0"/>
              <w:rPr>
                <w:sz w:val="2"/>
                <w:szCs w:val="2"/>
                <w:color w:val="auto"/>
              </w:rPr>
            </w:pPr>
          </w:p>
        </w:tc>
        <w:tc>
          <w:tcPr>
            <w:tcW w:w="300" w:type="dxa"/>
            <w:vAlign w:val="bottom"/>
            <w:tcBorders>
              <w:bottom w:val="single" w:sz="8" w:color="CCEEFF"/>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 from continuing operations</w:t>
            </w:r>
          </w:p>
        </w:tc>
        <w:tc>
          <w:tcPr>
            <w:tcW w:w="3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w w:val="95"/>
              </w:rPr>
              <w:t>4.4</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(29.3)</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12.6</w:t>
            </w:r>
          </w:p>
        </w:tc>
        <w:tc>
          <w:tcPr>
            <w:tcW w:w="0" w:type="dxa"/>
            <w:vAlign w:val="bottom"/>
          </w:tcPr>
          <w:p>
            <w:pPr>
              <w:spacing w:after="0"/>
              <w:rPr>
                <w:sz w:val="1"/>
                <w:szCs w:val="1"/>
                <w:color w:val="auto"/>
              </w:rPr>
            </w:pPr>
          </w:p>
        </w:tc>
      </w:tr>
      <w:tr>
        <w:trPr>
          <w:trHeight w:val="243"/>
        </w:trPr>
        <w:tc>
          <w:tcPr>
            <w:tcW w:w="594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60" w:type="dxa"/>
            <w:vAlign w:val="bottom"/>
          </w:tcPr>
          <w:p>
            <w:pPr>
              <w:jc w:val="right"/>
              <w:ind w:right="111"/>
              <w:spacing w:after="0"/>
              <w:rPr>
                <w:sz w:val="20"/>
                <w:szCs w:val="20"/>
                <w:color w:val="auto"/>
              </w:rPr>
            </w:pPr>
            <w:r>
              <w:rPr>
                <w:rFonts w:ascii="Arial" w:cs="Arial" w:eastAsia="Arial" w:hAnsi="Arial"/>
                <w:sz w:val="18"/>
                <w:szCs w:val="18"/>
                <w:color w:val="auto"/>
                <w:w w:val="95"/>
              </w:rPr>
              <w:t>0.7</w:t>
            </w:r>
          </w:p>
        </w:tc>
        <w:tc>
          <w:tcPr>
            <w:tcW w:w="100" w:type="dxa"/>
            <w:vAlign w:val="bottom"/>
          </w:tcPr>
          <w:p>
            <w:pPr>
              <w:spacing w:after="0"/>
              <w:rPr>
                <w:sz w:val="21"/>
                <w:szCs w:val="21"/>
                <w:color w:val="auto"/>
              </w:rPr>
            </w:pP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0.7</w:t>
            </w:r>
          </w:p>
        </w:tc>
        <w:tc>
          <w:tcPr>
            <w:tcW w:w="12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0.6</w:t>
            </w:r>
          </w:p>
        </w:tc>
        <w:tc>
          <w:tcPr>
            <w:tcW w:w="0" w:type="dxa"/>
            <w:vAlign w:val="bottom"/>
          </w:tcPr>
          <w:p>
            <w:pPr>
              <w:spacing w:after="0"/>
              <w:rPr>
                <w:sz w:val="1"/>
                <w:szCs w:val="1"/>
                <w:color w:val="auto"/>
              </w:rPr>
            </w:pPr>
          </w:p>
        </w:tc>
      </w:tr>
      <w:tr>
        <w:trPr>
          <w:trHeight w:val="27"/>
        </w:trPr>
        <w:tc>
          <w:tcPr>
            <w:tcW w:w="5940" w:type="dxa"/>
            <w:vAlign w:val="bottom"/>
            <w:tcBorders>
              <w:bottom w:val="single" w:sz="8" w:color="CCEEFF"/>
            </w:tcBorders>
          </w:tcPr>
          <w:p>
            <w:pPr>
              <w:spacing w:after="0"/>
              <w:rPr>
                <w:sz w:val="2"/>
                <w:szCs w:val="2"/>
                <w:color w:val="auto"/>
              </w:rPr>
            </w:pPr>
          </w:p>
        </w:tc>
        <w:tc>
          <w:tcPr>
            <w:tcW w:w="300" w:type="dxa"/>
            <w:vAlign w:val="bottom"/>
            <w:tcBorders>
              <w:bottom w:val="single" w:sz="8" w:color="CCEEFF"/>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before income taxes</w:t>
            </w:r>
          </w:p>
        </w:tc>
        <w:tc>
          <w:tcPr>
            <w:tcW w:w="3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w w:val="95"/>
              </w:rPr>
              <w:t>5.1</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(28.6)</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13.2</w:t>
            </w:r>
          </w:p>
        </w:tc>
        <w:tc>
          <w:tcPr>
            <w:tcW w:w="0" w:type="dxa"/>
            <w:vAlign w:val="bottom"/>
          </w:tcPr>
          <w:p>
            <w:pPr>
              <w:spacing w:after="0"/>
              <w:rPr>
                <w:sz w:val="1"/>
                <w:szCs w:val="1"/>
                <w:color w:val="auto"/>
              </w:rPr>
            </w:pPr>
          </w:p>
        </w:tc>
      </w:tr>
      <w:tr>
        <w:trPr>
          <w:trHeight w:val="243"/>
        </w:trPr>
        <w:tc>
          <w:tcPr>
            <w:tcW w:w="594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60" w:type="dxa"/>
            <w:vAlign w:val="bottom"/>
          </w:tcPr>
          <w:p>
            <w:pPr>
              <w:jc w:val="right"/>
              <w:ind w:right="111"/>
              <w:spacing w:after="0"/>
              <w:rPr>
                <w:sz w:val="20"/>
                <w:szCs w:val="20"/>
                <w:color w:val="auto"/>
              </w:rPr>
            </w:pPr>
            <w:r>
              <w:rPr>
                <w:rFonts w:ascii="Arial" w:cs="Arial" w:eastAsia="Arial" w:hAnsi="Arial"/>
                <w:sz w:val="18"/>
                <w:szCs w:val="18"/>
                <w:color w:val="auto"/>
                <w:w w:val="95"/>
              </w:rPr>
              <w:t>3.2</w:t>
            </w:r>
          </w:p>
        </w:tc>
        <w:tc>
          <w:tcPr>
            <w:tcW w:w="100" w:type="dxa"/>
            <w:vAlign w:val="bottom"/>
          </w:tcPr>
          <w:p>
            <w:pPr>
              <w:spacing w:after="0"/>
              <w:rPr>
                <w:sz w:val="21"/>
                <w:szCs w:val="21"/>
                <w:color w:val="auto"/>
              </w:rPr>
            </w:pP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0.4</w:t>
            </w:r>
          </w:p>
        </w:tc>
        <w:tc>
          <w:tcPr>
            <w:tcW w:w="120" w:type="dxa"/>
            <w:vAlign w:val="bottom"/>
          </w:tcPr>
          <w:p>
            <w:pPr>
              <w:spacing w:after="0"/>
              <w:rPr>
                <w:sz w:val="21"/>
                <w:szCs w:val="21"/>
                <w:color w:val="auto"/>
              </w:rPr>
            </w:pPr>
          </w:p>
        </w:tc>
        <w:tc>
          <w:tcPr>
            <w:tcW w:w="1580" w:type="dxa"/>
            <w:vAlign w:val="bottom"/>
          </w:tcPr>
          <w:p>
            <w:pPr>
              <w:jc w:val="right"/>
              <w:ind w:right="94"/>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7"/>
        </w:trPr>
        <w:tc>
          <w:tcPr>
            <w:tcW w:w="5940" w:type="dxa"/>
            <w:vAlign w:val="bottom"/>
            <w:tcBorders>
              <w:bottom w:val="single" w:sz="8" w:color="CCEEFF"/>
            </w:tcBorders>
          </w:tcPr>
          <w:p>
            <w:pPr>
              <w:spacing w:after="0"/>
              <w:rPr>
                <w:sz w:val="2"/>
                <w:szCs w:val="2"/>
                <w:color w:val="auto"/>
              </w:rPr>
            </w:pPr>
          </w:p>
        </w:tc>
        <w:tc>
          <w:tcPr>
            <w:tcW w:w="300" w:type="dxa"/>
            <w:vAlign w:val="bottom"/>
            <w:tcBorders>
              <w:bottom w:val="single" w:sz="8" w:color="CCEEFF"/>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w:t>
            </w:r>
          </w:p>
        </w:tc>
        <w:tc>
          <w:tcPr>
            <w:tcW w:w="3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c>
          <w:tcPr>
            <w:tcW w:w="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7"/>
              </w:rPr>
              <w:t>1.9%</w:t>
            </w:r>
          </w:p>
        </w:tc>
        <w:tc>
          <w:tcPr>
            <w:tcW w:w="100" w:type="dxa"/>
            <w:vAlign w:val="bottom"/>
            <w:tcBorders>
              <w:bottom w:val="single" w:sz="8" w:color="CCEEFF"/>
            </w:tcBorders>
            <w:shd w:val="clear" w:color="auto" w:fill="CCEEFF"/>
          </w:tcPr>
          <w:p>
            <w:pPr>
              <w:spacing w:after="0"/>
              <w:rPr>
                <w:sz w:val="22"/>
                <w:szCs w:val="22"/>
                <w:color w:val="auto"/>
              </w:rPr>
            </w:pPr>
          </w:p>
        </w:tc>
        <w:tc>
          <w:tcPr>
            <w:tcW w:w="158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(29.0)%</w:t>
            </w:r>
          </w:p>
        </w:tc>
        <w:tc>
          <w:tcPr>
            <w:tcW w:w="120" w:type="dxa"/>
            <w:vAlign w:val="bottom"/>
            <w:tcBorders>
              <w:bottom w:val="single" w:sz="8" w:color="CCEEFF"/>
            </w:tcBorders>
            <w:shd w:val="clear" w:color="auto" w:fill="CCEEFF"/>
          </w:tcPr>
          <w:p>
            <w:pPr>
              <w:spacing w:after="0"/>
              <w:rPr>
                <w:sz w:val="22"/>
                <w:szCs w:val="22"/>
                <w:color w:val="auto"/>
              </w:rPr>
            </w:pPr>
          </w:p>
        </w:tc>
        <w:tc>
          <w:tcPr>
            <w:tcW w:w="1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13.3 %</w:t>
            </w:r>
          </w:p>
        </w:tc>
        <w:tc>
          <w:tcPr>
            <w:tcW w:w="0" w:type="dxa"/>
            <w:vAlign w:val="bottom"/>
          </w:tcPr>
          <w:p>
            <w:pPr>
              <w:spacing w:after="0"/>
              <w:rPr>
                <w:sz w:val="1"/>
                <w:szCs w:val="1"/>
                <w:color w:val="auto"/>
              </w:rPr>
            </w:pPr>
          </w:p>
        </w:tc>
      </w:tr>
      <w:tr>
        <w:trPr>
          <w:trHeight w:val="20"/>
        </w:trPr>
        <w:tc>
          <w:tcPr>
            <w:tcW w:w="5940" w:type="dxa"/>
            <w:vAlign w:val="bottom"/>
            <w:tcBorders>
              <w:top w:val="single" w:sz="8" w:color="CCEEFF"/>
              <w:bottom w:val="single" w:sz="8" w:color="CCEEFF"/>
            </w:tcBorders>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January 28, 2017 and January 30, 2016</w:t>
            </w:r>
          </w:p>
        </w:tc>
        <w:tc>
          <w:tcPr>
            <w:tcW w:w="3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594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594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07"/>
        </w:trPr>
        <w:tc>
          <w:tcPr>
            <w:tcW w:w="594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3"/>
          </w:tcPr>
          <w:p>
            <w:pPr>
              <w:ind w:left="840"/>
              <w:spacing w:after="0"/>
              <w:rPr>
                <w:sz w:val="20"/>
                <w:szCs w:val="20"/>
                <w:color w:val="auto"/>
              </w:rPr>
            </w:pPr>
            <w:r>
              <w:rPr>
                <w:rFonts w:ascii="Arial" w:cs="Arial" w:eastAsia="Arial" w:hAnsi="Arial"/>
                <w:sz w:val="14"/>
                <w:szCs w:val="14"/>
                <w:b w:val="1"/>
                <w:bCs w:val="1"/>
                <w:color w:val="auto"/>
                <w:w w:val="98"/>
              </w:rPr>
              <w:t>Year Ended</w:t>
            </w:r>
          </w:p>
        </w:tc>
        <w:tc>
          <w:tcPr>
            <w:tcW w:w="1320" w:type="dxa"/>
            <w:vAlign w:val="bottom"/>
            <w:tcBorders>
              <w:bottom w:val="single" w:sz="8" w:color="auto"/>
            </w:tcBorders>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3"/>
        </w:trPr>
        <w:tc>
          <w:tcPr>
            <w:tcW w:w="59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20" w:type="dxa"/>
            <w:vAlign w:val="bottom"/>
            <w:gridSpan w:val="2"/>
          </w:tcPr>
          <w:p>
            <w:pPr>
              <w:jc w:val="center"/>
              <w:ind w:right="144"/>
              <w:spacing w:after="0" w:line="153" w:lineRule="exact"/>
              <w:rPr>
                <w:sz w:val="20"/>
                <w:szCs w:val="20"/>
                <w:color w:val="auto"/>
              </w:rPr>
            </w:pPr>
            <w:r>
              <w:rPr>
                <w:rFonts w:ascii="Arial" w:cs="Arial" w:eastAsia="Arial" w:hAnsi="Arial"/>
                <w:sz w:val="14"/>
                <w:szCs w:val="14"/>
                <w:b w:val="1"/>
                <w:bCs w:val="1"/>
                <w:color w:val="auto"/>
                <w:w w:val="95"/>
              </w:rPr>
              <w:t>January 28,</w:t>
            </w:r>
          </w:p>
        </w:tc>
        <w:tc>
          <w:tcPr>
            <w:tcW w:w="4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700" w:type="dxa"/>
            <w:vAlign w:val="bottom"/>
            <w:gridSpan w:val="3"/>
          </w:tcPr>
          <w:p>
            <w:pPr>
              <w:jc w:val="center"/>
              <w:ind w:right="740"/>
              <w:spacing w:after="0" w:line="153" w:lineRule="exact"/>
              <w:rPr>
                <w:sz w:val="20"/>
                <w:szCs w:val="20"/>
                <w:color w:val="auto"/>
              </w:rPr>
            </w:pPr>
            <w:r>
              <w:rPr>
                <w:rFonts w:ascii="Arial" w:cs="Arial" w:eastAsia="Arial" w:hAnsi="Arial"/>
                <w:sz w:val="14"/>
                <w:szCs w:val="14"/>
                <w:b w:val="1"/>
                <w:bCs w:val="1"/>
                <w:color w:val="auto"/>
                <w:w w:val="93"/>
              </w:rPr>
              <w:t>January 30,</w:t>
            </w:r>
          </w:p>
        </w:tc>
        <w:tc>
          <w:tcPr>
            <w:tcW w:w="1580" w:type="dxa"/>
            <w:vAlign w:val="bottom"/>
          </w:tcPr>
          <w:p>
            <w:pPr>
              <w:jc w:val="right"/>
              <w:ind w:right="514"/>
              <w:spacing w:after="0" w:line="153" w:lineRule="exact"/>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92"/>
        </w:trPr>
        <w:tc>
          <w:tcPr>
            <w:tcW w:w="59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gridSpan w:val="2"/>
          </w:tcPr>
          <w:p>
            <w:pPr>
              <w:jc w:val="right"/>
              <w:ind w:right="544"/>
              <w:spacing w:after="0"/>
              <w:rPr>
                <w:sz w:val="20"/>
                <w:szCs w:val="20"/>
                <w:color w:val="auto"/>
              </w:rPr>
            </w:pPr>
            <w:r>
              <w:rPr>
                <w:rFonts w:ascii="Arial" w:cs="Arial" w:eastAsia="Arial" w:hAnsi="Arial"/>
                <w:sz w:val="14"/>
                <w:szCs w:val="14"/>
                <w:b w:val="1"/>
                <w:bCs w:val="1"/>
                <w:color w:val="auto"/>
              </w:rPr>
              <w:t>2017</w:t>
            </w:r>
          </w:p>
        </w:tc>
        <w:tc>
          <w:tcPr>
            <w:tcW w:w="4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614"/>
              <w:spacing w:after="0"/>
              <w:rPr>
                <w:sz w:val="20"/>
                <w:szCs w:val="20"/>
                <w:color w:val="auto"/>
              </w:rPr>
            </w:pPr>
            <w:r>
              <w:rPr>
                <w:rFonts w:ascii="Arial" w:cs="Arial" w:eastAsia="Arial" w:hAnsi="Arial"/>
                <w:sz w:val="14"/>
                <w:szCs w:val="14"/>
                <w:b w:val="1"/>
                <w:bCs w:val="1"/>
                <w:color w:val="auto"/>
              </w:rPr>
              <w:t>2016</w:t>
            </w:r>
          </w:p>
        </w:tc>
        <w:tc>
          <w:tcPr>
            <w:tcW w:w="2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tcPr>
          <w:p>
            <w:pPr>
              <w:jc w:val="right"/>
              <w:ind w:right="614"/>
              <w:spacing w:after="0"/>
              <w:rPr>
                <w:sz w:val="20"/>
                <w:szCs w:val="20"/>
                <w:color w:val="auto"/>
              </w:rPr>
            </w:pPr>
            <w:r>
              <w:rPr>
                <w:rFonts w:ascii="Arial" w:cs="Arial" w:eastAsia="Arial" w:hAnsi="Arial"/>
                <w:sz w:val="14"/>
                <w:szCs w:val="14"/>
                <w:b w:val="1"/>
                <w:bCs w:val="1"/>
                <w:color w:val="auto"/>
              </w:rPr>
              <w:t>in 2017</w:t>
            </w:r>
          </w:p>
        </w:tc>
        <w:tc>
          <w:tcPr>
            <w:tcW w:w="0" w:type="dxa"/>
            <w:vAlign w:val="bottom"/>
          </w:tcPr>
          <w:p>
            <w:pPr>
              <w:spacing w:after="0"/>
              <w:rPr>
                <w:sz w:val="1"/>
                <w:szCs w:val="1"/>
                <w:color w:val="auto"/>
              </w:rPr>
            </w:pPr>
          </w:p>
        </w:tc>
      </w:tr>
      <w:tr>
        <w:trPr>
          <w:trHeight w:val="250"/>
        </w:trPr>
        <w:tc>
          <w:tcPr>
            <w:tcW w:w="59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2260" w:type="dxa"/>
            <w:vAlign w:val="bottom"/>
            <w:gridSpan w:val="5"/>
          </w:tcPr>
          <w:p>
            <w:pPr>
              <w:ind w:left="100"/>
              <w:spacing w:after="0"/>
              <w:rPr>
                <w:sz w:val="20"/>
                <w:szCs w:val="20"/>
                <w:color w:val="auto"/>
              </w:rPr>
            </w:pPr>
            <w:r>
              <w:rPr>
                <w:rFonts w:ascii="Arial" w:cs="Arial" w:eastAsia="Arial" w:hAnsi="Arial"/>
                <w:sz w:val="14"/>
                <w:szCs w:val="14"/>
                <w:b w:val="1"/>
                <w:bCs w:val="1"/>
                <w:color w:val="auto"/>
                <w:w w:val="94"/>
              </w:rPr>
              <w:t>(in thousands, except percentage)</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94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2,317,674</w:t>
            </w:r>
          </w:p>
        </w:tc>
        <w:tc>
          <w:tcPr>
            <w:tcW w:w="46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1"/>
                <w:szCs w:val="21"/>
                <w:color w:val="auto"/>
              </w:rPr>
            </w:pPr>
          </w:p>
        </w:tc>
        <w:tc>
          <w:tcPr>
            <w:tcW w:w="13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2,649,216</w:t>
            </w:r>
          </w:p>
        </w:tc>
        <w:tc>
          <w:tcPr>
            <w:tcW w:w="2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0" w:type="dxa"/>
            <w:vAlign w:val="bottom"/>
          </w:tcPr>
          <w:p>
            <w:pPr>
              <w:spacing w:after="0"/>
              <w:rPr>
                <w:sz w:val="1"/>
                <w:szCs w:val="1"/>
                <w:color w:val="auto"/>
              </w:rPr>
            </w:pPr>
          </w:p>
        </w:tc>
      </w:tr>
      <w:tr>
        <w:trPr>
          <w:trHeight w:val="27"/>
        </w:trPr>
        <w:tc>
          <w:tcPr>
            <w:tcW w:w="5940" w:type="dxa"/>
            <w:vAlign w:val="bottom"/>
            <w:shd w:val="clear" w:color="auto" w:fill="CCEEFF"/>
          </w:tcPr>
          <w:p>
            <w:pPr>
              <w:spacing w:after="0"/>
              <w:rPr>
                <w:sz w:val="2"/>
                <w:szCs w:val="2"/>
                <w:color w:val="auto"/>
              </w:rPr>
            </w:pPr>
          </w:p>
        </w:tc>
        <w:tc>
          <w:tcPr>
            <w:tcW w:w="3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060" w:type="dxa"/>
            <w:vAlign w:val="bottom"/>
            <w:shd w:val="clear" w:color="auto" w:fill="CCEEFF"/>
          </w:tcPr>
          <w:p>
            <w:pPr>
              <w:spacing w:after="0"/>
              <w:rPr>
                <w:sz w:val="2"/>
                <w:szCs w:val="2"/>
                <w:color w:val="auto"/>
              </w:rPr>
            </w:pPr>
          </w:p>
        </w:tc>
        <w:tc>
          <w:tcPr>
            <w:tcW w:w="4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5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Our net revenue for fiscal 2017 decreased by $331.5 million compared to net revenue for fiscal 2016. This decrease was primarily due to decreased sales of our other products, which were down 47%, and decreased sales of our connectivity products, which were down by 28%. These decreases were driven by the previously announced restructuring of our mobile handset platform business. In addition, revenue from our storage products was down by 4%, mainly due to a decrease in sales of HDD products, offset by strong growth in sales of SSD product. These declines were partially offset by sales growth of 11% in our networking products, driven by the introduction of new products and increased sales to the enterprise and campus markets. Unit shipments were 22% lower and weighted average selling prices increased 12% compared to fiscal 2016, for an overall decline of 13%.</w:t>
      </w:r>
    </w:p>
    <w:p>
      <w:pPr>
        <w:spacing w:after="0" w:line="165" w:lineRule="exact"/>
        <w:rPr>
          <w:sz w:val="20"/>
          <w:szCs w:val="20"/>
          <w:color w:val="auto"/>
        </w:rPr>
      </w:pPr>
    </w:p>
    <w:p>
      <w:pPr>
        <w:jc w:val="both"/>
        <w:ind w:firstLine="405"/>
        <w:spacing w:after="0" w:line="286" w:lineRule="auto"/>
        <w:rPr>
          <w:sz w:val="20"/>
          <w:szCs w:val="20"/>
          <w:color w:val="auto"/>
        </w:rPr>
      </w:pPr>
      <w:r>
        <w:rPr>
          <w:rFonts w:ascii="Arial" w:cs="Arial" w:eastAsia="Arial" w:hAnsi="Arial"/>
          <w:sz w:val="17"/>
          <w:szCs w:val="17"/>
          <w:color w:val="auto"/>
        </w:rPr>
        <w:t>Prior to fiscal 2017, our customers agreed from time to time to take shipments in an earlier fiscal quarter than the fiscal quarter they originally requested delivery. When such agreement would not have occurred but for the request made by Marvell, we refer to such transactions internally as “pull-ins.” Beginning in fiscal 2017, our policy is not to engage in pull-in transactions and, as a result, there were no such transactions in fiscal 2017.</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Cost of Goods Sold</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28,</w:t>
            </w:r>
          </w:p>
        </w:tc>
        <w:tc>
          <w:tcPr>
            <w:tcW w:w="64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2017</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1,029,527</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1,442,517</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(28.6)%</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44.4%</w:t>
            </w:r>
          </w:p>
        </w:tc>
        <w:tc>
          <w:tcPr>
            <w:tcW w:w="1180" w:type="dxa"/>
            <w:vAlign w:val="bottom"/>
          </w:tcPr>
          <w:p>
            <w:pPr>
              <w:jc w:val="right"/>
              <w:spacing w:after="0"/>
              <w:rPr>
                <w:sz w:val="20"/>
                <w:szCs w:val="20"/>
                <w:color w:val="auto"/>
              </w:rPr>
            </w:pPr>
            <w:r>
              <w:rPr>
                <w:rFonts w:ascii="Arial" w:cs="Arial" w:eastAsia="Arial" w:hAnsi="Arial"/>
                <w:sz w:val="18"/>
                <w:szCs w:val="18"/>
                <w:color w:val="auto"/>
              </w:rPr>
              <w:t>54.5%</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40" w:firstLine="432"/>
        <w:spacing w:after="0" w:line="259" w:lineRule="auto"/>
        <w:rPr>
          <w:sz w:val="20"/>
          <w:szCs w:val="20"/>
          <w:color w:val="auto"/>
        </w:rPr>
      </w:pPr>
      <w:r>
        <w:rPr>
          <w:rFonts w:ascii="Arial" w:cs="Arial" w:eastAsia="Arial" w:hAnsi="Arial"/>
          <w:sz w:val="18"/>
          <w:szCs w:val="18"/>
          <w:color w:val="auto"/>
        </w:rPr>
        <w:t>The cost of goods sold as a percentage of net revenue was lower for fiscal 2017 due to the $81.3 million CMU settlement included in cost of goods sold in 2016, a reduction in sales of lower margin mobile platform related product and lower material and manufacturing costs. Our cost of goods sold as a percentage of net revenue may fluctuate in future periods due to, among other things: changes in the mix of products sold; the timing of production ramps of new products; increased pricing pressures</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1130" w:right="239" w:bottom="1440" w:gutter="0" w:footer="0" w:header="0"/>
        </w:sectPr>
      </w:pPr>
    </w:p>
    <w:bookmarkStart w:id="36" w:name="page37"/>
    <w:bookmarkEnd w:id="36"/>
    <w:p>
      <w:pPr>
        <w:ind w:right="380"/>
        <w:spacing w:after="0" w:line="342" w:lineRule="auto"/>
        <w:rPr>
          <w:sz w:val="20"/>
          <w:szCs w:val="20"/>
          <w:color w:val="auto"/>
        </w:rPr>
      </w:pPr>
      <w:r>
        <w:rPr>
          <w:rFonts w:ascii="Arial" w:cs="Arial" w:eastAsia="Arial" w:hAnsi="Arial"/>
          <w:sz w:val="16"/>
          <w:szCs w:val="16"/>
          <w:color w:val="auto"/>
        </w:rPr>
        <w:t>from our customers and competitors;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6"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Share-Based Compensation Expense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340" w:type="dxa"/>
            <w:vAlign w:val="bottom"/>
          </w:tcPr>
          <w:p>
            <w:pPr>
              <w:spacing w:after="0"/>
              <w:rPr>
                <w:sz w:val="13"/>
                <w:szCs w:val="13"/>
                <w:color w:val="auto"/>
              </w:rPr>
            </w:pPr>
          </w:p>
        </w:tc>
        <w:tc>
          <w:tcPr>
            <w:tcW w:w="1140" w:type="dxa"/>
            <w:vAlign w:val="bottom"/>
          </w:tcPr>
          <w:p>
            <w:pPr>
              <w:jc w:val="right"/>
              <w:ind w:right="293"/>
              <w:spacing w:after="0" w:line="153" w:lineRule="exact"/>
              <w:rPr>
                <w:sz w:val="20"/>
                <w:szCs w:val="20"/>
                <w:color w:val="auto"/>
              </w:rPr>
            </w:pPr>
            <w:r>
              <w:rPr>
                <w:rFonts w:ascii="Arial" w:cs="Arial" w:eastAsia="Arial" w:hAnsi="Arial"/>
                <w:sz w:val="14"/>
                <w:szCs w:val="14"/>
                <w:b w:val="1"/>
                <w:bCs w:val="1"/>
                <w:color w:val="auto"/>
                <w:w w:val="95"/>
              </w:rPr>
              <w:t>January 30,</w:t>
            </w:r>
          </w:p>
        </w:tc>
      </w:tr>
      <w:tr>
        <w:trPr>
          <w:trHeight w:val="192"/>
        </w:trPr>
        <w:tc>
          <w:tcPr>
            <w:tcW w:w="83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r>
      <w:tr>
        <w:trPr>
          <w:trHeight w:val="250"/>
        </w:trPr>
        <w:tc>
          <w:tcPr>
            <w:tcW w:w="83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820" w:type="dxa"/>
            <w:vAlign w:val="bottom"/>
            <w:gridSpan w:val="4"/>
          </w:tcPr>
          <w:p>
            <w:pPr>
              <w:jc w:val="right"/>
              <w:ind w:right="993"/>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spacing w:after="0"/>
              <w:rPr>
                <w:sz w:val="22"/>
                <w:szCs w:val="22"/>
                <w:color w:val="auto"/>
              </w:rPr>
            </w:pP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8,334</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7,787</w:t>
            </w:r>
          </w:p>
        </w:tc>
      </w:tr>
      <w:tr>
        <w:trPr>
          <w:trHeight w:val="27"/>
        </w:trPr>
        <w:tc>
          <w:tcPr>
            <w:tcW w:w="8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78,136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92,054</w:t>
            </w: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10,243</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10,242</w:t>
            </w:r>
          </w:p>
        </w:tc>
      </w:tr>
      <w:tr>
        <w:trPr>
          <w:trHeight w:val="27"/>
        </w:trPr>
        <w:tc>
          <w:tcPr>
            <w:tcW w:w="8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8,047</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15,878</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104,760</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125,961</w:t>
            </w:r>
          </w:p>
        </w:tc>
      </w:tr>
      <w:tr>
        <w:trPr>
          <w:trHeight w:val="27"/>
        </w:trPr>
        <w:tc>
          <w:tcPr>
            <w:tcW w:w="8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Discontinued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21"/>
                <w:szCs w:val="21"/>
                <w:color w:val="auto"/>
              </w:rPr>
            </w:pP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187</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129</w:t>
            </w:r>
          </w:p>
        </w:tc>
      </w:tr>
      <w:tr>
        <w:trPr>
          <w:trHeight w:val="27"/>
        </w:trPr>
        <w:tc>
          <w:tcPr>
            <w:tcW w:w="8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8,306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6,738</w:t>
            </w: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649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864</w:t>
            </w:r>
          </w:p>
        </w:tc>
      </w:tr>
      <w:tr>
        <w:trPr>
          <w:trHeight w:val="27"/>
        </w:trPr>
        <w:tc>
          <w:tcPr>
            <w:tcW w:w="8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68</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87</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9,210</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7,818</w:t>
            </w:r>
          </w:p>
        </w:tc>
      </w:tr>
      <w:tr>
        <w:trPr>
          <w:trHeight w:val="27"/>
        </w:trPr>
        <w:tc>
          <w:tcPr>
            <w:tcW w:w="83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113,970</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133,779</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60" w:firstLine="432"/>
        <w:spacing w:after="0" w:line="293" w:lineRule="auto"/>
        <w:rPr>
          <w:sz w:val="20"/>
          <w:szCs w:val="20"/>
          <w:color w:val="auto"/>
        </w:rPr>
      </w:pPr>
      <w:r>
        <w:rPr>
          <w:rFonts w:ascii="Arial" w:cs="Arial" w:eastAsia="Arial" w:hAnsi="Arial"/>
          <w:sz w:val="16"/>
          <w:szCs w:val="16"/>
          <w:color w:val="auto"/>
        </w:rPr>
        <w:t>Share-based compensation expense for continuing operations decreased by $21.2 million in fiscal 2017 compared to fiscal 2016. The decrease was mainly due to lower headcount from the previously announced restructuring of the mobile platform business, as well as from the restructuring announced in November 2016. The cancellation of equity awards related to certain members of our executive management who departed in April 2016 also reduced the expense. These decreases were partially offset by the effect from the acceleration of expense caused by the cancellation of the June 2016 ESPP purchase because the Company was not eligible to issue shares of its common stock due to the delay in the timely filing of its periodic reports with the SEC (see “Note 12 - Shareholder's Equity” in the Notes to the Consolidated Financial Statements set forth in Part II, Item 8 of this Annual Report on Form 10-K).</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340" w:type="dxa"/>
            <w:vAlign w:val="bottom"/>
          </w:tcPr>
          <w:p>
            <w:pPr>
              <w:spacing w:after="0"/>
              <w:rPr>
                <w:sz w:val="13"/>
                <w:szCs w:val="13"/>
                <w:color w:val="auto"/>
              </w:rPr>
            </w:pPr>
          </w:p>
        </w:tc>
        <w:tc>
          <w:tcPr>
            <w:tcW w:w="1140" w:type="dxa"/>
            <w:vAlign w:val="bottom"/>
          </w:tcPr>
          <w:p>
            <w:pPr>
              <w:jc w:val="right"/>
              <w:ind w:right="297"/>
              <w:spacing w:after="0" w:line="153" w:lineRule="exact"/>
              <w:rPr>
                <w:sz w:val="20"/>
                <w:szCs w:val="20"/>
                <w:color w:val="auto"/>
              </w:rPr>
            </w:pPr>
            <w:r>
              <w:rPr>
                <w:rFonts w:ascii="Arial" w:cs="Arial" w:eastAsia="Arial" w:hAnsi="Arial"/>
                <w:sz w:val="14"/>
                <w:szCs w:val="14"/>
                <w:b w:val="1"/>
                <w:bCs w:val="1"/>
                <w:color w:val="auto"/>
                <w:w w:val="95"/>
              </w:rPr>
              <w:t>January 30,</w:t>
            </w:r>
          </w:p>
        </w:tc>
      </w:tr>
      <w:tr>
        <w:trPr>
          <w:trHeight w:val="192"/>
        </w:trPr>
        <w:tc>
          <w:tcPr>
            <w:tcW w:w="83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0"/>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820" w:type="dxa"/>
            <w:vAlign w:val="bottom"/>
            <w:gridSpan w:val="4"/>
          </w:tcPr>
          <w:p>
            <w:pPr>
              <w:jc w:val="right"/>
              <w:ind w:right="997"/>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10,292</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Restructuring and other related charges</w:t>
            </w:r>
          </w:p>
        </w:tc>
        <w:tc>
          <w:tcPr>
            <w:tcW w:w="260" w:type="dxa"/>
            <w:vAlign w:val="bottom"/>
          </w:tcPr>
          <w:p>
            <w:pPr>
              <w:spacing w:after="0"/>
              <w:rPr>
                <w:sz w:val="21"/>
                <w:szCs w:val="21"/>
                <w:color w:val="auto"/>
              </w:rPr>
            </w:pPr>
          </w:p>
        </w:tc>
        <w:tc>
          <w:tcPr>
            <w:tcW w:w="1240" w:type="dxa"/>
            <w:vAlign w:val="bottom"/>
          </w:tcPr>
          <w:p>
            <w:pPr>
              <w:jc w:val="right"/>
              <w:ind w:right="20"/>
              <w:spacing w:after="0"/>
              <w:rPr>
                <w:sz w:val="20"/>
                <w:szCs w:val="20"/>
                <w:color w:val="auto"/>
              </w:rPr>
            </w:pPr>
            <w:r>
              <w:rPr>
                <w:rFonts w:ascii="Arial" w:cs="Arial" w:eastAsia="Arial" w:hAnsi="Arial"/>
                <w:sz w:val="18"/>
                <w:szCs w:val="18"/>
                <w:color w:val="auto"/>
              </w:rPr>
              <w:t>105,186</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7"/>
              <w:spacing w:after="0"/>
              <w:rPr>
                <w:sz w:val="20"/>
                <w:szCs w:val="20"/>
                <w:color w:val="auto"/>
              </w:rPr>
            </w:pPr>
            <w:r>
              <w:rPr>
                <w:rFonts w:ascii="Arial" w:cs="Arial" w:eastAsia="Arial" w:hAnsi="Arial"/>
                <w:sz w:val="18"/>
                <w:szCs w:val="18"/>
                <w:color w:val="auto"/>
              </w:rPr>
              <w:t>53,251</w:t>
            </w:r>
          </w:p>
        </w:tc>
      </w:tr>
      <w:tr>
        <w:trPr>
          <w:trHeight w:val="27"/>
        </w:trPr>
        <w:tc>
          <w:tcPr>
            <w:tcW w:w="83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8"/>
                <w:szCs w:val="18"/>
                <w:color w:val="auto"/>
              </w:rPr>
              <w:t>105,186</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63,543</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firstLine="392"/>
        <w:spacing w:after="0" w:line="290" w:lineRule="auto"/>
        <w:rPr>
          <w:sz w:val="20"/>
          <w:szCs w:val="20"/>
          <w:color w:val="auto"/>
        </w:rPr>
      </w:pPr>
      <w:r>
        <w:rPr>
          <w:rFonts w:ascii="Arial" w:cs="Arial" w:eastAsia="Arial" w:hAnsi="Arial"/>
          <w:sz w:val="16"/>
          <w:szCs w:val="16"/>
          <w:color w:val="auto"/>
        </w:rPr>
        <w:t>We recorded total restructuring charges and other related charges of $105.2 million in fiscal 2017, which primarily arose from activities related the restructuring plan we announced in November 2016 to restructure our operations to refocus our research and development, increase operational efficiency and improve profitability. The Company recorded charges of $98.7 million, including severance benefits of $41.0 million, the impairment of a $45.0 million nonrefundable deposit due to the non-utilization of the related contract, $5.4 million for the impairment of equipment and technology licenses, and other exit-related costs of $7.3 million associated with the closure of facilities and contract termination penalties. In addition, the Company recorded $6.5 million related to previous fiscal 2016 restructuring actions, which included the write-off of mobile-related equipment that was previously held-for-sale and the remaining lease obligation for certain floors in one of its Israel facilities that were vacated in fiscal 2017. See “Note 8 - Restructuring and Other Related Charges” in the Notes to the Consolidated Financial Statements set forth in Part II, Item 8 of this Annual Report on Form 10-K for further information.</w:t>
      </w:r>
    </w:p>
    <w:p>
      <w:pPr>
        <w:spacing w:after="0" w:line="166" w:lineRule="exact"/>
        <w:rPr>
          <w:sz w:val="20"/>
          <w:szCs w:val="20"/>
          <w:color w:val="auto"/>
        </w:rPr>
      </w:pPr>
    </w:p>
    <w:p>
      <w:pPr>
        <w:ind w:right="20" w:firstLine="392"/>
        <w:spacing w:after="0" w:line="277" w:lineRule="auto"/>
        <w:rPr>
          <w:sz w:val="20"/>
          <w:szCs w:val="20"/>
          <w:color w:val="auto"/>
        </w:rPr>
      </w:pPr>
      <w:r>
        <w:rPr>
          <w:rFonts w:ascii="Arial" w:cs="Arial" w:eastAsia="Arial" w:hAnsi="Arial"/>
          <w:sz w:val="18"/>
          <w:szCs w:val="18"/>
          <w:color w:val="auto"/>
        </w:rPr>
        <w:t>As a result of the restructuring plan announced in November 2016, we expect to lower annual operating expenses to approximately $820 million to $830 million.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908" w:right="239" w:bottom="1440" w:gutter="0" w:footer="0" w:header="0"/>
        </w:sectPr>
      </w:pPr>
    </w:p>
    <w:bookmarkStart w:id="37" w:name="page38"/>
    <w:bookmarkEnd w:id="37"/>
    <w:p>
      <w:pPr>
        <w:ind w:left="440"/>
        <w:spacing w:after="0"/>
        <w:rPr>
          <w:sz w:val="20"/>
          <w:szCs w:val="20"/>
          <w:color w:val="auto"/>
        </w:rPr>
      </w:pPr>
      <w:r>
        <w:rPr>
          <w:rFonts w:ascii="Arial" w:cs="Arial" w:eastAsia="Arial" w:hAnsi="Arial"/>
          <w:sz w:val="18"/>
          <w:szCs w:val="18"/>
          <w:i w:val="1"/>
          <w:iCs w:val="1"/>
          <w:color w:val="auto"/>
        </w:rPr>
        <w:t>Research and Development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January 28,</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2017</w:t>
            </w:r>
          </w:p>
        </w:tc>
        <w:tc>
          <w:tcPr>
            <w:tcW w:w="6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831,398</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994,733</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(16.4)%</w:t>
            </w: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35.9%</w:t>
            </w:r>
          </w:p>
        </w:tc>
        <w:tc>
          <w:tcPr>
            <w:tcW w:w="1180" w:type="dxa"/>
            <w:vAlign w:val="bottom"/>
          </w:tcPr>
          <w:p>
            <w:pPr>
              <w:jc w:val="right"/>
              <w:spacing w:after="0"/>
              <w:rPr>
                <w:sz w:val="20"/>
                <w:szCs w:val="20"/>
                <w:color w:val="auto"/>
              </w:rPr>
            </w:pPr>
            <w:r>
              <w:rPr>
                <w:rFonts w:ascii="Arial" w:cs="Arial" w:eastAsia="Arial" w:hAnsi="Arial"/>
                <w:sz w:val="18"/>
                <w:szCs w:val="18"/>
                <w:color w:val="auto"/>
              </w:rPr>
              <w:t>37.5%</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Research and development expense decreased by $163.3 million in fiscal 2017 compared to fiscal 2016. The decrease was primarily attributable to</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$91.6 million of lower personnel-related costs, lower costs related to project spending and facility maintenance services of $44.0 million, and a reduction in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depreciation and amortization expense of $9.4 million. These reductions were driven by the restructuring of our mobile platform business as well as the</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restructuring actions announced in November 2016.</w:t>
      </w:r>
    </w:p>
    <w:p>
      <w:pPr>
        <w:spacing w:after="0" w:line="10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Selling and Marketing</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January 28,</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2017</w:t>
            </w:r>
          </w:p>
        </w:tc>
        <w:tc>
          <w:tcPr>
            <w:tcW w:w="6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and marketing</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115,817</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124,096</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w:t>
            </w: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5.0%</w:t>
            </w:r>
          </w:p>
        </w:tc>
        <w:tc>
          <w:tcPr>
            <w:tcW w:w="1180" w:type="dxa"/>
            <w:vAlign w:val="bottom"/>
          </w:tcPr>
          <w:p>
            <w:pPr>
              <w:jc w:val="right"/>
              <w:spacing w:after="0"/>
              <w:rPr>
                <w:sz w:val="20"/>
                <w:szCs w:val="20"/>
                <w:color w:val="auto"/>
              </w:rPr>
            </w:pPr>
            <w:r>
              <w:rPr>
                <w:rFonts w:ascii="Arial" w:cs="Arial" w:eastAsia="Arial" w:hAnsi="Arial"/>
                <w:sz w:val="18"/>
                <w:szCs w:val="18"/>
                <w:color w:val="auto"/>
              </w:rPr>
              <w:t>4.7%</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jc w:val="both"/>
        <w:ind w:firstLine="432"/>
        <w:spacing w:after="0" w:line="277" w:lineRule="auto"/>
        <w:rPr>
          <w:sz w:val="20"/>
          <w:szCs w:val="20"/>
          <w:color w:val="auto"/>
        </w:rPr>
      </w:pPr>
      <w:r>
        <w:rPr>
          <w:rFonts w:ascii="Arial" w:cs="Arial" w:eastAsia="Arial" w:hAnsi="Arial"/>
          <w:sz w:val="18"/>
          <w:szCs w:val="18"/>
          <w:color w:val="auto"/>
        </w:rPr>
        <w:t>Selling and marketing expense decreased by $8.3 million in fiscal 2017 compared to fiscal 2016. The decrease was primarily attributable to decreases of $7.2 million of marketing communications expenses.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General and Administrative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28,</w:t>
            </w:r>
          </w:p>
        </w:tc>
        <w:tc>
          <w:tcPr>
            <w:tcW w:w="64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2017</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127,376</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145,359</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(12.4)%</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5.5%</w:t>
            </w:r>
          </w:p>
        </w:tc>
        <w:tc>
          <w:tcPr>
            <w:tcW w:w="1180" w:type="dxa"/>
            <w:vAlign w:val="bottom"/>
          </w:tcPr>
          <w:p>
            <w:pPr>
              <w:jc w:val="right"/>
              <w:spacing w:after="0"/>
              <w:rPr>
                <w:sz w:val="20"/>
                <w:szCs w:val="20"/>
                <w:color w:val="auto"/>
              </w:rPr>
            </w:pPr>
            <w:r>
              <w:rPr>
                <w:rFonts w:ascii="Arial" w:cs="Arial" w:eastAsia="Arial" w:hAnsi="Arial"/>
                <w:sz w:val="18"/>
                <w:szCs w:val="18"/>
                <w:color w:val="auto"/>
              </w:rPr>
              <w:t>5.5%</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180" w:firstLine="432"/>
        <w:spacing w:after="0" w:line="276" w:lineRule="auto"/>
        <w:rPr>
          <w:sz w:val="20"/>
          <w:szCs w:val="20"/>
          <w:color w:val="auto"/>
        </w:rPr>
      </w:pPr>
      <w:r>
        <w:rPr>
          <w:rFonts w:ascii="Arial" w:cs="Arial" w:eastAsia="Arial" w:hAnsi="Arial"/>
          <w:sz w:val="17"/>
          <w:szCs w:val="17"/>
          <w:color w:val="auto"/>
        </w:rPr>
        <w:t>General and administrative expense decreased by $18.0 million in fiscal 2017 compared to fiscal 2016. The decrease was due to $7.1 million of lower charges for various litigation matters and $11.4 million of lower costs for the surety bonds related to the litigation with CMU. The decrease also included a $9.2 million decrease in legal expenses related to legal services. In addition, the decrease reflected the effect of a $15.4 million charge for a cash payment relating to a tax matter to our former Chief Executive Officer approved by the Company’s Executive Compensation Committee and included in fiscal 2016 that was not included in fiscal 2017. These decreases were partially offset by $22.1 million of other higher professional fees.</w:t>
      </w:r>
    </w:p>
    <w:p>
      <w:pPr>
        <w:spacing w:after="0" w:line="6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gridSpan w:val="2"/>
          </w:tcPr>
          <w:p>
            <w:pPr>
              <w:ind w:left="100"/>
              <w:spacing w:after="0"/>
              <w:rPr>
                <w:sz w:val="20"/>
                <w:szCs w:val="20"/>
                <w:color w:val="auto"/>
              </w:rPr>
            </w:pPr>
            <w:r>
              <w:rPr>
                <w:rFonts w:ascii="Arial" w:cs="Arial" w:eastAsia="Arial" w:hAnsi="Arial"/>
                <w:sz w:val="14"/>
                <w:szCs w:val="14"/>
                <w:b w:val="1"/>
                <w:bCs w:val="1"/>
                <w:color w:val="auto"/>
                <w:w w:val="96"/>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20" w:type="dxa"/>
            <w:vAlign w:val="bottom"/>
          </w:tcPr>
          <w:p>
            <w:pPr>
              <w:spacing w:after="0"/>
              <w:rPr>
                <w:sz w:val="13"/>
                <w:szCs w:val="13"/>
                <w:color w:val="auto"/>
              </w:rPr>
            </w:pPr>
          </w:p>
        </w:tc>
        <w:tc>
          <w:tcPr>
            <w:tcW w:w="1140" w:type="dxa"/>
            <w:vAlign w:val="bottom"/>
          </w:tcPr>
          <w:p>
            <w:pPr>
              <w:jc w:val="center"/>
              <w:ind w:left="322"/>
              <w:spacing w:after="0" w:line="153" w:lineRule="exact"/>
              <w:rPr>
                <w:sz w:val="20"/>
                <w:szCs w:val="20"/>
                <w:color w:val="auto"/>
              </w:rPr>
            </w:pPr>
            <w:r>
              <w:rPr>
                <w:rFonts w:ascii="Arial" w:cs="Arial" w:eastAsia="Arial" w:hAnsi="Arial"/>
                <w:sz w:val="14"/>
                <w:szCs w:val="14"/>
                <w:b w:val="1"/>
                <w:bCs w:val="1"/>
                <w:color w:val="auto"/>
                <w:w w:val="95"/>
              </w:rPr>
              <w:t>January 28,</w:t>
            </w:r>
          </w:p>
        </w:tc>
        <w:tc>
          <w:tcPr>
            <w:tcW w:w="2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62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20" w:type="dxa"/>
            <w:vAlign w:val="bottom"/>
          </w:tcPr>
          <w:p>
            <w:pPr>
              <w:spacing w:after="0"/>
              <w:rPr>
                <w:sz w:val="16"/>
                <w:szCs w:val="16"/>
                <w:color w:val="auto"/>
              </w:rPr>
            </w:pPr>
          </w:p>
        </w:tc>
        <w:tc>
          <w:tcPr>
            <w:tcW w:w="1140" w:type="dxa"/>
            <w:vAlign w:val="bottom"/>
            <w:tcBorders>
              <w:bottom w:val="single" w:sz="8" w:color="auto"/>
            </w:tcBorders>
          </w:tcPr>
          <w:p>
            <w:pPr>
              <w:jc w:val="right"/>
              <w:ind w:right="142"/>
              <w:spacing w:after="0"/>
              <w:rPr>
                <w:sz w:val="20"/>
                <w:szCs w:val="20"/>
                <w:color w:val="auto"/>
              </w:rPr>
            </w:pPr>
            <w:r>
              <w:rPr>
                <w:rFonts w:ascii="Arial" w:cs="Arial" w:eastAsia="Arial" w:hAnsi="Arial"/>
                <w:sz w:val="14"/>
                <w:szCs w:val="14"/>
                <w:b w:val="1"/>
                <w:bCs w:val="1"/>
                <w:color w:val="auto"/>
              </w:rPr>
              <w:t>2017</w:t>
            </w:r>
          </w:p>
        </w:tc>
        <w:tc>
          <w:tcPr>
            <w:tcW w:w="24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Litigation settlement with Carnegie Mellon University</w:t>
            </w:r>
          </w:p>
        </w:tc>
        <w:tc>
          <w:tcPr>
            <w:tcW w:w="1140" w:type="dxa"/>
            <w:vAlign w:val="bottom"/>
            <w:tcBorders>
              <w:bottom w:val="single" w:sz="8" w:color="CCEEFF"/>
            </w:tcBorders>
            <w:shd w:val="clear" w:color="auto" w:fill="CCEEFF"/>
          </w:tcPr>
          <w:p>
            <w:pPr>
              <w:jc w:val="right"/>
              <w:ind w:right="942"/>
              <w:spacing w:after="0"/>
              <w:rPr>
                <w:sz w:val="20"/>
                <w:szCs w:val="20"/>
                <w:color w:val="auto"/>
              </w:rPr>
            </w:pPr>
            <w:r>
              <w:rPr>
                <w:rFonts w:ascii="Arial" w:cs="Arial" w:eastAsia="Arial" w:hAnsi="Arial"/>
                <w:sz w:val="18"/>
                <w:szCs w:val="18"/>
                <w:color w:val="auto"/>
                <w:w w:val="99"/>
              </w:rPr>
              <w:t>$</w:t>
            </w: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654,667</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43"/>
        </w:trPr>
        <w:tc>
          <w:tcPr>
            <w:tcW w:w="6520" w:type="dxa"/>
            <w:vAlign w:val="bottom"/>
          </w:tcPr>
          <w:p>
            <w:pPr>
              <w:ind w:left="380"/>
              <w:spacing w:after="0"/>
              <w:rPr>
                <w:sz w:val="20"/>
                <w:szCs w:val="20"/>
                <w:color w:val="auto"/>
              </w:rPr>
            </w:pPr>
            <w:r>
              <w:rPr>
                <w:rFonts w:ascii="Arial" w:cs="Arial" w:eastAsia="Arial" w:hAnsi="Arial"/>
                <w:sz w:val="18"/>
                <w:szCs w:val="18"/>
                <w:color w:val="auto"/>
              </w:rPr>
              <w:t>% of net revenue</w:t>
            </w:r>
          </w:p>
        </w:tc>
        <w:tc>
          <w:tcPr>
            <w:tcW w:w="1140" w:type="dxa"/>
            <w:vAlign w:val="bottom"/>
          </w:tcPr>
          <w:p>
            <w:pPr>
              <w:spacing w:after="0"/>
              <w:rPr>
                <w:sz w:val="21"/>
                <w:szCs w:val="21"/>
                <w:color w:val="auto"/>
              </w:rPr>
            </w:pPr>
          </w:p>
        </w:tc>
        <w:tc>
          <w:tcPr>
            <w:tcW w:w="86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24.7%</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229" w:lineRule="exact"/>
        <w:rPr>
          <w:sz w:val="20"/>
          <w:szCs w:val="20"/>
          <w:color w:val="auto"/>
        </w:rPr>
      </w:pPr>
    </w:p>
    <w:p>
      <w:pPr>
        <w:ind w:right="60" w:firstLine="648"/>
        <w:spacing w:after="0" w:line="257" w:lineRule="auto"/>
        <w:rPr>
          <w:sz w:val="20"/>
          <w:szCs w:val="20"/>
          <w:color w:val="auto"/>
        </w:rPr>
      </w:pPr>
      <w:r>
        <w:rPr>
          <w:rFonts w:ascii="Arial" w:cs="Arial" w:eastAsia="Arial" w:hAnsi="Arial"/>
          <w:sz w:val="18"/>
          <w:szCs w:val="18"/>
          <w:color w:val="auto"/>
        </w:rPr>
        <w:t>In connection with the settlement agreement with CMU for $750 million (see “Note 10 – Commitments and Contingencies” and “Note 15 – Carnegie Mellon University Settlement” in the Notes to the Consolidated Financial Statements set forth in Part II, Item 8 of this Annual Report on Form 10-K), $654.7 million of the settlement allocated to the mutual release of claims and covenant not to sue was recorded in operating expenses in fiscal 2016. Of the remaining $95.3 million, $81.3 million was recorded in cost of goods sold in fiscal 2016. The remaining $14.0 million will be recognized in cost of goods sold over the remaining term of the license from February 2016 through April 2018.</w:t>
      </w: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1017" w:right="239" w:bottom="1440" w:gutter="0" w:footer="0" w:header="0"/>
        </w:sectPr>
      </w:pPr>
    </w:p>
    <w:bookmarkStart w:id="38" w:name="page39"/>
    <w:bookmarkEnd w:id="38"/>
    <w:p>
      <w:pPr>
        <w:ind w:left="44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28,</w:t>
            </w:r>
          </w:p>
        </w:tc>
        <w:tc>
          <w:tcPr>
            <w:tcW w:w="64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2017</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Amortization and write-off of acquired intangible assets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8,376</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10,098</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(17.1)%</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0.3%</w:t>
            </w:r>
          </w:p>
        </w:tc>
        <w:tc>
          <w:tcPr>
            <w:tcW w:w="1180" w:type="dxa"/>
            <w:vAlign w:val="bottom"/>
          </w:tcPr>
          <w:p>
            <w:pPr>
              <w:jc w:val="right"/>
              <w:spacing w:after="0"/>
              <w:rPr>
                <w:sz w:val="20"/>
                <w:szCs w:val="20"/>
                <w:color w:val="auto"/>
              </w:rPr>
            </w:pPr>
            <w:r>
              <w:rPr>
                <w:rFonts w:ascii="Arial" w:cs="Arial" w:eastAsia="Arial" w:hAnsi="Arial"/>
                <w:sz w:val="18"/>
                <w:szCs w:val="18"/>
                <w:color w:val="auto"/>
              </w:rPr>
              <w:t>0.4%</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140" w:firstLine="432"/>
        <w:spacing w:after="0" w:line="277" w:lineRule="auto"/>
        <w:rPr>
          <w:sz w:val="20"/>
          <w:szCs w:val="20"/>
          <w:color w:val="auto"/>
        </w:rPr>
      </w:pPr>
      <w:r>
        <w:rPr>
          <w:rFonts w:ascii="Arial" w:cs="Arial" w:eastAsia="Arial" w:hAnsi="Arial"/>
          <w:sz w:val="18"/>
          <w:szCs w:val="18"/>
          <w:color w:val="auto"/>
        </w:rPr>
        <w:t>Amortization and write-off of acquired intangible assets decreased by $1.7 million in fiscal 2017 compared to fiscal 2016. The decrease was primarily due to lower amortization expense as certain intangible assets became fully amortized.</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Interest and Other Income, net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28,</w:t>
            </w:r>
          </w:p>
        </w:tc>
        <w:tc>
          <w:tcPr>
            <w:tcW w:w="64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30,</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2017</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17,022</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17,685</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0.7%</w:t>
            </w:r>
          </w:p>
        </w:tc>
        <w:tc>
          <w:tcPr>
            <w:tcW w:w="1180" w:type="dxa"/>
            <w:vAlign w:val="bottom"/>
          </w:tcPr>
          <w:p>
            <w:pPr>
              <w:jc w:val="right"/>
              <w:spacing w:after="0"/>
              <w:rPr>
                <w:sz w:val="20"/>
                <w:szCs w:val="20"/>
                <w:color w:val="auto"/>
              </w:rPr>
            </w:pPr>
            <w:r>
              <w:rPr>
                <w:rFonts w:ascii="Arial" w:cs="Arial" w:eastAsia="Arial" w:hAnsi="Arial"/>
                <w:sz w:val="18"/>
                <w:szCs w:val="18"/>
                <w:color w:val="auto"/>
              </w:rPr>
              <w:t>0.7%</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120" w:firstLine="432"/>
        <w:spacing w:after="0" w:line="286" w:lineRule="auto"/>
        <w:rPr>
          <w:sz w:val="20"/>
          <w:szCs w:val="20"/>
          <w:color w:val="auto"/>
        </w:rPr>
      </w:pPr>
      <w:r>
        <w:rPr>
          <w:rFonts w:ascii="Arial" w:cs="Arial" w:eastAsia="Arial" w:hAnsi="Arial"/>
          <w:sz w:val="17"/>
          <w:szCs w:val="17"/>
          <w:color w:val="auto"/>
        </w:rPr>
        <w:t>Interest and other income, net, decreased by $0.7 million in fiscal 2017 compared to fiscal 2016. The decrease in fiscal 2017 reflects lower foreign currency gains from the revaluation of our foreign currency denominated tax liabilities combined with a decrease in interest income. The decrease in interest income was mainly due to overall lower average cash and investment balances offset by effects of higher interest rates.</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Provision for Income Taxes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c>
          <w:tcPr>
            <w:tcW w:w="4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53"/>
        </w:trPr>
        <w:tc>
          <w:tcPr>
            <w:tcW w:w="6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tcPr>
          <w:p>
            <w:pPr>
              <w:jc w:val="center"/>
              <w:ind w:right="164"/>
              <w:spacing w:after="0" w:line="153" w:lineRule="exact"/>
              <w:rPr>
                <w:sz w:val="20"/>
                <w:szCs w:val="20"/>
                <w:color w:val="auto"/>
              </w:rPr>
            </w:pPr>
            <w:r>
              <w:rPr>
                <w:rFonts w:ascii="Arial" w:cs="Arial" w:eastAsia="Arial" w:hAnsi="Arial"/>
                <w:sz w:val="14"/>
                <w:szCs w:val="14"/>
                <w:b w:val="1"/>
                <w:bCs w:val="1"/>
                <w:color w:val="auto"/>
                <w:w w:val="93"/>
              </w:rPr>
              <w:t>January 28,</w:t>
            </w:r>
          </w:p>
        </w:tc>
        <w:tc>
          <w:tcPr>
            <w:tcW w:w="440" w:type="dxa"/>
            <w:vAlign w:val="bottom"/>
          </w:tcPr>
          <w:p>
            <w:pPr>
              <w:spacing w:after="0"/>
              <w:rPr>
                <w:sz w:val="13"/>
                <w:szCs w:val="13"/>
                <w:color w:val="auto"/>
              </w:rPr>
            </w:pPr>
          </w:p>
        </w:tc>
        <w:tc>
          <w:tcPr>
            <w:tcW w:w="1600" w:type="dxa"/>
            <w:vAlign w:val="bottom"/>
            <w:gridSpan w:val="2"/>
          </w:tcPr>
          <w:p>
            <w:pPr>
              <w:jc w:val="center"/>
              <w:ind w:right="800"/>
              <w:spacing w:after="0" w:line="153" w:lineRule="exact"/>
              <w:rPr>
                <w:sz w:val="20"/>
                <w:szCs w:val="20"/>
                <w:color w:val="auto"/>
              </w:rPr>
            </w:pPr>
            <w:r>
              <w:rPr>
                <w:rFonts w:ascii="Arial" w:cs="Arial" w:eastAsia="Arial" w:hAnsi="Arial"/>
                <w:sz w:val="14"/>
                <w:szCs w:val="14"/>
                <w:b w:val="1"/>
                <w:bCs w:val="1"/>
                <w:color w:val="auto"/>
                <w:w w:val="93"/>
              </w:rPr>
              <w:t>January 30,</w:t>
            </w:r>
          </w:p>
        </w:tc>
        <w:tc>
          <w:tcPr>
            <w:tcW w:w="1200" w:type="dxa"/>
            <w:vAlign w:val="bottom"/>
          </w:tcPr>
          <w:p>
            <w:pPr>
              <w:jc w:val="center"/>
              <w:ind w:right="28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6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2017</w:t>
            </w:r>
          </w:p>
        </w:tc>
        <w:tc>
          <w:tcPr>
            <w:tcW w:w="4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2016</w:t>
            </w:r>
          </w:p>
        </w:tc>
        <w:tc>
          <w:tcPr>
            <w:tcW w:w="4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82"/>
              <w:spacing w:after="0"/>
              <w:rPr>
                <w:sz w:val="20"/>
                <w:szCs w:val="20"/>
                <w:color w:val="auto"/>
              </w:rPr>
            </w:pPr>
            <w:r>
              <w:rPr>
                <w:rFonts w:ascii="Arial" w:cs="Arial" w:eastAsia="Arial" w:hAnsi="Arial"/>
                <w:sz w:val="14"/>
                <w:szCs w:val="14"/>
                <w:b w:val="1"/>
                <w:bCs w:val="1"/>
                <w:color w:val="auto"/>
                <w:w w:val="92"/>
              </w:rPr>
              <w:t>in 2017</w:t>
            </w:r>
          </w:p>
        </w:tc>
      </w:tr>
      <w:tr>
        <w:trPr>
          <w:trHeight w:val="250"/>
        </w:trPr>
        <w:tc>
          <w:tcPr>
            <w:tcW w:w="66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3280" w:type="dxa"/>
            <w:vAlign w:val="bottom"/>
            <w:gridSpan w:val="4"/>
          </w:tcPr>
          <w:p>
            <w:pPr>
              <w:ind w:left="1080"/>
              <w:spacing w:after="0"/>
              <w:rPr>
                <w:sz w:val="20"/>
                <w:szCs w:val="20"/>
                <w:color w:val="auto"/>
              </w:rPr>
            </w:pPr>
            <w:r>
              <w:rPr>
                <w:rFonts w:ascii="Arial" w:cs="Arial" w:eastAsia="Arial" w:hAnsi="Arial"/>
                <w:sz w:val="14"/>
                <w:szCs w:val="14"/>
                <w:b w:val="1"/>
                <w:bCs w:val="1"/>
                <w:color w:val="auto"/>
                <w:w w:val="92"/>
              </w:rPr>
              <w:t>(in thousands, except percentages)</w:t>
            </w:r>
          </w:p>
        </w:tc>
        <w:tc>
          <w:tcPr>
            <w:tcW w:w="1200" w:type="dxa"/>
            <w:vAlign w:val="bottom"/>
          </w:tcPr>
          <w:p>
            <w:pPr>
              <w:spacing w:after="0"/>
              <w:rPr>
                <w:sz w:val="21"/>
                <w:szCs w:val="21"/>
                <w:color w:val="auto"/>
              </w:rPr>
            </w:pPr>
          </w:p>
        </w:tc>
      </w:tr>
      <w:tr>
        <w:trPr>
          <w:trHeight w:val="249"/>
        </w:trPr>
        <w:tc>
          <w:tcPr>
            <w:tcW w:w="668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73,022</w:t>
            </w:r>
          </w:p>
        </w:tc>
        <w:tc>
          <w:tcPr>
            <w:tcW w:w="4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11,335</w:t>
            </w:r>
          </w:p>
        </w:tc>
        <w:tc>
          <w:tcPr>
            <w:tcW w:w="460" w:type="dxa"/>
            <w:vAlign w:val="bottom"/>
            <w:shd w:val="clear" w:color="auto" w:fill="CCEEFF"/>
          </w:tcPr>
          <w:p>
            <w:pPr>
              <w:spacing w:after="0"/>
              <w:rPr>
                <w:sz w:val="21"/>
                <w:szCs w:val="21"/>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544.2%</w:t>
            </w:r>
          </w:p>
        </w:tc>
      </w:tr>
      <w:tr>
        <w:trPr>
          <w:trHeight w:val="27"/>
        </w:trPr>
        <w:tc>
          <w:tcPr>
            <w:tcW w:w="668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46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r>
    </w:tbl>
    <w:p>
      <w:pPr>
        <w:spacing w:after="0" w:line="202" w:lineRule="exact"/>
        <w:rPr>
          <w:sz w:val="20"/>
          <w:szCs w:val="20"/>
          <w:color w:val="auto"/>
        </w:rPr>
      </w:pPr>
    </w:p>
    <w:p>
      <w:pPr>
        <w:ind w:right="80" w:firstLine="432"/>
        <w:spacing w:after="0" w:line="257" w:lineRule="auto"/>
        <w:rPr>
          <w:sz w:val="20"/>
          <w:szCs w:val="20"/>
          <w:color w:val="auto"/>
        </w:rPr>
      </w:pPr>
      <w:r>
        <w:rPr>
          <w:rFonts w:ascii="Arial" w:cs="Arial" w:eastAsia="Arial" w:hAnsi="Arial"/>
          <w:sz w:val="18"/>
          <w:szCs w:val="18"/>
          <w:color w:val="auto"/>
        </w:rPr>
        <w:t>The increase in income tax expense for fiscal 2017 compared to fiscal 2016 was primarily due to approximately $66.9 million of tax expense related to restructuring actions taken in the fourth quarter of fiscal 2017. This consisted of $50.1 million of foreign withholding taxes on undistributed earnings of certain subsidiaries that were no longer considered to be indefinitely reinvested as a result of these restructuring actions and $16.8 million of additional foreign tax expense which also arises as a result of such restructuring. These tax expenses attributable to our global restructuring would not be expected to recur in the future.</w:t>
      </w:r>
    </w:p>
    <w:p>
      <w:pPr>
        <w:spacing w:after="0" w:line="188" w:lineRule="exact"/>
        <w:rPr>
          <w:sz w:val="20"/>
          <w:szCs w:val="20"/>
          <w:color w:val="auto"/>
        </w:rPr>
      </w:pPr>
    </w:p>
    <w:p>
      <w:pPr>
        <w:ind w:right="340" w:firstLine="432"/>
        <w:spacing w:after="0" w:line="257" w:lineRule="auto"/>
        <w:rPr>
          <w:sz w:val="20"/>
          <w:szCs w:val="20"/>
          <w:color w:val="auto"/>
        </w:rPr>
      </w:pPr>
      <w:r>
        <w:rPr>
          <w:rFonts w:ascii="Arial" w:cs="Arial" w:eastAsia="Arial" w:hAnsi="Arial"/>
          <w:sz w:val="18"/>
          <w:szCs w:val="18"/>
          <w:color w:val="auto"/>
        </w:rPr>
        <w:t>Our provision for incomes taxes may be affected by changes in the geographic mix of earnings with different applicable tax rates, changes in the realizability of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Additionally, please see the information in "Item 1A: Risk Factors" under the caption "</w:t>
      </w:r>
      <w:r>
        <w:rPr>
          <w:rFonts w:ascii="Arial" w:cs="Arial" w:eastAsia="Arial" w:hAnsi="Arial"/>
          <w:sz w:val="18"/>
          <w:szCs w:val="18"/>
          <w:i w:val="1"/>
          <w:iCs w:val="1"/>
          <w:color w:val="auto"/>
        </w:rPr>
        <w:t>Changes in existing taxation</w:t>
      </w:r>
      <w:r>
        <w:rPr>
          <w:rFonts w:ascii="Arial" w:cs="Arial" w:eastAsia="Arial" w:hAnsi="Arial"/>
          <w:sz w:val="18"/>
          <w:szCs w:val="18"/>
          <w:color w:val="auto"/>
        </w:rPr>
        <w:t xml:space="preserve"> </w:t>
      </w:r>
      <w:r>
        <w:rPr>
          <w:rFonts w:ascii="Arial" w:cs="Arial" w:eastAsia="Arial" w:hAnsi="Arial"/>
          <w:sz w:val="18"/>
          <w:szCs w:val="18"/>
          <w:i w:val="1"/>
          <w:iCs w:val="1"/>
          <w:color w:val="auto"/>
        </w:rPr>
        <w:t>benefits, rules or practices may adversely affect our financial results.</w:t>
      </w:r>
      <w:r>
        <w:rPr>
          <w:rFonts w:ascii="Arial" w:cs="Arial" w:eastAsia="Arial" w:hAnsi="Arial"/>
          <w:sz w:val="18"/>
          <w:szCs w:val="18"/>
          <w:color w:val="auto"/>
        </w:rPr>
        <w:t>”</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Years Ended January 30, 2016 and January 31, 2015</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Net Revenue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60" w:type="dxa"/>
            <w:vAlign w:val="bottom"/>
          </w:tcPr>
          <w:p>
            <w:pPr>
              <w:spacing w:after="0"/>
              <w:rPr>
                <w:sz w:val="16"/>
                <w:szCs w:val="16"/>
                <w:color w:val="auto"/>
              </w:rPr>
            </w:pPr>
          </w:p>
        </w:tc>
        <w:tc>
          <w:tcPr>
            <w:tcW w:w="33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20" w:type="dxa"/>
            <w:vAlign w:val="bottom"/>
            <w:tcBorders>
              <w:bottom w:val="single" w:sz="8" w:color="auto"/>
            </w:tcBorders>
          </w:tcPr>
          <w:p>
            <w:pPr>
              <w:spacing w:after="0"/>
              <w:rPr>
                <w:sz w:val="16"/>
                <w:szCs w:val="16"/>
                <w:color w:val="auto"/>
              </w:rPr>
            </w:pPr>
          </w:p>
        </w:tc>
        <w:tc>
          <w:tcPr>
            <w:tcW w:w="48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53"/>
        </w:trPr>
        <w:tc>
          <w:tcPr>
            <w:tcW w:w="3260" w:type="dxa"/>
            <w:vAlign w:val="bottom"/>
          </w:tcPr>
          <w:p>
            <w:pPr>
              <w:spacing w:after="0"/>
              <w:rPr>
                <w:sz w:val="13"/>
                <w:szCs w:val="13"/>
                <w:color w:val="auto"/>
              </w:rPr>
            </w:pPr>
          </w:p>
        </w:tc>
        <w:tc>
          <w:tcPr>
            <w:tcW w:w="33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center"/>
              <w:ind w:right="84"/>
              <w:spacing w:after="0" w:line="153" w:lineRule="exact"/>
              <w:rPr>
                <w:sz w:val="20"/>
                <w:szCs w:val="20"/>
                <w:color w:val="auto"/>
              </w:rPr>
            </w:pPr>
            <w:r>
              <w:rPr>
                <w:rFonts w:ascii="Arial" w:cs="Arial" w:eastAsia="Arial" w:hAnsi="Arial"/>
                <w:sz w:val="14"/>
                <w:szCs w:val="14"/>
                <w:b w:val="1"/>
                <w:bCs w:val="1"/>
                <w:color w:val="auto"/>
                <w:w w:val="93"/>
              </w:rPr>
              <w:t>January 30,</w:t>
            </w:r>
          </w:p>
        </w:tc>
        <w:tc>
          <w:tcPr>
            <w:tcW w:w="560" w:type="dxa"/>
            <w:vAlign w:val="bottom"/>
          </w:tcPr>
          <w:p>
            <w:pPr>
              <w:spacing w:after="0"/>
              <w:rPr>
                <w:sz w:val="13"/>
                <w:szCs w:val="13"/>
                <w:color w:val="auto"/>
              </w:rPr>
            </w:pPr>
          </w:p>
        </w:tc>
        <w:tc>
          <w:tcPr>
            <w:tcW w:w="1600" w:type="dxa"/>
            <w:vAlign w:val="bottom"/>
            <w:gridSpan w:val="2"/>
          </w:tcPr>
          <w:p>
            <w:pPr>
              <w:jc w:val="center"/>
              <w:ind w:right="840"/>
              <w:spacing w:after="0" w:line="153" w:lineRule="exact"/>
              <w:rPr>
                <w:sz w:val="20"/>
                <w:szCs w:val="20"/>
                <w:color w:val="auto"/>
              </w:rPr>
            </w:pPr>
            <w:r>
              <w:rPr>
                <w:rFonts w:ascii="Arial" w:cs="Arial" w:eastAsia="Arial" w:hAnsi="Arial"/>
                <w:sz w:val="14"/>
                <w:szCs w:val="14"/>
                <w:b w:val="1"/>
                <w:bCs w:val="1"/>
                <w:color w:val="auto"/>
                <w:w w:val="93"/>
              </w:rPr>
              <w:t>January 31,</w:t>
            </w:r>
          </w:p>
        </w:tc>
        <w:tc>
          <w:tcPr>
            <w:tcW w:w="1240" w:type="dxa"/>
            <w:vAlign w:val="bottom"/>
          </w:tcPr>
          <w:p>
            <w:pPr>
              <w:jc w:val="center"/>
              <w:ind w:right="30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3260" w:type="dxa"/>
            <w:vAlign w:val="bottom"/>
          </w:tcPr>
          <w:p>
            <w:pPr>
              <w:spacing w:after="0"/>
              <w:rPr>
                <w:sz w:val="16"/>
                <w:szCs w:val="16"/>
                <w:color w:val="auto"/>
              </w:rPr>
            </w:pPr>
          </w:p>
        </w:tc>
        <w:tc>
          <w:tcPr>
            <w:tcW w:w="33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24"/>
              <w:spacing w:after="0"/>
              <w:rPr>
                <w:sz w:val="20"/>
                <w:szCs w:val="20"/>
                <w:color w:val="auto"/>
              </w:rPr>
            </w:pPr>
            <w:r>
              <w:rPr>
                <w:rFonts w:ascii="Arial" w:cs="Arial" w:eastAsia="Arial" w:hAnsi="Arial"/>
                <w:sz w:val="14"/>
                <w:szCs w:val="14"/>
                <w:b w:val="1"/>
                <w:bCs w:val="1"/>
                <w:color w:val="auto"/>
              </w:rPr>
              <w:t>2016</w:t>
            </w:r>
          </w:p>
        </w:tc>
        <w:tc>
          <w:tcPr>
            <w:tcW w:w="5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2015</w:t>
            </w:r>
          </w:p>
        </w:tc>
        <w:tc>
          <w:tcPr>
            <w:tcW w:w="4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302"/>
              <w:spacing w:after="0"/>
              <w:rPr>
                <w:sz w:val="20"/>
                <w:szCs w:val="20"/>
                <w:color w:val="auto"/>
              </w:rPr>
            </w:pPr>
            <w:r>
              <w:rPr>
                <w:rFonts w:ascii="Arial" w:cs="Arial" w:eastAsia="Arial" w:hAnsi="Arial"/>
                <w:sz w:val="14"/>
                <w:szCs w:val="14"/>
                <w:b w:val="1"/>
                <w:bCs w:val="1"/>
                <w:color w:val="auto"/>
                <w:w w:val="96"/>
              </w:rPr>
              <w:t>in 2016</w:t>
            </w:r>
          </w:p>
        </w:tc>
      </w:tr>
      <w:tr>
        <w:trPr>
          <w:trHeight w:val="250"/>
        </w:trPr>
        <w:tc>
          <w:tcPr>
            <w:tcW w:w="3260" w:type="dxa"/>
            <w:vAlign w:val="bottom"/>
          </w:tcPr>
          <w:p>
            <w:pPr>
              <w:spacing w:after="0"/>
              <w:rPr>
                <w:sz w:val="21"/>
                <w:szCs w:val="21"/>
                <w:color w:val="auto"/>
              </w:rPr>
            </w:pPr>
          </w:p>
        </w:tc>
        <w:tc>
          <w:tcPr>
            <w:tcW w:w="33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160" w:type="dxa"/>
            <w:vAlign w:val="bottom"/>
            <w:gridSpan w:val="3"/>
          </w:tcPr>
          <w:p>
            <w:pPr>
              <w:spacing w:after="0"/>
              <w:rPr>
                <w:sz w:val="20"/>
                <w:szCs w:val="20"/>
                <w:color w:val="auto"/>
              </w:rPr>
            </w:pPr>
            <w:r>
              <w:rPr>
                <w:rFonts w:ascii="Arial" w:cs="Arial" w:eastAsia="Arial" w:hAnsi="Arial"/>
                <w:sz w:val="14"/>
                <w:szCs w:val="14"/>
                <w:b w:val="1"/>
                <w:bCs w:val="1"/>
                <w:color w:val="auto"/>
                <w:w w:val="94"/>
              </w:rPr>
              <w:t>(in thousands, except percentage)</w:t>
            </w:r>
          </w:p>
        </w:tc>
        <w:tc>
          <w:tcPr>
            <w:tcW w:w="1240" w:type="dxa"/>
            <w:vAlign w:val="bottom"/>
          </w:tcPr>
          <w:p>
            <w:pPr>
              <w:spacing w:after="0"/>
              <w:rPr>
                <w:sz w:val="21"/>
                <w:szCs w:val="21"/>
                <w:color w:val="auto"/>
              </w:rPr>
            </w:pPr>
          </w:p>
        </w:tc>
      </w:tr>
      <w:tr>
        <w:trPr>
          <w:trHeight w:val="256"/>
        </w:trPr>
        <w:tc>
          <w:tcPr>
            <w:tcW w:w="3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6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2,649,216</w:t>
            </w:r>
          </w:p>
        </w:tc>
        <w:tc>
          <w:tcPr>
            <w:tcW w:w="5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42"/>
              <w:spacing w:after="0"/>
              <w:rPr>
                <w:sz w:val="20"/>
                <w:szCs w:val="20"/>
                <w:color w:val="auto"/>
              </w:rPr>
            </w:pPr>
            <w:r>
              <w:rPr>
                <w:rFonts w:ascii="Arial" w:cs="Arial" w:eastAsia="Arial" w:hAnsi="Arial"/>
                <w:sz w:val="18"/>
                <w:szCs w:val="18"/>
                <w:color w:val="auto"/>
              </w:rPr>
              <w:t>3,637,206</w:t>
            </w:r>
          </w:p>
        </w:tc>
        <w:tc>
          <w:tcPr>
            <w:tcW w:w="48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(27.2)%</w:t>
            </w:r>
          </w:p>
        </w:tc>
      </w:tr>
      <w:tr>
        <w:trPr>
          <w:trHeight w:val="675"/>
        </w:trPr>
        <w:tc>
          <w:tcPr>
            <w:tcW w:w="3260" w:type="dxa"/>
            <w:vAlign w:val="bottom"/>
          </w:tcPr>
          <w:p>
            <w:pPr>
              <w:spacing w:after="0"/>
              <w:rPr>
                <w:sz w:val="24"/>
                <w:szCs w:val="24"/>
                <w:color w:val="auto"/>
              </w:rPr>
            </w:pPr>
          </w:p>
        </w:tc>
        <w:tc>
          <w:tcPr>
            <w:tcW w:w="3360" w:type="dxa"/>
            <w:vAlign w:val="bottom"/>
          </w:tcPr>
          <w:p>
            <w:pPr>
              <w:jc w:val="right"/>
              <w:ind w:right="730"/>
              <w:spacing w:after="0"/>
              <w:rPr>
                <w:sz w:val="20"/>
                <w:szCs w:val="20"/>
                <w:color w:val="auto"/>
              </w:rPr>
            </w:pPr>
            <w:r>
              <w:rPr>
                <w:rFonts w:ascii="Arial" w:cs="Arial" w:eastAsia="Arial" w:hAnsi="Arial"/>
                <w:sz w:val="18"/>
                <w:szCs w:val="18"/>
                <w:color w:val="auto"/>
              </w:rPr>
              <w:t>36</w:t>
            </w: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40" w:type="dxa"/>
            <w:vAlign w:val="bottom"/>
          </w:tcPr>
          <w:p>
            <w:pPr>
              <w:spacing w:after="0"/>
              <w:rPr>
                <w:sz w:val="24"/>
                <w:szCs w:val="24"/>
                <w:color w:val="auto"/>
              </w:rPr>
            </w:pPr>
          </w:p>
        </w:tc>
      </w:tr>
    </w:tbl>
    <w:p>
      <w:pPr>
        <w:sectPr>
          <w:pgSz w:w="11900" w:h="16838" w:orient="portrait"/>
          <w:cols w:equalWidth="0" w:num="1">
            <w:col w:w="11400"/>
          </w:cols>
          <w:pgMar w:left="240" w:top="908" w:right="259" w:bottom="1440" w:gutter="0" w:footer="0" w:header="0"/>
        </w:sectPr>
      </w:pPr>
    </w:p>
    <w:bookmarkStart w:id="39" w:name="page40"/>
    <w:bookmarkEnd w:id="39"/>
    <w:p>
      <w:pPr>
        <w:ind w:firstLine="432"/>
        <w:spacing w:after="0" w:line="276" w:lineRule="auto"/>
        <w:rPr>
          <w:sz w:val="20"/>
          <w:szCs w:val="20"/>
          <w:color w:val="auto"/>
        </w:rPr>
      </w:pPr>
      <w:r>
        <w:rPr>
          <w:rFonts w:ascii="Arial" w:cs="Arial" w:eastAsia="Arial" w:hAnsi="Arial"/>
          <w:sz w:val="17"/>
          <w:szCs w:val="17"/>
          <w:color w:val="auto"/>
        </w:rPr>
        <w:t>Our net revenue for fiscal 2016 decreased by $988.0 million compared to net revenue for fiscal 2015. The decrease was due to overall lower sales of products to customers in all of our product groups given the downsizing of the mobile handset business and continued challenges in the computing and consumer markets. Sales of our storage products decreased by 31%, sales of our other products decreased by 32%, sales of our networking products decreased by 20% and sales of our connectivity products decreased by 17%. Unit shipments were 18% lower combined with a 10% decline in average selling prices in fiscal 2016 compared to fiscal 2015, which resulted in an overall decline of 27%.</w:t>
      </w:r>
    </w:p>
    <w:p>
      <w:pPr>
        <w:spacing w:after="0" w:line="173"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Prior to fiscal 2017, our customers agreed from time to time to take shipments in an earlier fiscal quarter than the fiscal quarter they originally requested delivery. When such agreement would not have occurred but for the request made by Marvell, we refer to such transactions internally as “pull-ins.” Pull-in sales increased compared to historical levels beginning in the fourth quarter of fiscal 2015 and returned to historical levels in the third quarter of fiscal 2016. Net revenue in fiscal 2016 related to pull-in sales for shipments taken early by our customers were approximately 9% and 11% of net revenue in the first and second quarters of fiscal 2016, respectively, and declined to less than 1% of net revenue in both the third and fourth quarters of fiscal 2016. This compares to net revenue in fiscal 2015 related to pull-in sales for shipments taken early by our customers, which were less than 1% in the first quarter of fiscal 2015, 1% in both the second and third quarter of fiscal 2015, and increased to 3% in the fourth quarter of fiscal 2015. Customer concessions related to these pull-in transactions, if any, were recorded in the same period in which the revenue was recognized. Beginning in fiscal 2017, our policy is not to engage in pull-in transactions.</w:t>
      </w:r>
    </w:p>
    <w:p>
      <w:pPr>
        <w:spacing w:after="0" w:line="8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Cost of Goods Sold</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30,</w:t>
            </w:r>
          </w:p>
        </w:tc>
        <w:tc>
          <w:tcPr>
            <w:tcW w:w="64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31,</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2016</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2015</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1,442,517</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1,799,425</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(19.8)%</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54.5%</w:t>
            </w:r>
          </w:p>
        </w:tc>
        <w:tc>
          <w:tcPr>
            <w:tcW w:w="1180" w:type="dxa"/>
            <w:vAlign w:val="bottom"/>
          </w:tcPr>
          <w:p>
            <w:pPr>
              <w:jc w:val="right"/>
              <w:spacing w:after="0"/>
              <w:rPr>
                <w:sz w:val="20"/>
                <w:szCs w:val="20"/>
                <w:color w:val="auto"/>
              </w:rPr>
            </w:pPr>
            <w:r>
              <w:rPr>
                <w:rFonts w:ascii="Arial" w:cs="Arial" w:eastAsia="Arial" w:hAnsi="Arial"/>
                <w:sz w:val="18"/>
                <w:szCs w:val="18"/>
                <w:color w:val="auto"/>
              </w:rPr>
              <w:t>49.5%</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firstLine="432"/>
        <w:spacing w:after="0" w:line="257" w:lineRule="auto"/>
        <w:rPr>
          <w:sz w:val="20"/>
          <w:szCs w:val="20"/>
          <w:color w:val="auto"/>
        </w:rPr>
      </w:pPr>
      <w:r>
        <w:rPr>
          <w:rFonts w:ascii="Arial" w:cs="Arial" w:eastAsia="Arial" w:hAnsi="Arial"/>
          <w:sz w:val="18"/>
          <w:szCs w:val="18"/>
          <w:color w:val="auto"/>
        </w:rPr>
        <w:t>Cost of goods sold as a percentage of net revenue was higher in fiscal 2016 due to a shift in the mix of our revenue, particularly in the first half of fiscal 2016, towards our then mobile and wireless products which had a higher average cost of goods sold as a percentage of revenue. In addition, cost of goods sold in fiscal 2016 includes higher inventory write downs due to lower than expected demand for our mobile related products. Cost of goods sold in fiscal 2016 also includes a $81.3 million charge for the litigation settlement with CMU as described under the section “Litigation settlement with Carnegie Mellon University.”</w:t>
      </w:r>
    </w:p>
    <w:p>
      <w:pPr>
        <w:spacing w:after="0" w:line="80"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Share-Based Compensation Expense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30,</w:t>
            </w:r>
          </w:p>
        </w:tc>
        <w:tc>
          <w:tcPr>
            <w:tcW w:w="340" w:type="dxa"/>
            <w:vAlign w:val="bottom"/>
          </w:tcPr>
          <w:p>
            <w:pPr>
              <w:spacing w:after="0"/>
              <w:rPr>
                <w:sz w:val="13"/>
                <w:szCs w:val="13"/>
                <w:color w:val="auto"/>
              </w:rPr>
            </w:pPr>
          </w:p>
        </w:tc>
        <w:tc>
          <w:tcPr>
            <w:tcW w:w="1140" w:type="dxa"/>
            <w:vAlign w:val="bottom"/>
          </w:tcPr>
          <w:p>
            <w:pPr>
              <w:jc w:val="right"/>
              <w:ind w:right="293"/>
              <w:spacing w:after="0" w:line="153" w:lineRule="exact"/>
              <w:rPr>
                <w:sz w:val="20"/>
                <w:szCs w:val="20"/>
                <w:color w:val="auto"/>
              </w:rPr>
            </w:pPr>
            <w:r>
              <w:rPr>
                <w:rFonts w:ascii="Arial" w:cs="Arial" w:eastAsia="Arial" w:hAnsi="Arial"/>
                <w:sz w:val="14"/>
                <w:szCs w:val="14"/>
                <w:b w:val="1"/>
                <w:bCs w:val="1"/>
                <w:color w:val="auto"/>
                <w:w w:val="95"/>
              </w:rPr>
              <w:t>January 31,</w:t>
            </w:r>
          </w:p>
        </w:tc>
      </w:tr>
      <w:tr>
        <w:trPr>
          <w:trHeight w:val="192"/>
        </w:trPr>
        <w:tc>
          <w:tcPr>
            <w:tcW w:w="83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2015</w:t>
            </w:r>
          </w:p>
        </w:tc>
      </w:tr>
      <w:tr>
        <w:trPr>
          <w:trHeight w:val="250"/>
        </w:trPr>
        <w:tc>
          <w:tcPr>
            <w:tcW w:w="83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820" w:type="dxa"/>
            <w:vAlign w:val="bottom"/>
            <w:gridSpan w:val="4"/>
          </w:tcPr>
          <w:p>
            <w:pPr>
              <w:jc w:val="right"/>
              <w:ind w:right="993"/>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spacing w:after="0"/>
              <w:rPr>
                <w:sz w:val="22"/>
                <w:szCs w:val="22"/>
                <w:color w:val="auto"/>
              </w:rPr>
            </w:pPr>
          </w:p>
        </w:tc>
      </w:tr>
      <w:tr>
        <w:trPr>
          <w:trHeight w:val="243"/>
        </w:trPr>
        <w:tc>
          <w:tcPr>
            <w:tcW w:w="834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5"/>
              <w:spacing w:after="0"/>
              <w:rPr>
                <w:sz w:val="20"/>
                <w:szCs w:val="20"/>
                <w:color w:val="auto"/>
              </w:rPr>
            </w:pPr>
            <w:r>
              <w:rPr>
                <w:rFonts w:ascii="Arial" w:cs="Arial" w:eastAsia="Arial" w:hAnsi="Arial"/>
                <w:sz w:val="18"/>
                <w:szCs w:val="18"/>
                <w:color w:val="auto"/>
              </w:rPr>
              <w:t>7,787</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7,972</w:t>
            </w:r>
          </w:p>
        </w:tc>
      </w:tr>
      <w:tr>
        <w:trPr>
          <w:trHeight w:val="27"/>
        </w:trPr>
        <w:tc>
          <w:tcPr>
            <w:tcW w:w="83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92,054</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89,131</w:t>
            </w:r>
          </w:p>
        </w:tc>
      </w:tr>
      <w:tr>
        <w:trPr>
          <w:trHeight w:val="243"/>
        </w:trPr>
        <w:tc>
          <w:tcPr>
            <w:tcW w:w="8340" w:type="dxa"/>
            <w:vAlign w:val="bottom"/>
          </w:tcPr>
          <w:p>
            <w:pPr>
              <w:ind w:left="26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40" w:type="dxa"/>
            <w:vAlign w:val="bottom"/>
          </w:tcPr>
          <w:p>
            <w:pPr>
              <w:jc w:val="right"/>
              <w:ind w:right="15"/>
              <w:spacing w:after="0"/>
              <w:rPr>
                <w:sz w:val="20"/>
                <w:szCs w:val="20"/>
                <w:color w:val="auto"/>
              </w:rPr>
            </w:pPr>
            <w:r>
              <w:rPr>
                <w:rFonts w:ascii="Arial" w:cs="Arial" w:eastAsia="Arial" w:hAnsi="Arial"/>
                <w:sz w:val="18"/>
                <w:szCs w:val="18"/>
                <w:color w:val="auto"/>
              </w:rPr>
              <w:t>10,242</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10,623</w:t>
            </w:r>
          </w:p>
        </w:tc>
      </w:tr>
      <w:tr>
        <w:trPr>
          <w:trHeight w:val="27"/>
        </w:trPr>
        <w:tc>
          <w:tcPr>
            <w:tcW w:w="83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15,878</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23,292</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125,961</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131,018</w:t>
            </w:r>
          </w:p>
        </w:tc>
      </w:tr>
      <w:tr>
        <w:trPr>
          <w:trHeight w:val="27"/>
        </w:trPr>
        <w:tc>
          <w:tcPr>
            <w:tcW w:w="83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Discontinued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0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21"/>
                <w:szCs w:val="21"/>
                <w:color w:val="auto"/>
              </w:rPr>
            </w:pPr>
          </w:p>
        </w:tc>
        <w:tc>
          <w:tcPr>
            <w:tcW w:w="1240" w:type="dxa"/>
            <w:vAlign w:val="bottom"/>
          </w:tcPr>
          <w:p>
            <w:pPr>
              <w:jc w:val="right"/>
              <w:ind w:right="15"/>
              <w:spacing w:after="0"/>
              <w:rPr>
                <w:sz w:val="20"/>
                <w:szCs w:val="20"/>
                <w:color w:val="auto"/>
              </w:rPr>
            </w:pPr>
            <w:r>
              <w:rPr>
                <w:rFonts w:ascii="Arial" w:cs="Arial" w:eastAsia="Arial" w:hAnsi="Arial"/>
                <w:sz w:val="18"/>
                <w:szCs w:val="18"/>
                <w:color w:val="auto"/>
              </w:rPr>
              <w:t>129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6,738</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5,301</w:t>
            </w:r>
          </w:p>
        </w:tc>
      </w:tr>
      <w:tr>
        <w:trPr>
          <w:trHeight w:val="243"/>
        </w:trPr>
        <w:tc>
          <w:tcPr>
            <w:tcW w:w="8340" w:type="dxa"/>
            <w:vAlign w:val="bottom"/>
          </w:tcPr>
          <w:p>
            <w:pPr>
              <w:ind w:left="30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40" w:type="dxa"/>
            <w:vAlign w:val="bottom"/>
          </w:tcPr>
          <w:p>
            <w:pPr>
              <w:jc w:val="right"/>
              <w:ind w:right="15"/>
              <w:spacing w:after="0"/>
              <w:rPr>
                <w:sz w:val="20"/>
                <w:szCs w:val="20"/>
                <w:color w:val="auto"/>
              </w:rPr>
            </w:pPr>
            <w:r>
              <w:rPr>
                <w:rFonts w:ascii="Arial" w:cs="Arial" w:eastAsia="Arial" w:hAnsi="Arial"/>
                <w:sz w:val="18"/>
                <w:szCs w:val="18"/>
                <w:color w:val="auto"/>
              </w:rPr>
              <w:t>864</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846</w:t>
            </w:r>
          </w:p>
        </w:tc>
      </w:tr>
      <w:tr>
        <w:trPr>
          <w:trHeight w:val="27"/>
        </w:trPr>
        <w:tc>
          <w:tcPr>
            <w:tcW w:w="83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87</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81</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7,818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6,228</w:t>
            </w:r>
          </w:p>
        </w:tc>
      </w:tr>
      <w:tr>
        <w:trPr>
          <w:trHeight w:val="27"/>
        </w:trPr>
        <w:tc>
          <w:tcPr>
            <w:tcW w:w="83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133,779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137,246</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500" w:firstLine="432"/>
        <w:spacing w:after="0" w:line="277" w:lineRule="auto"/>
        <w:rPr>
          <w:sz w:val="20"/>
          <w:szCs w:val="20"/>
          <w:color w:val="auto"/>
        </w:rPr>
      </w:pPr>
      <w:r>
        <w:rPr>
          <w:rFonts w:ascii="Arial" w:cs="Arial" w:eastAsia="Arial" w:hAnsi="Arial"/>
          <w:sz w:val="18"/>
          <w:szCs w:val="18"/>
          <w:color w:val="auto"/>
        </w:rPr>
        <w:t>Share-based compensation expense for continuing operations decreased by $5.1 million in fiscal 2016 compared to fiscal 2015. The decrease was mainly the result of the reversal of previously recognized expenses associated with unvested equity</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800" w:right="239" w:bottom="1440" w:gutter="0" w:footer="0" w:header="0"/>
        </w:sectPr>
      </w:pPr>
    </w:p>
    <w:bookmarkStart w:id="40" w:name="page41"/>
    <w:bookmarkEnd w:id="40"/>
    <w:p>
      <w:pPr>
        <w:ind w:right="220"/>
        <w:spacing w:after="0" w:line="259" w:lineRule="auto"/>
        <w:rPr>
          <w:sz w:val="20"/>
          <w:szCs w:val="20"/>
          <w:color w:val="auto"/>
        </w:rPr>
      </w:pPr>
      <w:r>
        <w:rPr>
          <w:rFonts w:ascii="Arial" w:cs="Arial" w:eastAsia="Arial" w:hAnsi="Arial"/>
          <w:sz w:val="18"/>
          <w:szCs w:val="18"/>
          <w:color w:val="auto"/>
        </w:rPr>
        <w:t>awards that were cancelled as a result of the termination of employees affected by the restructuring of our mobile platform business. Share-based compensation expense was also lower since the financial goals related to performance-based equity awards granted in fiscal 2016 to our executive officers were not achieved and the related share-based compensation expense was adjusted accordingly. These decreases were partially offset by higher share-based compensation expense in fiscal 2016 from more restricted stock awards than in fiscal 2015.</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30,</w:t>
            </w:r>
          </w:p>
        </w:tc>
        <w:tc>
          <w:tcPr>
            <w:tcW w:w="340" w:type="dxa"/>
            <w:vAlign w:val="bottom"/>
          </w:tcPr>
          <w:p>
            <w:pPr>
              <w:spacing w:after="0"/>
              <w:rPr>
                <w:sz w:val="13"/>
                <w:szCs w:val="13"/>
                <w:color w:val="auto"/>
              </w:rPr>
            </w:pPr>
          </w:p>
        </w:tc>
        <w:tc>
          <w:tcPr>
            <w:tcW w:w="1140" w:type="dxa"/>
            <w:vAlign w:val="bottom"/>
          </w:tcPr>
          <w:p>
            <w:pPr>
              <w:jc w:val="right"/>
              <w:ind w:right="296"/>
              <w:spacing w:after="0" w:line="153" w:lineRule="exact"/>
              <w:rPr>
                <w:sz w:val="20"/>
                <w:szCs w:val="20"/>
                <w:color w:val="auto"/>
              </w:rPr>
            </w:pPr>
            <w:r>
              <w:rPr>
                <w:rFonts w:ascii="Arial" w:cs="Arial" w:eastAsia="Arial" w:hAnsi="Arial"/>
                <w:sz w:val="14"/>
                <w:szCs w:val="14"/>
                <w:b w:val="1"/>
                <w:bCs w:val="1"/>
                <w:color w:val="auto"/>
                <w:w w:val="95"/>
              </w:rPr>
              <w:t>January 31,</w:t>
            </w:r>
          </w:p>
        </w:tc>
      </w:tr>
      <w:tr>
        <w:trPr>
          <w:trHeight w:val="192"/>
        </w:trPr>
        <w:tc>
          <w:tcPr>
            <w:tcW w:w="83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2015</w:t>
            </w:r>
          </w:p>
        </w:tc>
      </w:tr>
      <w:tr>
        <w:trPr>
          <w:trHeight w:val="250"/>
        </w:trPr>
        <w:tc>
          <w:tcPr>
            <w:tcW w:w="83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820" w:type="dxa"/>
            <w:vAlign w:val="bottom"/>
            <w:gridSpan w:val="4"/>
          </w:tcPr>
          <w:p>
            <w:pPr>
              <w:jc w:val="right"/>
              <w:ind w:right="996"/>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10,292</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Restructuring and other related charges</w:t>
            </w:r>
          </w:p>
        </w:tc>
        <w:tc>
          <w:tcPr>
            <w:tcW w:w="260" w:type="dxa"/>
            <w:vAlign w:val="bottom"/>
          </w:tcPr>
          <w:p>
            <w:pPr>
              <w:spacing w:after="0"/>
              <w:rPr>
                <w:sz w:val="21"/>
                <w:szCs w:val="21"/>
                <w:color w:val="auto"/>
              </w:rPr>
            </w:pPr>
          </w:p>
        </w:tc>
        <w:tc>
          <w:tcPr>
            <w:tcW w:w="1240" w:type="dxa"/>
            <w:vAlign w:val="bottom"/>
          </w:tcPr>
          <w:p>
            <w:pPr>
              <w:jc w:val="right"/>
              <w:ind w:right="39"/>
              <w:spacing w:after="0"/>
              <w:rPr>
                <w:sz w:val="20"/>
                <w:szCs w:val="20"/>
                <w:color w:val="auto"/>
              </w:rPr>
            </w:pPr>
            <w:r>
              <w:rPr>
                <w:rFonts w:ascii="Arial" w:cs="Arial" w:eastAsia="Arial" w:hAnsi="Arial"/>
                <w:sz w:val="18"/>
                <w:szCs w:val="18"/>
                <w:color w:val="auto"/>
              </w:rPr>
              <w:t>53,251</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6"/>
              <w:spacing w:after="0"/>
              <w:rPr>
                <w:sz w:val="20"/>
                <w:szCs w:val="20"/>
                <w:color w:val="auto"/>
              </w:rPr>
            </w:pPr>
            <w:r>
              <w:rPr>
                <w:rFonts w:ascii="Arial" w:cs="Arial" w:eastAsia="Arial" w:hAnsi="Arial"/>
                <w:sz w:val="18"/>
                <w:szCs w:val="18"/>
                <w:color w:val="auto"/>
              </w:rPr>
              <w:t>10,438</w:t>
            </w:r>
          </w:p>
        </w:tc>
      </w:tr>
      <w:tr>
        <w:trPr>
          <w:trHeight w:val="27"/>
        </w:trPr>
        <w:tc>
          <w:tcPr>
            <w:tcW w:w="8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Write-off of acquired intangible assets</w:t>
            </w:r>
          </w:p>
        </w:tc>
        <w:tc>
          <w:tcPr>
            <w:tcW w:w="2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3,386</w:t>
            </w:r>
          </w:p>
        </w:tc>
      </w:tr>
      <w:tr>
        <w:trPr>
          <w:trHeight w:val="237"/>
        </w:trPr>
        <w:tc>
          <w:tcPr>
            <w:tcW w:w="832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9"/>
              <w:spacing w:after="0"/>
              <w:rPr>
                <w:sz w:val="20"/>
                <w:szCs w:val="20"/>
                <w:color w:val="auto"/>
              </w:rPr>
            </w:pPr>
            <w:r>
              <w:rPr>
                <w:rFonts w:ascii="Arial" w:cs="Arial" w:eastAsia="Arial" w:hAnsi="Arial"/>
                <w:sz w:val="18"/>
                <w:szCs w:val="18"/>
                <w:color w:val="auto"/>
              </w:rPr>
              <w:t>63,543</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13,824</w:t>
            </w:r>
          </w:p>
        </w:tc>
      </w:tr>
      <w:tr>
        <w:trPr>
          <w:trHeight w:val="27"/>
        </w:trPr>
        <w:tc>
          <w:tcPr>
            <w:tcW w:w="83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100" w:firstLine="432"/>
        <w:spacing w:after="0" w:line="259" w:lineRule="auto"/>
        <w:rPr>
          <w:sz w:val="20"/>
          <w:szCs w:val="20"/>
          <w:color w:val="auto"/>
        </w:rPr>
      </w:pPr>
      <w:r>
        <w:rPr>
          <w:rFonts w:ascii="Arial" w:cs="Arial" w:eastAsia="Arial" w:hAnsi="Arial"/>
          <w:sz w:val="18"/>
          <w:szCs w:val="18"/>
          <w:color w:val="auto"/>
        </w:rPr>
        <w:t>We recorded a total of $63.5 million in fiscal 2016 in connection with restructuring and other related charges. The charges were primarily related to the restructuring of our mobile platform business announced in September 2015 and included severance, other exit-related costs, the impairment of certain equipment and other assets, as well as the write down of inventory. In addition, we incurred additional charges in connection with our ongoing effort to streamline our business.</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Research and Development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January 30,</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31,</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2015</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5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994,733</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1,091,547</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w:t>
            </w: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37.5%</w:t>
            </w:r>
          </w:p>
        </w:tc>
        <w:tc>
          <w:tcPr>
            <w:tcW w:w="1180" w:type="dxa"/>
            <w:vAlign w:val="bottom"/>
          </w:tcPr>
          <w:p>
            <w:pPr>
              <w:jc w:val="right"/>
              <w:spacing w:after="0"/>
              <w:rPr>
                <w:sz w:val="20"/>
                <w:szCs w:val="20"/>
                <w:color w:val="auto"/>
              </w:rPr>
            </w:pPr>
            <w:r>
              <w:rPr>
                <w:rFonts w:ascii="Arial" w:cs="Arial" w:eastAsia="Arial" w:hAnsi="Arial"/>
                <w:sz w:val="18"/>
                <w:szCs w:val="18"/>
                <w:color w:val="auto"/>
              </w:rPr>
              <w:t>30.0%</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40" w:firstLine="432"/>
        <w:spacing w:after="0" w:line="279" w:lineRule="auto"/>
        <w:rPr>
          <w:sz w:val="20"/>
          <w:szCs w:val="20"/>
          <w:color w:val="auto"/>
        </w:rPr>
      </w:pPr>
      <w:r>
        <w:rPr>
          <w:rFonts w:ascii="Arial" w:cs="Arial" w:eastAsia="Arial" w:hAnsi="Arial"/>
          <w:sz w:val="17"/>
          <w:szCs w:val="17"/>
          <w:color w:val="auto"/>
        </w:rPr>
        <w:t>Research and development expense decreased by $96.8 million in fiscal 2016 compared to fiscal 2015. The decrease was primarily attributable to $79.8 million of lower personnel-related costs primarily associated with headcount reductions in Israel and certain other locations in connection with our efforts to streamline our operations in fiscal 2015 and in the first half of fiscal 2016. In addition, we had a reduction in depreciation and amortization expense of $6.8 million, lower costs for professional services of $8.6 million and lower costs for third-party vendors of $5.1 million.</w:t>
      </w:r>
    </w:p>
    <w:p>
      <w:pPr>
        <w:spacing w:after="0" w:line="6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Selling and Marketing</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30,</w:t>
            </w:r>
          </w:p>
        </w:tc>
        <w:tc>
          <w:tcPr>
            <w:tcW w:w="64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31,</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2016</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2015</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and marketing</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124,096</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139,627</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4.7%</w:t>
            </w:r>
          </w:p>
        </w:tc>
        <w:tc>
          <w:tcPr>
            <w:tcW w:w="1180" w:type="dxa"/>
            <w:vAlign w:val="bottom"/>
          </w:tcPr>
          <w:p>
            <w:pPr>
              <w:jc w:val="right"/>
              <w:spacing w:after="0"/>
              <w:rPr>
                <w:sz w:val="20"/>
                <w:szCs w:val="20"/>
                <w:color w:val="auto"/>
              </w:rPr>
            </w:pPr>
            <w:r>
              <w:rPr>
                <w:rFonts w:ascii="Arial" w:cs="Arial" w:eastAsia="Arial" w:hAnsi="Arial"/>
                <w:sz w:val="18"/>
                <w:szCs w:val="18"/>
                <w:color w:val="auto"/>
              </w:rPr>
              <w:t>3.8%</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jc w:val="both"/>
        <w:ind w:right="20" w:firstLine="432"/>
        <w:spacing w:after="0" w:line="342" w:lineRule="auto"/>
        <w:rPr>
          <w:sz w:val="20"/>
          <w:szCs w:val="20"/>
          <w:color w:val="auto"/>
        </w:rPr>
      </w:pPr>
      <w:r>
        <w:rPr>
          <w:rFonts w:ascii="Arial" w:cs="Arial" w:eastAsia="Arial" w:hAnsi="Arial"/>
          <w:sz w:val="16"/>
          <w:szCs w:val="16"/>
          <w:color w:val="auto"/>
        </w:rPr>
        <w:t>Selling and marketing expense decreased by $15.5 million in fiscal 2016 compared to fiscal 2015. The decrease was primarily attributable to lower personnel-related costs of $6.9 million due to lower headcount. The decrease also reflected a decrease of $4.0 million of marketing communications expenses.</w:t>
      </w:r>
    </w:p>
    <w:p>
      <w:pPr>
        <w:spacing w:after="0" w:line="16"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General and Administrative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53"/>
        </w:trPr>
        <w:tc>
          <w:tcPr>
            <w:tcW w:w="6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61"/>
              <w:spacing w:after="0" w:line="153" w:lineRule="exact"/>
              <w:rPr>
                <w:sz w:val="20"/>
                <w:szCs w:val="20"/>
                <w:color w:val="auto"/>
              </w:rPr>
            </w:pPr>
            <w:r>
              <w:rPr>
                <w:rFonts w:ascii="Arial" w:cs="Arial" w:eastAsia="Arial" w:hAnsi="Arial"/>
                <w:sz w:val="14"/>
                <w:szCs w:val="14"/>
                <w:b w:val="1"/>
                <w:bCs w:val="1"/>
                <w:color w:val="auto"/>
              </w:rPr>
              <w:t>January 30,</w:t>
            </w:r>
          </w:p>
        </w:tc>
        <w:tc>
          <w:tcPr>
            <w:tcW w:w="640" w:type="dxa"/>
            <w:vAlign w:val="bottom"/>
          </w:tcPr>
          <w:p>
            <w:pPr>
              <w:spacing w:after="0"/>
              <w:rPr>
                <w:sz w:val="13"/>
                <w:szCs w:val="13"/>
                <w:color w:val="auto"/>
              </w:rPr>
            </w:pPr>
          </w:p>
        </w:tc>
        <w:tc>
          <w:tcPr>
            <w:tcW w:w="1600" w:type="dxa"/>
            <w:vAlign w:val="bottom"/>
            <w:gridSpan w:val="2"/>
          </w:tcPr>
          <w:p>
            <w:pPr>
              <w:jc w:val="center"/>
              <w:ind w:right="800"/>
              <w:spacing w:after="0" w:line="153" w:lineRule="exact"/>
              <w:rPr>
                <w:sz w:val="20"/>
                <w:szCs w:val="20"/>
                <w:color w:val="auto"/>
              </w:rPr>
            </w:pPr>
            <w:r>
              <w:rPr>
                <w:rFonts w:ascii="Arial" w:cs="Arial" w:eastAsia="Arial" w:hAnsi="Arial"/>
                <w:sz w:val="14"/>
                <w:szCs w:val="14"/>
                <w:b w:val="1"/>
                <w:bCs w:val="1"/>
                <w:color w:val="auto"/>
                <w:w w:val="93"/>
              </w:rPr>
              <w:t>January 31,</w:t>
            </w:r>
          </w:p>
        </w:tc>
        <w:tc>
          <w:tcPr>
            <w:tcW w:w="1220" w:type="dxa"/>
            <w:vAlign w:val="bottom"/>
          </w:tcPr>
          <w:p>
            <w:pPr>
              <w:jc w:val="center"/>
              <w:ind w:right="24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2016</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99"/>
              <w:spacing w:after="0"/>
              <w:rPr>
                <w:sz w:val="20"/>
                <w:szCs w:val="20"/>
                <w:color w:val="auto"/>
              </w:rPr>
            </w:pPr>
            <w:r>
              <w:rPr>
                <w:rFonts w:ascii="Arial" w:cs="Arial" w:eastAsia="Arial" w:hAnsi="Arial"/>
                <w:sz w:val="14"/>
                <w:szCs w:val="14"/>
                <w:b w:val="1"/>
                <w:bCs w:val="1"/>
                <w:color w:val="auto"/>
                <w:w w:val="89"/>
              </w:rPr>
              <w:t>2015</w:t>
            </w:r>
          </w:p>
        </w:tc>
        <w:tc>
          <w:tcPr>
            <w:tcW w:w="4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2016</w:t>
            </w:r>
          </w:p>
        </w:tc>
      </w:tr>
      <w:tr>
        <w:trPr>
          <w:trHeight w:val="250"/>
        </w:trPr>
        <w:tc>
          <w:tcPr>
            <w:tcW w:w="65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(in thousands, except percentages)</w:t>
            </w:r>
          </w:p>
        </w:tc>
        <w:tc>
          <w:tcPr>
            <w:tcW w:w="1220" w:type="dxa"/>
            <w:vAlign w:val="bottom"/>
          </w:tcPr>
          <w:p>
            <w:pPr>
              <w:spacing w:after="0"/>
              <w:rPr>
                <w:sz w:val="21"/>
                <w:szCs w:val="21"/>
                <w:color w:val="auto"/>
              </w:rPr>
            </w:pPr>
          </w:p>
        </w:tc>
      </w:tr>
      <w:tr>
        <w:trPr>
          <w:trHeight w:val="256"/>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145,359</w:t>
            </w:r>
          </w:p>
        </w:tc>
        <w:tc>
          <w:tcPr>
            <w:tcW w:w="640" w:type="dxa"/>
            <w:vAlign w:val="bottom"/>
            <w:tcBorders>
              <w:bottom w:val="single" w:sz="8" w:color="CCEEFF"/>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124,046</w:t>
            </w:r>
          </w:p>
        </w:tc>
        <w:tc>
          <w:tcPr>
            <w:tcW w:w="4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17.2%</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60" w:type="dxa"/>
            <w:vAlign w:val="bottom"/>
            <w:gridSpan w:val="2"/>
          </w:tcPr>
          <w:p>
            <w:pPr>
              <w:jc w:val="right"/>
              <w:ind w:right="439"/>
              <w:spacing w:after="0"/>
              <w:rPr>
                <w:sz w:val="20"/>
                <w:szCs w:val="20"/>
                <w:color w:val="auto"/>
              </w:rPr>
            </w:pPr>
            <w:r>
              <w:rPr>
                <w:rFonts w:ascii="Arial" w:cs="Arial" w:eastAsia="Arial" w:hAnsi="Arial"/>
                <w:sz w:val="18"/>
                <w:szCs w:val="18"/>
                <w:color w:val="auto"/>
              </w:rPr>
              <w:t>5.5%</w:t>
            </w:r>
          </w:p>
        </w:tc>
        <w:tc>
          <w:tcPr>
            <w:tcW w:w="1180" w:type="dxa"/>
            <w:vAlign w:val="bottom"/>
          </w:tcPr>
          <w:p>
            <w:pPr>
              <w:jc w:val="right"/>
              <w:spacing w:after="0"/>
              <w:rPr>
                <w:sz w:val="20"/>
                <w:szCs w:val="20"/>
                <w:color w:val="auto"/>
              </w:rPr>
            </w:pPr>
            <w:r>
              <w:rPr>
                <w:rFonts w:ascii="Arial" w:cs="Arial" w:eastAsia="Arial" w:hAnsi="Arial"/>
                <w:sz w:val="18"/>
                <w:szCs w:val="18"/>
                <w:color w:val="auto"/>
              </w:rPr>
              <w:t>3.4%</w:t>
            </w:r>
          </w:p>
        </w:tc>
        <w:tc>
          <w:tcPr>
            <w:tcW w:w="420" w:type="dxa"/>
            <w:vAlign w:val="bottom"/>
          </w:tcPr>
          <w:p>
            <w:pPr>
              <w:spacing w:after="0"/>
              <w:rPr>
                <w:sz w:val="21"/>
                <w:szCs w:val="21"/>
                <w:color w:val="auto"/>
              </w:rPr>
            </w:pPr>
          </w:p>
        </w:tc>
        <w:tc>
          <w:tcPr>
            <w:tcW w:w="1220" w:type="dxa"/>
            <w:vAlign w:val="bottom"/>
          </w:tcPr>
          <w:p>
            <w:pPr>
              <w:spacing w:after="0"/>
              <w:rPr>
                <w:sz w:val="21"/>
                <w:szCs w:val="21"/>
                <w:color w:val="auto"/>
              </w:rPr>
            </w:pPr>
          </w:p>
        </w:tc>
      </w:tr>
    </w:tbl>
    <w:p>
      <w:pPr>
        <w:spacing w:after="0" w:line="200" w:lineRule="exact"/>
        <w:rPr>
          <w:sz w:val="20"/>
          <w:szCs w:val="20"/>
          <w:color w:val="auto"/>
        </w:rPr>
      </w:pPr>
    </w:p>
    <w:p>
      <w:pPr>
        <w:sectPr>
          <w:pgSz w:w="11900" w:h="16838" w:orient="portrait"/>
          <w:cols w:equalWidth="0" w:num="1">
            <w:col w:w="11420"/>
          </w:cols>
          <w:pgMar w:left="240" w:top="909" w:right="239" w:bottom="1440" w:gutter="0" w:footer="0" w:header="0"/>
        </w:sectPr>
      </w:pPr>
    </w:p>
    <w:p>
      <w:pPr>
        <w:spacing w:after="0" w:line="272"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38</w:t>
      </w:r>
    </w:p>
    <w:p>
      <w:pPr>
        <w:sectPr>
          <w:pgSz w:w="11900" w:h="16838" w:orient="portrait"/>
          <w:cols w:equalWidth="0" w:num="1">
            <w:col w:w="11420"/>
          </w:cols>
          <w:pgMar w:left="240" w:top="909" w:right="239" w:bottom="1440" w:gutter="0" w:footer="0" w:header="0"/>
          <w:type w:val="continuous"/>
        </w:sectPr>
      </w:pPr>
    </w:p>
    <w:bookmarkStart w:id="41" w:name="page42"/>
    <w:bookmarkEnd w:id="41"/>
    <w:p>
      <w:pPr>
        <w:ind w:right="60" w:firstLine="648"/>
        <w:spacing w:after="0" w:line="293" w:lineRule="auto"/>
        <w:rPr>
          <w:sz w:val="20"/>
          <w:szCs w:val="20"/>
          <w:color w:val="auto"/>
        </w:rPr>
      </w:pPr>
      <w:r>
        <w:rPr>
          <w:rFonts w:ascii="Arial" w:cs="Arial" w:eastAsia="Arial" w:hAnsi="Arial"/>
          <w:sz w:val="16"/>
          <w:szCs w:val="16"/>
          <w:color w:val="auto"/>
        </w:rPr>
        <w:t>General and administrative expense increased by $21.3 million in fiscal 2016 compared to fiscal 2015. The increase was primarily attributable to a charge for a cash payment authorized by our Board of Directors of $15.4 million to our former Chief Executive Officer, higher legal expenses of $7.7 million mainly associated with certain accounting and internal control matters that are the subject of investigations by the Securities and Exchange Commission and the U.S. Attorney, and which were also investigated by the Company’s Audit Committee and $4.2 million of higher costs for the surety bond related to CMU. These increases were partially offset by $7.8 million of lower personnel-related costs due to lower headcount and lower share-based compensation expenses related to the performance-based equity awards granted to our executive officers in fiscal 2016 for which financial goals were not achieved.</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53"/>
        </w:trPr>
        <w:tc>
          <w:tcPr>
            <w:tcW w:w="65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00" w:type="dxa"/>
            <w:vAlign w:val="bottom"/>
          </w:tcPr>
          <w:p>
            <w:pPr>
              <w:jc w:val="right"/>
              <w:ind w:right="141"/>
              <w:spacing w:after="0" w:line="153" w:lineRule="exact"/>
              <w:rPr>
                <w:sz w:val="20"/>
                <w:szCs w:val="20"/>
                <w:color w:val="auto"/>
              </w:rPr>
            </w:pPr>
            <w:r>
              <w:rPr>
                <w:rFonts w:ascii="Arial" w:cs="Arial" w:eastAsia="Arial" w:hAnsi="Arial"/>
                <w:sz w:val="14"/>
                <w:szCs w:val="14"/>
                <w:b w:val="1"/>
                <w:bCs w:val="1"/>
                <w:color w:val="auto"/>
              </w:rPr>
              <w:t>January 30,</w:t>
            </w:r>
          </w:p>
        </w:tc>
        <w:tc>
          <w:tcPr>
            <w:tcW w:w="640" w:type="dxa"/>
            <w:vAlign w:val="bottom"/>
          </w:tcPr>
          <w:p>
            <w:pPr>
              <w:spacing w:after="0"/>
              <w:rPr>
                <w:sz w:val="13"/>
                <w:szCs w:val="13"/>
                <w:color w:val="auto"/>
              </w:rPr>
            </w:pPr>
          </w:p>
        </w:tc>
        <w:tc>
          <w:tcPr>
            <w:tcW w:w="1600" w:type="dxa"/>
            <w:vAlign w:val="bottom"/>
            <w:gridSpan w:val="2"/>
          </w:tcPr>
          <w:p>
            <w:pPr>
              <w:jc w:val="center"/>
              <w:ind w:right="760"/>
              <w:spacing w:after="0" w:line="153" w:lineRule="exact"/>
              <w:rPr>
                <w:sz w:val="20"/>
                <w:szCs w:val="20"/>
                <w:color w:val="auto"/>
              </w:rPr>
            </w:pPr>
            <w:r>
              <w:rPr>
                <w:rFonts w:ascii="Arial" w:cs="Arial" w:eastAsia="Arial" w:hAnsi="Arial"/>
                <w:sz w:val="14"/>
                <w:szCs w:val="14"/>
                <w:b w:val="1"/>
                <w:bCs w:val="1"/>
                <w:color w:val="auto"/>
                <w:w w:val="93"/>
              </w:rPr>
              <w:t>January 31,</w:t>
            </w:r>
          </w:p>
        </w:tc>
        <w:tc>
          <w:tcPr>
            <w:tcW w:w="1240" w:type="dxa"/>
            <w:vAlign w:val="bottom"/>
          </w:tcPr>
          <w:p>
            <w:pPr>
              <w:jc w:val="center"/>
              <w:ind w:right="24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61"/>
              <w:spacing w:after="0"/>
              <w:rPr>
                <w:sz w:val="20"/>
                <w:szCs w:val="20"/>
                <w:color w:val="auto"/>
              </w:rPr>
            </w:pPr>
            <w:r>
              <w:rPr>
                <w:rFonts w:ascii="Arial" w:cs="Arial" w:eastAsia="Arial" w:hAnsi="Arial"/>
                <w:sz w:val="14"/>
                <w:szCs w:val="14"/>
                <w:b w:val="1"/>
                <w:bCs w:val="1"/>
                <w:color w:val="auto"/>
              </w:rPr>
              <w:t>2016</w:t>
            </w:r>
          </w:p>
        </w:tc>
        <w:tc>
          <w:tcPr>
            <w:tcW w:w="6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59"/>
              <w:spacing w:after="0"/>
              <w:rPr>
                <w:sz w:val="20"/>
                <w:szCs w:val="20"/>
                <w:color w:val="auto"/>
              </w:rPr>
            </w:pPr>
            <w:r>
              <w:rPr>
                <w:rFonts w:ascii="Arial" w:cs="Arial" w:eastAsia="Arial" w:hAnsi="Arial"/>
                <w:sz w:val="14"/>
                <w:szCs w:val="14"/>
                <w:b w:val="1"/>
                <w:bCs w:val="1"/>
                <w:color w:val="auto"/>
                <w:w w:val="89"/>
              </w:rPr>
              <w:t>2015</w:t>
            </w:r>
          </w:p>
        </w:tc>
        <w:tc>
          <w:tcPr>
            <w:tcW w:w="4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5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224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21"/>
                <w:szCs w:val="21"/>
                <w:color w:val="auto"/>
              </w:rPr>
            </w:pPr>
          </w:p>
        </w:tc>
      </w:tr>
      <w:tr>
        <w:trPr>
          <w:trHeight w:val="256"/>
        </w:trPr>
        <w:tc>
          <w:tcPr>
            <w:tcW w:w="6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Litigation settlement with Carnegie Mellon University</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654,667</w:t>
            </w:r>
          </w:p>
        </w:tc>
        <w:tc>
          <w:tcPr>
            <w:tcW w:w="6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600" w:type="dxa"/>
            <w:vAlign w:val="bottom"/>
            <w:tcBorders>
              <w:bottom w:val="single" w:sz="8" w:color="CCEEFF"/>
            </w:tcBorders>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43"/>
        </w:trPr>
        <w:tc>
          <w:tcPr>
            <w:tcW w:w="6560" w:type="dxa"/>
            <w:vAlign w:val="bottom"/>
          </w:tcPr>
          <w:p>
            <w:pPr>
              <w:ind w:left="38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24.7%</w:t>
            </w:r>
          </w:p>
        </w:tc>
        <w:tc>
          <w:tcPr>
            <w:tcW w:w="1600" w:type="dxa"/>
            <w:vAlign w:val="bottom"/>
            <w:gridSpan w:val="2"/>
          </w:tcPr>
          <w:p>
            <w:pPr>
              <w:ind w:left="820"/>
              <w:spacing w:after="0"/>
              <w:rPr>
                <w:sz w:val="20"/>
                <w:szCs w:val="20"/>
                <w:color w:val="auto"/>
              </w:rPr>
            </w:pPr>
            <w:r>
              <w:rPr>
                <w:rFonts w:ascii="Arial" w:cs="Arial" w:eastAsia="Arial" w:hAnsi="Arial"/>
                <w:sz w:val="18"/>
                <w:szCs w:val="18"/>
                <w:color w:val="auto"/>
              </w:rPr>
              <w:t>—%</w:t>
            </w:r>
          </w:p>
        </w:tc>
        <w:tc>
          <w:tcPr>
            <w:tcW w:w="1240" w:type="dxa"/>
            <w:vAlign w:val="bottom"/>
          </w:tcPr>
          <w:p>
            <w:pPr>
              <w:spacing w:after="0"/>
              <w:rPr>
                <w:sz w:val="21"/>
                <w:szCs w:val="21"/>
                <w:color w:val="auto"/>
              </w:rPr>
            </w:pPr>
          </w:p>
        </w:tc>
      </w:tr>
    </w:tbl>
    <w:p>
      <w:pPr>
        <w:spacing w:after="0" w:line="121" w:lineRule="exact"/>
        <w:rPr>
          <w:sz w:val="20"/>
          <w:szCs w:val="20"/>
          <w:color w:val="auto"/>
        </w:rPr>
      </w:pPr>
    </w:p>
    <w:p>
      <w:pPr>
        <w:jc w:val="both"/>
        <w:ind w:right="20" w:firstLine="432"/>
        <w:spacing w:after="0" w:line="286" w:lineRule="auto"/>
        <w:rPr>
          <w:sz w:val="20"/>
          <w:szCs w:val="20"/>
          <w:color w:val="auto"/>
        </w:rPr>
      </w:pPr>
      <w:r>
        <w:rPr>
          <w:rFonts w:ascii="Arial" w:cs="Arial" w:eastAsia="Arial" w:hAnsi="Arial"/>
          <w:sz w:val="17"/>
          <w:szCs w:val="17"/>
          <w:color w:val="auto"/>
        </w:rPr>
        <w:t>In connection with the settlement agreement with CMU for $750 million, $654.7 million of the settlement allocated to the mutual release of claims and covenant not to sue was recorded in operating expenses. Of the remaining $95.3 million, $81.3 million was recorded in cost of goods sold for fiscal 2016. The remaining $14.0 million will be recognized in cost of goods sold over the remaining term of the license through April 2018.</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January 30,</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31,</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2015</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5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Amortization and write-off of acquired intangible assets</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10,098</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15,747</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(35.9)%</w:t>
            </w: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0.4%</w:t>
            </w:r>
          </w:p>
        </w:tc>
        <w:tc>
          <w:tcPr>
            <w:tcW w:w="1180" w:type="dxa"/>
            <w:vAlign w:val="bottom"/>
          </w:tcPr>
          <w:p>
            <w:pPr>
              <w:jc w:val="right"/>
              <w:spacing w:after="0"/>
              <w:rPr>
                <w:sz w:val="20"/>
                <w:szCs w:val="20"/>
                <w:color w:val="auto"/>
              </w:rPr>
            </w:pPr>
            <w:r>
              <w:rPr>
                <w:rFonts w:ascii="Arial" w:cs="Arial" w:eastAsia="Arial" w:hAnsi="Arial"/>
                <w:sz w:val="18"/>
                <w:szCs w:val="18"/>
                <w:color w:val="auto"/>
              </w:rPr>
              <w:t>0.4%</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200" w:firstLine="432"/>
        <w:spacing w:after="0" w:line="259" w:lineRule="auto"/>
        <w:rPr>
          <w:sz w:val="20"/>
          <w:szCs w:val="20"/>
          <w:color w:val="auto"/>
        </w:rPr>
      </w:pPr>
      <w:r>
        <w:rPr>
          <w:rFonts w:ascii="Arial" w:cs="Arial" w:eastAsia="Arial" w:hAnsi="Arial"/>
          <w:sz w:val="18"/>
          <w:szCs w:val="18"/>
          <w:color w:val="auto"/>
        </w:rPr>
        <w:t>Amortization and write-off of acquired intangible assets decreased by $5.6 million in fiscal 2016 compared to fiscal 2015. The decrease was due to lower amortization expense as certain intangible assets became fully amortized. In addition, fiscal 2016 included charges of $0.3 million to write off a trade name and $0.3 million to write off core technology, compared to a $3.4 million write-off of IPR&amp;D upon our decision to discontinue the related project in fiscal 2015.</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Interest and Other Income, net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January 30,</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31,</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2016</w:t>
            </w:r>
          </w:p>
        </w:tc>
        <w:tc>
          <w:tcPr>
            <w:tcW w:w="6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2015</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5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17,685</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23,334</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(24.2)%</w:t>
            </w: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0.7%</w:t>
            </w:r>
          </w:p>
        </w:tc>
        <w:tc>
          <w:tcPr>
            <w:tcW w:w="1180" w:type="dxa"/>
            <w:vAlign w:val="bottom"/>
          </w:tcPr>
          <w:p>
            <w:pPr>
              <w:jc w:val="right"/>
              <w:spacing w:after="0"/>
              <w:rPr>
                <w:sz w:val="20"/>
                <w:szCs w:val="20"/>
                <w:color w:val="auto"/>
              </w:rPr>
            </w:pPr>
            <w:r>
              <w:rPr>
                <w:rFonts w:ascii="Arial" w:cs="Arial" w:eastAsia="Arial" w:hAnsi="Arial"/>
                <w:sz w:val="18"/>
                <w:szCs w:val="18"/>
                <w:color w:val="auto"/>
              </w:rPr>
              <w:t>0.6%</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firstLine="432"/>
        <w:spacing w:after="0" w:line="276" w:lineRule="auto"/>
        <w:rPr>
          <w:sz w:val="20"/>
          <w:szCs w:val="20"/>
          <w:color w:val="auto"/>
        </w:rPr>
      </w:pPr>
      <w:r>
        <w:rPr>
          <w:rFonts w:ascii="Arial" w:cs="Arial" w:eastAsia="Arial" w:hAnsi="Arial"/>
          <w:sz w:val="17"/>
          <w:szCs w:val="17"/>
          <w:color w:val="auto"/>
        </w:rPr>
        <w:t>Interest and other income, net, decreased by $5.6 million in fiscal 2016 compared to fiscal 2015. The decrease was mainly due to a $3.0 million loss due to the write-off of an equity investment and a $1.2 million impairment loss on our auction rate securities, compared to an $8.8 million gain from the sale of an investment in fiscal 2015. The decrease was partially offset by the recognition of foreign currency gains, which were $4.8 million higher in fiscal 2016 compared to fiscal 2015 due to revaluation of our foreign currency denominated tax liabilities and releases of previously accumulated liabilities, and the increase in interest income from higher rate of return as well as higher average cash and investment balances.</w:t>
      </w:r>
    </w:p>
    <w:p>
      <w:pPr>
        <w:spacing w:after="0" w:line="6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800" w:right="2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192"/>
        </w:trPr>
        <w:tc>
          <w:tcPr>
            <w:tcW w:w="66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20" w:type="dxa"/>
            <w:vAlign w:val="bottom"/>
            <w:tcBorders>
              <w:bottom w:val="single" w:sz="8" w:color="auto"/>
            </w:tcBorders>
          </w:tcPr>
          <w:p>
            <w:pPr>
              <w:spacing w:after="0"/>
              <w:rPr>
                <w:sz w:val="16"/>
                <w:szCs w:val="16"/>
                <w:color w:val="auto"/>
              </w:rPr>
            </w:pPr>
          </w:p>
        </w:tc>
        <w:tc>
          <w:tcPr>
            <w:tcW w:w="50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53"/>
        </w:trPr>
        <w:tc>
          <w:tcPr>
            <w:tcW w:w="6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tcPr>
          <w:p>
            <w:pPr>
              <w:jc w:val="center"/>
              <w:ind w:right="184"/>
              <w:spacing w:after="0" w:line="153" w:lineRule="exact"/>
              <w:rPr>
                <w:sz w:val="20"/>
                <w:szCs w:val="20"/>
                <w:color w:val="auto"/>
              </w:rPr>
            </w:pPr>
            <w:r>
              <w:rPr>
                <w:rFonts w:ascii="Arial" w:cs="Arial" w:eastAsia="Arial" w:hAnsi="Arial"/>
                <w:sz w:val="14"/>
                <w:szCs w:val="14"/>
                <w:b w:val="1"/>
                <w:bCs w:val="1"/>
                <w:color w:val="auto"/>
                <w:w w:val="95"/>
              </w:rPr>
              <w:t>January 30,</w:t>
            </w:r>
          </w:p>
        </w:tc>
        <w:tc>
          <w:tcPr>
            <w:tcW w:w="440" w:type="dxa"/>
            <w:vAlign w:val="bottom"/>
          </w:tcPr>
          <w:p>
            <w:pPr>
              <w:spacing w:after="0"/>
              <w:rPr>
                <w:sz w:val="13"/>
                <w:szCs w:val="13"/>
                <w:color w:val="auto"/>
              </w:rPr>
            </w:pPr>
          </w:p>
        </w:tc>
        <w:tc>
          <w:tcPr>
            <w:tcW w:w="1620" w:type="dxa"/>
            <w:vAlign w:val="bottom"/>
            <w:gridSpan w:val="2"/>
          </w:tcPr>
          <w:p>
            <w:pPr>
              <w:jc w:val="center"/>
              <w:ind w:right="840"/>
              <w:spacing w:after="0" w:line="153" w:lineRule="exact"/>
              <w:rPr>
                <w:sz w:val="20"/>
                <w:szCs w:val="20"/>
                <w:color w:val="auto"/>
              </w:rPr>
            </w:pPr>
            <w:r>
              <w:rPr>
                <w:rFonts w:ascii="Arial" w:cs="Arial" w:eastAsia="Arial" w:hAnsi="Arial"/>
                <w:sz w:val="14"/>
                <w:szCs w:val="14"/>
                <w:b w:val="1"/>
                <w:bCs w:val="1"/>
                <w:color w:val="auto"/>
                <w:w w:val="95"/>
              </w:rPr>
              <w:t>January 31,</w:t>
            </w:r>
          </w:p>
        </w:tc>
        <w:tc>
          <w:tcPr>
            <w:tcW w:w="1220" w:type="dxa"/>
            <w:vAlign w:val="bottom"/>
          </w:tcPr>
          <w:p>
            <w:pPr>
              <w:jc w:val="center"/>
              <w:ind w:right="30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6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2015</w:t>
            </w:r>
          </w:p>
        </w:tc>
        <w:tc>
          <w:tcPr>
            <w:tcW w:w="5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302"/>
              <w:spacing w:after="0"/>
              <w:rPr>
                <w:sz w:val="20"/>
                <w:szCs w:val="20"/>
                <w:color w:val="auto"/>
              </w:rPr>
            </w:pPr>
            <w:r>
              <w:rPr>
                <w:rFonts w:ascii="Arial" w:cs="Arial" w:eastAsia="Arial" w:hAnsi="Arial"/>
                <w:sz w:val="14"/>
                <w:szCs w:val="14"/>
                <w:b w:val="1"/>
                <w:bCs w:val="1"/>
                <w:color w:val="auto"/>
                <w:w w:val="92"/>
              </w:rPr>
              <w:t>in 2016</w:t>
            </w:r>
          </w:p>
        </w:tc>
      </w:tr>
      <w:tr>
        <w:trPr>
          <w:trHeight w:val="250"/>
        </w:trPr>
        <w:tc>
          <w:tcPr>
            <w:tcW w:w="66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3300" w:type="dxa"/>
            <w:vAlign w:val="bottom"/>
            <w:gridSpan w:val="4"/>
          </w:tcPr>
          <w:p>
            <w:pPr>
              <w:ind w:left="1100"/>
              <w:spacing w:after="0"/>
              <w:rPr>
                <w:sz w:val="20"/>
                <w:szCs w:val="20"/>
                <w:color w:val="auto"/>
              </w:rPr>
            </w:pPr>
            <w:r>
              <w:rPr>
                <w:rFonts w:ascii="Arial" w:cs="Arial" w:eastAsia="Arial" w:hAnsi="Arial"/>
                <w:sz w:val="14"/>
                <w:szCs w:val="14"/>
                <w:b w:val="1"/>
                <w:bCs w:val="1"/>
                <w:color w:val="auto"/>
                <w:w w:val="92"/>
              </w:rPr>
              <w:t>(in thousands, except percentages)</w:t>
            </w:r>
          </w:p>
        </w:tc>
        <w:tc>
          <w:tcPr>
            <w:tcW w:w="1220" w:type="dxa"/>
            <w:vAlign w:val="bottom"/>
          </w:tcPr>
          <w:p>
            <w:pPr>
              <w:spacing w:after="0"/>
              <w:rPr>
                <w:sz w:val="21"/>
                <w:szCs w:val="21"/>
                <w:color w:val="auto"/>
              </w:rPr>
            </w:pPr>
          </w:p>
        </w:tc>
      </w:tr>
      <w:tr>
        <w:trPr>
          <w:trHeight w:val="249"/>
        </w:trPr>
        <w:tc>
          <w:tcPr>
            <w:tcW w:w="666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11,335</w:t>
            </w:r>
          </w:p>
        </w:tc>
        <w:tc>
          <w:tcPr>
            <w:tcW w:w="4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(4,077)</w:t>
            </w:r>
          </w:p>
        </w:tc>
        <w:tc>
          <w:tcPr>
            <w:tcW w:w="500" w:type="dxa"/>
            <w:vAlign w:val="bottom"/>
            <w:shd w:val="clear" w:color="auto" w:fill="CCEEFF"/>
          </w:tcPr>
          <w:p>
            <w:pPr>
              <w:spacing w:after="0"/>
              <w:rPr>
                <w:sz w:val="21"/>
                <w:szCs w:val="21"/>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(378.0)%</w:t>
            </w:r>
          </w:p>
        </w:tc>
      </w:tr>
      <w:tr>
        <w:trPr>
          <w:trHeight w:val="27"/>
        </w:trPr>
        <w:tc>
          <w:tcPr>
            <w:tcW w:w="666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50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r>
    </w:tbl>
    <w:p>
      <w:pPr>
        <w:spacing w:after="0" w:line="94" w:lineRule="exact"/>
        <w:rPr>
          <w:sz w:val="20"/>
          <w:szCs w:val="20"/>
          <w:color w:val="auto"/>
        </w:rPr>
      </w:pPr>
    </w:p>
    <w:p>
      <w:pPr>
        <w:jc w:val="both"/>
        <w:ind w:right="80" w:firstLine="432"/>
        <w:spacing w:after="0" w:line="264" w:lineRule="auto"/>
        <w:rPr>
          <w:sz w:val="20"/>
          <w:szCs w:val="20"/>
          <w:color w:val="auto"/>
        </w:rPr>
      </w:pPr>
      <w:r>
        <w:rPr>
          <w:rFonts w:ascii="Arial" w:cs="Arial" w:eastAsia="Arial" w:hAnsi="Arial"/>
          <w:sz w:val="18"/>
          <w:szCs w:val="18"/>
          <w:color w:val="auto"/>
        </w:rPr>
        <w:t>The increase in income tax expense for fiscal 2016 compared to fiscal 2015 was primarily due to the recognition of $7.5 million of valuation allowance against certain non-U.S. deferred tax assets that will not be realized in the foreseeable future and an additional tax provision of $3.1 million related to a $15.4 million payment to our former Chief Executive Officer.</w:t>
      </w:r>
    </w:p>
    <w:p>
      <w:pPr>
        <w:spacing w:after="0" w:line="3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121" w:lineRule="exact"/>
        <w:rPr>
          <w:sz w:val="20"/>
          <w:szCs w:val="20"/>
          <w:color w:val="auto"/>
        </w:rPr>
      </w:pPr>
    </w:p>
    <w:p>
      <w:pPr>
        <w:ind w:right="40" w:firstLine="432"/>
        <w:spacing w:after="0" w:line="290" w:lineRule="auto"/>
        <w:rPr>
          <w:sz w:val="20"/>
          <w:szCs w:val="20"/>
          <w:color w:val="auto"/>
        </w:rPr>
      </w:pPr>
      <w:r>
        <w:rPr>
          <w:rFonts w:ascii="Arial" w:cs="Arial" w:eastAsia="Arial" w:hAnsi="Arial"/>
          <w:sz w:val="16"/>
          <w:szCs w:val="16"/>
          <w:color w:val="auto"/>
        </w:rPr>
        <w:t>Our principal source of liquidity as of January 28, 2017 consisted of approximately $1.7 billion of cash, cash equivalents and short-term investments, of which approximately $970 million was held by foreign subsidiaries (outside Bermuda). Approximately $620 million of this amount held by foreign subsidiaries is related to undistributed earnings which have been indefinitely reinvested outside of Bermuda. These funds are primarily held in China, Israel and the United States.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$190 million. In addition, as described under “Provision for Income Taxes” above, we accrued deferred taxes of approximately $50.1 million on undistributed earnings of certain subsidiaries that were no longer considered to be indefinitely reinvested due to restructuring actions taken in the fourth quarter of fiscal year 2017.</w:t>
      </w:r>
    </w:p>
    <w:p>
      <w:pPr>
        <w:spacing w:after="0" w:line="58" w:lineRule="exact"/>
        <w:rPr>
          <w:sz w:val="20"/>
          <w:szCs w:val="20"/>
          <w:color w:val="auto"/>
        </w:rPr>
      </w:pPr>
    </w:p>
    <w:p>
      <w:pPr>
        <w:ind w:right="40" w:firstLine="432"/>
        <w:spacing w:after="0" w:line="273" w:lineRule="auto"/>
        <w:rPr>
          <w:sz w:val="20"/>
          <w:szCs w:val="20"/>
          <w:color w:val="auto"/>
        </w:rPr>
      </w:pPr>
      <w:r>
        <w:rPr>
          <w:rFonts w:ascii="Arial" w:cs="Arial" w:eastAsia="Arial" w:hAnsi="Arial"/>
          <w:sz w:val="17"/>
          <w:szCs w:val="17"/>
          <w:color w:val="auto"/>
        </w:rPr>
        <w:t>We believe that our existing cash, cash equivalents and short-term investments, together with cash generated from operations, will be sufficient to cover our working capital needs, capital expenditures, investment requirements and any declared dividends, repurchase of our common stock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in several litigation actions and an unfavorable outcome in any current litigation could have a material adverse effect on our liquidity, cash flows and results of operations.</w:t>
      </w:r>
    </w:p>
    <w:p>
      <w:pPr>
        <w:spacing w:after="0" w:line="70" w:lineRule="exact"/>
        <w:rPr>
          <w:sz w:val="20"/>
          <w:szCs w:val="20"/>
          <w:color w:val="auto"/>
        </w:rPr>
      </w:pPr>
    </w:p>
    <w:p>
      <w:pPr>
        <w:ind w:right="120" w:firstLine="378"/>
        <w:spacing w:after="0" w:line="255"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93" w:lineRule="exact"/>
        <w:rPr>
          <w:sz w:val="20"/>
          <w:szCs w:val="20"/>
          <w:color w:val="auto"/>
        </w:rPr>
      </w:pPr>
    </w:p>
    <w:p>
      <w:pPr>
        <w:ind w:right="60" w:firstLine="378"/>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at all or in any particular amounts.</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117" w:lineRule="exact"/>
        <w:rPr>
          <w:sz w:val="20"/>
          <w:szCs w:val="20"/>
          <w:color w:val="auto"/>
        </w:rPr>
      </w:pPr>
    </w:p>
    <w:p>
      <w:pPr>
        <w:ind w:right="220" w:firstLine="432"/>
        <w:spacing w:after="0" w:line="255" w:lineRule="auto"/>
        <w:rPr>
          <w:sz w:val="20"/>
          <w:szCs w:val="20"/>
          <w:color w:val="auto"/>
        </w:rPr>
      </w:pPr>
      <w:r>
        <w:rPr>
          <w:rFonts w:ascii="Arial" w:cs="Arial" w:eastAsia="Arial" w:hAnsi="Arial"/>
          <w:sz w:val="18"/>
          <w:szCs w:val="18"/>
          <w:color w:val="auto"/>
        </w:rPr>
        <w:t>Net cash used in operating activities was $358.4 million for fiscal 2017 compared to net cash provided by operating activities of $205.4 million and $728.9 million for fiscal 2016 and fiscal 2015, respectively. The cash outflows from operations for fiscal 2017 were primarily due to $21.2 million of net income adjusted for $329.6 million of non-cash items, offset by a net decrease in working capital of $709.2 million. The cash outflow from working capital for fiscal 2017 was primarily driven by the decrease in the CMU accrued litigation settlement that was fully paid in the first quarter of fiscal 2017. The negative effect on working capital was partially offset by an increase in accrued liabilities and other non-current liabilities primarily due to an increase in income taxes for fiscal 2017 combined with a decrease in inventories.</w:t>
      </w:r>
    </w:p>
    <w:p>
      <w:pPr>
        <w:spacing w:after="0" w:line="85" w:lineRule="exact"/>
        <w:rPr>
          <w:sz w:val="20"/>
          <w:szCs w:val="20"/>
          <w:color w:val="auto"/>
        </w:rPr>
      </w:pPr>
    </w:p>
    <w:p>
      <w:pPr>
        <w:ind w:right="220" w:firstLine="432"/>
        <w:spacing w:after="0" w:line="277" w:lineRule="auto"/>
        <w:rPr>
          <w:sz w:val="20"/>
          <w:szCs w:val="20"/>
          <w:color w:val="auto"/>
        </w:rPr>
      </w:pPr>
      <w:r>
        <w:rPr>
          <w:rFonts w:ascii="Arial" w:cs="Arial" w:eastAsia="Arial" w:hAnsi="Arial"/>
          <w:sz w:val="18"/>
          <w:szCs w:val="18"/>
          <w:color w:val="auto"/>
        </w:rPr>
        <w:t>The cash inflows from operations for fiscal 2016 were primarily due to $811.4 million of net loss adjusted for $282.6 million of non-cash items and a net increase in working capital of $734.2 million. The cash inflow from working capital was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1130" w:right="239" w:bottom="1440" w:gutter="0" w:footer="0" w:header="0"/>
        </w:sectPr>
      </w:pPr>
    </w:p>
    <w:bookmarkStart w:id="43" w:name="page44"/>
    <w:bookmarkEnd w:id="43"/>
    <w:p>
      <w:pPr>
        <w:ind w:right="20"/>
        <w:spacing w:after="0" w:line="279" w:lineRule="auto"/>
        <w:rPr>
          <w:sz w:val="20"/>
          <w:szCs w:val="20"/>
          <w:color w:val="auto"/>
        </w:rPr>
      </w:pPr>
      <w:r>
        <w:rPr>
          <w:rFonts w:ascii="Arial" w:cs="Arial" w:eastAsia="Arial" w:hAnsi="Arial"/>
          <w:sz w:val="17"/>
          <w:szCs w:val="17"/>
          <w:color w:val="auto"/>
        </w:rPr>
        <w:t>primarily driven by a decrease in accounts receivable due to improved collections and a decrease in inventories, combined with an increase in accrued liabilities and the accrued litigation settlement with CMU. The net increase in working capital was partially offset by decreases in accounts payable due to the timing of payments and accrued compensation primarily due to lower annual incentive compensation in fiscal 2016 compared to fiscal 2015, as well as an increase in prepaid expenses and other assets due to a deposit paid in connection with a foundry agreement executed in October 2015.</w:t>
      </w:r>
    </w:p>
    <w:p>
      <w:pPr>
        <w:spacing w:after="0" w:line="63"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The cash inflows from operations for fiscal 2015 were primarily due to $435.3 million of net income adjusted for $238.2 million of non-cash items and a net increase in working capital changes of $55.4 million. The cash inflow from working capital was primarily driven by a decrease in accounts receivable due to improved collections and a decrease in inventories, combined with an increase in accrued employee compensation as a result of higher incentive compensation.</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117"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Net cash provided by investing activities was $161.6 million for fiscal 2017 compared to $201.7 million provided by investing activities for fiscal 2016 and net cash used in investing activities of $368.9 million for fiscal 2015. For fiscal 2017, net cash provided by investing activities was primarily generated from the sales and maturities of available-for-sale securities of $856.3 million less purchases of available-for-sale securities of $489.9 million, which were also partially offset by payments of $150.0 million for net purchases of time deposits, $44.5 million for purchases of property and equipment and $10.3 million for the purchase of technology licenses.</w:t>
      </w:r>
    </w:p>
    <w:p>
      <w:pPr>
        <w:spacing w:after="0" w:line="80"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For fiscal 2016, net cash provided by investing activities was primarily generated from the sales and maturities of available-for-sale securities of $1.3 billion less purchases of available-for-sale securities of $1.1 billion, which were partially offset by payments of $37.3 million for the purchase of property and equipment, and $8.2 million for the purchase of technology licenses.</w:t>
      </w:r>
    </w:p>
    <w:p>
      <w:pPr>
        <w:spacing w:after="0" w:line="73" w:lineRule="exact"/>
        <w:rPr>
          <w:sz w:val="20"/>
          <w:szCs w:val="20"/>
          <w:color w:val="auto"/>
        </w:rPr>
      </w:pPr>
    </w:p>
    <w:p>
      <w:pPr>
        <w:jc w:val="both"/>
        <w:ind w:right="280" w:firstLine="432"/>
        <w:spacing w:after="0" w:line="264" w:lineRule="auto"/>
        <w:rPr>
          <w:sz w:val="20"/>
          <w:szCs w:val="20"/>
          <w:color w:val="auto"/>
        </w:rPr>
      </w:pPr>
      <w:r>
        <w:rPr>
          <w:rFonts w:ascii="Arial" w:cs="Arial" w:eastAsia="Arial" w:hAnsi="Arial"/>
          <w:sz w:val="18"/>
          <w:szCs w:val="18"/>
          <w:color w:val="auto"/>
        </w:rPr>
        <w:t>For fiscal 2015, net cash used in investing activities was primarily due to purchases of available-for-sale securities of $1.1 billion, offset by the sales and maturities of available-for-sale securities of $826.3 million. In addition, we paid $63.0 million for the purchase of property and equipment, and $16.4 million for the purchase of technology licenses.</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117" w:lineRule="exact"/>
        <w:rPr>
          <w:sz w:val="20"/>
          <w:szCs w:val="20"/>
          <w:color w:val="auto"/>
        </w:rPr>
      </w:pPr>
    </w:p>
    <w:p>
      <w:pPr>
        <w:ind w:right="20" w:firstLine="432"/>
        <w:spacing w:after="0" w:line="257" w:lineRule="auto"/>
        <w:rPr>
          <w:sz w:val="20"/>
          <w:szCs w:val="20"/>
          <w:color w:val="auto"/>
        </w:rPr>
      </w:pPr>
      <w:r>
        <w:rPr>
          <w:rFonts w:ascii="Arial" w:cs="Arial" w:eastAsia="Arial" w:hAnsi="Arial"/>
          <w:sz w:val="18"/>
          <w:szCs w:val="18"/>
          <w:color w:val="auto"/>
        </w:rPr>
        <w:t>Net cash used in financing activities was $267.2 million for fiscal 2017 compared to $339.8 million for fiscal 2016 and $114.8 million for fiscal 2015. For fiscal 2017, net cash used in financing activities was primarily attributable to payments for repurchases under our share repurchase program of our common shares in the open market for $181.6 million and for our quarterly cash dividends of $122.3 million. The cash outflow was partially offset by net proceeds of $57.5 million from the issuance of our common shares under our share-based plans less the minimum tax withholding on behalf of employees for net share settlements.</w:t>
      </w:r>
    </w:p>
    <w:p>
      <w:pPr>
        <w:spacing w:after="0" w:line="80"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For fiscal 2016, net cash used in financing activities was primarily attributable to payments for repurchases under our share repurchase program of our common shares in the open market for $260.9 million and for our quarterly cash dividends of $122.8 million. The cash outflow was partially offset by net proceeds of $56.4 million from the issuance of our common shares under our share-based plans less the minimum tax withholding on behalf of employees for net share settlements.</w:t>
      </w:r>
    </w:p>
    <w:p>
      <w:pPr>
        <w:spacing w:after="0" w:line="79"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For fiscal 2015, net cash used in financing activities was primarily attributable to payments of our quarterly cash dividends of $122.8 million and repurchases under our share repurchase program of our common shares in the open market for $65.0 million. The cash outflow was partially offset by net proceeds of $85.9 million from the issuance of our common shares under our share-based plans less the minimum tax withholding on behalf of employees for net share settlements.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121" w:lineRule="exact"/>
        <w:rPr>
          <w:sz w:val="20"/>
          <w:szCs w:val="20"/>
          <w:color w:val="auto"/>
        </w:rPr>
      </w:pPr>
    </w:p>
    <w:p>
      <w:pPr>
        <w:jc w:val="both"/>
        <w:ind w:right="140" w:firstLine="432"/>
        <w:spacing w:after="0" w:line="259"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28, 2017, we were not involved in any unconsolidated SPE transactions.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January 28, 2017, these foundries had incurred approximately $208.8 million of manufacturing costs and expenses relating to our outstanding purchase orders.</w:t>
      </w:r>
    </w:p>
    <w:p>
      <w:pPr>
        <w:spacing w:after="0" w:line="73" w:lineRule="exact"/>
        <w:rPr>
          <w:sz w:val="20"/>
          <w:szCs w:val="20"/>
          <w:color w:val="auto"/>
        </w:rPr>
      </w:pPr>
    </w:p>
    <w:p>
      <w:pPr>
        <w:ind w:right="400" w:firstLine="432"/>
        <w:spacing w:after="0" w:line="277" w:lineRule="auto"/>
        <w:rPr>
          <w:sz w:val="20"/>
          <w:szCs w:val="20"/>
          <w:color w:val="auto"/>
        </w:rPr>
      </w:pPr>
      <w:r>
        <w:rPr>
          <w:rFonts w:ascii="Arial" w:cs="Arial" w:eastAsia="Arial" w:hAnsi="Arial"/>
          <w:sz w:val="18"/>
          <w:szCs w:val="18"/>
          <w:color w:val="auto"/>
        </w:rPr>
        <w:t>The following table summarizes our contractual obligations as of January 28, 2017 and the effect that such obligations are expected to have on our liquidity and cash flow in future periods (in thousands):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909" w:right="259" w:bottom="1440" w:gutter="0" w:footer="0" w:header="0"/>
        </w:sectPr>
      </w:pPr>
    </w:p>
    <w:bookmarkStart w:id="44" w:name="page45"/>
    <w:bookmarkEnd w:id="44"/>
    <w:p>
      <w:pPr>
        <w:spacing w:after="0" w:line="200" w:lineRule="exact"/>
        <w:rPr>
          <w:sz w:val="20"/>
          <w:szCs w:val="20"/>
          <w:color w:val="auto"/>
        </w:rPr>
      </w:pPr>
    </w:p>
    <w:p>
      <w:pPr>
        <w:spacing w:after="0" w:line="290" w:lineRule="exact"/>
        <w:rPr>
          <w:sz w:val="20"/>
          <w:szCs w:val="20"/>
          <w:color w:val="auto"/>
        </w:rPr>
      </w:pPr>
    </w:p>
    <w:p>
      <w:pPr>
        <w:ind w:left="40"/>
        <w:spacing w:after="0"/>
        <w:rPr>
          <w:sz w:val="20"/>
          <w:szCs w:val="20"/>
          <w:color w:val="auto"/>
        </w:rPr>
      </w:pPr>
      <w:r>
        <w:rPr>
          <w:rFonts w:ascii="Arial" w:cs="Arial" w:eastAsia="Arial" w:hAnsi="Arial"/>
          <w:sz w:val="14"/>
          <w:szCs w:val="14"/>
          <w:color w:val="auto"/>
        </w:rPr>
        <w:t>Contractual obligations:</w:t>
      </w:r>
    </w:p>
    <w:p>
      <w:pPr>
        <w:spacing w:after="0" w:line="123" w:lineRule="exact"/>
        <w:rPr>
          <w:sz w:val="20"/>
          <w:szCs w:val="20"/>
          <w:color w:val="auto"/>
        </w:rPr>
      </w:pPr>
    </w:p>
    <w:p>
      <w:pPr>
        <w:ind w:left="40"/>
        <w:spacing w:after="0"/>
        <w:rPr>
          <w:sz w:val="20"/>
          <w:szCs w:val="20"/>
          <w:color w:val="auto"/>
        </w:rPr>
      </w:pPr>
      <w:r>
        <w:rPr>
          <w:rFonts w:ascii="Arial" w:cs="Arial" w:eastAsia="Arial" w:hAnsi="Arial"/>
          <w:sz w:val="14"/>
          <w:szCs w:val="14"/>
          <w:color w:val="auto"/>
        </w:rPr>
        <w:t>Facilities operating leases, net</w:t>
      </w:r>
    </w:p>
    <w:p>
      <w:pPr>
        <w:spacing w:after="0" w:line="109" w:lineRule="exact"/>
        <w:rPr>
          <w:sz w:val="20"/>
          <w:szCs w:val="20"/>
          <w:color w:val="auto"/>
        </w:rPr>
      </w:pPr>
    </w:p>
    <w:p>
      <w:pPr>
        <w:ind w:left="40"/>
        <w:spacing w:after="0"/>
        <w:rPr>
          <w:sz w:val="20"/>
          <w:szCs w:val="20"/>
          <w:color w:val="auto"/>
        </w:rPr>
      </w:pPr>
      <w:r>
        <w:rPr>
          <w:rFonts w:ascii="Arial" w:cs="Arial" w:eastAsia="Arial" w:hAnsi="Arial"/>
          <w:sz w:val="14"/>
          <w:szCs w:val="14"/>
          <w:color w:val="auto"/>
        </w:rPr>
        <w:t>Computer-aided design software</w:t>
      </w:r>
    </w:p>
    <w:p>
      <w:pPr>
        <w:spacing w:after="0" w:line="109" w:lineRule="exact"/>
        <w:rPr>
          <w:sz w:val="20"/>
          <w:szCs w:val="20"/>
          <w:color w:val="auto"/>
        </w:rPr>
      </w:pPr>
    </w:p>
    <w:p>
      <w:pPr>
        <w:ind w:left="40"/>
        <w:spacing w:after="0"/>
        <w:rPr>
          <w:sz w:val="20"/>
          <w:szCs w:val="20"/>
          <w:color w:val="auto"/>
        </w:rPr>
      </w:pPr>
      <w:r>
        <w:rPr>
          <w:rFonts w:ascii="Arial" w:cs="Arial" w:eastAsia="Arial" w:hAnsi="Arial"/>
          <w:sz w:val="12"/>
          <w:szCs w:val="12"/>
          <w:color w:val="auto"/>
        </w:rPr>
        <w:t>Purchase commitments to foundries</w:t>
      </w:r>
    </w:p>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color w:val="auto"/>
        </w:rPr>
        <w:t>Capital purchase obligations</w:t>
      </w:r>
    </w:p>
    <w:p>
      <w:pPr>
        <w:spacing w:after="0" w:line="109" w:lineRule="exact"/>
        <w:rPr>
          <w:sz w:val="20"/>
          <w:szCs w:val="20"/>
          <w:color w:val="auto"/>
        </w:rPr>
      </w:pPr>
    </w:p>
    <w:p>
      <w:pPr>
        <w:ind w:left="40"/>
        <w:spacing w:after="0"/>
        <w:rPr>
          <w:sz w:val="20"/>
          <w:szCs w:val="20"/>
          <w:color w:val="auto"/>
        </w:rPr>
      </w:pPr>
      <w:r>
        <w:rPr>
          <w:rFonts w:ascii="Arial" w:cs="Arial" w:eastAsia="Arial" w:hAnsi="Arial"/>
          <w:sz w:val="14"/>
          <w:szCs w:val="14"/>
          <w:color w:val="auto"/>
        </w:rPr>
        <w:t>Technology license obligations</w:t>
      </w:r>
    </w:p>
    <w:p>
      <w:pPr>
        <w:spacing w:after="0" w:line="109" w:lineRule="exact"/>
        <w:rPr>
          <w:sz w:val="20"/>
          <w:szCs w:val="20"/>
          <w:color w:val="auto"/>
        </w:rPr>
      </w:pPr>
    </w:p>
    <w:p>
      <w:pPr>
        <w:ind w:left="40"/>
        <w:spacing w:after="0"/>
        <w:rPr>
          <w:sz w:val="20"/>
          <w:szCs w:val="20"/>
          <w:color w:val="auto"/>
        </w:rPr>
      </w:pPr>
      <w:r>
        <w:rPr>
          <w:rFonts w:ascii="Arial" w:cs="Arial" w:eastAsia="Arial" w:hAnsi="Arial"/>
          <w:sz w:val="14"/>
          <w:szCs w:val="14"/>
          <w:color w:val="auto"/>
        </w:rPr>
        <w:t>Other non-current obligations (1)</w:t>
      </w:r>
    </w:p>
    <w:p>
      <w:pPr>
        <w:spacing w:after="0" w:line="109" w:lineRule="exact"/>
        <w:rPr>
          <w:sz w:val="20"/>
          <w:szCs w:val="20"/>
          <w:color w:val="auto"/>
        </w:rPr>
      </w:pPr>
    </w:p>
    <w:p>
      <w:pPr>
        <w:ind w:left="40"/>
        <w:spacing w:after="0"/>
        <w:rPr>
          <w:sz w:val="20"/>
          <w:szCs w:val="20"/>
          <w:color w:val="auto"/>
        </w:rPr>
      </w:pPr>
      <w:r>
        <w:rPr>
          <w:rFonts w:ascii="Arial" w:cs="Arial" w:eastAsia="Arial" w:hAnsi="Arial"/>
          <w:sz w:val="13"/>
          <w:szCs w:val="13"/>
          <w:color w:val="auto"/>
        </w:rPr>
        <w:t>Total contractual cash obligations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242570</wp:posOffset>
            </wp:positionV>
            <wp:extent cx="140652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0652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ind w:left="2440"/>
        <w:spacing w:after="0"/>
        <w:rPr>
          <w:sz w:val="20"/>
          <w:szCs w:val="20"/>
          <w:color w:val="auto"/>
        </w:rPr>
      </w:pPr>
      <w:r>
        <w:rPr>
          <w:rFonts w:ascii="Arial" w:cs="Arial" w:eastAsia="Arial" w:hAnsi="Arial"/>
          <w:sz w:val="14"/>
          <w:szCs w:val="14"/>
          <w:b w:val="1"/>
          <w:bCs w:val="1"/>
          <w:color w:val="auto"/>
        </w:rPr>
        <w:t>Payment Obligations by Fiscal Year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23495</wp:posOffset>
            </wp:positionV>
            <wp:extent cx="448500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448500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0" w:type="dxa"/>
            <w:vAlign w:val="bottom"/>
          </w:tcPr>
          <w:p>
            <w:pPr>
              <w:spacing w:after="0"/>
              <w:rPr>
                <w:sz w:val="16"/>
                <w:szCs w:val="16"/>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2018</w:t>
            </w: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00" w:type="dxa"/>
            <w:vAlign w:val="bottom"/>
          </w:tcPr>
          <w:p>
            <w:pPr>
              <w:jc w:val="right"/>
              <w:ind w:right="228"/>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80" w:type="dxa"/>
            <w:vAlign w:val="bottom"/>
          </w:tcPr>
          <w:p>
            <w:pPr>
              <w:jc w:val="right"/>
              <w:ind w:right="228"/>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80" w:type="dxa"/>
            <w:vAlign w:val="bottom"/>
            <w:gridSpan w:val="2"/>
          </w:tcPr>
          <w:p>
            <w:pPr>
              <w:spacing w:after="0"/>
              <w:rPr>
                <w:sz w:val="20"/>
                <w:szCs w:val="20"/>
                <w:color w:val="auto"/>
              </w:rPr>
            </w:pPr>
            <w:r>
              <w:rPr>
                <w:rFonts w:ascii="Arial" w:cs="Arial" w:eastAsia="Arial" w:hAnsi="Arial"/>
                <w:sz w:val="14"/>
                <w:szCs w:val="14"/>
                <w:b w:val="1"/>
                <w:bCs w:val="1"/>
                <w:color w:val="auto"/>
              </w:rPr>
              <w:t>Thereafter</w:t>
            </w:r>
          </w:p>
        </w:tc>
        <w:tc>
          <w:tcPr>
            <w:tcW w:w="200" w:type="dxa"/>
            <w:vAlign w:val="bottom"/>
          </w:tcPr>
          <w:p>
            <w:pPr>
              <w:spacing w:after="0"/>
              <w:rPr>
                <w:sz w:val="16"/>
                <w:szCs w:val="16"/>
                <w:color w:val="auto"/>
              </w:rPr>
            </w:pPr>
          </w:p>
        </w:tc>
        <w:tc>
          <w:tcPr>
            <w:tcW w:w="700" w:type="dxa"/>
            <w:vAlign w:val="bottom"/>
          </w:tcPr>
          <w:p>
            <w:pPr>
              <w:jc w:val="right"/>
              <w:ind w:right="208"/>
              <w:spacing w:after="0"/>
              <w:rPr>
                <w:sz w:val="20"/>
                <w:szCs w:val="20"/>
                <w:color w:val="auto"/>
              </w:rPr>
            </w:pPr>
            <w:r>
              <w:rPr>
                <w:rFonts w:ascii="Arial" w:cs="Arial" w:eastAsia="Arial" w:hAnsi="Arial"/>
                <w:sz w:val="14"/>
                <w:szCs w:val="14"/>
                <w:b w:val="1"/>
                <w:bCs w:val="1"/>
                <w:color w:val="auto"/>
              </w:rPr>
              <w:t>Total</w:t>
            </w:r>
          </w:p>
        </w:tc>
      </w:tr>
      <w:tr>
        <w:trPr>
          <w:trHeight w:val="528"/>
        </w:trPr>
        <w:tc>
          <w:tcPr>
            <w:tcW w:w="20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20" w:type="dxa"/>
            <w:vAlign w:val="bottom"/>
            <w:tcBorders>
              <w:top w:val="single" w:sz="8" w:color="auto"/>
            </w:tcBorders>
          </w:tcPr>
          <w:p>
            <w:pPr>
              <w:jc w:val="right"/>
              <w:ind w:right="48"/>
              <w:spacing w:after="0"/>
              <w:rPr>
                <w:sz w:val="20"/>
                <w:szCs w:val="20"/>
                <w:color w:val="auto"/>
              </w:rPr>
            </w:pPr>
            <w:r>
              <w:rPr>
                <w:rFonts w:ascii="Arial" w:cs="Arial" w:eastAsia="Arial" w:hAnsi="Arial"/>
                <w:sz w:val="14"/>
                <w:szCs w:val="14"/>
                <w:color w:val="auto"/>
              </w:rPr>
              <w:t>15,397</w:t>
            </w:r>
          </w:p>
        </w:tc>
        <w:tc>
          <w:tcPr>
            <w:tcW w:w="140" w:type="dxa"/>
            <w:vAlign w:val="bottom"/>
          </w:tcPr>
          <w:p>
            <w:pPr>
              <w:spacing w:after="0"/>
              <w:rPr>
                <w:sz w:val="24"/>
                <w:szCs w:val="24"/>
                <w:color w:val="auto"/>
              </w:rPr>
            </w:pPr>
          </w:p>
        </w:tc>
        <w:tc>
          <w:tcPr>
            <w:tcW w:w="200" w:type="dxa"/>
            <w:vAlign w:val="bottom"/>
            <w:tcBorders>
              <w:top w:val="single" w:sz="8" w:color="auto"/>
            </w:tcBorders>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tcBorders>
          </w:tcPr>
          <w:p>
            <w:pPr>
              <w:jc w:val="right"/>
              <w:ind w:right="48"/>
              <w:spacing w:after="0"/>
              <w:rPr>
                <w:sz w:val="20"/>
                <w:szCs w:val="20"/>
                <w:color w:val="auto"/>
              </w:rPr>
            </w:pPr>
            <w:r>
              <w:rPr>
                <w:rFonts w:ascii="Arial" w:cs="Arial" w:eastAsia="Arial" w:hAnsi="Arial"/>
                <w:sz w:val="14"/>
                <w:szCs w:val="14"/>
                <w:color w:val="auto"/>
              </w:rPr>
              <w:t>12,779</w:t>
            </w:r>
          </w:p>
        </w:tc>
        <w:tc>
          <w:tcPr>
            <w:tcW w:w="120" w:type="dxa"/>
            <w:vAlign w:val="bottom"/>
          </w:tcPr>
          <w:p>
            <w:pPr>
              <w:spacing w:after="0"/>
              <w:rPr>
                <w:sz w:val="24"/>
                <w:szCs w:val="24"/>
                <w:color w:val="auto"/>
              </w:rPr>
            </w:pPr>
          </w:p>
        </w:tc>
        <w:tc>
          <w:tcPr>
            <w:tcW w:w="220" w:type="dxa"/>
            <w:vAlign w:val="bottom"/>
            <w:tcBorders>
              <w:top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720" w:type="dxa"/>
            <w:vAlign w:val="bottom"/>
            <w:tcBorders>
              <w:top w:val="single" w:sz="8" w:color="auto"/>
            </w:tcBorders>
          </w:tcPr>
          <w:p>
            <w:pPr>
              <w:jc w:val="right"/>
              <w:ind w:right="48"/>
              <w:spacing w:after="0"/>
              <w:rPr>
                <w:sz w:val="20"/>
                <w:szCs w:val="20"/>
                <w:color w:val="auto"/>
              </w:rPr>
            </w:pPr>
            <w:r>
              <w:rPr>
                <w:rFonts w:ascii="Arial" w:cs="Arial" w:eastAsia="Arial" w:hAnsi="Arial"/>
                <w:sz w:val="14"/>
                <w:szCs w:val="14"/>
                <w:color w:val="auto"/>
              </w:rPr>
              <w:t>6,508</w:t>
            </w:r>
          </w:p>
        </w:tc>
        <w:tc>
          <w:tcPr>
            <w:tcW w:w="120" w:type="dxa"/>
            <w:vAlign w:val="bottom"/>
          </w:tcPr>
          <w:p>
            <w:pPr>
              <w:spacing w:after="0"/>
              <w:rPr>
                <w:sz w:val="24"/>
                <w:szCs w:val="24"/>
                <w:color w:val="auto"/>
              </w:rPr>
            </w:pPr>
          </w:p>
        </w:tc>
        <w:tc>
          <w:tcPr>
            <w:tcW w:w="20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3,767</w:t>
            </w:r>
          </w:p>
        </w:tc>
        <w:tc>
          <w:tcPr>
            <w:tcW w:w="100" w:type="dxa"/>
            <w:vAlign w:val="bottom"/>
          </w:tcPr>
          <w:p>
            <w:pPr>
              <w:spacing w:after="0"/>
              <w:rPr>
                <w:sz w:val="24"/>
                <w:szCs w:val="24"/>
                <w:color w:val="auto"/>
              </w:rPr>
            </w:pPr>
          </w:p>
        </w:tc>
        <w:tc>
          <w:tcPr>
            <w:tcW w:w="220" w:type="dxa"/>
            <w:vAlign w:val="bottom"/>
            <w:tcBorders>
              <w:top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68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610</w:t>
            </w:r>
          </w:p>
        </w:tc>
        <w:tc>
          <w:tcPr>
            <w:tcW w:w="100" w:type="dxa"/>
            <w:vAlign w:val="bottom"/>
          </w:tcPr>
          <w:p>
            <w:pPr>
              <w:spacing w:after="0"/>
              <w:rPr>
                <w:sz w:val="24"/>
                <w:szCs w:val="24"/>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78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2,147</w:t>
            </w:r>
          </w:p>
        </w:tc>
        <w:tc>
          <w:tcPr>
            <w:tcW w:w="100" w:type="dxa"/>
            <w:vAlign w:val="bottom"/>
          </w:tcPr>
          <w:p>
            <w:pPr>
              <w:spacing w:after="0"/>
              <w:rPr>
                <w:sz w:val="24"/>
                <w:szCs w:val="24"/>
                <w:color w:val="auto"/>
              </w:rPr>
            </w:pPr>
          </w:p>
        </w:tc>
        <w:tc>
          <w:tcPr>
            <w:tcW w:w="20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Borders>
              <w:top w:val="single" w:sz="8" w:color="auto"/>
            </w:tcBorders>
          </w:tcPr>
          <w:p>
            <w:pPr>
              <w:jc w:val="right"/>
              <w:ind w:right="28"/>
              <w:spacing w:after="0"/>
              <w:rPr>
                <w:sz w:val="20"/>
                <w:szCs w:val="20"/>
                <w:color w:val="auto"/>
              </w:rPr>
            </w:pPr>
            <w:r>
              <w:rPr>
                <w:rFonts w:ascii="Arial" w:cs="Arial" w:eastAsia="Arial" w:hAnsi="Arial"/>
                <w:sz w:val="14"/>
                <w:szCs w:val="14"/>
                <w:color w:val="auto"/>
              </w:rPr>
              <w:t>41,208</w:t>
            </w:r>
          </w:p>
        </w:tc>
      </w:tr>
      <w:tr>
        <w:trPr>
          <w:trHeight w:val="270"/>
        </w:trPr>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21,770</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14,225</w:t>
            </w: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10,200</w:t>
            </w: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3"/>
                <w:szCs w:val="23"/>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46,195</w:t>
            </w:r>
          </w:p>
        </w:tc>
      </w:tr>
      <w:tr>
        <w:trPr>
          <w:trHeight w:val="270"/>
        </w:trPr>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208,817</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3"/>
                <w:szCs w:val="23"/>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208,817</w:t>
            </w:r>
          </w:p>
        </w:tc>
      </w:tr>
      <w:tr>
        <w:trPr>
          <w:trHeight w:val="270"/>
        </w:trPr>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10,930</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3"/>
                <w:szCs w:val="23"/>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10,930</w:t>
            </w:r>
          </w:p>
        </w:tc>
      </w:tr>
      <w:tr>
        <w:trPr>
          <w:trHeight w:val="270"/>
        </w:trPr>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23,180</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7,025</w:t>
            </w: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7,025</w:t>
            </w: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3"/>
                <w:szCs w:val="23"/>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37,230</w:t>
            </w:r>
          </w:p>
        </w:tc>
      </w:tr>
      <w:tr>
        <w:trPr>
          <w:trHeight w:val="276"/>
        </w:trPr>
        <w:tc>
          <w:tcPr>
            <w:tcW w:w="200" w:type="dxa"/>
            <w:vAlign w:val="bottom"/>
          </w:tcPr>
          <w:p>
            <w:pPr>
              <w:spacing w:after="0"/>
              <w:rPr>
                <w:sz w:val="24"/>
                <w:szCs w:val="2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4"/>
                <w:szCs w:val="24"/>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3,185</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2,000</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4"/>
                <w:szCs w:val="24"/>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4"/>
                <w:szCs w:val="24"/>
                <w:color w:val="auto"/>
              </w:rPr>
            </w:pPr>
          </w:p>
        </w:tc>
        <w:tc>
          <w:tcPr>
            <w:tcW w:w="780" w:type="dxa"/>
            <w:vAlign w:val="bottom"/>
          </w:tcPr>
          <w:p>
            <w:pPr>
              <w:jc w:val="right"/>
              <w:ind w:right="28"/>
              <w:spacing w:after="0"/>
              <w:rPr>
                <w:sz w:val="20"/>
                <w:szCs w:val="20"/>
                <w:color w:val="auto"/>
              </w:rPr>
            </w:pPr>
            <w:r>
              <w:rPr>
                <w:rFonts w:ascii="Arial" w:cs="Arial" w:eastAsia="Arial" w:hAnsi="Arial"/>
                <w:sz w:val="14"/>
                <w:szCs w:val="14"/>
                <w:color w:val="auto"/>
              </w:rPr>
              <w:t>4,076</w:t>
            </w: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9,261</w:t>
            </w:r>
          </w:p>
        </w:tc>
      </w:tr>
      <w:tr>
        <w:trPr>
          <w:trHeight w:val="237"/>
        </w:trPr>
        <w:tc>
          <w:tcPr>
            <w:tcW w:w="2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280,094</w:t>
            </w: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37,214</w:t>
            </w:r>
          </w:p>
        </w:tc>
        <w:tc>
          <w:tcPr>
            <w:tcW w:w="120" w:type="dxa"/>
            <w:vAlign w:val="bottom"/>
          </w:tcPr>
          <w:p>
            <w:pPr>
              <w:spacing w:after="0"/>
              <w:rPr>
                <w:sz w:val="20"/>
                <w:szCs w:val="20"/>
                <w:color w:val="auto"/>
              </w:rPr>
            </w:pPr>
          </w:p>
        </w:tc>
        <w:tc>
          <w:tcPr>
            <w:tcW w:w="2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7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25,733</w:t>
            </w:r>
          </w:p>
        </w:tc>
        <w:tc>
          <w:tcPr>
            <w:tcW w:w="120" w:type="dxa"/>
            <w:vAlign w:val="bottom"/>
          </w:tcPr>
          <w:p>
            <w:pPr>
              <w:spacing w:after="0"/>
              <w:rPr>
                <w:sz w:val="20"/>
                <w:szCs w:val="20"/>
                <w:color w:val="auto"/>
              </w:rPr>
            </w:pPr>
          </w:p>
        </w:tc>
        <w:tc>
          <w:tcPr>
            <w:tcW w:w="2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3,767</w:t>
            </w:r>
          </w:p>
        </w:tc>
        <w:tc>
          <w:tcPr>
            <w:tcW w:w="100" w:type="dxa"/>
            <w:vAlign w:val="bottom"/>
          </w:tcPr>
          <w:p>
            <w:pPr>
              <w:spacing w:after="0"/>
              <w:rPr>
                <w:sz w:val="20"/>
                <w:szCs w:val="20"/>
                <w:color w:val="auto"/>
              </w:rPr>
            </w:pPr>
          </w:p>
        </w:tc>
        <w:tc>
          <w:tcPr>
            <w:tcW w:w="2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610</w:t>
            </w:r>
          </w:p>
        </w:tc>
        <w:tc>
          <w:tcPr>
            <w:tcW w:w="100" w:type="dxa"/>
            <w:vAlign w:val="bottom"/>
          </w:tcPr>
          <w:p>
            <w:pPr>
              <w:spacing w:after="0"/>
              <w:rPr>
                <w:sz w:val="20"/>
                <w:szCs w:val="20"/>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78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6,223</w:t>
            </w:r>
          </w:p>
        </w:tc>
        <w:tc>
          <w:tcPr>
            <w:tcW w:w="100" w:type="dxa"/>
            <w:vAlign w:val="bottom"/>
          </w:tcPr>
          <w:p>
            <w:pPr>
              <w:spacing w:after="0"/>
              <w:rPr>
                <w:sz w:val="20"/>
                <w:szCs w:val="20"/>
                <w:color w:val="auto"/>
              </w:rPr>
            </w:pPr>
          </w:p>
        </w:tc>
        <w:tc>
          <w:tcPr>
            <w:tcW w:w="2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353,641</w:t>
            </w:r>
          </w:p>
        </w:tc>
      </w:tr>
      <w:tr>
        <w:trPr>
          <w:trHeight w:val="20"/>
        </w:trPr>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-2762885</wp:posOffset>
            </wp:positionH>
            <wp:positionV relativeFrom="paragraph">
              <wp:posOffset>-1397000</wp:posOffset>
            </wp:positionV>
            <wp:extent cx="7246620" cy="1803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180340"/>
                    </a:xfrm>
                    <a:prstGeom prst="rect">
                      <a:avLst/>
                    </a:prstGeom>
                    <a:noFill/>
                  </pic:spPr>
                </pic:pic>
              </a:graphicData>
            </a:graphic>
          </wp:anchor>
        </w:drawing>
        <w:drawing>
          <wp:anchor simplePos="0" relativeHeight="251657728" behindDoc="1" locked="0" layoutInCell="0" allowOverlap="1">
            <wp:simplePos x="0" y="0"/>
            <wp:positionH relativeFrom="column">
              <wp:posOffset>-2762885</wp:posOffset>
            </wp:positionH>
            <wp:positionV relativeFrom="paragraph">
              <wp:posOffset>-1045845</wp:posOffset>
            </wp:positionV>
            <wp:extent cx="7246620" cy="1714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171450"/>
                    </a:xfrm>
                    <a:prstGeom prst="rect">
                      <a:avLst/>
                    </a:prstGeom>
                    <a:noFill/>
                  </pic:spPr>
                </pic:pic>
              </a:graphicData>
            </a:graphic>
          </wp:anchor>
        </w:drawing>
        <w:drawing>
          <wp:anchor simplePos="0" relativeHeight="251657728" behindDoc="1" locked="0" layoutInCell="0" allowOverlap="1">
            <wp:simplePos x="0" y="0"/>
            <wp:positionH relativeFrom="column">
              <wp:posOffset>-2762885</wp:posOffset>
            </wp:positionH>
            <wp:positionV relativeFrom="paragraph">
              <wp:posOffset>-702310</wp:posOffset>
            </wp:positionV>
            <wp:extent cx="7246620" cy="1714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0"/>
                    </a:xfrm>
                    <a:prstGeom prst="rect">
                      <a:avLst/>
                    </a:prstGeom>
                    <a:noFill/>
                  </pic:spPr>
                </pic:pic>
              </a:graphicData>
            </a:graphic>
          </wp:anchor>
        </w:drawing>
        <w:drawing>
          <wp:anchor simplePos="0" relativeHeight="251657728" behindDoc="1" locked="0" layoutInCell="0" allowOverlap="1">
            <wp:simplePos x="0" y="0"/>
            <wp:positionH relativeFrom="column">
              <wp:posOffset>-2762885</wp:posOffset>
            </wp:positionH>
            <wp:positionV relativeFrom="paragraph">
              <wp:posOffset>-359410</wp:posOffset>
            </wp:positionV>
            <wp:extent cx="7246620" cy="1714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640" w:space="720"/>
            <w:col w:w="7060"/>
          </w:cols>
          <w:pgMar w:left="240" w:top="1130" w:right="239" w:bottom="1440" w:gutter="0" w:footer="0" w:header="0"/>
        </w:sectPr>
      </w:pPr>
    </w:p>
    <w:p>
      <w:pPr>
        <w:spacing w:after="0" w:line="267" w:lineRule="exact"/>
        <w:rPr>
          <w:sz w:val="20"/>
          <w:szCs w:val="20"/>
          <w:color w:val="auto"/>
        </w:rPr>
      </w:pPr>
    </w:p>
    <w:p>
      <w:pPr>
        <w:ind w:left="660" w:hanging="652"/>
        <w:spacing w:after="0"/>
        <w:tabs>
          <w:tab w:leader="none" w:pos="660" w:val="left"/>
        </w:tabs>
        <w:numPr>
          <w:ilvl w:val="0"/>
          <w:numId w:val="26"/>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13" w:lineRule="exact"/>
        <w:rPr>
          <w:sz w:val="20"/>
          <w:szCs w:val="20"/>
          <w:color w:val="auto"/>
        </w:rPr>
      </w:pPr>
    </w:p>
    <w:p>
      <w:pPr>
        <w:ind w:right="100" w:firstLine="432"/>
        <w:spacing w:after="0" w:line="272" w:lineRule="auto"/>
        <w:rPr>
          <w:sz w:val="20"/>
          <w:szCs w:val="20"/>
          <w:color w:val="auto"/>
        </w:rPr>
      </w:pPr>
      <w:r>
        <w:rPr>
          <w:rFonts w:ascii="Arial" w:cs="Arial" w:eastAsia="Arial" w:hAnsi="Arial"/>
          <w:sz w:val="17"/>
          <w:szCs w:val="17"/>
          <w:color w:val="auto"/>
        </w:rPr>
        <w:t>In addition to the above commitments and contingencies, as of January 28, 2017, we have $16.3 million of unrecognized tax benefits as liabilities. We also have a liability for potential interest and penalties of $21.6 million as of January 30, 2016.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$9.5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21" w:lineRule="exact"/>
        <w:rPr>
          <w:sz w:val="20"/>
          <w:szCs w:val="20"/>
          <w:color w:val="auto"/>
        </w:rPr>
      </w:pPr>
    </w:p>
    <w:p>
      <w:pPr>
        <w:ind w:right="80" w:firstLine="432"/>
        <w:spacing w:after="0" w:line="277" w:lineRule="auto"/>
        <w:rPr>
          <w:sz w:val="20"/>
          <w:szCs w:val="20"/>
          <w:color w:val="auto"/>
        </w:rPr>
      </w:pPr>
      <w:r>
        <w:rPr>
          <w:rFonts w:ascii="Arial" w:cs="Arial" w:eastAsia="Arial" w:hAnsi="Arial"/>
          <w:sz w:val="18"/>
          <w:szCs w:val="18"/>
          <w:color w:val="auto"/>
        </w:rPr>
        <w:t>Please see “Note 1 — The Company and its Significant Accounting Policies — Recent Accounting Pronouncements” for further details in our Notes to the Consolidated Financial Statements set forth in Part II, Item 8 of this Annual Report on Form 10-K.</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121" w:lineRule="exact"/>
        <w:rPr>
          <w:sz w:val="20"/>
          <w:szCs w:val="20"/>
          <w:color w:val="auto"/>
        </w:rPr>
      </w:pPr>
    </w:p>
    <w:p>
      <w:pPr>
        <w:ind w:right="140" w:firstLine="432"/>
        <w:spacing w:after="0" w:line="277" w:lineRule="auto"/>
        <w:rPr>
          <w:sz w:val="20"/>
          <w:szCs w:val="20"/>
          <w:color w:val="auto"/>
        </w:rPr>
      </w:pPr>
      <w:r>
        <w:rPr>
          <w:rFonts w:ascii="Arial" w:cs="Arial" w:eastAsia="Arial" w:hAnsi="Arial"/>
          <w:sz w:val="18"/>
          <w:szCs w:val="18"/>
          <w:color w:val="auto"/>
        </w:rPr>
        <w:t>Please see “Note 14 — Related Party Transactions” for further details in our Notes to the Consolidated Financial Statements set forth in Part II, Item 8 of this Annual Report on Form 10-K.</w:t>
      </w:r>
    </w:p>
    <w:p>
      <w:pPr>
        <w:spacing w:after="0" w:line="356"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229" w:lineRule="exact"/>
        <w:rPr>
          <w:sz w:val="20"/>
          <w:szCs w:val="20"/>
          <w:color w:val="auto"/>
        </w:rPr>
      </w:pPr>
    </w:p>
    <w:p>
      <w:pPr>
        <w:ind w:right="20" w:firstLine="432"/>
        <w:spacing w:after="0" w:line="290"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January 28, 2017. 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58" w:lineRule="exact"/>
        <w:rPr>
          <w:sz w:val="20"/>
          <w:szCs w:val="20"/>
          <w:color w:val="auto"/>
        </w:rPr>
      </w:pPr>
    </w:p>
    <w:p>
      <w:pPr>
        <w:ind w:right="20" w:firstLine="432"/>
        <w:spacing w:after="0" w:line="276" w:lineRule="auto"/>
        <w:rPr>
          <w:sz w:val="20"/>
          <w:szCs w:val="20"/>
          <w:color w:val="auto"/>
        </w:rPr>
      </w:pPr>
      <w:r>
        <w:rPr>
          <w:rFonts w:ascii="Arial" w:cs="Arial" w:eastAsia="Arial" w:hAnsi="Arial"/>
          <w:sz w:val="17"/>
          <w:szCs w:val="17"/>
          <w:color w:val="auto"/>
        </w:rPr>
        <w:t>To provide an assessment of the interest rate risk associated with our investment portfolio, we performed a sensitivity analysis to determine the impact that an adverse change in interest rates would have on the value of the investment portfolio, excluding time deposits. Based on investment positions as of January 28, 2017, a hypothetical 100 basis point increase in interest rates across all maturities would result in a $6.4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64" w:lineRule="exact"/>
        <w:rPr>
          <w:sz w:val="20"/>
          <w:szCs w:val="20"/>
          <w:color w:val="auto"/>
        </w:rPr>
      </w:pPr>
    </w:p>
    <w:p>
      <w:pPr>
        <w:ind w:right="20" w:firstLine="432"/>
        <w:spacing w:after="0" w:line="302" w:lineRule="auto"/>
        <w:rPr>
          <w:sz w:val="20"/>
          <w:szCs w:val="20"/>
          <w:color w:val="auto"/>
        </w:rPr>
      </w:pPr>
      <w:r>
        <w:rPr>
          <w:rFonts w:ascii="Arial" w:cs="Arial" w:eastAsia="Arial" w:hAnsi="Arial"/>
          <w:sz w:val="16"/>
          <w:szCs w:val="16"/>
          <w:color w:val="auto"/>
        </w:rPr>
        <w:t>As of January 28, 2017, our investment portfolio included $5.0 million in par value of an auction rate security classified as a long-term investment. Although the security has continued to pay interest, there is currently limited trading volume. To estimate the fair value of the auction rate security,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1130" w:right="239" w:bottom="1440" w:gutter="0" w:footer="0" w:header="0"/>
          <w:type w:val="continuous"/>
        </w:sectPr>
      </w:pPr>
    </w:p>
    <w:bookmarkStart w:id="45" w:name="page46"/>
    <w:bookmarkEnd w:id="45"/>
    <w:p>
      <w:pPr>
        <w:ind w:right="60" w:firstLine="432"/>
        <w:spacing w:after="0" w:line="259" w:lineRule="auto"/>
        <w:rPr>
          <w:sz w:val="20"/>
          <w:szCs w:val="20"/>
          <w:color w:val="auto"/>
        </w:rPr>
      </w:pPr>
      <w:r>
        <w:rPr>
          <w:rFonts w:ascii="Arial" w:cs="Arial" w:eastAsia="Arial" w:hAnsi="Arial"/>
          <w:sz w:val="18"/>
          <w:szCs w:val="18"/>
          <w:color w:val="auto"/>
        </w:rPr>
        <w:t>We made a determination in January 2016 that we did not expect to recover the par value of certain auction rate securities and consider any impairment of the securities to be other-than-temporary. There has been no change in circumstances since January 2016 based upon the current time horizon for holding the remaining security and the continuation of an illiquid market. Based on our assessment of fair value as of January 28, 2017, we determined there was no further impairment of the remaining auction rate security.</w:t>
      </w:r>
    </w:p>
    <w:p>
      <w:pPr>
        <w:spacing w:after="0" w:line="79"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During fiscal 2017, the Company sold auction rate securities with an aggregate par value of $7.5 million for total net proceeds of $6.9 million. The carrying value of these auction rate securities was $6.7 million and resulted in a net gain of $0.2 million recorded in interest and other income, net, in the year ended January 28, 2017.</w:t>
      </w:r>
    </w:p>
    <w:p>
      <w:pPr>
        <w:spacing w:after="0" w:line="181"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67" w:lineRule="exact"/>
        <w:rPr>
          <w:sz w:val="20"/>
          <w:szCs w:val="20"/>
          <w:color w:val="auto"/>
        </w:rPr>
      </w:pPr>
    </w:p>
    <w:p>
      <w:pPr>
        <w:ind w:firstLine="378"/>
        <w:spacing w:after="0" w:line="270" w:lineRule="auto"/>
        <w:rPr>
          <w:sz w:val="20"/>
          <w:szCs w:val="20"/>
          <w:color w:val="auto"/>
        </w:rPr>
      </w:pPr>
      <w:r>
        <w:rPr>
          <w:rFonts w:ascii="Arial" w:cs="Arial" w:eastAsia="Arial" w:hAnsi="Arial"/>
          <w:sz w:val="17"/>
          <w:szCs w:val="17"/>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 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82" w:lineRule="exact"/>
        <w:rPr>
          <w:sz w:val="20"/>
          <w:szCs w:val="20"/>
          <w:color w:val="auto"/>
        </w:rPr>
      </w:pPr>
    </w:p>
    <w:p>
      <w:pPr>
        <w:jc w:val="both"/>
        <w:ind w:firstLine="378"/>
        <w:spacing w:after="0" w:line="279" w:lineRule="auto"/>
        <w:rPr>
          <w:sz w:val="20"/>
          <w:szCs w:val="20"/>
          <w:color w:val="auto"/>
        </w:rPr>
      </w:pPr>
      <w:r>
        <w:rPr>
          <w:rFonts w:ascii="Arial" w:cs="Arial" w:eastAsia="Arial" w:hAnsi="Arial"/>
          <w:sz w:val="17"/>
          <w:szCs w:val="17"/>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less than 4%. We expect our hedges of foreign currency exposures to be highly effective and offset a significant portion of the short-term impact of changes in exchange rates on the hedged portion of our exposures.</w:t>
      </w:r>
    </w:p>
    <w:p>
      <w:pPr>
        <w:spacing w:after="0" w:line="200" w:lineRule="exact"/>
        <w:rPr>
          <w:sz w:val="20"/>
          <w:szCs w:val="20"/>
          <w:color w:val="auto"/>
        </w:rPr>
      </w:pPr>
    </w:p>
    <w:p>
      <w:pPr>
        <w:spacing w:after="0" w:line="3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908" w:right="259" w:bottom="1440" w:gutter="0" w:footer="0" w:header="0"/>
        </w:sectPr>
      </w:pPr>
    </w:p>
    <w:bookmarkStart w:id="46" w:name="page47"/>
    <w:bookmarkEnd w:id="46"/>
    <w:tbl>
      <w:tblPr>
        <w:tblLayout w:type="fixed"/>
        <w:tblInd w:w="0" w:type="dxa"/>
        <w:tblCellMar>
          <w:top w:w="0" w:type="dxa"/>
          <w:left w:w="0" w:type="dxa"/>
          <w:bottom w:w="0" w:type="dxa"/>
          <w:right w:w="0" w:type="dxa"/>
        </w:tblCellMar>
      </w:tblPr>
      <w:tr>
        <w:trPr>
          <w:trHeight w:val="234"/>
        </w:trPr>
        <w:tc>
          <w:tcPr>
            <w:tcW w:w="760" w:type="dxa"/>
            <w:vAlign w:val="bottom"/>
            <w:gridSpan w:val="2"/>
          </w:tcPr>
          <w:p>
            <w:pPr>
              <w:spacing w:after="0"/>
              <w:rPr>
                <w:sz w:val="20"/>
                <w:szCs w:val="20"/>
                <w:color w:val="auto"/>
              </w:rPr>
            </w:pPr>
            <w:r>
              <w:rPr>
                <w:rFonts w:ascii="Arial" w:cs="Arial" w:eastAsia="Arial" w:hAnsi="Arial"/>
                <w:sz w:val="18"/>
                <w:szCs w:val="18"/>
                <w:b w:val="1"/>
                <w:bCs w:val="1"/>
                <w:color w:val="auto"/>
              </w:rPr>
              <w:t>Item 8.</w:t>
            </w:r>
          </w:p>
        </w:tc>
        <w:tc>
          <w:tcPr>
            <w:tcW w:w="9620" w:type="dxa"/>
            <w:vAlign w:val="bottom"/>
            <w:gridSpan w:val="9"/>
          </w:tcPr>
          <w:p>
            <w:pPr>
              <w:ind w:left="22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8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378"/>
        </w:trPr>
        <w:tc>
          <w:tcPr>
            <w:tcW w:w="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000" w:type="dxa"/>
            <w:vAlign w:val="bottom"/>
            <w:gridSpan w:val="5"/>
          </w:tcPr>
          <w:p>
            <w:pPr>
              <w:jc w:val="center"/>
              <w:ind w:right="4340"/>
              <w:spacing w:after="0"/>
              <w:rPr>
                <w:sz w:val="20"/>
                <w:szCs w:val="20"/>
                <w:color w:val="auto"/>
              </w:rPr>
            </w:pPr>
            <w:r>
              <w:rPr>
                <w:rFonts w:ascii="Arial" w:cs="Arial" w:eastAsia="Arial" w:hAnsi="Arial"/>
                <w:sz w:val="18"/>
                <w:szCs w:val="18"/>
                <w:b w:val="1"/>
                <w:bCs w:val="1"/>
                <w:color w:val="auto"/>
              </w:rPr>
              <w:t>INDEX</w:t>
            </w:r>
          </w:p>
        </w:tc>
        <w:tc>
          <w:tcPr>
            <w:tcW w:w="8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99"/>
        </w:trPr>
        <w:tc>
          <w:tcPr>
            <w:tcW w:w="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20" w:type="dxa"/>
            <w:vAlign w:val="bottom"/>
            <w:tcBorders>
              <w:bottom w:val="single" w:sz="8" w:color="auto"/>
            </w:tcBorders>
            <w:gridSpan w:val="3"/>
          </w:tcPr>
          <w:p>
            <w:pPr>
              <w:jc w:val="right"/>
              <w:ind w:right="360"/>
              <w:spacing w:after="0"/>
              <w:rPr>
                <w:sz w:val="20"/>
                <w:szCs w:val="20"/>
                <w:color w:val="auto"/>
              </w:rPr>
            </w:pPr>
            <w:r>
              <w:rPr>
                <w:rFonts w:ascii="Arial" w:cs="Arial" w:eastAsia="Arial" w:hAnsi="Arial"/>
                <w:sz w:val="14"/>
                <w:szCs w:val="14"/>
                <w:b w:val="1"/>
                <w:bCs w:val="1"/>
                <w:color w:val="auto"/>
              </w:rPr>
              <w:t>Page</w:t>
            </w:r>
          </w:p>
        </w:tc>
      </w:tr>
      <w:tr>
        <w:trPr>
          <w:trHeight w:val="189"/>
        </w:trPr>
        <w:tc>
          <w:tcPr>
            <w:tcW w:w="40" w:type="dxa"/>
            <w:vAlign w:val="bottom"/>
          </w:tcPr>
          <w:p>
            <w:pPr>
              <w:spacing w:after="0"/>
              <w:rPr>
                <w:sz w:val="16"/>
                <w:szCs w:val="16"/>
                <w:color w:val="auto"/>
              </w:rPr>
            </w:pPr>
          </w:p>
        </w:tc>
        <w:tc>
          <w:tcPr>
            <w:tcW w:w="5340" w:type="dxa"/>
            <w:vAlign w:val="bottom"/>
            <w:gridSpan w:val="5"/>
          </w:tcPr>
          <w:p>
            <w:pPr>
              <w:spacing w:after="0" w:line="170" w:lineRule="exact"/>
              <w:rPr>
                <w:rFonts w:ascii="Arial" w:cs="Arial" w:eastAsia="Arial" w:hAnsi="Arial"/>
                <w:sz w:val="18"/>
                <w:szCs w:val="18"/>
                <w:color w:val="0000EE"/>
              </w:rPr>
            </w:pPr>
            <w:hyperlink w:anchor="page48">
              <w:r>
                <w:rPr>
                  <w:rFonts w:ascii="Arial" w:cs="Arial" w:eastAsia="Arial" w:hAnsi="Arial"/>
                  <w:sz w:val="18"/>
                  <w:szCs w:val="18"/>
                  <w:color w:val="0000EE"/>
                </w:rPr>
                <w:t>Report of Independent Registered Public Accounting Firm</w:t>
              </w:r>
            </w:hyperlink>
          </w:p>
        </w:tc>
        <w:tc>
          <w:tcPr>
            <w:tcW w:w="5000" w:type="dxa"/>
            <w:vAlign w:val="bottom"/>
            <w:gridSpan w:val="5"/>
          </w:tcPr>
          <w:p>
            <w:pPr>
              <w:spacing w:after="0"/>
              <w:rPr>
                <w:sz w:val="16"/>
                <w:szCs w:val="16"/>
                <w:color w:val="auto"/>
              </w:rPr>
            </w:pPr>
          </w:p>
        </w:tc>
        <w:tc>
          <w:tcPr>
            <w:tcW w:w="800" w:type="dxa"/>
            <w:vAlign w:val="bottom"/>
          </w:tcPr>
          <w:p>
            <w:pPr>
              <w:spacing w:after="0"/>
              <w:rPr>
                <w:sz w:val="16"/>
                <w:szCs w:val="16"/>
                <w:color w:val="auto"/>
              </w:rPr>
            </w:pPr>
          </w:p>
        </w:tc>
        <w:tc>
          <w:tcPr>
            <w:tcW w:w="220" w:type="dxa"/>
            <w:vAlign w:val="bottom"/>
            <w:gridSpan w:val="2"/>
          </w:tcPr>
          <w:p>
            <w:pPr>
              <w:jc w:val="right"/>
              <w:ind w:right="40"/>
              <w:spacing w:after="0" w:line="170" w:lineRule="exact"/>
              <w:rPr>
                <w:rFonts w:ascii="Arial" w:cs="Arial" w:eastAsia="Arial" w:hAnsi="Arial"/>
                <w:sz w:val="18"/>
                <w:szCs w:val="18"/>
                <w:color w:val="0000EE"/>
                <w:w w:val="79"/>
              </w:rPr>
            </w:pPr>
            <w:hyperlink w:anchor="page48">
              <w:r>
                <w:rPr>
                  <w:rFonts w:ascii="Arial" w:cs="Arial" w:eastAsia="Arial" w:hAnsi="Arial"/>
                  <w:sz w:val="18"/>
                  <w:szCs w:val="18"/>
                  <w:color w:val="0000EE"/>
                  <w:w w:val="79"/>
                </w:rPr>
                <w:t>45</w:t>
              </w:r>
            </w:hyperlink>
          </w:p>
        </w:tc>
      </w:tr>
      <w:tr>
        <w:trPr>
          <w:trHeight w:val="27"/>
        </w:trPr>
        <w:tc>
          <w:tcPr>
            <w:tcW w:w="40" w:type="dxa"/>
            <w:vAlign w:val="bottom"/>
          </w:tcPr>
          <w:p>
            <w:pPr>
              <w:spacing w:after="0"/>
              <w:rPr>
                <w:sz w:val="2"/>
                <w:szCs w:val="2"/>
                <w:color w:val="auto"/>
              </w:rPr>
            </w:pPr>
          </w:p>
        </w:tc>
        <w:tc>
          <w:tcPr>
            <w:tcW w:w="2380" w:type="dxa"/>
            <w:vAlign w:val="bottom"/>
            <w:gridSpan w:val="2"/>
            <w:shd w:val="clear" w:color="auto" w:fill="0000EE"/>
          </w:tcPr>
          <w:p>
            <w:pPr>
              <w:spacing w:after="0"/>
              <w:rPr>
                <w:sz w:val="2"/>
                <w:szCs w:val="2"/>
                <w:color w:val="auto"/>
              </w:rPr>
            </w:pPr>
          </w:p>
        </w:tc>
        <w:tc>
          <w:tcPr>
            <w:tcW w:w="760" w:type="dxa"/>
            <w:vAlign w:val="bottom"/>
            <w:shd w:val="clear" w:color="auto" w:fill="0000EE"/>
          </w:tcPr>
          <w:p>
            <w:pPr>
              <w:spacing w:after="0"/>
              <w:rPr>
                <w:sz w:val="2"/>
                <w:szCs w:val="2"/>
                <w:color w:val="auto"/>
              </w:rPr>
            </w:pPr>
          </w:p>
        </w:tc>
        <w:tc>
          <w:tcPr>
            <w:tcW w:w="2200" w:type="dxa"/>
            <w:vAlign w:val="bottom"/>
            <w:gridSpan w:val="2"/>
            <w:shd w:val="clear" w:color="auto" w:fill="0000EE"/>
          </w:tcPr>
          <w:p>
            <w:pPr>
              <w:spacing w:after="0"/>
              <w:rPr>
                <w:sz w:val="2"/>
                <w:szCs w:val="2"/>
                <w:color w:val="auto"/>
              </w:rPr>
            </w:pPr>
          </w:p>
        </w:tc>
        <w:tc>
          <w:tcPr>
            <w:tcW w:w="308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8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80" w:type="dxa"/>
            <w:vAlign w:val="bottom"/>
            <w:shd w:val="clear" w:color="auto" w:fill="0000EE"/>
          </w:tcPr>
          <w:p>
            <w:pPr>
              <w:spacing w:after="0"/>
              <w:rPr>
                <w:sz w:val="2"/>
                <w:szCs w:val="2"/>
                <w:color w:val="auto"/>
              </w:rPr>
            </w:pPr>
          </w:p>
        </w:tc>
        <w:tc>
          <w:tcPr>
            <w:tcW w:w="40" w:type="dxa"/>
            <w:vAlign w:val="bottom"/>
          </w:tcPr>
          <w:p>
            <w:pPr>
              <w:spacing w:after="0"/>
              <w:rPr>
                <w:sz w:val="2"/>
                <w:szCs w:val="2"/>
                <w:color w:val="auto"/>
              </w:rPr>
            </w:pPr>
          </w:p>
        </w:tc>
      </w:tr>
      <w:tr>
        <w:trPr>
          <w:trHeight w:val="257"/>
        </w:trPr>
        <w:tc>
          <w:tcPr>
            <w:tcW w:w="40" w:type="dxa"/>
            <w:vAlign w:val="bottom"/>
          </w:tcPr>
          <w:p>
            <w:pPr>
              <w:spacing w:after="0"/>
              <w:rPr>
                <w:sz w:val="22"/>
                <w:szCs w:val="22"/>
                <w:color w:val="auto"/>
              </w:rPr>
            </w:pPr>
          </w:p>
        </w:tc>
        <w:tc>
          <w:tcPr>
            <w:tcW w:w="5340" w:type="dxa"/>
            <w:vAlign w:val="bottom"/>
            <w:gridSpan w:val="5"/>
          </w:tcPr>
          <w:p>
            <w:pPr>
              <w:spacing w:after="0"/>
              <w:rPr>
                <w:rFonts w:ascii="Arial" w:cs="Arial" w:eastAsia="Arial" w:hAnsi="Arial"/>
                <w:sz w:val="18"/>
                <w:szCs w:val="18"/>
                <w:color w:val="0000EE"/>
                <w:w w:val="88"/>
              </w:rPr>
            </w:pPr>
            <w:hyperlink w:anchor="page50">
              <w:r>
                <w:rPr>
                  <w:rFonts w:ascii="Arial" w:cs="Arial" w:eastAsia="Arial" w:hAnsi="Arial"/>
                  <w:sz w:val="18"/>
                  <w:szCs w:val="18"/>
                  <w:color w:val="0000EE"/>
                  <w:w w:val="88"/>
                </w:rPr>
                <w:t>Consolidated Balance Sheets as of January 28, 2017 and January 30, 2016</w:t>
              </w:r>
            </w:hyperlink>
          </w:p>
        </w:tc>
        <w:tc>
          <w:tcPr>
            <w:tcW w:w="5000" w:type="dxa"/>
            <w:vAlign w:val="bottom"/>
            <w:gridSpan w:val="5"/>
          </w:tcPr>
          <w:p>
            <w:pPr>
              <w:spacing w:after="0"/>
              <w:rPr>
                <w:sz w:val="22"/>
                <w:szCs w:val="22"/>
                <w:color w:val="auto"/>
              </w:rPr>
            </w:pPr>
          </w:p>
        </w:tc>
        <w:tc>
          <w:tcPr>
            <w:tcW w:w="800" w:type="dxa"/>
            <w:vAlign w:val="bottom"/>
          </w:tcPr>
          <w:p>
            <w:pPr>
              <w:spacing w:after="0"/>
              <w:rPr>
                <w:sz w:val="22"/>
                <w:szCs w:val="22"/>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0">
              <w:r>
                <w:rPr>
                  <w:rFonts w:ascii="Arial" w:cs="Arial" w:eastAsia="Arial" w:hAnsi="Arial"/>
                  <w:sz w:val="18"/>
                  <w:szCs w:val="18"/>
                  <w:color w:val="0000EE"/>
                  <w:w w:val="79"/>
                </w:rPr>
                <w:t>47</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200" w:type="dxa"/>
            <w:vAlign w:val="bottom"/>
            <w:gridSpan w:val="2"/>
            <w:shd w:val="clear" w:color="auto" w:fill="0000EE"/>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8420" w:type="dxa"/>
            <w:vAlign w:val="bottom"/>
            <w:gridSpan w:val="6"/>
          </w:tcPr>
          <w:p>
            <w:pPr>
              <w:spacing w:after="0"/>
              <w:rPr>
                <w:rFonts w:ascii="Arial" w:cs="Arial" w:eastAsia="Arial" w:hAnsi="Arial"/>
                <w:sz w:val="18"/>
                <w:szCs w:val="18"/>
                <w:color w:val="0000EE"/>
                <w:w w:val="88"/>
              </w:rPr>
            </w:pPr>
            <w:hyperlink w:anchor="page51">
              <w:r>
                <w:rPr>
                  <w:rFonts w:ascii="Arial" w:cs="Arial" w:eastAsia="Arial" w:hAnsi="Arial"/>
                  <w:sz w:val="18"/>
                  <w:szCs w:val="18"/>
                  <w:color w:val="0000EE"/>
                  <w:w w:val="88"/>
                </w:rPr>
                <w:t>Consolidated Statements of Operations for the years ended January 28, 2017, January 30, 2016 and January 31, 2015</w:t>
              </w:r>
            </w:hyperlink>
          </w:p>
        </w:tc>
        <w:tc>
          <w:tcPr>
            <w:tcW w:w="1920" w:type="dxa"/>
            <w:vAlign w:val="bottom"/>
            <w:gridSpan w:val="4"/>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1">
              <w:r>
                <w:rPr>
                  <w:rFonts w:ascii="Arial" w:cs="Arial" w:eastAsia="Arial" w:hAnsi="Arial"/>
                  <w:sz w:val="18"/>
                  <w:szCs w:val="18"/>
                  <w:color w:val="0000EE"/>
                  <w:w w:val="79"/>
                </w:rPr>
                <w:t>48</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2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10340" w:type="dxa"/>
            <w:vAlign w:val="bottom"/>
            <w:gridSpan w:val="10"/>
          </w:tcPr>
          <w:p>
            <w:pPr>
              <w:spacing w:after="0"/>
              <w:rPr>
                <w:rFonts w:ascii="Arial" w:cs="Arial" w:eastAsia="Arial" w:hAnsi="Arial"/>
                <w:sz w:val="18"/>
                <w:szCs w:val="18"/>
                <w:color w:val="0000EE"/>
                <w:w w:val="93"/>
              </w:rPr>
            </w:pPr>
            <w:hyperlink w:anchor="page52">
              <w:r>
                <w:rPr>
                  <w:rFonts w:ascii="Arial" w:cs="Arial" w:eastAsia="Arial" w:hAnsi="Arial"/>
                  <w:sz w:val="18"/>
                  <w:szCs w:val="18"/>
                  <w:color w:val="0000EE"/>
                  <w:w w:val="93"/>
                </w:rPr>
                <w:t>Consolidated Statements of Comprehensive Income (Loss) for the years ended January 28, 2017, January 30, 2016 and January 31, 2015</w:t>
              </w:r>
            </w:hyperlink>
          </w:p>
        </w:tc>
        <w:tc>
          <w:tcPr>
            <w:tcW w:w="1020" w:type="dxa"/>
            <w:vAlign w:val="bottom"/>
            <w:gridSpan w:val="3"/>
          </w:tcPr>
          <w:p>
            <w:pPr>
              <w:jc w:val="right"/>
              <w:ind w:right="40"/>
              <w:spacing w:after="0"/>
              <w:rPr>
                <w:rFonts w:ascii="Arial" w:cs="Arial" w:eastAsia="Arial" w:hAnsi="Arial"/>
                <w:sz w:val="18"/>
                <w:szCs w:val="18"/>
                <w:color w:val="0000EE"/>
              </w:rPr>
            </w:pPr>
            <w:hyperlink w:anchor="page52">
              <w:r>
                <w:rPr>
                  <w:rFonts w:ascii="Arial" w:cs="Arial" w:eastAsia="Arial" w:hAnsi="Arial"/>
                  <w:sz w:val="18"/>
                  <w:szCs w:val="18"/>
                  <w:color w:val="0000EE"/>
                </w:rPr>
                <w:t>49</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340" w:type="dxa"/>
            <w:vAlign w:val="bottom"/>
            <w:gridSpan w:val="4"/>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9160" w:type="dxa"/>
            <w:vAlign w:val="bottom"/>
            <w:gridSpan w:val="8"/>
          </w:tcPr>
          <w:p>
            <w:pPr>
              <w:spacing w:after="0"/>
              <w:rPr>
                <w:rFonts w:ascii="Arial" w:cs="Arial" w:eastAsia="Arial" w:hAnsi="Arial"/>
                <w:sz w:val="18"/>
                <w:szCs w:val="18"/>
                <w:color w:val="0000EE"/>
                <w:w w:val="89"/>
              </w:rPr>
            </w:pPr>
            <w:hyperlink w:anchor="page53">
              <w:r>
                <w:rPr>
                  <w:rFonts w:ascii="Arial" w:cs="Arial" w:eastAsia="Arial" w:hAnsi="Arial"/>
                  <w:sz w:val="18"/>
                  <w:szCs w:val="18"/>
                  <w:color w:val="0000EE"/>
                  <w:w w:val="89"/>
                </w:rPr>
                <w:t>Consolidated Statements of Shareholders’ Equity for the years ended January 28, 2017, January 30, 2016 and January 31, 2015</w:t>
              </w:r>
            </w:hyperlink>
          </w:p>
        </w:tc>
        <w:tc>
          <w:tcPr>
            <w:tcW w:w="6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3">
              <w:r>
                <w:rPr>
                  <w:rFonts w:ascii="Arial" w:cs="Arial" w:eastAsia="Arial" w:hAnsi="Arial"/>
                  <w:sz w:val="18"/>
                  <w:szCs w:val="18"/>
                  <w:color w:val="0000EE"/>
                  <w:w w:val="79"/>
                </w:rPr>
                <w:t>50</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340" w:type="dxa"/>
            <w:vAlign w:val="bottom"/>
            <w:gridSpan w:val="4"/>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8480" w:type="dxa"/>
            <w:vAlign w:val="bottom"/>
            <w:gridSpan w:val="7"/>
          </w:tcPr>
          <w:p>
            <w:pPr>
              <w:spacing w:after="0"/>
              <w:rPr>
                <w:rFonts w:ascii="Arial" w:cs="Arial" w:eastAsia="Arial" w:hAnsi="Arial"/>
                <w:sz w:val="18"/>
                <w:szCs w:val="18"/>
                <w:color w:val="0000EE"/>
                <w:w w:val="88"/>
              </w:rPr>
            </w:pPr>
            <w:hyperlink w:anchor="page54">
              <w:r>
                <w:rPr>
                  <w:rFonts w:ascii="Arial" w:cs="Arial" w:eastAsia="Arial" w:hAnsi="Arial"/>
                  <w:sz w:val="18"/>
                  <w:szCs w:val="18"/>
                  <w:color w:val="0000EE"/>
                  <w:w w:val="88"/>
                </w:rPr>
                <w:t>Consolidated Statements of Cash Flows for the years ended January 28, 2017, January 30, 2016 and January 31, 2015</w:t>
              </w:r>
            </w:hyperlink>
          </w:p>
        </w:tc>
        <w:tc>
          <w:tcPr>
            <w:tcW w:w="680" w:type="dxa"/>
            <w:vAlign w:val="bottom"/>
          </w:tcPr>
          <w:p>
            <w:pPr>
              <w:spacing w:after="0"/>
              <w:rPr>
                <w:sz w:val="21"/>
                <w:szCs w:val="21"/>
                <w:color w:val="auto"/>
              </w:rPr>
            </w:pPr>
          </w:p>
        </w:tc>
        <w:tc>
          <w:tcPr>
            <w:tcW w:w="1180" w:type="dxa"/>
            <w:vAlign w:val="bottom"/>
            <w:gridSpan w:val="2"/>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4">
              <w:r>
                <w:rPr>
                  <w:rFonts w:ascii="Arial" w:cs="Arial" w:eastAsia="Arial" w:hAnsi="Arial"/>
                  <w:sz w:val="18"/>
                  <w:szCs w:val="18"/>
                  <w:color w:val="0000EE"/>
                  <w:w w:val="79"/>
                </w:rPr>
                <w:t>51</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340" w:type="dxa"/>
            <w:vAlign w:val="bottom"/>
            <w:gridSpan w:val="4"/>
            <w:shd w:val="clear" w:color="auto" w:fill="0000EE"/>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8480" w:type="dxa"/>
            <w:vAlign w:val="bottom"/>
            <w:gridSpan w:val="7"/>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Notes to Consolidated Financial Statements</w:t>
              </w:r>
            </w:hyperlink>
          </w:p>
        </w:tc>
        <w:tc>
          <w:tcPr>
            <w:tcW w:w="1860" w:type="dxa"/>
            <w:vAlign w:val="bottom"/>
            <w:gridSpan w:val="3"/>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5">
              <w:r>
                <w:rPr>
                  <w:rFonts w:ascii="Arial" w:cs="Arial" w:eastAsia="Arial" w:hAnsi="Arial"/>
                  <w:sz w:val="18"/>
                  <w:szCs w:val="18"/>
                  <w:color w:val="0000EE"/>
                  <w:w w:val="79"/>
                </w:rPr>
                <w:t>52</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7200" w:type="dxa"/>
            <w:vAlign w:val="bottom"/>
            <w:gridSpan w:val="7"/>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3140" w:type="dxa"/>
            <w:vAlign w:val="bottom"/>
            <w:gridSpan w:val="3"/>
          </w:tcPr>
          <w:p>
            <w:pPr>
              <w:spacing w:after="0"/>
              <w:rPr>
                <w:rFonts w:ascii="Arial" w:cs="Arial" w:eastAsia="Arial" w:hAnsi="Arial"/>
                <w:sz w:val="18"/>
                <w:szCs w:val="18"/>
                <w:color w:val="0000EE"/>
              </w:rPr>
            </w:pPr>
            <w:hyperlink w:anchor="page91">
              <w:r>
                <w:rPr>
                  <w:rFonts w:ascii="Arial" w:cs="Arial" w:eastAsia="Arial" w:hAnsi="Arial"/>
                  <w:sz w:val="18"/>
                  <w:szCs w:val="18"/>
                  <w:color w:val="0000EE"/>
                </w:rPr>
                <w:t>Supplementary Data (Unaudited)</w:t>
              </w:r>
            </w:hyperlink>
          </w:p>
        </w:tc>
        <w:tc>
          <w:tcPr>
            <w:tcW w:w="7200" w:type="dxa"/>
            <w:vAlign w:val="bottom"/>
            <w:gridSpan w:val="7"/>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91">
              <w:r>
                <w:rPr>
                  <w:rFonts w:ascii="Arial" w:cs="Arial" w:eastAsia="Arial" w:hAnsi="Arial"/>
                  <w:sz w:val="18"/>
                  <w:szCs w:val="18"/>
                  <w:color w:val="0000EE"/>
                  <w:w w:val="79"/>
                </w:rPr>
                <w:t>88</w:t>
              </w:r>
            </w:hyperlink>
          </w:p>
        </w:tc>
      </w:tr>
      <w:tr>
        <w:trPr>
          <w:trHeight w:val="507"/>
        </w:trPr>
        <w:tc>
          <w:tcPr>
            <w:tcW w:w="40" w:type="dxa"/>
            <w:vAlign w:val="bottom"/>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1660" w:type="dxa"/>
            <w:vAlign w:val="bottom"/>
            <w:tcBorders>
              <w:top w:val="single" w:sz="8" w:color="0000EE"/>
            </w:tcBorders>
          </w:tcPr>
          <w:p>
            <w:pPr>
              <w:spacing w:after="0"/>
              <w:rPr>
                <w:sz w:val="24"/>
                <w:szCs w:val="24"/>
                <w:color w:val="auto"/>
              </w:rPr>
            </w:pPr>
          </w:p>
        </w:tc>
        <w:tc>
          <w:tcPr>
            <w:tcW w:w="6040" w:type="dxa"/>
            <w:vAlign w:val="bottom"/>
            <w:gridSpan w:val="4"/>
          </w:tcPr>
          <w:p>
            <w:pPr>
              <w:jc w:val="right"/>
              <w:ind w:right="2570"/>
              <w:spacing w:after="0"/>
              <w:rPr>
                <w:sz w:val="20"/>
                <w:szCs w:val="20"/>
                <w:color w:val="auto"/>
              </w:rPr>
            </w:pPr>
            <w:r>
              <w:rPr>
                <w:rFonts w:ascii="Arial" w:cs="Arial" w:eastAsia="Arial" w:hAnsi="Arial"/>
                <w:sz w:val="18"/>
                <w:szCs w:val="18"/>
                <w:color w:val="auto"/>
              </w:rPr>
              <w:t>44</w:t>
            </w: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r>
    </w:tbl>
    <w:p>
      <w:pPr>
        <w:sectPr>
          <w:pgSz w:w="11900" w:h="16838" w:orient="portrait"/>
          <w:cols w:equalWidth="0" w:num="1">
            <w:col w:w="11400"/>
          </w:cols>
          <w:pgMar w:left="240" w:top="796" w:right="259" w:bottom="1440" w:gutter="0" w:footer="0" w:header="0"/>
        </w:sectPr>
      </w:pPr>
    </w:p>
    <w:bookmarkStart w:id="47" w:name="page48"/>
    <w:bookmarkEnd w:id="47"/>
    <w:p>
      <w:pPr>
        <w:ind w:left="26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211" w:lineRule="exact"/>
        <w:rPr>
          <w:sz w:val="20"/>
          <w:szCs w:val="20"/>
          <w:color w:val="auto"/>
        </w:rPr>
      </w:pPr>
    </w:p>
    <w:p>
      <w:pPr>
        <w:ind w:right="80" w:firstLine="405"/>
        <w:spacing w:after="0" w:line="257" w:lineRule="auto"/>
        <w:rPr>
          <w:sz w:val="20"/>
          <w:szCs w:val="20"/>
          <w:color w:val="auto"/>
        </w:rPr>
      </w:pPr>
      <w:r>
        <w:rPr>
          <w:rFonts w:ascii="Arial" w:cs="Arial" w:eastAsia="Arial" w:hAnsi="Arial"/>
          <w:sz w:val="18"/>
          <w:szCs w:val="18"/>
          <w:color w:val="auto"/>
        </w:rPr>
        <w:t>We have audited the accompanying consolidated balance sheets of Marvell Technology Group Ltd. and subsidiaries (the "Company") as of January 28, 2017 and January 30, 2016, and the related consolidated statements of operations, comprehensive income (loss), shareholders' equity, and cash flows for the years then ended. Our audits also included the financial statement schedule listed in the Index at Item 15. These financial statements and financial statement schedule are the responsibility of the Company's management. Our responsibility is to express an opinion on these financial statements and financial statement schedule based on our audits.</w:t>
      </w:r>
    </w:p>
    <w:p>
      <w:pPr>
        <w:spacing w:after="0" w:line="188"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We conducted our audits in accordance with the standards of the Public Company Accounting Oversight Board (United States). Those standards require that we plan and perform the audit to obtain reasonable assurance about whether the financial statements are free of material misstatement. An audit includes examining, on a test basis, evidence supporting the amounts and disclosures in the financial statements. An audit also includes assessing the accounting principles used and significant estimates made by management, as well as evaluating the overall financial statement presentation. We believe that our audits provide a reasonable basis for our opinion.</w:t>
      </w:r>
    </w:p>
    <w:p>
      <w:pPr>
        <w:spacing w:after="0" w:line="188" w:lineRule="exact"/>
        <w:rPr>
          <w:sz w:val="20"/>
          <w:szCs w:val="20"/>
          <w:color w:val="auto"/>
        </w:rPr>
      </w:pPr>
    </w:p>
    <w:p>
      <w:pPr>
        <w:jc w:val="both"/>
        <w:ind w:right="160" w:firstLine="405"/>
        <w:spacing w:after="0" w:line="302" w:lineRule="auto"/>
        <w:rPr>
          <w:sz w:val="20"/>
          <w:szCs w:val="20"/>
          <w:color w:val="auto"/>
        </w:rPr>
      </w:pPr>
      <w:r>
        <w:rPr>
          <w:rFonts w:ascii="Arial" w:cs="Arial" w:eastAsia="Arial" w:hAnsi="Arial"/>
          <w:sz w:val="16"/>
          <w:szCs w:val="16"/>
          <w:color w:val="auto"/>
        </w:rPr>
        <w:t>In our opinion, such consolidated financial statements present fairly, in all material respects, the financial position of Marvell Technology Group Ltd. and subsidiaries as of January 28, 2017 and January 30, 2016, and the results of their operations and their cash flows for the years then ended in conformity with accounting principles generally accepted in the United States of America. Also, in our opinion, such financial statement schedule, when considered in relation to the basic consolidated financial statements taken as a whole, presents fairly, in all material respects, the information set forth therein.</w:t>
      </w:r>
    </w:p>
    <w:p>
      <w:pPr>
        <w:spacing w:after="0" w:line="154"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the Company's internal control over financial reporting as of January 28, 2017, based on the criteria established in Internal Control-Integrated Framework (2013) issued by the Committee of Sponsoring Organizations of the Treadway Commission and our report dated March 27, 2017 expressed an adverse opinion on the Company’s internal control over financial reporting because of material weaknesses.</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40"/>
        <w:spacing w:after="0"/>
        <w:rPr>
          <w:sz w:val="20"/>
          <w:szCs w:val="20"/>
          <w:color w:val="auto"/>
        </w:rPr>
      </w:pPr>
      <w:r>
        <w:rPr>
          <w:rFonts w:ascii="Arial" w:cs="Arial" w:eastAsia="Arial" w:hAnsi="Arial"/>
          <w:sz w:val="18"/>
          <w:szCs w:val="18"/>
          <w:color w:val="auto"/>
        </w:rPr>
        <w:t>/s/ Deloitte &amp; Touche LLP</w:t>
      </w:r>
    </w:p>
    <w:p>
      <w:pPr>
        <w:spacing w:after="0" w:line="200" w:lineRule="exact"/>
        <w:rPr>
          <w:sz w:val="20"/>
          <w:szCs w:val="20"/>
          <w:color w:val="auto"/>
        </w:rPr>
      </w:pPr>
    </w:p>
    <w:p>
      <w:pPr>
        <w:spacing w:after="0" w:line="349" w:lineRule="exact"/>
        <w:rPr>
          <w:sz w:val="20"/>
          <w:szCs w:val="20"/>
          <w:color w:val="auto"/>
        </w:rPr>
      </w:pPr>
    </w:p>
    <w:p>
      <w:pPr>
        <w:ind w:left="40"/>
        <w:spacing w:after="0"/>
        <w:rPr>
          <w:sz w:val="20"/>
          <w:szCs w:val="20"/>
          <w:color w:val="auto"/>
        </w:rPr>
      </w:pPr>
      <w:r>
        <w:rPr>
          <w:rFonts w:ascii="Arial" w:cs="Arial" w:eastAsia="Arial" w:hAnsi="Arial"/>
          <w:sz w:val="18"/>
          <w:szCs w:val="18"/>
          <w:color w:val="auto"/>
        </w:rPr>
        <w:t>San Jose, California</w:t>
      </w:r>
    </w:p>
    <w:p>
      <w:pPr>
        <w:spacing w:after="0" w:line="63" w:lineRule="exact"/>
        <w:rPr>
          <w:sz w:val="20"/>
          <w:szCs w:val="20"/>
          <w:color w:val="auto"/>
        </w:rPr>
      </w:pPr>
    </w:p>
    <w:p>
      <w:pPr>
        <w:ind w:left="40"/>
        <w:spacing w:after="0"/>
        <w:rPr>
          <w:sz w:val="20"/>
          <w:szCs w:val="20"/>
          <w:color w:val="auto"/>
        </w:rPr>
      </w:pPr>
      <w:r>
        <w:rPr>
          <w:rFonts w:ascii="Arial" w:cs="Arial" w:eastAsia="Arial" w:hAnsi="Arial"/>
          <w:sz w:val="18"/>
          <w:szCs w:val="18"/>
          <w:color w:val="auto"/>
        </w:rPr>
        <w:t>March 27, 2017</w:t>
      </w:r>
    </w:p>
    <w:p>
      <w:pPr>
        <w:spacing w:after="0" w:line="27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60"/>
          </w:cols>
          <w:pgMar w:left="240" w:top="797" w:right="299" w:bottom="1440" w:gutter="0" w:footer="0" w:header="0"/>
        </w:sectPr>
      </w:pPr>
    </w:p>
    <w:bookmarkStart w:id="48" w:name="page49"/>
    <w:bookmarkEnd w:id="48"/>
    <w:p>
      <w:pPr>
        <w:ind w:right="2580" w:firstLine="2624"/>
        <w:spacing w:after="0" w:line="470"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4" w:lineRule="exact"/>
        <w:rPr>
          <w:sz w:val="20"/>
          <w:szCs w:val="20"/>
          <w:color w:val="auto"/>
        </w:rPr>
      </w:pPr>
    </w:p>
    <w:p>
      <w:pPr>
        <w:ind w:firstLine="405"/>
        <w:spacing w:after="0" w:line="287" w:lineRule="auto"/>
        <w:rPr>
          <w:sz w:val="20"/>
          <w:szCs w:val="20"/>
          <w:color w:val="auto"/>
        </w:rPr>
      </w:pPr>
      <w:r>
        <w:rPr>
          <w:rFonts w:ascii="Arial" w:cs="Arial" w:eastAsia="Arial" w:hAnsi="Arial"/>
          <w:sz w:val="16"/>
          <w:szCs w:val="16"/>
          <w:color w:val="auto"/>
        </w:rPr>
        <w:t>In our opinion, the accompanying consolidated statements of operations, of comprehensive income (loss), of shareholders’ equity and of cash flows for the year ended January 31, 2015 present fairly, in all material respects, the results of operations and cash flows of Marvell Technology Group Ltd. and its subsidiaries for the year ended January 31, 2015, in conformity with accounting principles generally accepted in the United States of America. In addition, in our opinion, the financial statement schedule listed in the index appearing under Item 15(a)(2) for the year ended January 31, 2015 presents fairly, in all material respects, the information set forth therein when read in conjunction with the related consolidated financial statements. These financial statements and financial statement schedule are the responsibility of the Company's management. Our responsibility is to express an opinion on these financial statements and financial statement schedule based on our audit. We conducted our audit of these financial statements in accordance with the standards of the Public Company Accounting Oversight Board (United States). Those standards require that we plan and perform the audit to obtain reasonable assurance about whether the financial statements are free of material misstatement. An audit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 provides a reasonable basis for our opinion.</w:t>
      </w: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40"/>
        <w:spacing w:after="0"/>
        <w:rPr>
          <w:sz w:val="20"/>
          <w:szCs w:val="20"/>
          <w:color w:val="auto"/>
        </w:rPr>
      </w:pPr>
      <w:r>
        <w:rPr>
          <w:rFonts w:ascii="Arial" w:cs="Arial" w:eastAsia="Arial" w:hAnsi="Arial"/>
          <w:sz w:val="18"/>
          <w:szCs w:val="18"/>
          <w:color w:val="auto"/>
        </w:rPr>
        <w:t>/s/ PricewaterhouseCoopers LLP</w:t>
      </w:r>
    </w:p>
    <w:p>
      <w:pPr>
        <w:spacing w:after="0" w:line="200" w:lineRule="exact"/>
        <w:rPr>
          <w:sz w:val="20"/>
          <w:szCs w:val="20"/>
          <w:color w:val="auto"/>
        </w:rPr>
      </w:pPr>
    </w:p>
    <w:p>
      <w:pPr>
        <w:spacing w:after="0" w:line="349" w:lineRule="exact"/>
        <w:rPr>
          <w:sz w:val="20"/>
          <w:szCs w:val="20"/>
          <w:color w:val="auto"/>
        </w:rPr>
      </w:pPr>
    </w:p>
    <w:p>
      <w:pPr>
        <w:ind w:left="40"/>
        <w:spacing w:after="0"/>
        <w:rPr>
          <w:sz w:val="20"/>
          <w:szCs w:val="20"/>
          <w:color w:val="auto"/>
        </w:rPr>
      </w:pPr>
      <w:r>
        <w:rPr>
          <w:rFonts w:ascii="Arial" w:cs="Arial" w:eastAsia="Arial" w:hAnsi="Arial"/>
          <w:sz w:val="18"/>
          <w:szCs w:val="18"/>
          <w:color w:val="auto"/>
        </w:rPr>
        <w:t>San Jose, California</w:t>
      </w:r>
    </w:p>
    <w:p>
      <w:pPr>
        <w:spacing w:after="0" w:line="63" w:lineRule="exact"/>
        <w:rPr>
          <w:sz w:val="20"/>
          <w:szCs w:val="20"/>
          <w:color w:val="auto"/>
        </w:rPr>
      </w:pPr>
    </w:p>
    <w:p>
      <w:pPr>
        <w:ind w:left="40"/>
        <w:spacing w:after="0"/>
        <w:rPr>
          <w:sz w:val="20"/>
          <w:szCs w:val="20"/>
          <w:color w:val="auto"/>
        </w:rPr>
      </w:pPr>
      <w:r>
        <w:rPr>
          <w:rFonts w:ascii="Arial" w:cs="Arial" w:eastAsia="Arial" w:hAnsi="Arial"/>
          <w:sz w:val="18"/>
          <w:szCs w:val="18"/>
          <w:color w:val="auto"/>
        </w:rPr>
        <w:t>March 26, 2015, except for the effects of discontinued operations</w:t>
      </w:r>
    </w:p>
    <w:p>
      <w:pPr>
        <w:spacing w:after="0" w:line="23" w:lineRule="exact"/>
        <w:rPr>
          <w:sz w:val="20"/>
          <w:szCs w:val="20"/>
          <w:color w:val="auto"/>
        </w:rPr>
      </w:pPr>
    </w:p>
    <w:p>
      <w:pPr>
        <w:ind w:left="40"/>
        <w:spacing w:after="0"/>
        <w:rPr>
          <w:sz w:val="20"/>
          <w:szCs w:val="20"/>
          <w:color w:val="auto"/>
        </w:rPr>
      </w:pPr>
      <w:r>
        <w:rPr>
          <w:rFonts w:ascii="Arial" w:cs="Arial" w:eastAsia="Arial" w:hAnsi="Arial"/>
          <w:sz w:val="18"/>
          <w:szCs w:val="18"/>
          <w:color w:val="auto"/>
        </w:rPr>
        <w:t>discussed in Note 2 to the consolidated financial statements,</w:t>
      </w:r>
    </w:p>
    <w:p>
      <w:pPr>
        <w:spacing w:after="0" w:line="9" w:lineRule="exact"/>
        <w:rPr>
          <w:sz w:val="20"/>
          <w:szCs w:val="20"/>
          <w:color w:val="auto"/>
        </w:rPr>
      </w:pPr>
    </w:p>
    <w:p>
      <w:pPr>
        <w:ind w:left="40"/>
        <w:spacing w:after="0"/>
        <w:rPr>
          <w:sz w:val="20"/>
          <w:szCs w:val="20"/>
          <w:color w:val="auto"/>
        </w:rPr>
      </w:pPr>
      <w:r>
        <w:rPr>
          <w:rFonts w:ascii="Arial" w:cs="Arial" w:eastAsia="Arial" w:hAnsi="Arial"/>
          <w:sz w:val="18"/>
          <w:szCs w:val="18"/>
          <w:color w:val="auto"/>
        </w:rPr>
        <w:t>as to which the date is March 27, 2017</w:t>
      </w:r>
    </w:p>
    <w:p>
      <w:pPr>
        <w:spacing w:after="0" w:line="2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796" w:right="279" w:bottom="1440" w:gutter="0" w:footer="0" w:header="0"/>
        </w:sectPr>
      </w:pPr>
    </w:p>
    <w:bookmarkStart w:id="49" w:name="page50"/>
    <w:bookmarkEnd w:id="49"/>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ind w:left="4160"/>
        <w:spacing w:after="0"/>
        <w:rPr>
          <w:sz w:val="20"/>
          <w:szCs w:val="20"/>
          <w:color w:val="auto"/>
        </w:rPr>
      </w:pPr>
      <w:r>
        <w:rPr>
          <w:rFonts w:ascii="Arial" w:cs="Arial" w:eastAsia="Arial" w:hAnsi="Arial"/>
          <w:sz w:val="18"/>
          <w:szCs w:val="18"/>
          <w:b w:val="1"/>
          <w:bCs w:val="1"/>
          <w:color w:val="auto"/>
        </w:rPr>
        <w:t>CONSOLIDATED BALANCE SHEETS</w:t>
      </w:r>
    </w:p>
    <w:p>
      <w:pPr>
        <w:spacing w:after="0" w:line="2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c>
          <w:tcPr>
            <w:tcW w:w="0" w:type="dxa"/>
            <w:vAlign w:val="bottom"/>
          </w:tcPr>
          <w:p>
            <w:pPr>
              <w:spacing w:after="0"/>
              <w:rPr>
                <w:sz w:val="1"/>
                <w:szCs w:val="1"/>
                <w:color w:val="auto"/>
              </w:rPr>
            </w:pPr>
          </w:p>
        </w:tc>
      </w:tr>
      <w:tr>
        <w:trPr>
          <w:trHeight w:val="250"/>
        </w:trPr>
        <w:tc>
          <w:tcPr>
            <w:tcW w:w="8320" w:type="dxa"/>
            <w:vAlign w:val="bottom"/>
            <w:tcBorders>
              <w:bottom w:val="single" w:sz="8" w:color="CCEEFF"/>
            </w:tcBorders>
            <w:shd w:val="clear" w:color="auto" w:fill="CCEEFF"/>
          </w:tcPr>
          <w:p>
            <w:pPr>
              <w:ind w:left="3840"/>
              <w:spacing w:after="0"/>
              <w:rPr>
                <w:sz w:val="20"/>
                <w:szCs w:val="20"/>
                <w:color w:val="auto"/>
              </w:rPr>
            </w:pPr>
            <w:r>
              <w:rPr>
                <w:rFonts w:ascii="Arial" w:cs="Arial" w:eastAsia="Arial" w:hAnsi="Arial"/>
                <w:sz w:val="18"/>
                <w:szCs w:val="18"/>
                <w:b w:val="1"/>
                <w:bCs w:val="1"/>
                <w:color w:val="auto"/>
              </w:rPr>
              <w:t>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814,092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1,278,180</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Short-term investments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854,268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1,004,569</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8320" w:type="dxa"/>
            <w:vAlign w:val="bottom"/>
            <w:shd w:val="clear" w:color="auto" w:fill="CCEEFF"/>
          </w:tcPr>
          <w:p>
            <w:pPr>
              <w:ind w:left="380"/>
              <w:spacing w:after="0"/>
              <w:rPr>
                <w:sz w:val="20"/>
                <w:szCs w:val="20"/>
                <w:color w:val="auto"/>
              </w:rPr>
            </w:pPr>
            <w:r>
              <w:rPr>
                <w:rFonts w:ascii="Arial" w:cs="Arial" w:eastAsia="Arial" w:hAnsi="Arial"/>
                <w:sz w:val="18"/>
                <w:szCs w:val="18"/>
                <w:color w:val="auto"/>
                <w:w w:val="94"/>
              </w:rPr>
              <w:t>Accounts receivable, net of provision for sales returns and allowances of $1,384 and $2,762 in fiscal 2017</w:t>
            </w: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8320" w:type="dxa"/>
            <w:vAlign w:val="bottom"/>
            <w:tcBorders>
              <w:bottom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and 2016, respectively</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335,384</w:t>
            </w: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323,300</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171,969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200,958</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58,771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102,560</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Assets held for sale</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45,846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45,095</w:t>
            </w:r>
          </w:p>
        </w:tc>
        <w:tc>
          <w:tcPr>
            <w:tcW w:w="0" w:type="dxa"/>
            <w:vAlign w:val="bottom"/>
          </w:tcPr>
          <w:p>
            <w:pPr>
              <w:spacing w:after="0"/>
              <w:rPr>
                <w:sz w:val="1"/>
                <w:szCs w:val="1"/>
                <w:color w:val="auto"/>
              </w:rPr>
            </w:pP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2,280,330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2,954,662</w:t>
            </w:r>
          </w:p>
        </w:tc>
        <w:tc>
          <w:tcPr>
            <w:tcW w:w="0" w:type="dxa"/>
            <w:vAlign w:val="bottom"/>
          </w:tcPr>
          <w:p>
            <w:pPr>
              <w:spacing w:after="0"/>
              <w:rPr>
                <w:sz w:val="1"/>
                <w:szCs w:val="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243,397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296,778</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investments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11,296</w:t>
            </w:r>
          </w:p>
        </w:tc>
        <w:tc>
          <w:tcPr>
            <w:tcW w:w="0" w:type="dxa"/>
            <w:vAlign w:val="bottom"/>
          </w:tcPr>
          <w:p>
            <w:pPr>
              <w:spacing w:after="0"/>
              <w:rPr>
                <w:sz w:val="1"/>
                <w:szCs w:val="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Goodwill</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2,003,413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2,003,413</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Acquired intangible assets,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3,571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11,947</w:t>
            </w:r>
          </w:p>
        </w:tc>
        <w:tc>
          <w:tcPr>
            <w:tcW w:w="0" w:type="dxa"/>
            <w:vAlign w:val="bottom"/>
          </w:tcPr>
          <w:p>
            <w:pPr>
              <w:spacing w:after="0"/>
              <w:rPr>
                <w:sz w:val="1"/>
                <w:szCs w:val="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113,324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164,031</w:t>
            </w:r>
          </w:p>
        </w:tc>
        <w:tc>
          <w:tcPr>
            <w:tcW w:w="0" w:type="dxa"/>
            <w:vAlign w:val="bottom"/>
          </w:tcPr>
          <w:p>
            <w:pPr>
              <w:spacing w:after="0"/>
              <w:rPr>
                <w:sz w:val="1"/>
                <w:szCs w:val="1"/>
                <w:color w:val="auto"/>
              </w:rPr>
            </w:pP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assets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4,648,650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5,442,127</w:t>
            </w:r>
          </w:p>
        </w:tc>
        <w:tc>
          <w:tcPr>
            <w:tcW w:w="0" w:type="dxa"/>
            <w:vAlign w:val="bottom"/>
          </w:tcPr>
          <w:p>
            <w:pPr>
              <w:spacing w:after="0"/>
              <w:rPr>
                <w:sz w:val="1"/>
                <w:szCs w:val="1"/>
                <w:color w:val="auto"/>
              </w:rPr>
            </w:pPr>
          </w:p>
        </w:tc>
      </w:tr>
      <w:tr>
        <w:trPr>
          <w:trHeight w:val="20"/>
        </w:trPr>
        <w:tc>
          <w:tcPr>
            <w:tcW w:w="8320" w:type="dxa"/>
            <w:vAlign w:val="bottom"/>
            <w:tcBorders>
              <w:top w:val="single" w:sz="8" w:color="CCEEFF"/>
              <w:bottom w:val="single" w:sz="8" w:color="CCEEFF"/>
            </w:tcBorders>
            <w:vMerge w:val="restart"/>
          </w:tcPr>
          <w:p>
            <w:pPr>
              <w:ind w:left="2220"/>
              <w:spacing w:after="0"/>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832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83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Accounts payable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143,484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180,372</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143,491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132,060</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Carnegie Mellon University accrued litigation settlement</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736,000</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139,647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121,631</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Deferred income</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68,124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53,973</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Current liabilities held for sale</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1,670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1,749</w:t>
            </w:r>
          </w:p>
        </w:tc>
        <w:tc>
          <w:tcPr>
            <w:tcW w:w="0" w:type="dxa"/>
            <w:vAlign w:val="bottom"/>
          </w:tcPr>
          <w:p>
            <w:pPr>
              <w:spacing w:after="0"/>
              <w:rPr>
                <w:sz w:val="1"/>
                <w:szCs w:val="1"/>
                <w:color w:val="auto"/>
              </w:rPr>
            </w:pPr>
          </w:p>
        </w:tc>
      </w:tr>
      <w:tr>
        <w:trPr>
          <w:trHeight w:val="237"/>
        </w:trPr>
        <w:tc>
          <w:tcPr>
            <w:tcW w:w="8320" w:type="dxa"/>
            <w:vAlign w:val="bottom"/>
          </w:tcPr>
          <w:p>
            <w:pPr>
              <w:ind w:left="720"/>
              <w:spacing w:after="0"/>
              <w:rPr>
                <w:sz w:val="20"/>
                <w:szCs w:val="20"/>
                <w:color w:val="auto"/>
              </w:rPr>
            </w:pPr>
            <w:r>
              <w:rPr>
                <w:rFonts w:ascii="Arial" w:cs="Arial" w:eastAsia="Arial" w:hAnsi="Arial"/>
                <w:sz w:val="18"/>
                <w:szCs w:val="18"/>
                <w:color w:val="auto"/>
              </w:rPr>
              <w:t>Total current liabilities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496,416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1,225,785</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60,646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49,256</w:t>
            </w:r>
          </w:p>
        </w:tc>
        <w:tc>
          <w:tcPr>
            <w:tcW w:w="0" w:type="dxa"/>
            <w:vAlign w:val="bottom"/>
          </w:tcPr>
          <w:p>
            <w:pPr>
              <w:spacing w:after="0"/>
              <w:rPr>
                <w:sz w:val="1"/>
                <w:szCs w:val="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63,937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26,963</w:t>
            </w:r>
          </w:p>
        </w:tc>
        <w:tc>
          <w:tcPr>
            <w:tcW w:w="0" w:type="dxa"/>
            <w:vAlign w:val="bottom"/>
          </w:tcPr>
          <w:p>
            <w:pPr>
              <w:spacing w:after="0"/>
              <w:rPr>
                <w:sz w:val="1"/>
                <w:szCs w:val="1"/>
                <w:color w:val="auto"/>
              </w:rPr>
            </w:pP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620,999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1,302,004</w:t>
            </w:r>
          </w:p>
        </w:tc>
        <w:tc>
          <w:tcPr>
            <w:tcW w:w="0" w:type="dxa"/>
            <w:vAlign w:val="bottom"/>
          </w:tcPr>
          <w:p>
            <w:pPr>
              <w:spacing w:after="0"/>
              <w:rPr>
                <w:sz w:val="1"/>
                <w:szCs w:val="1"/>
                <w:color w:val="auto"/>
              </w:rPr>
            </w:pPr>
          </w:p>
        </w:tc>
      </w:tr>
      <w:tr>
        <w:trPr>
          <w:trHeight w:val="223"/>
        </w:trPr>
        <w:tc>
          <w:tcPr>
            <w:tcW w:w="8320" w:type="dxa"/>
            <w:vAlign w:val="bottom"/>
          </w:tcPr>
          <w:p>
            <w:pPr>
              <w:ind w:left="40"/>
              <w:spacing w:after="0"/>
              <w:rPr>
                <w:sz w:val="20"/>
                <w:szCs w:val="20"/>
                <w:color w:val="auto"/>
              </w:rPr>
            </w:pPr>
            <w:r>
              <w:rPr>
                <w:rFonts w:ascii="Arial" w:cs="Arial" w:eastAsia="Arial" w:hAnsi="Arial"/>
                <w:sz w:val="18"/>
                <w:szCs w:val="18"/>
                <w:color w:val="auto"/>
              </w:rPr>
              <w:t>Commitments and contingencies (Note 10)</w:t>
            </w:r>
          </w:p>
        </w:tc>
        <w:tc>
          <w:tcPr>
            <w:tcW w:w="24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83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8320" w:type="dxa"/>
            <w:vAlign w:val="bottom"/>
            <w:shd w:val="clear" w:color="auto" w:fill="CCEEFF"/>
          </w:tcPr>
          <w:p>
            <w:pPr>
              <w:ind w:left="380"/>
              <w:spacing w:after="0"/>
              <w:rPr>
                <w:sz w:val="20"/>
                <w:szCs w:val="20"/>
                <w:color w:val="auto"/>
              </w:rPr>
            </w:pPr>
            <w:r>
              <w:rPr>
                <w:rFonts w:ascii="Arial" w:cs="Arial" w:eastAsia="Arial" w:hAnsi="Arial"/>
                <w:sz w:val="18"/>
                <w:szCs w:val="18"/>
                <w:color w:val="auto"/>
                <w:w w:val="96"/>
              </w:rPr>
              <w:t>Common stock, $0.002 par value; 992,000 shares authorized; 506,095 and 507,572 shares issued and</w:t>
            </w: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8320" w:type="dxa"/>
            <w:vAlign w:val="bottom"/>
            <w:tcBorders>
              <w:bottom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outstanding in fiscal 2017 and 2016, respectively</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1,012</w:t>
            </w: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1,015</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Additional paid-in capital</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3,016,775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3,028,921</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Accumulated other comprehensive income (loss)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Retained earnings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1,009,841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1,110,982</w:t>
            </w:r>
          </w:p>
        </w:tc>
        <w:tc>
          <w:tcPr>
            <w:tcW w:w="0" w:type="dxa"/>
            <w:vAlign w:val="bottom"/>
          </w:tcPr>
          <w:p>
            <w:pPr>
              <w:spacing w:after="0"/>
              <w:rPr>
                <w:sz w:val="1"/>
                <w:szCs w:val="1"/>
                <w:color w:val="auto"/>
              </w:rPr>
            </w:pP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shareholders’ equity</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4,027,651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4,140,123</w:t>
            </w:r>
          </w:p>
        </w:tc>
        <w:tc>
          <w:tcPr>
            <w:tcW w:w="0" w:type="dxa"/>
            <w:vAlign w:val="bottom"/>
          </w:tcPr>
          <w:p>
            <w:pPr>
              <w:spacing w:after="0"/>
              <w:rPr>
                <w:sz w:val="1"/>
                <w:szCs w:val="1"/>
                <w:color w:val="auto"/>
              </w:rPr>
            </w:pPr>
          </w:p>
        </w:tc>
      </w:tr>
      <w:tr>
        <w:trPr>
          <w:trHeight w:val="237"/>
        </w:trPr>
        <w:tc>
          <w:tcPr>
            <w:tcW w:w="8320" w:type="dxa"/>
            <w:vAlign w:val="bottom"/>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4,648,650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5,442,127</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00"/>
          </w:cols>
          <w:pgMar w:left="240" w:top="225" w:right="259" w:bottom="1440" w:gutter="0" w:footer="0" w:header="0"/>
        </w:sectPr>
      </w:pP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47</w:t>
      </w:r>
    </w:p>
    <w:p>
      <w:pPr>
        <w:sectPr>
          <w:pgSz w:w="11900" w:h="16838" w:orient="portrait"/>
          <w:cols w:equalWidth="0" w:num="1">
            <w:col w:w="11400"/>
          </w:cols>
          <w:pgMar w:left="240" w:top="225" w:right="259" w:bottom="1440" w:gutter="0" w:footer="0" w:header="0"/>
          <w:type w:val="continuous"/>
        </w:sectPr>
      </w:pPr>
    </w:p>
    <w:bookmarkStart w:id="50" w:name="page51"/>
    <w:bookmarkEnd w:id="50"/>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1"/>
              <w:spacing w:after="0" w:line="153" w:lineRule="exact"/>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2015</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2,317,674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2,649,216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3,637,206</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1,029,527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1,442,517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1,799,425</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831,398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994,733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1,091,547</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Selling and marketing</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115,817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124,096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139,627</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General and administrative</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127,376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145,359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124,046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Carnegie Mellon University litigation settlement</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654,667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Restructuring and other related charges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105,186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53,251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10,438</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Amortization and write-off of acquired intangible assets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8,376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10,098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15,747</w:t>
            </w:r>
          </w:p>
        </w:tc>
        <w:tc>
          <w:tcPr>
            <w:tcW w:w="0" w:type="dxa"/>
            <w:vAlign w:val="bottom"/>
          </w:tcPr>
          <w:p>
            <w:pPr>
              <w:spacing w:after="0"/>
              <w:rPr>
                <w:sz w:val="1"/>
                <w:szCs w:val="1"/>
                <w:color w:val="auto"/>
              </w:rPr>
            </w:pPr>
          </w:p>
        </w:tc>
      </w:tr>
      <w:tr>
        <w:trPr>
          <w:trHeight w:val="237"/>
        </w:trPr>
        <w:tc>
          <w:tcPr>
            <w:tcW w:w="6740" w:type="dxa"/>
            <w:vAlign w:val="bottom"/>
          </w:tcPr>
          <w:p>
            <w:pPr>
              <w:ind w:left="720"/>
              <w:spacing w:after="0"/>
              <w:rPr>
                <w:sz w:val="20"/>
                <w:szCs w:val="20"/>
                <w:color w:val="auto"/>
              </w:rPr>
            </w:pPr>
            <w:r>
              <w:rPr>
                <w:rFonts w:ascii="Arial" w:cs="Arial" w:eastAsia="Arial" w:hAnsi="Arial"/>
                <w:sz w:val="18"/>
                <w:szCs w:val="18"/>
                <w:color w:val="auto"/>
              </w:rPr>
              <w:t>Total operating costs and expenses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2,217,680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3,424,721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3,180,830</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99,994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(775,505)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456,376</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17,022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17,685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23,334</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before income taxes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117,016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(757,820)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479,710</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73,022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11,335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(4,077)</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43,994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(769,155)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483,787</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Loss from discontinued operations, net of tax</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(22,843)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(42,245)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(48,441)</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21,151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(811,400)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435,346</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0.95</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(0.05)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basic</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0.93</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(0.05)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diluted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0.84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Weighted average shares: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509,738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510,945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511,089</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Diluted</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517,513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510,945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520,760</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Cash dividends declared per share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00"/>
          </w:cols>
          <w:pgMar w:left="240" w:top="225" w:right="259" w:bottom="1440" w:gutter="0" w:footer="0" w:header="0"/>
        </w:sectPr>
      </w:pP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48</w:t>
      </w:r>
    </w:p>
    <w:p>
      <w:pPr>
        <w:sectPr>
          <w:pgSz w:w="11900" w:h="16838" w:orient="portrait"/>
          <w:cols w:equalWidth="0" w:num="1">
            <w:col w:w="11400"/>
          </w:cols>
          <w:pgMar w:left="240" w:top="225" w:right="259" w:bottom="1440" w:gutter="0" w:footer="0" w:header="0"/>
          <w:type w:val="continuous"/>
        </w:sectPr>
      </w:pPr>
    </w:p>
    <w:bookmarkStart w:id="51" w:name="page52"/>
    <w:bookmarkEnd w:id="51"/>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COMPREHENSIVE INCOME (LOSS)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4"/>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7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21,151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(811,400)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435,346</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change in unrealized gain (loss) on marketable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1,234</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Net change in unrealized loss on auction rate securities</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2,274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597</w:t>
            </w: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change in unrealized gain (loss) on cash flow hedges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963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1,047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(2,120)</w:t>
            </w:r>
          </w:p>
        </w:tc>
      </w:tr>
      <w:tr>
        <w:trPr>
          <w:trHeight w:val="237"/>
        </w:trPr>
        <w:tc>
          <w:tcPr>
            <w:tcW w:w="6740" w:type="dxa"/>
            <w:vAlign w:val="bottom"/>
          </w:tcPr>
          <w:p>
            <w:pPr>
              <w:ind w:left="7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818</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(1,103)</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(289)</w:t>
            </w: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Comprehensive income (loss), net of tax</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21,969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(812,503)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435,057</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225" w:right="259" w:bottom="1440" w:gutter="0" w:footer="0" w:header="0"/>
        </w:sectPr>
      </w:pPr>
    </w:p>
    <w:bookmarkStart w:id="52" w:name="page53"/>
    <w:bookmarkEnd w:id="52"/>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2540" w:type="dxa"/>
            <w:vAlign w:val="bottom"/>
            <w:gridSpan w:val="5"/>
            <w:vMerge w:val="restart"/>
          </w:tcPr>
          <w:p>
            <w:pPr>
              <w:ind w:left="760"/>
              <w:spacing w:after="0"/>
              <w:rPr>
                <w:sz w:val="20"/>
                <w:szCs w:val="20"/>
                <w:color w:val="auto"/>
              </w:rPr>
            </w:pPr>
            <w:r>
              <w:rPr>
                <w:rFonts w:ascii="Arial" w:cs="Arial" w:eastAsia="Arial" w:hAnsi="Arial"/>
                <w:sz w:val="14"/>
                <w:szCs w:val="14"/>
                <w:b w:val="1"/>
                <w:bCs w:val="1"/>
                <w:color w:val="auto"/>
              </w:rPr>
              <w:t>Common Stock</w:t>
            </w:r>
          </w:p>
        </w:tc>
        <w:tc>
          <w:tcPr>
            <w:tcW w:w="220" w:type="dxa"/>
            <w:vAlign w:val="bottom"/>
          </w:tcPr>
          <w:p>
            <w:pPr>
              <w:spacing w:after="0"/>
              <w:rPr>
                <w:sz w:val="14"/>
                <w:szCs w:val="14"/>
                <w:color w:val="auto"/>
              </w:rPr>
            </w:pPr>
          </w:p>
        </w:tc>
        <w:tc>
          <w:tcPr>
            <w:tcW w:w="114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6"/>
              </w:rPr>
              <w:t>Additional</w:t>
            </w:r>
          </w:p>
        </w:tc>
        <w:tc>
          <w:tcPr>
            <w:tcW w:w="180" w:type="dxa"/>
            <w:vAlign w:val="bottom"/>
          </w:tcPr>
          <w:p>
            <w:pPr>
              <w:spacing w:after="0"/>
              <w:rPr>
                <w:sz w:val="14"/>
                <w:szCs w:val="14"/>
                <w:color w:val="auto"/>
              </w:rPr>
            </w:pPr>
          </w:p>
        </w:tc>
        <w:tc>
          <w:tcPr>
            <w:tcW w:w="14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3"/>
              </w:rPr>
              <w:t>Accumulated</w:t>
            </w: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320" w:type="dxa"/>
            <w:vAlign w:val="bottom"/>
          </w:tcPr>
          <w:p>
            <w:pPr>
              <w:spacing w:after="0"/>
              <w:rPr>
                <w:sz w:val="12"/>
                <w:szCs w:val="12"/>
                <w:color w:val="auto"/>
              </w:rPr>
            </w:pPr>
          </w:p>
        </w:tc>
        <w:tc>
          <w:tcPr>
            <w:tcW w:w="2540" w:type="dxa"/>
            <w:vAlign w:val="bottom"/>
            <w:gridSpan w:val="5"/>
            <w:vMerge w:val="continue"/>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4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6"/>
              </w:rPr>
              <w:t>Other</w:t>
            </w: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0"/>
        </w:trPr>
        <w:tc>
          <w:tcPr>
            <w:tcW w:w="3320" w:type="dxa"/>
            <w:vAlign w:val="bottom"/>
          </w:tcPr>
          <w:p>
            <w:pPr>
              <w:spacing w:after="0"/>
              <w:rPr>
                <w:sz w:val="4"/>
                <w:szCs w:val="4"/>
                <w:color w:val="auto"/>
              </w:rPr>
            </w:pPr>
          </w:p>
        </w:tc>
        <w:tc>
          <w:tcPr>
            <w:tcW w:w="11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240" w:type="dxa"/>
            <w:vAlign w:val="bottom"/>
            <w:tcBorders>
              <w:bottom w:val="single" w:sz="8" w:color="auto"/>
            </w:tcBorders>
          </w:tcPr>
          <w:p>
            <w:pPr>
              <w:spacing w:after="0"/>
              <w:rPr>
                <w:sz w:val="4"/>
                <w:szCs w:val="4"/>
                <w:color w:val="auto"/>
              </w:rPr>
            </w:pPr>
          </w:p>
        </w:tc>
        <w:tc>
          <w:tcPr>
            <w:tcW w:w="940" w:type="dxa"/>
            <w:vAlign w:val="bottom"/>
            <w:tcBorders>
              <w:bottom w:val="single" w:sz="8" w:color="auto"/>
            </w:tcBorders>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gridSpan w:val="2"/>
            <w:vMerge w:val="restart"/>
          </w:tcPr>
          <w:p>
            <w:pPr>
              <w:jc w:val="center"/>
              <w:ind w:right="320"/>
              <w:spacing w:after="0" w:line="149" w:lineRule="exact"/>
              <w:rPr>
                <w:sz w:val="20"/>
                <w:szCs w:val="20"/>
                <w:color w:val="auto"/>
              </w:rPr>
            </w:pPr>
            <w:r>
              <w:rPr>
                <w:rFonts w:ascii="Arial" w:cs="Arial" w:eastAsia="Arial" w:hAnsi="Arial"/>
                <w:sz w:val="14"/>
                <w:szCs w:val="14"/>
                <w:b w:val="1"/>
                <w:bCs w:val="1"/>
                <w:color w:val="auto"/>
                <w:w w:val="98"/>
              </w:rPr>
              <w:t>Paid-in</w:t>
            </w:r>
          </w:p>
        </w:tc>
        <w:tc>
          <w:tcPr>
            <w:tcW w:w="180" w:type="dxa"/>
            <w:vAlign w:val="bottom"/>
          </w:tcPr>
          <w:p>
            <w:pPr>
              <w:spacing w:after="0"/>
              <w:rPr>
                <w:sz w:val="4"/>
                <w:szCs w:val="4"/>
                <w:color w:val="auto"/>
              </w:rPr>
            </w:pPr>
          </w:p>
        </w:tc>
        <w:tc>
          <w:tcPr>
            <w:tcW w:w="1400" w:type="dxa"/>
            <w:vAlign w:val="bottom"/>
            <w:gridSpan w:val="2"/>
            <w:vMerge w:val="restart"/>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Comprehensive</w:t>
            </w:r>
          </w:p>
        </w:tc>
        <w:tc>
          <w:tcPr>
            <w:tcW w:w="220" w:type="dxa"/>
            <w:vAlign w:val="bottom"/>
          </w:tcPr>
          <w:p>
            <w:pPr>
              <w:spacing w:after="0"/>
              <w:rPr>
                <w:sz w:val="4"/>
                <w:szCs w:val="4"/>
                <w:color w:val="auto"/>
              </w:rPr>
            </w:pPr>
          </w:p>
        </w:tc>
        <w:tc>
          <w:tcPr>
            <w:tcW w:w="1140" w:type="dxa"/>
            <w:vAlign w:val="bottom"/>
            <w:gridSpan w:val="2"/>
            <w:vMerge w:val="restart"/>
          </w:tcPr>
          <w:p>
            <w:pPr>
              <w:ind w:left="120"/>
              <w:spacing w:after="0" w:line="149" w:lineRule="exact"/>
              <w:rPr>
                <w:sz w:val="20"/>
                <w:szCs w:val="20"/>
                <w:color w:val="auto"/>
              </w:rPr>
            </w:pPr>
            <w:r>
              <w:rPr>
                <w:rFonts w:ascii="Arial" w:cs="Arial" w:eastAsia="Arial" w:hAnsi="Arial"/>
                <w:sz w:val="14"/>
                <w:szCs w:val="14"/>
                <w:b w:val="1"/>
                <w:bCs w:val="1"/>
                <w:color w:val="auto"/>
              </w:rPr>
              <w:t>Retained</w:t>
            </w: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9"/>
        </w:trPr>
        <w:tc>
          <w:tcPr>
            <w:tcW w:w="3320" w:type="dxa"/>
            <w:vAlign w:val="bottom"/>
          </w:tcPr>
          <w:p>
            <w:pPr>
              <w:spacing w:after="0"/>
              <w:rPr>
                <w:sz w:val="6"/>
                <w:szCs w:val="6"/>
                <w:color w:val="auto"/>
              </w:rPr>
            </w:pPr>
          </w:p>
        </w:tc>
        <w:tc>
          <w:tcPr>
            <w:tcW w:w="1260" w:type="dxa"/>
            <w:vAlign w:val="bottom"/>
            <w:gridSpan w:val="2"/>
            <w:vMerge w:val="restart"/>
          </w:tcPr>
          <w:p>
            <w:pPr>
              <w:ind w:left="360"/>
              <w:spacing w:after="0"/>
              <w:rPr>
                <w:sz w:val="20"/>
                <w:szCs w:val="20"/>
                <w:color w:val="auto"/>
              </w:rPr>
            </w:pPr>
            <w:r>
              <w:rPr>
                <w:rFonts w:ascii="Arial" w:cs="Arial" w:eastAsia="Arial" w:hAnsi="Arial"/>
                <w:sz w:val="14"/>
                <w:szCs w:val="14"/>
                <w:b w:val="1"/>
                <w:bCs w:val="1"/>
                <w:color w:val="auto"/>
              </w:rPr>
              <w:t>Shares</w:t>
            </w:r>
          </w:p>
        </w:tc>
        <w:tc>
          <w:tcPr>
            <w:tcW w:w="240" w:type="dxa"/>
            <w:vAlign w:val="bottom"/>
          </w:tcPr>
          <w:p>
            <w:pPr>
              <w:spacing w:after="0"/>
              <w:rPr>
                <w:sz w:val="6"/>
                <w:szCs w:val="6"/>
                <w:color w:val="auto"/>
              </w:rPr>
            </w:pPr>
          </w:p>
        </w:tc>
        <w:tc>
          <w:tcPr>
            <w:tcW w:w="104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Amount</w:t>
            </w:r>
          </w:p>
        </w:tc>
        <w:tc>
          <w:tcPr>
            <w:tcW w:w="220" w:type="dxa"/>
            <w:vAlign w:val="bottom"/>
          </w:tcPr>
          <w:p>
            <w:pPr>
              <w:spacing w:after="0"/>
              <w:rPr>
                <w:sz w:val="6"/>
                <w:szCs w:val="6"/>
                <w:color w:val="auto"/>
              </w:rPr>
            </w:pPr>
          </w:p>
        </w:tc>
        <w:tc>
          <w:tcPr>
            <w:tcW w:w="1140" w:type="dxa"/>
            <w:vAlign w:val="bottom"/>
            <w:gridSpan w:val="2"/>
            <w:vMerge w:val="continue"/>
          </w:tcPr>
          <w:p>
            <w:pPr>
              <w:spacing w:after="0"/>
              <w:rPr>
                <w:sz w:val="6"/>
                <w:szCs w:val="6"/>
                <w:color w:val="auto"/>
              </w:rPr>
            </w:pPr>
          </w:p>
        </w:tc>
        <w:tc>
          <w:tcPr>
            <w:tcW w:w="180" w:type="dxa"/>
            <w:vAlign w:val="bottom"/>
          </w:tcPr>
          <w:p>
            <w:pPr>
              <w:spacing w:after="0"/>
              <w:rPr>
                <w:sz w:val="6"/>
                <w:szCs w:val="6"/>
                <w:color w:val="auto"/>
              </w:rPr>
            </w:pPr>
          </w:p>
        </w:tc>
        <w:tc>
          <w:tcPr>
            <w:tcW w:w="1400" w:type="dxa"/>
            <w:vAlign w:val="bottom"/>
            <w:gridSpan w:val="2"/>
            <w:vMerge w:val="continue"/>
          </w:tcPr>
          <w:p>
            <w:pPr>
              <w:spacing w:after="0"/>
              <w:rPr>
                <w:sz w:val="6"/>
                <w:szCs w:val="6"/>
                <w:color w:val="auto"/>
              </w:rPr>
            </w:pPr>
          </w:p>
        </w:tc>
        <w:tc>
          <w:tcPr>
            <w:tcW w:w="220" w:type="dxa"/>
            <w:vAlign w:val="bottom"/>
          </w:tcPr>
          <w:p>
            <w:pPr>
              <w:spacing w:after="0"/>
              <w:rPr>
                <w:sz w:val="6"/>
                <w:szCs w:val="6"/>
                <w:color w:val="auto"/>
              </w:rPr>
            </w:pPr>
          </w:p>
        </w:tc>
        <w:tc>
          <w:tcPr>
            <w:tcW w:w="1140" w:type="dxa"/>
            <w:vAlign w:val="bottom"/>
            <w:gridSpan w:val="2"/>
            <w:vMerge w:val="continue"/>
          </w:tcPr>
          <w:p>
            <w:pPr>
              <w:spacing w:after="0"/>
              <w:rPr>
                <w:sz w:val="6"/>
                <w:szCs w:val="6"/>
                <w:color w:val="auto"/>
              </w:rPr>
            </w:pPr>
          </w:p>
        </w:tc>
        <w:tc>
          <w:tcPr>
            <w:tcW w:w="260" w:type="dxa"/>
            <w:vAlign w:val="bottom"/>
          </w:tcPr>
          <w:p>
            <w:pPr>
              <w:spacing w:after="0"/>
              <w:rPr>
                <w:sz w:val="6"/>
                <w:szCs w:val="6"/>
                <w:color w:val="auto"/>
              </w:rPr>
            </w:pPr>
          </w:p>
        </w:tc>
        <w:tc>
          <w:tcPr>
            <w:tcW w:w="980" w:type="dxa"/>
            <w:vAlign w:val="bottom"/>
            <w:vMerge w:val="restart"/>
          </w:tcPr>
          <w:p>
            <w:pPr>
              <w:jc w:val="right"/>
              <w:ind w:right="3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320" w:type="dxa"/>
            <w:vAlign w:val="bottom"/>
          </w:tcPr>
          <w:p>
            <w:pPr>
              <w:spacing w:after="0"/>
              <w:rPr>
                <w:sz w:val="16"/>
                <w:szCs w:val="16"/>
                <w:color w:val="auto"/>
              </w:rPr>
            </w:pPr>
          </w:p>
        </w:tc>
        <w:tc>
          <w:tcPr>
            <w:tcW w:w="12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04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11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8"/>
              </w:rPr>
              <w:t>Capital</w:t>
            </w:r>
          </w:p>
        </w:tc>
        <w:tc>
          <w:tcPr>
            <w:tcW w:w="180" w:type="dxa"/>
            <w:vAlign w:val="bottom"/>
          </w:tcPr>
          <w:p>
            <w:pPr>
              <w:spacing w:after="0"/>
              <w:rPr>
                <w:sz w:val="16"/>
                <w:szCs w:val="16"/>
                <w:color w:val="auto"/>
              </w:rPr>
            </w:pPr>
          </w:p>
        </w:tc>
        <w:tc>
          <w:tcPr>
            <w:tcW w:w="14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Income (Loss)</w:t>
            </w:r>
          </w:p>
        </w:tc>
        <w:tc>
          <w:tcPr>
            <w:tcW w:w="220" w:type="dxa"/>
            <w:vAlign w:val="bottom"/>
          </w:tcPr>
          <w:p>
            <w:pPr>
              <w:spacing w:after="0"/>
              <w:rPr>
                <w:sz w:val="16"/>
                <w:szCs w:val="16"/>
                <w:color w:val="auto"/>
              </w:rPr>
            </w:pPr>
          </w:p>
        </w:tc>
        <w:tc>
          <w:tcPr>
            <w:tcW w:w="1140" w:type="dxa"/>
            <w:vAlign w:val="bottom"/>
            <w:gridSpan w:val="2"/>
          </w:tcPr>
          <w:p>
            <w:pPr>
              <w:ind w:left="120"/>
              <w:spacing w:after="0"/>
              <w:rPr>
                <w:sz w:val="20"/>
                <w:szCs w:val="20"/>
                <w:color w:val="auto"/>
              </w:rPr>
            </w:pPr>
            <w:r>
              <w:rPr>
                <w:rFonts w:ascii="Arial" w:cs="Arial" w:eastAsia="Arial" w:hAnsi="Arial"/>
                <w:sz w:val="14"/>
                <w:szCs w:val="14"/>
                <w:b w:val="1"/>
                <w:bCs w:val="1"/>
                <w:color w:val="auto"/>
              </w:rPr>
              <w:t>Earnings</w:t>
            </w:r>
          </w:p>
        </w:tc>
        <w:tc>
          <w:tcPr>
            <w:tcW w:w="26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3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February 1, 2014</w:t>
            </w:r>
          </w:p>
        </w:tc>
        <w:tc>
          <w:tcPr>
            <w:tcW w:w="114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502,405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1,005</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2,941,650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597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1,732,658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4,675,910</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w w:val="92"/>
              </w:rPr>
              <w:t>Shares issued pursuant to stock options and</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awards</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9,673</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ind w:right="31"/>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38,020</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38,039</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320" w:type="dxa"/>
            <w:vAlign w:val="bottom"/>
            <w:shd w:val="clear" w:color="auto" w:fill="CCEEFF"/>
          </w:tcPr>
          <w:p>
            <w:pPr>
              <w:ind w:left="40"/>
              <w:spacing w:after="0"/>
              <w:rPr>
                <w:sz w:val="20"/>
                <w:szCs w:val="20"/>
                <w:color w:val="auto"/>
              </w:rPr>
            </w:pPr>
            <w:r>
              <w:rPr>
                <w:rFonts w:ascii="Arial" w:cs="Arial" w:eastAsia="Arial" w:hAnsi="Arial"/>
                <w:sz w:val="18"/>
                <w:szCs w:val="18"/>
                <w:color w:val="auto"/>
              </w:rPr>
              <w:t>Issuance of common stock under the</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employee stock purchase plan</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9,690</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74,299</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74,318</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w w:val="94"/>
              </w:rPr>
              <w:t>Cancellation of restricted stock units for net</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share settlement</w:t>
            </w:r>
          </w:p>
        </w:tc>
        <w:tc>
          <w:tcPr>
            <w:tcW w:w="1140" w:type="dxa"/>
            <w:vAlign w:val="bottom"/>
          </w:tcPr>
          <w:p>
            <w:pPr>
              <w:jc w:val="right"/>
              <w:spacing w:after="0"/>
              <w:rPr>
                <w:sz w:val="20"/>
                <w:szCs w:val="20"/>
                <w:color w:val="auto"/>
              </w:rPr>
            </w:pPr>
            <w:r>
              <w:rPr>
                <w:rFonts w:ascii="Arial" w:cs="Arial" w:eastAsia="Arial" w:hAnsi="Arial"/>
                <w:sz w:val="18"/>
                <w:szCs w:val="18"/>
                <w:color w:val="auto"/>
              </w:rPr>
              <w:t>(1,661)</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(26,491)</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(26,494)</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137,001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137,001</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rPr>
              <w:t>Tax benefit from employee stock</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transactions</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(5,070)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(64,952)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(64,962)</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rPr>
              <w:t>Cash dividends declared and paid</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(cumulatively $0.24 per share)</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(122,801)</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(122,801)</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435,346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435,346</w:t>
            </w:r>
          </w:p>
        </w:tc>
        <w:tc>
          <w:tcPr>
            <w:tcW w:w="0" w:type="dxa"/>
            <w:vAlign w:val="bottom"/>
          </w:tcPr>
          <w:p>
            <w:pPr>
              <w:spacing w:after="0"/>
              <w:rPr>
                <w:sz w:val="1"/>
                <w:szCs w:val="1"/>
                <w:color w:val="auto"/>
              </w:rPr>
            </w:pPr>
          </w:p>
        </w:tc>
      </w:tr>
      <w:tr>
        <w:trPr>
          <w:trHeight w:val="243"/>
        </w:trPr>
        <w:tc>
          <w:tcPr>
            <w:tcW w:w="3320" w:type="dxa"/>
            <w:vAlign w:val="bottom"/>
          </w:tcPr>
          <w:p>
            <w:pPr>
              <w:ind w:left="40"/>
              <w:spacing w:after="0"/>
              <w:rPr>
                <w:sz w:val="20"/>
                <w:szCs w:val="20"/>
                <w:color w:val="auto"/>
              </w:rPr>
            </w:pPr>
            <w:r>
              <w:rPr>
                <w:rFonts w:ascii="Arial" w:cs="Arial" w:eastAsia="Arial" w:hAnsi="Arial"/>
                <w:sz w:val="18"/>
                <w:szCs w:val="18"/>
                <w:color w:val="auto"/>
              </w:rPr>
              <w:t>Other comprehensive loss</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(289)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(289)</w:t>
            </w:r>
          </w:p>
        </w:tc>
        <w:tc>
          <w:tcPr>
            <w:tcW w:w="0" w:type="dxa"/>
            <w:vAlign w:val="bottom"/>
          </w:tcPr>
          <w:p>
            <w:pPr>
              <w:spacing w:after="0"/>
              <w:rPr>
                <w:sz w:val="1"/>
                <w:szCs w:val="1"/>
                <w:color w:val="auto"/>
              </w:rPr>
            </w:pPr>
          </w:p>
        </w:tc>
      </w:tr>
      <w:tr>
        <w:trPr>
          <w:trHeight w:val="27"/>
        </w:trPr>
        <w:tc>
          <w:tcPr>
            <w:tcW w:w="33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January 31, 2015</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515,037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1,030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3,099,548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308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2,045,203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5,146,089</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w w:val="92"/>
              </w:rPr>
              <w:t>Shares issued pursuant to stock options and</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awards</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8,022</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ind w:right="31"/>
              <w:spacing w:after="0"/>
              <w:rPr>
                <w:sz w:val="20"/>
                <w:szCs w:val="20"/>
                <w:color w:val="auto"/>
              </w:rPr>
            </w:pPr>
            <w:r>
              <w:rPr>
                <w:rFonts w:ascii="Arial" w:cs="Arial" w:eastAsia="Arial" w:hAnsi="Arial"/>
                <w:sz w:val="18"/>
                <w:szCs w:val="18"/>
                <w:color w:val="auto"/>
              </w:rPr>
              <w:t>16</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21,763</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21,779</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320" w:type="dxa"/>
            <w:vAlign w:val="bottom"/>
            <w:shd w:val="clear" w:color="auto" w:fill="CCEEFF"/>
          </w:tcPr>
          <w:p>
            <w:pPr>
              <w:ind w:left="40"/>
              <w:spacing w:after="0"/>
              <w:rPr>
                <w:sz w:val="20"/>
                <w:szCs w:val="20"/>
                <w:color w:val="auto"/>
              </w:rPr>
            </w:pPr>
            <w:r>
              <w:rPr>
                <w:rFonts w:ascii="Arial" w:cs="Arial" w:eastAsia="Arial" w:hAnsi="Arial"/>
                <w:sz w:val="18"/>
                <w:szCs w:val="18"/>
                <w:color w:val="auto"/>
              </w:rPr>
              <w:t>Issuance of common stock under the</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employee stock purchase plan</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5,890</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58,927</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58,938</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w w:val="94"/>
              </w:rPr>
              <w:t>Cancellation of restricted stock units for net</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share settlement</w:t>
            </w:r>
          </w:p>
        </w:tc>
        <w:tc>
          <w:tcPr>
            <w:tcW w:w="1140" w:type="dxa"/>
            <w:vAlign w:val="bottom"/>
          </w:tcPr>
          <w:p>
            <w:pPr>
              <w:jc w:val="right"/>
              <w:spacing w:after="0"/>
              <w:rPr>
                <w:sz w:val="20"/>
                <w:szCs w:val="20"/>
                <w:color w:val="auto"/>
              </w:rPr>
            </w:pPr>
            <w:r>
              <w:rPr>
                <w:rFonts w:ascii="Arial" w:cs="Arial" w:eastAsia="Arial" w:hAnsi="Arial"/>
                <w:sz w:val="18"/>
                <w:szCs w:val="18"/>
                <w:color w:val="auto"/>
              </w:rPr>
              <w:t>(1,677)</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(24,355)</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(24,358)</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133,766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133,766</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rPr>
              <w:t>Tax benefit from employee stock</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transactions</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108</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(19,700)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(260,836)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(260,875)</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rPr>
              <w:t>Cash dividends declared and paid</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(cumulatively $0.24 per share)</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(122,821)</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(122,821)</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loss</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(811,400)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(811,400)</w:t>
            </w:r>
          </w:p>
        </w:tc>
        <w:tc>
          <w:tcPr>
            <w:tcW w:w="0" w:type="dxa"/>
            <w:vAlign w:val="bottom"/>
          </w:tcPr>
          <w:p>
            <w:pPr>
              <w:spacing w:after="0"/>
              <w:rPr>
                <w:sz w:val="1"/>
                <w:szCs w:val="1"/>
                <w:color w:val="auto"/>
              </w:rPr>
            </w:pPr>
          </w:p>
        </w:tc>
      </w:tr>
      <w:tr>
        <w:trPr>
          <w:trHeight w:val="243"/>
        </w:trPr>
        <w:tc>
          <w:tcPr>
            <w:tcW w:w="3320" w:type="dxa"/>
            <w:vAlign w:val="bottom"/>
          </w:tcPr>
          <w:p>
            <w:pPr>
              <w:ind w:left="40"/>
              <w:spacing w:after="0"/>
              <w:rPr>
                <w:sz w:val="20"/>
                <w:szCs w:val="20"/>
                <w:color w:val="auto"/>
              </w:rPr>
            </w:pPr>
            <w:r>
              <w:rPr>
                <w:rFonts w:ascii="Arial" w:cs="Arial" w:eastAsia="Arial" w:hAnsi="Arial"/>
                <w:sz w:val="18"/>
                <w:szCs w:val="18"/>
                <w:color w:val="auto"/>
              </w:rPr>
              <w:t>Other comprehensive loss</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(1,103)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(1,103)</w:t>
            </w:r>
          </w:p>
        </w:tc>
        <w:tc>
          <w:tcPr>
            <w:tcW w:w="0" w:type="dxa"/>
            <w:vAlign w:val="bottom"/>
          </w:tcPr>
          <w:p>
            <w:pPr>
              <w:spacing w:after="0"/>
              <w:rPr>
                <w:sz w:val="1"/>
                <w:szCs w:val="1"/>
                <w:color w:val="auto"/>
              </w:rPr>
            </w:pPr>
          </w:p>
        </w:tc>
      </w:tr>
      <w:tr>
        <w:trPr>
          <w:trHeight w:val="27"/>
        </w:trPr>
        <w:tc>
          <w:tcPr>
            <w:tcW w:w="33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January 30, 2016</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507,572</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3,028,921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1,110,982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4,140,123</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w w:val="92"/>
              </w:rPr>
              <w:t>Shares issued pursuant to stock options and</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awards</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11,203</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ind w:right="31"/>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57,509</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57,531</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320" w:type="dxa"/>
            <w:vAlign w:val="bottom"/>
            <w:shd w:val="clear" w:color="auto" w:fill="CCEEFF"/>
          </w:tcPr>
          <w:p>
            <w:pPr>
              <w:ind w:left="40"/>
              <w:spacing w:after="0"/>
              <w:rPr>
                <w:sz w:val="20"/>
                <w:szCs w:val="20"/>
                <w:color w:val="auto"/>
              </w:rPr>
            </w:pPr>
            <w:r>
              <w:rPr>
                <w:rFonts w:ascii="Arial" w:cs="Arial" w:eastAsia="Arial" w:hAnsi="Arial"/>
                <w:sz w:val="18"/>
                <w:szCs w:val="18"/>
                <w:color w:val="auto"/>
              </w:rPr>
              <w:t>Issuance of common stock under the</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employee stock purchase plan</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2,276</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16,683</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16,688</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w w:val="94"/>
              </w:rPr>
              <w:t>Cancellation of restricted stock units for net</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share settlement</w:t>
            </w:r>
          </w:p>
        </w:tc>
        <w:tc>
          <w:tcPr>
            <w:tcW w:w="1140" w:type="dxa"/>
            <w:vAlign w:val="bottom"/>
          </w:tcPr>
          <w:p>
            <w:pPr>
              <w:jc w:val="right"/>
              <w:spacing w:after="0"/>
              <w:rPr>
                <w:sz w:val="20"/>
                <w:szCs w:val="20"/>
                <w:color w:val="auto"/>
              </w:rPr>
            </w:pPr>
            <w:r>
              <w:rPr>
                <w:rFonts w:ascii="Arial" w:cs="Arial" w:eastAsia="Arial" w:hAnsi="Arial"/>
                <w:sz w:val="18"/>
                <w:szCs w:val="18"/>
                <w:color w:val="auto"/>
              </w:rPr>
              <w:t>(1,653)</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(16,679)</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(16,682)</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113,402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113,402</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rPr>
              <w:t>Tax deficiency from employee stock</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transactions</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(24)</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(13,303)</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(183,037)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(183,064)</w:t>
            </w:r>
          </w:p>
        </w:tc>
        <w:tc>
          <w:tcPr>
            <w:tcW w:w="0" w:type="dxa"/>
            <w:vAlign w:val="bottom"/>
          </w:tcPr>
          <w:p>
            <w:pPr>
              <w:spacing w:after="0"/>
              <w:rPr>
                <w:sz w:val="1"/>
                <w:szCs w:val="1"/>
                <w:color w:val="auto"/>
              </w:rPr>
            </w:pPr>
          </w:p>
        </w:tc>
      </w:tr>
      <w:tr>
        <w:trPr>
          <w:trHeight w:val="229"/>
        </w:trPr>
        <w:tc>
          <w:tcPr>
            <w:tcW w:w="3320" w:type="dxa"/>
            <w:vAlign w:val="bottom"/>
          </w:tcPr>
          <w:p>
            <w:pPr>
              <w:ind w:left="40"/>
              <w:spacing w:after="0"/>
              <w:rPr>
                <w:sz w:val="20"/>
                <w:szCs w:val="20"/>
                <w:color w:val="auto"/>
              </w:rPr>
            </w:pPr>
            <w:r>
              <w:rPr>
                <w:rFonts w:ascii="Arial" w:cs="Arial" w:eastAsia="Arial" w:hAnsi="Arial"/>
                <w:sz w:val="18"/>
                <w:szCs w:val="18"/>
                <w:color w:val="auto"/>
              </w:rPr>
              <w:t>Cash dividends declared and paid</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20" w:type="dxa"/>
            <w:vAlign w:val="bottom"/>
          </w:tcPr>
          <w:p>
            <w:pPr>
              <w:ind w:left="200"/>
              <w:spacing w:after="0"/>
              <w:rPr>
                <w:sz w:val="20"/>
                <w:szCs w:val="20"/>
                <w:color w:val="auto"/>
              </w:rPr>
            </w:pPr>
            <w:r>
              <w:rPr>
                <w:rFonts w:ascii="Arial" w:cs="Arial" w:eastAsia="Arial" w:hAnsi="Arial"/>
                <w:sz w:val="18"/>
                <w:szCs w:val="18"/>
                <w:color w:val="auto"/>
              </w:rPr>
              <w:t>(cumulatively $0.24 per share)</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(122,292)</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(122,292)</w:t>
            </w:r>
          </w:p>
        </w:tc>
        <w:tc>
          <w:tcPr>
            <w:tcW w:w="0" w:type="dxa"/>
            <w:vAlign w:val="bottom"/>
          </w:tcPr>
          <w:p>
            <w:pPr>
              <w:spacing w:after="0"/>
              <w:rPr>
                <w:sz w:val="1"/>
                <w:szCs w:val="1"/>
                <w:color w:val="auto"/>
              </w:rPr>
            </w:pPr>
          </w:p>
        </w:tc>
      </w:tr>
      <w:tr>
        <w:trPr>
          <w:trHeight w:val="27"/>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21,151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21,151</w:t>
            </w:r>
          </w:p>
        </w:tc>
        <w:tc>
          <w:tcPr>
            <w:tcW w:w="0" w:type="dxa"/>
            <w:vAlign w:val="bottom"/>
          </w:tcPr>
          <w:p>
            <w:pPr>
              <w:spacing w:after="0"/>
              <w:rPr>
                <w:sz w:val="1"/>
                <w:szCs w:val="1"/>
                <w:color w:val="auto"/>
              </w:rPr>
            </w:pPr>
          </w:p>
        </w:tc>
      </w:tr>
      <w:tr>
        <w:trPr>
          <w:trHeight w:val="243"/>
        </w:trPr>
        <w:tc>
          <w:tcPr>
            <w:tcW w:w="3320" w:type="dxa"/>
            <w:vAlign w:val="bottom"/>
          </w:tcPr>
          <w:p>
            <w:pPr>
              <w:ind w:left="40"/>
              <w:spacing w:after="0"/>
              <w:rPr>
                <w:sz w:val="20"/>
                <w:szCs w:val="20"/>
                <w:color w:val="auto"/>
              </w:rPr>
            </w:pPr>
            <w:r>
              <w:rPr>
                <w:rFonts w:ascii="Arial" w:cs="Arial" w:eastAsia="Arial" w:hAnsi="Arial"/>
                <w:sz w:val="18"/>
                <w:szCs w:val="18"/>
                <w:color w:val="auto"/>
              </w:rPr>
              <w:t>Other comprehensive income</w:t>
            </w: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300" w:type="dxa"/>
            <w:vAlign w:val="bottom"/>
          </w:tcPr>
          <w:p>
            <w:pPr>
              <w:jc w:val="right"/>
              <w:ind w:right="32"/>
              <w:spacing w:after="0"/>
              <w:rPr>
                <w:sz w:val="20"/>
                <w:szCs w:val="20"/>
                <w:color w:val="auto"/>
              </w:rPr>
            </w:pPr>
            <w:r>
              <w:rPr>
                <w:rFonts w:ascii="Arial" w:cs="Arial" w:eastAsia="Arial" w:hAnsi="Arial"/>
                <w:sz w:val="18"/>
                <w:szCs w:val="18"/>
                <w:color w:val="auto"/>
              </w:rPr>
              <w:t>818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818</w:t>
            </w:r>
          </w:p>
        </w:tc>
        <w:tc>
          <w:tcPr>
            <w:tcW w:w="0" w:type="dxa"/>
            <w:vAlign w:val="bottom"/>
          </w:tcPr>
          <w:p>
            <w:pPr>
              <w:spacing w:after="0"/>
              <w:rPr>
                <w:sz w:val="1"/>
                <w:szCs w:val="1"/>
                <w:color w:val="auto"/>
              </w:rPr>
            </w:pPr>
          </w:p>
        </w:tc>
      </w:tr>
      <w:tr>
        <w:trPr>
          <w:trHeight w:val="27"/>
        </w:trPr>
        <w:tc>
          <w:tcPr>
            <w:tcW w:w="33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January 28, 2017</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506,095</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1,012</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3,016,775</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23</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4,027,651</w:t>
            </w:r>
          </w:p>
        </w:tc>
        <w:tc>
          <w:tcPr>
            <w:tcW w:w="0" w:type="dxa"/>
            <w:vAlign w:val="bottom"/>
          </w:tcPr>
          <w:p>
            <w:pPr>
              <w:spacing w:after="0"/>
              <w:rPr>
                <w:sz w:val="1"/>
                <w:szCs w:val="1"/>
                <w:color w:val="auto"/>
              </w:rPr>
            </w:pPr>
          </w:p>
        </w:tc>
      </w:tr>
      <w:tr>
        <w:trPr>
          <w:trHeight w:val="20"/>
        </w:trPr>
        <w:tc>
          <w:tcPr>
            <w:tcW w:w="3320" w:type="dxa"/>
            <w:vAlign w:val="bottom"/>
            <w:tcBorders>
              <w:top w:val="single" w:sz="8" w:color="CCEEFF"/>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00"/>
          </w:cols>
          <w:pgMar w:left="240" w:top="225" w:right="259" w:bottom="1440" w:gutter="0" w:footer="0" w:header="0"/>
        </w:sectPr>
      </w:pP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50</w:t>
      </w:r>
    </w:p>
    <w:p>
      <w:pPr>
        <w:sectPr>
          <w:pgSz w:w="11900" w:h="16838" w:orient="portrait"/>
          <w:cols w:equalWidth="0" w:num="1">
            <w:col w:w="11400"/>
          </w:cols>
          <w:pgMar w:left="240" w:top="225" w:right="259" w:bottom="1440" w:gutter="0" w:footer="0" w:header="0"/>
          <w:type w:val="continuous"/>
        </w:sectPr>
      </w:pPr>
    </w:p>
    <w:bookmarkStart w:id="53" w:name="page54"/>
    <w:bookmarkEnd w:id="53"/>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gridSpan w:val="2"/>
          </w:tcPr>
          <w:p>
            <w:pPr>
              <w:jc w:val="center"/>
              <w:ind w:right="36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3"/>
                <w:szCs w:val="13"/>
                <w:color w:val="auto"/>
              </w:rPr>
            </w:pPr>
          </w:p>
        </w:tc>
        <w:tc>
          <w:tcPr>
            <w:tcW w:w="136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January 30,</w:t>
            </w:r>
          </w:p>
        </w:tc>
        <w:tc>
          <w:tcPr>
            <w:tcW w:w="220" w:type="dxa"/>
            <w:vAlign w:val="bottom"/>
          </w:tcPr>
          <w:p>
            <w:pPr>
              <w:spacing w:after="0"/>
              <w:rPr>
                <w:sz w:val="13"/>
                <w:szCs w:val="13"/>
                <w:color w:val="auto"/>
              </w:rPr>
            </w:pPr>
          </w:p>
        </w:tc>
        <w:tc>
          <w:tcPr>
            <w:tcW w:w="1240" w:type="dxa"/>
            <w:vAlign w:val="bottom"/>
          </w:tcPr>
          <w:p>
            <w:pPr>
              <w:jc w:val="right"/>
              <w:ind w:right="328"/>
              <w:spacing w:after="0" w:line="153" w:lineRule="exact"/>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48"/>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48"/>
              <w:spacing w:after="0"/>
              <w:rPr>
                <w:sz w:val="20"/>
                <w:szCs w:val="20"/>
                <w:color w:val="auto"/>
              </w:rPr>
            </w:pPr>
            <w:r>
              <w:rPr>
                <w:rFonts w:ascii="Arial" w:cs="Arial" w:eastAsia="Arial" w:hAnsi="Arial"/>
                <w:sz w:val="14"/>
                <w:szCs w:val="14"/>
                <w:b w:val="1"/>
                <w:bCs w:val="1"/>
                <w:color w:val="auto"/>
                <w:w w:val="96"/>
              </w:rPr>
              <w:t>2016</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8"/>
              <w:spacing w:after="0"/>
              <w:rPr>
                <w:sz w:val="20"/>
                <w:szCs w:val="20"/>
                <w:color w:val="auto"/>
              </w:rPr>
            </w:pPr>
            <w:r>
              <w:rPr>
                <w:rFonts w:ascii="Arial" w:cs="Arial" w:eastAsia="Arial" w:hAnsi="Arial"/>
                <w:sz w:val="14"/>
                <w:szCs w:val="14"/>
                <w:b w:val="1"/>
                <w:bCs w:val="1"/>
                <w:color w:val="auto"/>
              </w:rPr>
              <w:t>2015</w:t>
            </w:r>
          </w:p>
        </w:tc>
        <w:tc>
          <w:tcPr>
            <w:tcW w:w="0" w:type="dxa"/>
            <w:vAlign w:val="bottom"/>
          </w:tcPr>
          <w:p>
            <w:pPr>
              <w:spacing w:after="0"/>
              <w:rPr>
                <w:sz w:val="1"/>
                <w:szCs w:val="1"/>
                <w:color w:val="auto"/>
              </w:rPr>
            </w:pPr>
          </w:p>
        </w:tc>
      </w:tr>
      <w:tr>
        <w:trPr>
          <w:trHeight w:val="177"/>
        </w:trPr>
        <w:tc>
          <w:tcPr>
            <w:tcW w:w="6740" w:type="dxa"/>
            <w:vAlign w:val="bottom"/>
            <w:shd w:val="clear" w:color="auto" w:fill="CCEEFF"/>
          </w:tcPr>
          <w:p>
            <w:pPr>
              <w:ind w:left="40"/>
              <w:spacing w:after="0"/>
              <w:rPr>
                <w:sz w:val="20"/>
                <w:szCs w:val="20"/>
                <w:color w:val="auto"/>
              </w:rPr>
            </w:pPr>
            <w:r>
              <w:rPr>
                <w:rFonts w:ascii="Arial" w:cs="Arial" w:eastAsia="Arial" w:hAnsi="Arial"/>
                <w:sz w:val="14"/>
                <w:szCs w:val="14"/>
                <w:b w:val="1"/>
                <w:bCs w:val="1"/>
                <w:color w:val="auto"/>
              </w:rPr>
              <w:t>Cash flows from operating activities:</w:t>
            </w:r>
          </w:p>
        </w:tc>
        <w:tc>
          <w:tcPr>
            <w:tcW w:w="220" w:type="dxa"/>
            <w:vAlign w:val="bottom"/>
            <w:shd w:val="clear" w:color="auto" w:fill="CCEEFF"/>
          </w:tcPr>
          <w:p>
            <w:pPr>
              <w:spacing w:after="0"/>
              <w:rPr>
                <w:sz w:val="15"/>
                <w:szCs w:val="15"/>
                <w:color w:val="auto"/>
              </w:rPr>
            </w:pPr>
          </w:p>
        </w:tc>
        <w:tc>
          <w:tcPr>
            <w:tcW w:w="12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2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2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93"/>
        </w:trPr>
        <w:tc>
          <w:tcPr>
            <w:tcW w:w="6740" w:type="dxa"/>
            <w:vAlign w:val="bottom"/>
            <w:shd w:val="clear" w:color="auto" w:fill="CCEEFF"/>
          </w:tcPr>
          <w:p>
            <w:pPr>
              <w:spacing w:after="0"/>
              <w:rPr>
                <w:sz w:val="8"/>
                <w:szCs w:val="8"/>
                <w:color w:val="auto"/>
              </w:rPr>
            </w:pPr>
          </w:p>
        </w:tc>
        <w:tc>
          <w:tcPr>
            <w:tcW w:w="220" w:type="dxa"/>
            <w:vAlign w:val="bottom"/>
            <w:shd w:val="clear" w:color="auto" w:fill="CCEEFF"/>
          </w:tcPr>
          <w:p>
            <w:pPr>
              <w:spacing w:after="0"/>
              <w:rPr>
                <w:sz w:val="8"/>
                <w:szCs w:val="8"/>
                <w:color w:val="auto"/>
              </w:rPr>
            </w:pPr>
          </w:p>
        </w:tc>
        <w:tc>
          <w:tcPr>
            <w:tcW w:w="1280" w:type="dxa"/>
            <w:vAlign w:val="bottom"/>
            <w:shd w:val="clear" w:color="auto" w:fill="CCEEFF"/>
          </w:tcPr>
          <w:p>
            <w:pPr>
              <w:spacing w:after="0"/>
              <w:rPr>
                <w:sz w:val="8"/>
                <w:szCs w:val="8"/>
                <w:color w:val="auto"/>
              </w:rPr>
            </w:pPr>
          </w:p>
        </w:tc>
        <w:tc>
          <w:tcPr>
            <w:tcW w:w="120" w:type="dxa"/>
            <w:vAlign w:val="bottom"/>
            <w:shd w:val="clear" w:color="auto" w:fill="CCEEFF"/>
          </w:tcPr>
          <w:p>
            <w:pPr>
              <w:spacing w:after="0"/>
              <w:rPr>
                <w:sz w:val="8"/>
                <w:szCs w:val="8"/>
                <w:color w:val="auto"/>
              </w:rPr>
            </w:pPr>
          </w:p>
        </w:tc>
        <w:tc>
          <w:tcPr>
            <w:tcW w:w="220" w:type="dxa"/>
            <w:vAlign w:val="bottom"/>
            <w:shd w:val="clear" w:color="auto" w:fill="CCEEFF"/>
          </w:tcPr>
          <w:p>
            <w:pPr>
              <w:spacing w:after="0"/>
              <w:rPr>
                <w:sz w:val="8"/>
                <w:szCs w:val="8"/>
                <w:color w:val="auto"/>
              </w:rPr>
            </w:pPr>
          </w:p>
        </w:tc>
        <w:tc>
          <w:tcPr>
            <w:tcW w:w="1240" w:type="dxa"/>
            <w:vAlign w:val="bottom"/>
            <w:shd w:val="clear" w:color="auto" w:fill="CCEEFF"/>
          </w:tcPr>
          <w:p>
            <w:pPr>
              <w:spacing w:after="0"/>
              <w:rPr>
                <w:sz w:val="8"/>
                <w:szCs w:val="8"/>
                <w:color w:val="auto"/>
              </w:rPr>
            </w:pPr>
          </w:p>
        </w:tc>
        <w:tc>
          <w:tcPr>
            <w:tcW w:w="120" w:type="dxa"/>
            <w:vAlign w:val="bottom"/>
            <w:shd w:val="clear" w:color="auto" w:fill="CCEEFF"/>
          </w:tcPr>
          <w:p>
            <w:pPr>
              <w:spacing w:after="0"/>
              <w:rPr>
                <w:sz w:val="8"/>
                <w:szCs w:val="8"/>
                <w:color w:val="auto"/>
              </w:rPr>
            </w:pPr>
          </w:p>
        </w:tc>
        <w:tc>
          <w:tcPr>
            <w:tcW w:w="220" w:type="dxa"/>
            <w:vAlign w:val="bottom"/>
            <w:shd w:val="clear" w:color="auto" w:fill="CCEEFF"/>
          </w:tcPr>
          <w:p>
            <w:pPr>
              <w:spacing w:after="0"/>
              <w:rPr>
                <w:sz w:val="8"/>
                <w:szCs w:val="8"/>
                <w:color w:val="auto"/>
              </w:rPr>
            </w:pPr>
          </w:p>
        </w:tc>
        <w:tc>
          <w:tcPr>
            <w:tcW w:w="1240" w:type="dxa"/>
            <w:vAlign w:val="bottom"/>
            <w:shd w:val="clear" w:color="auto" w:fill="CCEEFF"/>
          </w:tcPr>
          <w:p>
            <w:pPr>
              <w:spacing w:after="0"/>
              <w:rPr>
                <w:sz w:val="8"/>
                <w:szCs w:val="8"/>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380"/>
              <w:spacing w:after="0"/>
              <w:rPr>
                <w:sz w:val="20"/>
                <w:szCs w:val="20"/>
                <w:color w:val="auto"/>
              </w:rPr>
            </w:pPr>
            <w:r>
              <w:rPr>
                <w:rFonts w:ascii="Arial" w:cs="Arial" w:eastAsia="Arial" w:hAnsi="Arial"/>
                <w:sz w:val="14"/>
                <w:szCs w:val="14"/>
                <w:color w:val="auto"/>
              </w:rPr>
              <w:t>Net income (loss)</w:t>
            </w:r>
          </w:p>
        </w:tc>
        <w:tc>
          <w:tcPr>
            <w:tcW w:w="220" w:type="dxa"/>
            <w:vAlign w:val="bottom"/>
            <w:vMerge w:val="restart"/>
          </w:tcPr>
          <w:p>
            <w:pPr>
              <w:jc w:val="right"/>
              <w:ind w:right="48"/>
              <w:spacing w:after="0"/>
              <w:rPr>
                <w:sz w:val="20"/>
                <w:szCs w:val="20"/>
                <w:color w:val="auto"/>
              </w:rPr>
            </w:pPr>
            <w:r>
              <w:rPr>
                <w:rFonts w:ascii="Arial" w:cs="Arial" w:eastAsia="Arial" w:hAnsi="Arial"/>
                <w:sz w:val="14"/>
                <w:szCs w:val="14"/>
                <w:color w:val="auto"/>
              </w:rPr>
              <w:t>$</w:t>
            </w: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21,151</w:t>
            </w:r>
          </w:p>
        </w:tc>
        <w:tc>
          <w:tcPr>
            <w:tcW w:w="120" w:type="dxa"/>
            <w:vAlign w:val="bottom"/>
          </w:tcPr>
          <w:p>
            <w:pPr>
              <w:spacing w:after="0"/>
              <w:rPr>
                <w:sz w:val="16"/>
                <w:szCs w:val="16"/>
                <w:color w:val="auto"/>
              </w:rPr>
            </w:pPr>
          </w:p>
        </w:tc>
        <w:tc>
          <w:tcPr>
            <w:tcW w:w="220" w:type="dxa"/>
            <w:vAlign w:val="bottom"/>
            <w:vMerge w:val="restart"/>
          </w:tcPr>
          <w:p>
            <w:pPr>
              <w:jc w:val="right"/>
              <w:ind w:right="48"/>
              <w:spacing w:after="0"/>
              <w:rPr>
                <w:sz w:val="20"/>
                <w:szCs w:val="20"/>
                <w:color w:val="auto"/>
              </w:rPr>
            </w:pPr>
            <w:r>
              <w:rPr>
                <w:rFonts w:ascii="Arial" w:cs="Arial" w:eastAsia="Arial" w:hAnsi="Arial"/>
                <w:sz w:val="14"/>
                <w:szCs w:val="14"/>
                <w:color w:val="auto"/>
              </w:rPr>
              <w:t>$</w:t>
            </w: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(811,400)</w:t>
            </w:r>
          </w:p>
        </w:tc>
        <w:tc>
          <w:tcPr>
            <w:tcW w:w="120" w:type="dxa"/>
            <w:vAlign w:val="bottom"/>
          </w:tcPr>
          <w:p>
            <w:pPr>
              <w:spacing w:after="0"/>
              <w:rPr>
                <w:sz w:val="16"/>
                <w:szCs w:val="16"/>
                <w:color w:val="auto"/>
              </w:rPr>
            </w:pPr>
          </w:p>
        </w:tc>
        <w:tc>
          <w:tcPr>
            <w:tcW w:w="220" w:type="dxa"/>
            <w:vAlign w:val="bottom"/>
            <w:vMerge w:val="restart"/>
          </w:tcPr>
          <w:p>
            <w:pPr>
              <w:jc w:val="right"/>
              <w:ind w:right="48"/>
              <w:spacing w:after="0"/>
              <w:rPr>
                <w:sz w:val="20"/>
                <w:szCs w:val="20"/>
                <w:color w:val="auto"/>
              </w:rPr>
            </w:pPr>
            <w:r>
              <w:rPr>
                <w:rFonts w:ascii="Arial" w:cs="Arial" w:eastAsia="Arial" w:hAnsi="Arial"/>
                <w:sz w:val="14"/>
                <w:szCs w:val="14"/>
                <w:color w:val="auto"/>
              </w:rPr>
              <w:t>$</w:t>
            </w: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435,346</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vMerge w:val="continue"/>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vMerge w:val="continue"/>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vMerge w:val="continue"/>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380"/>
              <w:spacing w:after="0"/>
              <w:rPr>
                <w:sz w:val="20"/>
                <w:szCs w:val="20"/>
                <w:color w:val="auto"/>
              </w:rPr>
            </w:pPr>
            <w:r>
              <w:rPr>
                <w:rFonts w:ascii="Arial" w:cs="Arial" w:eastAsia="Arial" w:hAnsi="Arial"/>
                <w:sz w:val="14"/>
                <w:szCs w:val="14"/>
                <w:color w:val="auto"/>
              </w:rPr>
              <w:t>Adjustments to reconcile net income (loss) to net cash provided by (used in) operating activities:</w:t>
            </w:r>
          </w:p>
        </w:tc>
        <w:tc>
          <w:tcPr>
            <w:tcW w:w="22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720"/>
              <w:spacing w:after="0"/>
              <w:rPr>
                <w:sz w:val="20"/>
                <w:szCs w:val="20"/>
                <w:color w:val="auto"/>
              </w:rPr>
            </w:pPr>
            <w:r>
              <w:rPr>
                <w:rFonts w:ascii="Arial" w:cs="Arial" w:eastAsia="Arial" w:hAnsi="Arial"/>
                <w:sz w:val="14"/>
                <w:szCs w:val="14"/>
                <w:color w:val="auto"/>
              </w:rPr>
              <w:t>Depreciation and amortization</w:t>
            </w:r>
          </w:p>
        </w:tc>
        <w:tc>
          <w:tcPr>
            <w:tcW w:w="220" w:type="dxa"/>
            <w:vAlign w:val="bottom"/>
          </w:tcPr>
          <w:p>
            <w:pPr>
              <w:spacing w:after="0"/>
              <w:rPr>
                <w:sz w:val="16"/>
                <w:szCs w:val="16"/>
                <w:color w:val="auto"/>
              </w:rPr>
            </w:pP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107,851</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100,176</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106,248</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720"/>
              <w:spacing w:after="0"/>
              <w:rPr>
                <w:sz w:val="20"/>
                <w:szCs w:val="20"/>
                <w:color w:val="auto"/>
              </w:rPr>
            </w:pPr>
            <w:r>
              <w:rPr>
                <w:rFonts w:ascii="Arial" w:cs="Arial" w:eastAsia="Arial" w:hAnsi="Arial"/>
                <w:sz w:val="14"/>
                <w:szCs w:val="14"/>
                <w:color w:val="auto"/>
              </w:rPr>
              <w:t>Share-based compensation</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113,970</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28"/>
              <w:spacing w:after="0"/>
              <w:rPr>
                <w:sz w:val="20"/>
                <w:szCs w:val="20"/>
                <w:color w:val="auto"/>
              </w:rPr>
            </w:pPr>
            <w:r>
              <w:rPr>
                <w:rFonts w:ascii="Arial" w:cs="Arial" w:eastAsia="Arial" w:hAnsi="Arial"/>
                <w:sz w:val="14"/>
                <w:szCs w:val="14"/>
                <w:color w:val="auto"/>
              </w:rPr>
              <w:t>133,779</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137,246</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720"/>
              <w:spacing w:after="0"/>
              <w:rPr>
                <w:sz w:val="20"/>
                <w:szCs w:val="20"/>
                <w:color w:val="auto"/>
              </w:rPr>
            </w:pPr>
            <w:r>
              <w:rPr>
                <w:rFonts w:ascii="Arial" w:cs="Arial" w:eastAsia="Arial" w:hAnsi="Arial"/>
                <w:sz w:val="14"/>
                <w:szCs w:val="14"/>
                <w:color w:val="auto"/>
              </w:rPr>
              <w:t>Amortization and write-off of acquired intangible assets</w:t>
            </w:r>
          </w:p>
        </w:tc>
        <w:tc>
          <w:tcPr>
            <w:tcW w:w="220" w:type="dxa"/>
            <w:vAlign w:val="bottom"/>
          </w:tcPr>
          <w:p>
            <w:pPr>
              <w:spacing w:after="0"/>
              <w:rPr>
                <w:sz w:val="16"/>
                <w:szCs w:val="16"/>
                <w:color w:val="auto"/>
              </w:rPr>
            </w:pP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10,641</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12,688</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18,337</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720"/>
              <w:spacing w:after="0"/>
              <w:rPr>
                <w:sz w:val="20"/>
                <w:szCs w:val="20"/>
                <w:color w:val="auto"/>
              </w:rPr>
            </w:pPr>
            <w:r>
              <w:rPr>
                <w:rFonts w:ascii="Arial" w:cs="Arial" w:eastAsia="Arial" w:hAnsi="Arial"/>
                <w:sz w:val="14"/>
                <w:szCs w:val="14"/>
                <w:color w:val="auto"/>
              </w:rPr>
              <w:t>Restructuring and other related charges</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52,581</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28"/>
              <w:spacing w:after="0"/>
              <w:rPr>
                <w:sz w:val="20"/>
                <w:szCs w:val="20"/>
                <w:color w:val="auto"/>
              </w:rPr>
            </w:pPr>
            <w:r>
              <w:rPr>
                <w:rFonts w:ascii="Arial" w:cs="Arial" w:eastAsia="Arial" w:hAnsi="Arial"/>
                <w:sz w:val="14"/>
                <w:szCs w:val="14"/>
                <w:color w:val="auto"/>
              </w:rPr>
              <w:t>16,032</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17</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720"/>
              <w:spacing w:after="0"/>
              <w:rPr>
                <w:sz w:val="20"/>
                <w:szCs w:val="20"/>
                <w:color w:val="auto"/>
              </w:rPr>
            </w:pPr>
            <w:r>
              <w:rPr>
                <w:rFonts w:ascii="Arial" w:cs="Arial" w:eastAsia="Arial" w:hAnsi="Arial"/>
                <w:sz w:val="14"/>
                <w:szCs w:val="14"/>
                <w:color w:val="auto"/>
              </w:rPr>
              <w:t>Loss (gain) from investments in privately-held companies</w:t>
            </w:r>
          </w:p>
        </w:tc>
        <w:tc>
          <w:tcPr>
            <w:tcW w:w="220" w:type="dxa"/>
            <w:vAlign w:val="bottom"/>
          </w:tcPr>
          <w:p>
            <w:pPr>
              <w:spacing w:after="0"/>
              <w:rPr>
                <w:sz w:val="16"/>
                <w:szCs w:val="16"/>
                <w:color w:val="auto"/>
              </w:rPr>
            </w:pPr>
          </w:p>
        </w:tc>
        <w:tc>
          <w:tcPr>
            <w:tcW w:w="1400" w:type="dxa"/>
            <w:vAlign w:val="bottom"/>
            <w:gridSpan w:val="2"/>
            <w:vMerge w:val="restart"/>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16"/>
                <w:szCs w:val="16"/>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3,503</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(8,829)</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400" w:type="dxa"/>
            <w:vAlign w:val="bottom"/>
            <w:gridSpan w:val="2"/>
            <w:vMerge w:val="continue"/>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720"/>
              <w:spacing w:after="0"/>
              <w:rPr>
                <w:sz w:val="20"/>
                <w:szCs w:val="20"/>
                <w:color w:val="auto"/>
              </w:rPr>
            </w:pPr>
            <w:r>
              <w:rPr>
                <w:rFonts w:ascii="Arial" w:cs="Arial" w:eastAsia="Arial" w:hAnsi="Arial"/>
                <w:sz w:val="14"/>
                <w:szCs w:val="14"/>
                <w:color w:val="auto"/>
              </w:rPr>
              <w:t>Amortization (accretion) of premium /discount on available-for-sale securities</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3,319</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28"/>
              <w:spacing w:after="0"/>
              <w:rPr>
                <w:sz w:val="20"/>
                <w:szCs w:val="20"/>
                <w:color w:val="auto"/>
              </w:rPr>
            </w:pPr>
            <w:r>
              <w:rPr>
                <w:rFonts w:ascii="Arial" w:cs="Arial" w:eastAsia="Arial" w:hAnsi="Arial"/>
                <w:sz w:val="14"/>
                <w:szCs w:val="14"/>
                <w:color w:val="auto"/>
              </w:rPr>
              <w:t>8,112</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(3,582)</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720"/>
              <w:spacing w:after="0"/>
              <w:rPr>
                <w:sz w:val="20"/>
                <w:szCs w:val="20"/>
                <w:color w:val="auto"/>
              </w:rPr>
            </w:pPr>
            <w:r>
              <w:rPr>
                <w:rFonts w:ascii="Arial" w:cs="Arial" w:eastAsia="Arial" w:hAnsi="Arial"/>
                <w:sz w:val="14"/>
                <w:szCs w:val="14"/>
                <w:color w:val="auto"/>
              </w:rPr>
              <w:t>Other non-cash expense (income), net</w:t>
            </w:r>
          </w:p>
        </w:tc>
        <w:tc>
          <w:tcPr>
            <w:tcW w:w="220" w:type="dxa"/>
            <w:vAlign w:val="bottom"/>
          </w:tcPr>
          <w:p>
            <w:pPr>
              <w:spacing w:after="0"/>
              <w:rPr>
                <w:sz w:val="16"/>
                <w:szCs w:val="16"/>
                <w:color w:val="auto"/>
              </w:rPr>
            </w:pPr>
          </w:p>
        </w:tc>
        <w:tc>
          <w:tcPr>
            <w:tcW w:w="1280" w:type="dxa"/>
            <w:vAlign w:val="bottom"/>
            <w:vMerge w:val="restart"/>
          </w:tcPr>
          <w:p>
            <w:pPr>
              <w:jc w:val="right"/>
              <w:ind w:right="8"/>
              <w:spacing w:after="0"/>
              <w:rPr>
                <w:sz w:val="20"/>
                <w:szCs w:val="20"/>
                <w:color w:val="auto"/>
              </w:rPr>
            </w:pPr>
            <w:r>
              <w:rPr>
                <w:rFonts w:ascii="Arial" w:cs="Arial" w:eastAsia="Arial" w:hAnsi="Arial"/>
                <w:sz w:val="14"/>
                <w:szCs w:val="14"/>
                <w:color w:val="auto"/>
              </w:rPr>
              <w:t>(3,312)</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2,196</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1,765</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720"/>
              <w:spacing w:after="0"/>
              <w:rPr>
                <w:sz w:val="20"/>
                <w:szCs w:val="20"/>
                <w:color w:val="auto"/>
              </w:rPr>
            </w:pPr>
            <w:r>
              <w:rPr>
                <w:rFonts w:ascii="Arial" w:cs="Arial" w:eastAsia="Arial" w:hAnsi="Arial"/>
                <w:sz w:val="14"/>
                <w:szCs w:val="14"/>
                <w:color w:val="auto"/>
              </w:rPr>
              <w:t>Excess tax benefits from share-based compensation</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(37)</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(26)</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(145)</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720"/>
              <w:spacing w:after="0"/>
              <w:rPr>
                <w:sz w:val="20"/>
                <w:szCs w:val="20"/>
                <w:color w:val="auto"/>
              </w:rPr>
            </w:pPr>
            <w:r>
              <w:rPr>
                <w:rFonts w:ascii="Arial" w:cs="Arial" w:eastAsia="Arial" w:hAnsi="Arial"/>
                <w:sz w:val="14"/>
                <w:szCs w:val="14"/>
                <w:color w:val="auto"/>
              </w:rPr>
              <w:t>Deferred income tax</w:t>
            </w:r>
          </w:p>
        </w:tc>
        <w:tc>
          <w:tcPr>
            <w:tcW w:w="220" w:type="dxa"/>
            <w:vAlign w:val="bottom"/>
          </w:tcPr>
          <w:p>
            <w:pPr>
              <w:spacing w:after="0"/>
              <w:rPr>
                <w:sz w:val="16"/>
                <w:szCs w:val="16"/>
                <w:color w:val="auto"/>
              </w:rPr>
            </w:pP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44,637</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6,096</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(12,913)</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720"/>
              <w:spacing w:after="0"/>
              <w:rPr>
                <w:sz w:val="20"/>
                <w:szCs w:val="20"/>
                <w:color w:val="auto"/>
              </w:rPr>
            </w:pPr>
            <w:r>
              <w:rPr>
                <w:rFonts w:ascii="Arial" w:cs="Arial" w:eastAsia="Arial" w:hAnsi="Arial"/>
                <w:sz w:val="14"/>
                <w:szCs w:val="14"/>
                <w:color w:val="auto"/>
              </w:rPr>
              <w:t>Changes in assets and liabilities, net of assets acquired and liabilities assumed in acquisitions:</w:t>
            </w:r>
          </w:p>
        </w:tc>
        <w:tc>
          <w:tcPr>
            <w:tcW w:w="22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1140"/>
              <w:spacing w:after="0"/>
              <w:rPr>
                <w:sz w:val="20"/>
                <w:szCs w:val="20"/>
                <w:color w:val="auto"/>
              </w:rPr>
            </w:pPr>
            <w:r>
              <w:rPr>
                <w:rFonts w:ascii="Arial" w:cs="Arial" w:eastAsia="Arial" w:hAnsi="Arial"/>
                <w:sz w:val="14"/>
                <w:szCs w:val="14"/>
                <w:color w:val="auto"/>
              </w:rPr>
              <w:t>Accounts receivable</w:t>
            </w:r>
          </w:p>
        </w:tc>
        <w:tc>
          <w:tcPr>
            <w:tcW w:w="220" w:type="dxa"/>
            <w:vAlign w:val="bottom"/>
          </w:tcPr>
          <w:p>
            <w:pPr>
              <w:spacing w:after="0"/>
              <w:rPr>
                <w:sz w:val="16"/>
                <w:szCs w:val="16"/>
                <w:color w:val="auto"/>
              </w:rPr>
            </w:pPr>
          </w:p>
        </w:tc>
        <w:tc>
          <w:tcPr>
            <w:tcW w:w="1280" w:type="dxa"/>
            <w:vAlign w:val="bottom"/>
            <w:vMerge w:val="restart"/>
          </w:tcPr>
          <w:p>
            <w:pPr>
              <w:jc w:val="right"/>
              <w:ind w:right="8"/>
              <w:spacing w:after="0"/>
              <w:rPr>
                <w:sz w:val="20"/>
                <w:szCs w:val="20"/>
                <w:color w:val="auto"/>
              </w:rPr>
            </w:pPr>
            <w:r>
              <w:rPr>
                <w:rFonts w:ascii="Arial" w:cs="Arial" w:eastAsia="Arial" w:hAnsi="Arial"/>
                <w:sz w:val="14"/>
                <w:szCs w:val="14"/>
                <w:color w:val="auto"/>
              </w:rPr>
              <w:t>(12,084)</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97,655</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34,165</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1140"/>
              <w:spacing w:after="0"/>
              <w:rPr>
                <w:sz w:val="20"/>
                <w:szCs w:val="20"/>
                <w:color w:val="auto"/>
              </w:rPr>
            </w:pPr>
            <w:r>
              <w:rPr>
                <w:rFonts w:ascii="Arial" w:cs="Arial" w:eastAsia="Arial" w:hAnsi="Arial"/>
                <w:sz w:val="14"/>
                <w:szCs w:val="14"/>
                <w:color w:val="auto"/>
              </w:rPr>
              <w:t>Inventories</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29,325</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28"/>
              <w:spacing w:after="0"/>
              <w:rPr>
                <w:sz w:val="20"/>
                <w:szCs w:val="20"/>
                <w:color w:val="auto"/>
              </w:rPr>
            </w:pPr>
            <w:r>
              <w:rPr>
                <w:rFonts w:ascii="Arial" w:cs="Arial" w:eastAsia="Arial" w:hAnsi="Arial"/>
                <w:sz w:val="14"/>
                <w:szCs w:val="14"/>
                <w:color w:val="auto"/>
              </w:rPr>
              <w:t>90,586</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39,454</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1140"/>
              <w:spacing w:after="0"/>
              <w:rPr>
                <w:sz w:val="20"/>
                <w:szCs w:val="20"/>
                <w:color w:val="auto"/>
              </w:rPr>
            </w:pPr>
            <w:r>
              <w:rPr>
                <w:rFonts w:ascii="Arial" w:cs="Arial" w:eastAsia="Arial" w:hAnsi="Arial"/>
                <w:sz w:val="14"/>
                <w:szCs w:val="14"/>
                <w:color w:val="auto"/>
              </w:rPr>
              <w:t>Prepaid expenses and other assets</w:t>
            </w:r>
          </w:p>
        </w:tc>
        <w:tc>
          <w:tcPr>
            <w:tcW w:w="220" w:type="dxa"/>
            <w:vAlign w:val="bottom"/>
          </w:tcPr>
          <w:p>
            <w:pPr>
              <w:spacing w:after="0"/>
              <w:rPr>
                <w:sz w:val="16"/>
                <w:szCs w:val="16"/>
                <w:color w:val="auto"/>
              </w:rPr>
            </w:pP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1,825</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(23,209)</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5,788</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1140"/>
              <w:spacing w:after="0"/>
              <w:rPr>
                <w:sz w:val="20"/>
                <w:szCs w:val="20"/>
                <w:color w:val="auto"/>
              </w:rPr>
            </w:pPr>
            <w:r>
              <w:rPr>
                <w:rFonts w:ascii="Arial" w:cs="Arial" w:eastAsia="Arial" w:hAnsi="Arial"/>
                <w:sz w:val="14"/>
                <w:szCs w:val="14"/>
                <w:color w:val="auto"/>
              </w:rPr>
              <w:t>Accounts payable</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(28,153)</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(105,898)</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(43,871)</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1140"/>
              <w:spacing w:after="0"/>
              <w:rPr>
                <w:sz w:val="20"/>
                <w:szCs w:val="20"/>
                <w:color w:val="auto"/>
              </w:rPr>
            </w:pPr>
            <w:r>
              <w:rPr>
                <w:rFonts w:ascii="Arial" w:cs="Arial" w:eastAsia="Arial" w:hAnsi="Arial"/>
                <w:sz w:val="14"/>
                <w:szCs w:val="14"/>
                <w:color w:val="auto"/>
              </w:rPr>
              <w:t>Accrued liabilities and other non-current liabilities</w:t>
            </w:r>
          </w:p>
        </w:tc>
        <w:tc>
          <w:tcPr>
            <w:tcW w:w="220" w:type="dxa"/>
            <w:vAlign w:val="bottom"/>
          </w:tcPr>
          <w:p>
            <w:pPr>
              <w:spacing w:after="0"/>
              <w:rPr>
                <w:sz w:val="16"/>
                <w:szCs w:val="16"/>
                <w:color w:val="auto"/>
              </w:rPr>
            </w:pP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3,763</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(15,202)</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(30,024)</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1140"/>
              <w:spacing w:after="0"/>
              <w:rPr>
                <w:sz w:val="20"/>
                <w:szCs w:val="20"/>
                <w:color w:val="auto"/>
              </w:rPr>
            </w:pPr>
            <w:r>
              <w:rPr>
                <w:rFonts w:ascii="Arial" w:cs="Arial" w:eastAsia="Arial" w:hAnsi="Arial"/>
                <w:sz w:val="14"/>
                <w:szCs w:val="14"/>
                <w:color w:val="auto"/>
              </w:rPr>
              <w:t>Carnegie Mellon University accrued litigation settlement</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(736,000)</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28"/>
              <w:spacing w:after="0"/>
              <w:rPr>
                <w:sz w:val="20"/>
                <w:szCs w:val="20"/>
                <w:color w:val="auto"/>
              </w:rPr>
            </w:pPr>
            <w:r>
              <w:rPr>
                <w:rFonts w:ascii="Arial" w:cs="Arial" w:eastAsia="Arial" w:hAnsi="Arial"/>
                <w:sz w:val="14"/>
                <w:szCs w:val="14"/>
                <w:color w:val="auto"/>
              </w:rPr>
              <w:t>736,000</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8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shd w:val="clear" w:color="auto" w:fill="CCEEFF"/>
          </w:tcPr>
          <w:p>
            <w:pPr>
              <w:spacing w:after="0"/>
              <w:rPr>
                <w:sz w:val="6"/>
                <w:szCs w:val="6"/>
                <w:color w:val="auto"/>
              </w:rPr>
            </w:pPr>
          </w:p>
        </w:tc>
        <w:tc>
          <w:tcPr>
            <w:tcW w:w="124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1140"/>
              <w:spacing w:after="0"/>
              <w:rPr>
                <w:sz w:val="20"/>
                <w:szCs w:val="20"/>
                <w:color w:val="auto"/>
              </w:rPr>
            </w:pPr>
            <w:r>
              <w:rPr>
                <w:rFonts w:ascii="Arial" w:cs="Arial" w:eastAsia="Arial" w:hAnsi="Arial"/>
                <w:sz w:val="14"/>
                <w:szCs w:val="14"/>
                <w:color w:val="auto"/>
              </w:rPr>
              <w:t>Accrued employee compensation</w:t>
            </w:r>
          </w:p>
        </w:tc>
        <w:tc>
          <w:tcPr>
            <w:tcW w:w="220" w:type="dxa"/>
            <w:vAlign w:val="bottom"/>
          </w:tcPr>
          <w:p>
            <w:pPr>
              <w:spacing w:after="0"/>
              <w:rPr>
                <w:sz w:val="16"/>
                <w:szCs w:val="16"/>
                <w:color w:val="auto"/>
              </w:rPr>
            </w:pPr>
          </w:p>
        </w:tc>
        <w:tc>
          <w:tcPr>
            <w:tcW w:w="1280" w:type="dxa"/>
            <w:vAlign w:val="bottom"/>
            <w:vMerge w:val="restart"/>
          </w:tcPr>
          <w:p>
            <w:pPr>
              <w:jc w:val="right"/>
              <w:ind w:right="48"/>
              <w:spacing w:after="0"/>
              <w:rPr>
                <w:sz w:val="20"/>
                <w:szCs w:val="20"/>
                <w:color w:val="auto"/>
              </w:rPr>
            </w:pPr>
            <w:r>
              <w:rPr>
                <w:rFonts w:ascii="Arial" w:cs="Arial" w:eastAsia="Arial" w:hAnsi="Arial"/>
                <w:sz w:val="14"/>
                <w:szCs w:val="14"/>
                <w:color w:val="auto"/>
              </w:rPr>
              <w:t>18,016</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spacing w:after="0"/>
              <w:rPr>
                <w:sz w:val="20"/>
                <w:szCs w:val="20"/>
                <w:color w:val="auto"/>
              </w:rPr>
            </w:pPr>
            <w:r>
              <w:rPr>
                <w:rFonts w:ascii="Arial" w:cs="Arial" w:eastAsia="Arial" w:hAnsi="Arial"/>
                <w:sz w:val="14"/>
                <w:szCs w:val="14"/>
                <w:color w:val="auto"/>
              </w:rPr>
              <w:t>(33,338)</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43,561</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1140"/>
              <w:spacing w:after="0"/>
              <w:rPr>
                <w:sz w:val="20"/>
                <w:szCs w:val="20"/>
                <w:color w:val="auto"/>
              </w:rPr>
            </w:pPr>
            <w:r>
              <w:rPr>
                <w:rFonts w:ascii="Arial" w:cs="Arial" w:eastAsia="Arial" w:hAnsi="Arial"/>
                <w:sz w:val="14"/>
                <w:szCs w:val="14"/>
                <w:color w:val="auto"/>
              </w:rPr>
              <w:t>Deferred income</w:t>
            </w:r>
          </w:p>
        </w:tc>
        <w:tc>
          <w:tcPr>
            <w:tcW w:w="220" w:type="dxa"/>
            <w:vAlign w:val="bottom"/>
            <w:shd w:val="clear" w:color="auto" w:fill="CCEEFF"/>
          </w:tcPr>
          <w:p>
            <w:pPr>
              <w:spacing w:after="0"/>
              <w:rPr>
                <w:sz w:val="17"/>
                <w:szCs w:val="17"/>
                <w:color w:val="auto"/>
              </w:rPr>
            </w:pPr>
          </w:p>
        </w:tc>
        <w:tc>
          <w:tcPr>
            <w:tcW w:w="128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14,072</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(12,398)</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4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6,373</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220" w:type="dxa"/>
            <w:vAlign w:val="bottom"/>
            <w:tcBorders>
              <w:bottom w:val="single" w:sz="8" w:color="auto"/>
            </w:tcBorders>
            <w:shd w:val="clear" w:color="auto" w:fill="CCEEFF"/>
          </w:tcPr>
          <w:p>
            <w:pPr>
              <w:spacing w:after="0"/>
              <w:rPr>
                <w:sz w:val="6"/>
                <w:szCs w:val="6"/>
                <w:color w:val="auto"/>
              </w:rPr>
            </w:pPr>
          </w:p>
        </w:tc>
        <w:tc>
          <w:tcPr>
            <w:tcW w:w="1280" w:type="dxa"/>
            <w:vAlign w:val="bottom"/>
            <w:tcBorders>
              <w:bottom w:val="single" w:sz="8" w:color="auto"/>
            </w:tcBorders>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tcBorders>
              <w:bottom w:val="single" w:sz="8" w:color="auto"/>
            </w:tcBorders>
            <w:shd w:val="clear" w:color="auto" w:fill="CCEEFF"/>
          </w:tcPr>
          <w:p>
            <w:pPr>
              <w:spacing w:after="0"/>
              <w:rPr>
                <w:sz w:val="6"/>
                <w:szCs w:val="6"/>
                <w:color w:val="auto"/>
              </w:rPr>
            </w:pPr>
          </w:p>
        </w:tc>
        <w:tc>
          <w:tcPr>
            <w:tcW w:w="1240" w:type="dxa"/>
            <w:vAlign w:val="bottom"/>
            <w:tcBorders>
              <w:bottom w:val="single" w:sz="8" w:color="auto"/>
            </w:tcBorders>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220" w:type="dxa"/>
            <w:vAlign w:val="bottom"/>
            <w:tcBorders>
              <w:bottom w:val="single" w:sz="8" w:color="auto"/>
            </w:tcBorders>
            <w:shd w:val="clear" w:color="auto" w:fill="CCEEFF"/>
          </w:tcPr>
          <w:p>
            <w:pPr>
              <w:spacing w:after="0"/>
              <w:rPr>
                <w:sz w:val="6"/>
                <w:szCs w:val="6"/>
                <w:color w:val="auto"/>
              </w:rPr>
            </w:pPr>
          </w:p>
        </w:tc>
        <w:tc>
          <w:tcPr>
            <w:tcW w:w="1240" w:type="dxa"/>
            <w:vAlign w:val="bottom"/>
            <w:tcBorders>
              <w:bottom w:val="single" w:sz="8" w:color="auto"/>
            </w:tcBorders>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71"/>
        </w:trPr>
        <w:tc>
          <w:tcPr>
            <w:tcW w:w="6740" w:type="dxa"/>
            <w:vAlign w:val="bottom"/>
          </w:tcPr>
          <w:p>
            <w:pPr>
              <w:ind w:left="1460"/>
              <w:spacing w:after="0"/>
              <w:rPr>
                <w:sz w:val="20"/>
                <w:szCs w:val="20"/>
                <w:color w:val="auto"/>
              </w:rPr>
            </w:pPr>
            <w:r>
              <w:rPr>
                <w:rFonts w:ascii="Arial" w:cs="Arial" w:eastAsia="Arial" w:hAnsi="Arial"/>
                <w:sz w:val="14"/>
                <w:szCs w:val="14"/>
                <w:color w:val="auto"/>
              </w:rPr>
              <w:t>Net cash provided by (used in) operating activities</w:t>
            </w:r>
          </w:p>
        </w:tc>
        <w:tc>
          <w:tcPr>
            <w:tcW w:w="220" w:type="dxa"/>
            <w:vAlign w:val="bottom"/>
          </w:tcPr>
          <w:p>
            <w:pPr>
              <w:spacing w:after="0"/>
              <w:rPr>
                <w:sz w:val="14"/>
                <w:szCs w:val="14"/>
                <w:color w:val="auto"/>
              </w:rPr>
            </w:pPr>
          </w:p>
        </w:tc>
        <w:tc>
          <w:tcPr>
            <w:tcW w:w="1280" w:type="dxa"/>
            <w:vAlign w:val="bottom"/>
            <w:vMerge w:val="restart"/>
          </w:tcPr>
          <w:p>
            <w:pPr>
              <w:jc w:val="right"/>
              <w:ind w:right="8"/>
              <w:spacing w:after="0"/>
              <w:rPr>
                <w:sz w:val="20"/>
                <w:szCs w:val="20"/>
                <w:color w:val="auto"/>
              </w:rPr>
            </w:pPr>
            <w:r>
              <w:rPr>
                <w:rFonts w:ascii="Arial" w:cs="Arial" w:eastAsia="Arial" w:hAnsi="Arial"/>
                <w:sz w:val="14"/>
                <w:szCs w:val="14"/>
                <w:color w:val="auto"/>
              </w:rPr>
              <w:t>(358,435)</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40" w:type="dxa"/>
            <w:vAlign w:val="bottom"/>
            <w:vMerge w:val="restart"/>
          </w:tcPr>
          <w:p>
            <w:pPr>
              <w:jc w:val="right"/>
              <w:ind w:right="28"/>
              <w:spacing w:after="0"/>
              <w:rPr>
                <w:sz w:val="20"/>
                <w:szCs w:val="20"/>
                <w:color w:val="auto"/>
              </w:rPr>
            </w:pPr>
            <w:r>
              <w:rPr>
                <w:rFonts w:ascii="Arial" w:cs="Arial" w:eastAsia="Arial" w:hAnsi="Arial"/>
                <w:sz w:val="14"/>
                <w:szCs w:val="14"/>
                <w:color w:val="auto"/>
              </w:rPr>
              <w:t>205,352</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40" w:type="dxa"/>
            <w:vAlign w:val="bottom"/>
            <w:vMerge w:val="restart"/>
          </w:tcPr>
          <w:p>
            <w:pPr>
              <w:jc w:val="right"/>
              <w:ind w:right="48"/>
              <w:spacing w:after="0"/>
              <w:rPr>
                <w:sz w:val="20"/>
                <w:szCs w:val="20"/>
                <w:color w:val="auto"/>
              </w:rPr>
            </w:pPr>
            <w:r>
              <w:rPr>
                <w:rFonts w:ascii="Arial" w:cs="Arial" w:eastAsia="Arial" w:hAnsi="Arial"/>
                <w:sz w:val="14"/>
                <w:szCs w:val="14"/>
                <w:color w:val="auto"/>
              </w:rPr>
              <w:t>728,936</w:t>
            </w:r>
          </w:p>
        </w:tc>
        <w:tc>
          <w:tcPr>
            <w:tcW w:w="0" w:type="dxa"/>
            <w:vAlign w:val="bottom"/>
          </w:tcPr>
          <w:p>
            <w:pPr>
              <w:spacing w:after="0"/>
              <w:rPr>
                <w:sz w:val="1"/>
                <w:szCs w:val="1"/>
                <w:color w:val="auto"/>
              </w:rPr>
            </w:pPr>
          </w:p>
        </w:tc>
      </w:tr>
      <w:tr>
        <w:trPr>
          <w:trHeight w:val="68"/>
        </w:trPr>
        <w:tc>
          <w:tcPr>
            <w:tcW w:w="67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7620</wp:posOffset>
            </wp:positionV>
            <wp:extent cx="7229475" cy="1803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29475" cy="180340"/>
                    </a:xfrm>
                    <a:prstGeom prst="rect">
                      <a:avLst/>
                    </a:prstGeom>
                    <a:noFill/>
                  </pic:spPr>
                </pic:pic>
              </a:graphicData>
            </a:graphic>
          </wp:anchor>
        </w:drawing>
      </w:r>
    </w:p>
    <w:p>
      <w:pPr>
        <w:ind w:left="40"/>
        <w:spacing w:after="0"/>
        <w:rPr>
          <w:sz w:val="20"/>
          <w:szCs w:val="20"/>
          <w:color w:val="auto"/>
        </w:rPr>
      </w:pPr>
      <w:r>
        <w:rPr>
          <w:rFonts w:ascii="Arial" w:cs="Arial" w:eastAsia="Arial" w:hAnsi="Arial"/>
          <w:sz w:val="14"/>
          <w:szCs w:val="14"/>
          <w:b w:val="1"/>
          <w:bCs w:val="1"/>
          <w:color w:val="auto"/>
        </w:rPr>
        <w:t>Cash flows from investing activities:</w:t>
      </w:r>
    </w:p>
    <w:p>
      <w:pPr>
        <w:sectPr>
          <w:pgSz w:w="11900" w:h="16838" w:orient="portrait"/>
          <w:cols w:equalWidth="0" w:num="1">
            <w:col w:w="11400"/>
          </w:cols>
          <w:pgMar w:left="240" w:top="225" w:right="259" w:bottom="406" w:gutter="0" w:footer="0" w:header="0"/>
        </w:sectPr>
      </w:pPr>
    </w:p>
    <w:p>
      <w:pPr>
        <w:spacing w:after="0" w:line="127" w:lineRule="exact"/>
        <w:rPr>
          <w:sz w:val="20"/>
          <w:szCs w:val="20"/>
          <w:color w:val="auto"/>
        </w:rPr>
      </w:pPr>
    </w:p>
    <w:p>
      <w:pPr>
        <w:ind w:left="380"/>
        <w:spacing w:after="0"/>
        <w:rPr>
          <w:sz w:val="20"/>
          <w:szCs w:val="20"/>
          <w:color w:val="auto"/>
        </w:rPr>
      </w:pPr>
      <w:r>
        <w:rPr>
          <w:rFonts w:ascii="Arial" w:cs="Arial" w:eastAsia="Arial" w:hAnsi="Arial"/>
          <w:sz w:val="14"/>
          <w:szCs w:val="14"/>
          <w:color w:val="auto"/>
        </w:rPr>
        <w:t>Purchases of available-for-sale securities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Sales of available-for-sale securities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Maturities of available-for-sale securities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Distributions from (investments in) privately-held companies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Purchases of time deposits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Maturities of time deposits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3"/>
          <w:szCs w:val="13"/>
          <w:color w:val="auto"/>
        </w:rPr>
        <w:t>Proceeds from sale of an investment in a privately-held company</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4"/>
          <w:szCs w:val="14"/>
          <w:color w:val="auto"/>
        </w:rPr>
        <w:t>Purchases of technology licenses</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Purchases of property and equipment</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Purchases of equipment previously leased</w:t>
      </w:r>
    </w:p>
    <w:p>
      <w:pPr>
        <w:spacing w:after="0" w:line="109" w:lineRule="exact"/>
        <w:rPr>
          <w:sz w:val="20"/>
          <w:szCs w:val="20"/>
          <w:color w:val="auto"/>
        </w:rPr>
      </w:pPr>
    </w:p>
    <w:p>
      <w:pPr>
        <w:ind w:left="380"/>
        <w:spacing w:after="0"/>
        <w:rPr>
          <w:sz w:val="20"/>
          <w:szCs w:val="20"/>
          <w:color w:val="auto"/>
        </w:rPr>
      </w:pPr>
      <w:r>
        <w:rPr>
          <w:rFonts w:ascii="Arial" w:cs="Arial" w:eastAsia="Arial" w:hAnsi="Arial"/>
          <w:sz w:val="14"/>
          <w:szCs w:val="14"/>
          <w:color w:val="auto"/>
        </w:rPr>
        <w:t>Proceeds from equipment held for sale</w:t>
      </w:r>
    </w:p>
    <w:p>
      <w:pPr>
        <w:spacing w:after="0" w:line="109" w:lineRule="exact"/>
        <w:rPr>
          <w:sz w:val="20"/>
          <w:szCs w:val="20"/>
          <w:color w:val="auto"/>
        </w:rPr>
      </w:pPr>
    </w:p>
    <w:p>
      <w:pPr>
        <w:jc w:val="right"/>
        <w:ind w:right="1660"/>
        <w:spacing w:after="0"/>
        <w:rPr>
          <w:sz w:val="20"/>
          <w:szCs w:val="20"/>
          <w:color w:val="auto"/>
        </w:rPr>
      </w:pPr>
      <w:r>
        <w:rPr>
          <w:rFonts w:ascii="Arial" w:cs="Arial" w:eastAsia="Arial" w:hAnsi="Arial"/>
          <w:sz w:val="14"/>
          <w:szCs w:val="14"/>
          <w:color w:val="auto"/>
        </w:rPr>
        <w:t>Net cash provided by (used in) investing activities</w:t>
      </w:r>
    </w:p>
    <w:p>
      <w:pPr>
        <w:spacing w:after="0" w:line="105"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Cash flows from financing activities:</w:t>
      </w:r>
    </w:p>
    <w:p>
      <w:pPr>
        <w:spacing w:after="0" w:line="20" w:lineRule="exact"/>
        <w:rPr>
          <w:sz w:val="20"/>
          <w:szCs w:val="20"/>
          <w:color w:val="auto"/>
        </w:rPr>
      </w:pPr>
      <w:r>
        <w:rPr>
          <w:sz w:val="20"/>
          <w:szCs w:val="20"/>
          <w:color w:val="auto"/>
        </w:rPr>
        <w:br w:type="column"/>
      </w:r>
    </w:p>
    <w:p>
      <w:pPr>
        <w:spacing w:after="0" w:line="17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2"/>
        </w:trPr>
        <w:tc>
          <w:tcPr>
            <w:tcW w:w="1500" w:type="dxa"/>
            <w:vAlign w:val="bottom"/>
          </w:tcPr>
          <w:p>
            <w:pPr>
              <w:jc w:val="right"/>
              <w:ind w:right="8"/>
              <w:spacing w:after="0"/>
              <w:rPr>
                <w:sz w:val="20"/>
                <w:szCs w:val="20"/>
                <w:color w:val="auto"/>
              </w:rPr>
            </w:pPr>
            <w:r>
              <w:rPr>
                <w:rFonts w:ascii="Arial" w:cs="Arial" w:eastAsia="Arial" w:hAnsi="Arial"/>
                <w:sz w:val="14"/>
                <w:szCs w:val="14"/>
                <w:color w:val="auto"/>
              </w:rPr>
              <w:t>(489,856)</w:t>
            </w:r>
          </w:p>
        </w:tc>
        <w:tc>
          <w:tcPr>
            <w:tcW w:w="120" w:type="dxa"/>
            <w:vAlign w:val="bottom"/>
          </w:tcPr>
          <w:p>
            <w:pPr>
              <w:spacing w:after="0"/>
              <w:rPr>
                <w:sz w:val="15"/>
                <w:szCs w:val="15"/>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(1,056,045)</w:t>
            </w:r>
          </w:p>
        </w:tc>
        <w:tc>
          <w:tcPr>
            <w:tcW w:w="120" w:type="dxa"/>
            <w:vAlign w:val="bottom"/>
          </w:tcPr>
          <w:p>
            <w:pPr>
              <w:spacing w:after="0"/>
              <w:rPr>
                <w:sz w:val="15"/>
                <w:szCs w:val="15"/>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(1,128,319)</w:t>
            </w:r>
          </w:p>
        </w:tc>
      </w:tr>
      <w:tr>
        <w:trPr>
          <w:trHeight w:val="270"/>
        </w:trPr>
        <w:tc>
          <w:tcPr>
            <w:tcW w:w="1500" w:type="dxa"/>
            <w:vAlign w:val="bottom"/>
          </w:tcPr>
          <w:p>
            <w:pPr>
              <w:jc w:val="right"/>
              <w:ind w:right="48"/>
              <w:spacing w:after="0"/>
              <w:rPr>
                <w:sz w:val="20"/>
                <w:szCs w:val="20"/>
                <w:color w:val="auto"/>
              </w:rPr>
            </w:pPr>
            <w:r>
              <w:rPr>
                <w:rFonts w:ascii="Arial" w:cs="Arial" w:eastAsia="Arial" w:hAnsi="Arial"/>
                <w:sz w:val="14"/>
                <w:szCs w:val="14"/>
                <w:color w:val="auto"/>
              </w:rPr>
              <w:t>616,697</w:t>
            </w:r>
          </w:p>
        </w:tc>
        <w:tc>
          <w:tcPr>
            <w:tcW w:w="120" w:type="dxa"/>
            <w:vAlign w:val="bottom"/>
          </w:tcPr>
          <w:p>
            <w:pPr>
              <w:spacing w:after="0"/>
              <w:rPr>
                <w:sz w:val="23"/>
                <w:szCs w:val="23"/>
                <w:color w:val="auto"/>
              </w:rPr>
            </w:pPr>
          </w:p>
        </w:tc>
        <w:tc>
          <w:tcPr>
            <w:tcW w:w="1460" w:type="dxa"/>
            <w:vAlign w:val="bottom"/>
          </w:tcPr>
          <w:p>
            <w:pPr>
              <w:jc w:val="right"/>
              <w:ind w:right="28"/>
              <w:spacing w:after="0"/>
              <w:rPr>
                <w:sz w:val="20"/>
                <w:szCs w:val="20"/>
                <w:color w:val="auto"/>
              </w:rPr>
            </w:pPr>
            <w:r>
              <w:rPr>
                <w:rFonts w:ascii="Arial" w:cs="Arial" w:eastAsia="Arial" w:hAnsi="Arial"/>
                <w:sz w:val="14"/>
                <w:szCs w:val="14"/>
                <w:color w:val="auto"/>
              </w:rPr>
              <w:t>991,657</w:t>
            </w:r>
          </w:p>
        </w:tc>
        <w:tc>
          <w:tcPr>
            <w:tcW w:w="120" w:type="dxa"/>
            <w:vAlign w:val="bottom"/>
          </w:tcPr>
          <w:p>
            <w:pPr>
              <w:spacing w:after="0"/>
              <w:rPr>
                <w:sz w:val="23"/>
                <w:szCs w:val="23"/>
                <w:color w:val="auto"/>
              </w:rPr>
            </w:pP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534,908</w:t>
            </w:r>
          </w:p>
        </w:tc>
      </w:tr>
      <w:tr>
        <w:trPr>
          <w:trHeight w:val="270"/>
        </w:trPr>
        <w:tc>
          <w:tcPr>
            <w:tcW w:w="1500" w:type="dxa"/>
            <w:vAlign w:val="bottom"/>
          </w:tcPr>
          <w:p>
            <w:pPr>
              <w:jc w:val="right"/>
              <w:ind w:right="48"/>
              <w:spacing w:after="0"/>
              <w:rPr>
                <w:sz w:val="20"/>
                <w:szCs w:val="20"/>
                <w:color w:val="auto"/>
              </w:rPr>
            </w:pPr>
            <w:r>
              <w:rPr>
                <w:rFonts w:ascii="Arial" w:cs="Arial" w:eastAsia="Arial" w:hAnsi="Arial"/>
                <w:sz w:val="14"/>
                <w:szCs w:val="14"/>
                <w:color w:val="auto"/>
              </w:rPr>
              <w:t>239,557</w:t>
            </w:r>
          </w:p>
        </w:tc>
        <w:tc>
          <w:tcPr>
            <w:tcW w:w="120" w:type="dxa"/>
            <w:vAlign w:val="bottom"/>
          </w:tcPr>
          <w:p>
            <w:pPr>
              <w:spacing w:after="0"/>
              <w:rPr>
                <w:sz w:val="23"/>
                <w:szCs w:val="23"/>
                <w:color w:val="auto"/>
              </w:rPr>
            </w:pPr>
          </w:p>
        </w:tc>
        <w:tc>
          <w:tcPr>
            <w:tcW w:w="1460" w:type="dxa"/>
            <w:vAlign w:val="bottom"/>
          </w:tcPr>
          <w:p>
            <w:pPr>
              <w:jc w:val="right"/>
              <w:ind w:right="28"/>
              <w:spacing w:after="0"/>
              <w:rPr>
                <w:sz w:val="20"/>
                <w:szCs w:val="20"/>
                <w:color w:val="auto"/>
              </w:rPr>
            </w:pPr>
            <w:r>
              <w:rPr>
                <w:rFonts w:ascii="Arial" w:cs="Arial" w:eastAsia="Arial" w:hAnsi="Arial"/>
                <w:sz w:val="14"/>
                <w:szCs w:val="14"/>
                <w:color w:val="auto"/>
              </w:rPr>
              <w:t>311,843</w:t>
            </w:r>
          </w:p>
        </w:tc>
        <w:tc>
          <w:tcPr>
            <w:tcW w:w="120" w:type="dxa"/>
            <w:vAlign w:val="bottom"/>
          </w:tcPr>
          <w:p>
            <w:pPr>
              <w:spacing w:after="0"/>
              <w:rPr>
                <w:sz w:val="23"/>
                <w:szCs w:val="23"/>
                <w:color w:val="auto"/>
              </w:rPr>
            </w:pP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291,402</w:t>
            </w:r>
          </w:p>
        </w:tc>
      </w:tr>
      <w:tr>
        <w:trPr>
          <w:trHeight w:val="270"/>
        </w:trPr>
        <w:tc>
          <w:tcPr>
            <w:tcW w:w="1500" w:type="dxa"/>
            <w:vAlign w:val="bottom"/>
          </w:tcPr>
          <w:p>
            <w:pPr>
              <w:jc w:val="right"/>
              <w:ind w:right="48"/>
              <w:spacing w:after="0"/>
              <w:rPr>
                <w:sz w:val="20"/>
                <w:szCs w:val="20"/>
                <w:color w:val="auto"/>
              </w:rPr>
            </w:pPr>
            <w:r>
              <w:rPr>
                <w:rFonts w:ascii="Arial" w:cs="Arial" w:eastAsia="Arial" w:hAnsi="Arial"/>
                <w:sz w:val="14"/>
                <w:szCs w:val="14"/>
                <w:color w:val="auto"/>
              </w:rPr>
              <w:t>16</w:t>
            </w:r>
          </w:p>
        </w:tc>
        <w:tc>
          <w:tcPr>
            <w:tcW w:w="120" w:type="dxa"/>
            <w:vAlign w:val="bottom"/>
          </w:tcPr>
          <w:p>
            <w:pPr>
              <w:spacing w:after="0"/>
              <w:rPr>
                <w:sz w:val="23"/>
                <w:szCs w:val="23"/>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(41)</w:t>
            </w:r>
          </w:p>
        </w:tc>
        <w:tc>
          <w:tcPr>
            <w:tcW w:w="120" w:type="dxa"/>
            <w:vAlign w:val="bottom"/>
          </w:tcPr>
          <w:p>
            <w:pPr>
              <w:spacing w:after="0"/>
              <w:rPr>
                <w:sz w:val="23"/>
                <w:szCs w:val="23"/>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(701)</w:t>
            </w:r>
          </w:p>
        </w:tc>
      </w:tr>
      <w:tr>
        <w:trPr>
          <w:trHeight w:val="270"/>
        </w:trPr>
        <w:tc>
          <w:tcPr>
            <w:tcW w:w="1500" w:type="dxa"/>
            <w:vAlign w:val="bottom"/>
          </w:tcPr>
          <w:p>
            <w:pPr>
              <w:jc w:val="right"/>
              <w:ind w:right="8"/>
              <w:spacing w:after="0"/>
              <w:rPr>
                <w:sz w:val="20"/>
                <w:szCs w:val="20"/>
                <w:color w:val="auto"/>
              </w:rPr>
            </w:pPr>
            <w:r>
              <w:rPr>
                <w:rFonts w:ascii="Arial" w:cs="Arial" w:eastAsia="Arial" w:hAnsi="Arial"/>
                <w:sz w:val="14"/>
                <w:szCs w:val="14"/>
                <w:color w:val="auto"/>
              </w:rPr>
              <w:t>(275,000)</w:t>
            </w:r>
          </w:p>
        </w:tc>
        <w:tc>
          <w:tcPr>
            <w:tcW w:w="120" w:type="dxa"/>
            <w:vAlign w:val="bottom"/>
          </w:tcPr>
          <w:p>
            <w:pPr>
              <w:spacing w:after="0"/>
              <w:rPr>
                <w:sz w:val="23"/>
                <w:szCs w:val="23"/>
                <w:color w:val="auto"/>
              </w:rPr>
            </w:pPr>
          </w:p>
        </w:tc>
        <w:tc>
          <w:tcPr>
            <w:tcW w:w="158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w:t>
            </w:r>
          </w:p>
        </w:tc>
      </w:tr>
      <w:tr>
        <w:trPr>
          <w:trHeight w:val="270"/>
        </w:trPr>
        <w:tc>
          <w:tcPr>
            <w:tcW w:w="1500" w:type="dxa"/>
            <w:vAlign w:val="bottom"/>
          </w:tcPr>
          <w:p>
            <w:pPr>
              <w:jc w:val="right"/>
              <w:ind w:right="48"/>
              <w:spacing w:after="0"/>
              <w:rPr>
                <w:sz w:val="20"/>
                <w:szCs w:val="20"/>
                <w:color w:val="auto"/>
              </w:rPr>
            </w:pPr>
            <w:r>
              <w:rPr>
                <w:rFonts w:ascii="Arial" w:cs="Arial" w:eastAsia="Arial" w:hAnsi="Arial"/>
                <w:sz w:val="14"/>
                <w:szCs w:val="14"/>
                <w:color w:val="auto"/>
              </w:rPr>
              <w:t>125,000</w:t>
            </w:r>
          </w:p>
        </w:tc>
        <w:tc>
          <w:tcPr>
            <w:tcW w:w="120" w:type="dxa"/>
            <w:vAlign w:val="bottom"/>
          </w:tcPr>
          <w:p>
            <w:pPr>
              <w:spacing w:after="0"/>
              <w:rPr>
                <w:sz w:val="23"/>
                <w:szCs w:val="23"/>
                <w:color w:val="auto"/>
              </w:rPr>
            </w:pPr>
          </w:p>
        </w:tc>
        <w:tc>
          <w:tcPr>
            <w:tcW w:w="158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w:t>
            </w:r>
          </w:p>
        </w:tc>
      </w:tr>
      <w:tr>
        <w:trPr>
          <w:trHeight w:val="270"/>
        </w:trPr>
        <w:tc>
          <w:tcPr>
            <w:tcW w:w="1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58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13,220</w:t>
            </w:r>
          </w:p>
        </w:tc>
      </w:tr>
      <w:tr>
        <w:trPr>
          <w:trHeight w:val="270"/>
        </w:trPr>
        <w:tc>
          <w:tcPr>
            <w:tcW w:w="1500" w:type="dxa"/>
            <w:vAlign w:val="bottom"/>
          </w:tcPr>
          <w:p>
            <w:pPr>
              <w:jc w:val="right"/>
              <w:ind w:right="8"/>
              <w:spacing w:after="0"/>
              <w:rPr>
                <w:sz w:val="20"/>
                <w:szCs w:val="20"/>
                <w:color w:val="auto"/>
              </w:rPr>
            </w:pPr>
            <w:r>
              <w:rPr>
                <w:rFonts w:ascii="Arial" w:cs="Arial" w:eastAsia="Arial" w:hAnsi="Arial"/>
                <w:sz w:val="14"/>
                <w:szCs w:val="14"/>
                <w:color w:val="auto"/>
              </w:rPr>
              <w:t>(10,309)</w:t>
            </w:r>
          </w:p>
        </w:tc>
        <w:tc>
          <w:tcPr>
            <w:tcW w:w="120" w:type="dxa"/>
            <w:vAlign w:val="bottom"/>
          </w:tcPr>
          <w:p>
            <w:pPr>
              <w:spacing w:after="0"/>
              <w:rPr>
                <w:sz w:val="23"/>
                <w:szCs w:val="23"/>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(8,236)</w:t>
            </w:r>
          </w:p>
        </w:tc>
        <w:tc>
          <w:tcPr>
            <w:tcW w:w="120" w:type="dxa"/>
            <w:vAlign w:val="bottom"/>
          </w:tcPr>
          <w:p>
            <w:pPr>
              <w:spacing w:after="0"/>
              <w:rPr>
                <w:sz w:val="23"/>
                <w:szCs w:val="23"/>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(16,424)</w:t>
            </w:r>
          </w:p>
        </w:tc>
      </w:tr>
      <w:tr>
        <w:trPr>
          <w:trHeight w:val="270"/>
        </w:trPr>
        <w:tc>
          <w:tcPr>
            <w:tcW w:w="1500" w:type="dxa"/>
            <w:vAlign w:val="bottom"/>
          </w:tcPr>
          <w:p>
            <w:pPr>
              <w:jc w:val="right"/>
              <w:ind w:right="8"/>
              <w:spacing w:after="0"/>
              <w:rPr>
                <w:sz w:val="20"/>
                <w:szCs w:val="20"/>
                <w:color w:val="auto"/>
              </w:rPr>
            </w:pPr>
            <w:r>
              <w:rPr>
                <w:rFonts w:ascii="Arial" w:cs="Arial" w:eastAsia="Arial" w:hAnsi="Arial"/>
                <w:sz w:val="14"/>
                <w:szCs w:val="14"/>
                <w:color w:val="auto"/>
              </w:rPr>
              <w:t>(44,510)</w:t>
            </w:r>
          </w:p>
        </w:tc>
        <w:tc>
          <w:tcPr>
            <w:tcW w:w="120" w:type="dxa"/>
            <w:vAlign w:val="bottom"/>
          </w:tcPr>
          <w:p>
            <w:pPr>
              <w:spacing w:after="0"/>
              <w:rPr>
                <w:sz w:val="23"/>
                <w:szCs w:val="23"/>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(37,255)</w:t>
            </w:r>
          </w:p>
        </w:tc>
        <w:tc>
          <w:tcPr>
            <w:tcW w:w="120" w:type="dxa"/>
            <w:vAlign w:val="bottom"/>
          </w:tcPr>
          <w:p>
            <w:pPr>
              <w:spacing w:after="0"/>
              <w:rPr>
                <w:sz w:val="23"/>
                <w:szCs w:val="23"/>
                <w:color w:val="auto"/>
              </w:rPr>
            </w:pPr>
          </w:p>
        </w:tc>
        <w:tc>
          <w:tcPr>
            <w:tcW w:w="1460" w:type="dxa"/>
            <w:vAlign w:val="bottom"/>
          </w:tcPr>
          <w:p>
            <w:pPr>
              <w:jc w:val="right"/>
              <w:spacing w:after="0"/>
              <w:rPr>
                <w:sz w:val="20"/>
                <w:szCs w:val="20"/>
                <w:color w:val="auto"/>
              </w:rPr>
            </w:pPr>
            <w:r>
              <w:rPr>
                <w:rFonts w:ascii="Arial" w:cs="Arial" w:eastAsia="Arial" w:hAnsi="Arial"/>
                <w:sz w:val="14"/>
                <w:szCs w:val="14"/>
                <w:color w:val="auto"/>
              </w:rPr>
              <w:t>(63,030)</w:t>
            </w:r>
          </w:p>
        </w:tc>
      </w:tr>
      <w:tr>
        <w:trPr>
          <w:trHeight w:val="270"/>
        </w:trPr>
        <w:tc>
          <w:tcPr>
            <w:tcW w:w="1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tcPr>
          <w:p>
            <w:pPr>
              <w:jc w:val="right"/>
              <w:spacing w:after="0"/>
              <w:rPr>
                <w:sz w:val="20"/>
                <w:szCs w:val="20"/>
                <w:color w:val="auto"/>
              </w:rPr>
            </w:pPr>
            <w:r>
              <w:rPr>
                <w:rFonts w:ascii="Arial" w:cs="Arial" w:eastAsia="Arial" w:hAnsi="Arial"/>
                <w:sz w:val="14"/>
                <w:szCs w:val="14"/>
                <w:color w:val="auto"/>
              </w:rPr>
              <w:t>(10,240)</w:t>
            </w:r>
          </w:p>
        </w:tc>
        <w:tc>
          <w:tcPr>
            <w:tcW w:w="120" w:type="dxa"/>
            <w:vAlign w:val="bottom"/>
          </w:tcPr>
          <w:p>
            <w:pPr>
              <w:spacing w:after="0"/>
              <w:rPr>
                <w:sz w:val="23"/>
                <w:szCs w:val="23"/>
                <w:color w:val="auto"/>
              </w:rPr>
            </w:pP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w:t>
            </w:r>
          </w:p>
        </w:tc>
      </w:tr>
      <w:tr>
        <w:trPr>
          <w:trHeight w:val="276"/>
        </w:trPr>
        <w:tc>
          <w:tcPr>
            <w:tcW w:w="1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tcPr>
          <w:p>
            <w:pPr>
              <w:jc w:val="right"/>
              <w:ind w:right="28"/>
              <w:spacing w:after="0"/>
              <w:rPr>
                <w:sz w:val="20"/>
                <w:szCs w:val="20"/>
                <w:color w:val="auto"/>
              </w:rPr>
            </w:pPr>
            <w:r>
              <w:rPr>
                <w:rFonts w:ascii="Arial" w:cs="Arial" w:eastAsia="Arial" w:hAnsi="Arial"/>
                <w:sz w:val="14"/>
                <w:szCs w:val="14"/>
                <w:color w:val="auto"/>
              </w:rPr>
              <w:t>10,007</w:t>
            </w:r>
          </w:p>
        </w:tc>
        <w:tc>
          <w:tcPr>
            <w:tcW w:w="120" w:type="dxa"/>
            <w:vAlign w:val="bottom"/>
          </w:tcPr>
          <w:p>
            <w:pPr>
              <w:spacing w:after="0"/>
              <w:rPr>
                <w:sz w:val="24"/>
                <w:szCs w:val="24"/>
                <w:color w:val="auto"/>
              </w:rPr>
            </w:pPr>
          </w:p>
        </w:tc>
        <w:tc>
          <w:tcPr>
            <w:tcW w:w="1460" w:type="dxa"/>
            <w:vAlign w:val="bottom"/>
          </w:tcPr>
          <w:p>
            <w:pPr>
              <w:jc w:val="right"/>
              <w:ind w:right="48"/>
              <w:spacing w:after="0"/>
              <w:rPr>
                <w:sz w:val="20"/>
                <w:szCs w:val="20"/>
                <w:color w:val="auto"/>
              </w:rPr>
            </w:pPr>
            <w:r>
              <w:rPr>
                <w:rFonts w:ascii="Arial" w:cs="Arial" w:eastAsia="Arial" w:hAnsi="Arial"/>
                <w:sz w:val="14"/>
                <w:szCs w:val="14"/>
                <w:color w:val="auto"/>
              </w:rPr>
              <w:t>—</w:t>
            </w:r>
          </w:p>
        </w:tc>
      </w:tr>
      <w:tr>
        <w:trPr>
          <w:trHeight w:val="250"/>
        </w:trPr>
        <w:tc>
          <w:tcPr>
            <w:tcW w:w="150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161,595</w:t>
            </w:r>
          </w:p>
        </w:tc>
        <w:tc>
          <w:tcPr>
            <w:tcW w:w="120" w:type="dxa"/>
            <w:vAlign w:val="bottom"/>
          </w:tcPr>
          <w:p>
            <w:pPr>
              <w:spacing w:after="0"/>
              <w:rPr>
                <w:sz w:val="21"/>
                <w:szCs w:val="21"/>
                <w:color w:val="auto"/>
              </w:rPr>
            </w:pPr>
          </w:p>
        </w:tc>
        <w:tc>
          <w:tcPr>
            <w:tcW w:w="146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201,690</w:t>
            </w:r>
          </w:p>
        </w:tc>
        <w:tc>
          <w:tcPr>
            <w:tcW w:w="120" w:type="dxa"/>
            <w:vAlign w:val="bottom"/>
          </w:tcPr>
          <w:p>
            <w:pPr>
              <w:spacing w:after="0"/>
              <w:rPr>
                <w:sz w:val="21"/>
                <w:szCs w:val="21"/>
                <w:color w:val="auto"/>
              </w:rPr>
            </w:pPr>
          </w:p>
        </w:tc>
        <w:tc>
          <w:tcPr>
            <w:tcW w:w="14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(368,944)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-1894840</wp:posOffset>
            </wp:positionV>
            <wp:extent cx="7229475" cy="1714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29475" cy="171450"/>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-1551305</wp:posOffset>
            </wp:positionV>
            <wp:extent cx="7229475" cy="171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29475" cy="171450"/>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-1208405</wp:posOffset>
            </wp:positionV>
            <wp:extent cx="7229475" cy="171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29475" cy="171450"/>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-865505</wp:posOffset>
            </wp:positionV>
            <wp:extent cx="7229475" cy="1714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29475" cy="171450"/>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-522605</wp:posOffset>
            </wp:positionV>
            <wp:extent cx="7229475"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29475" cy="171450"/>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-179705</wp:posOffset>
            </wp:positionV>
            <wp:extent cx="7229475" cy="1714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269" w:lineRule="exact"/>
        <w:rPr>
          <w:sz w:val="20"/>
          <w:szCs w:val="20"/>
          <w:color w:val="auto"/>
        </w:rPr>
      </w:pPr>
    </w:p>
    <w:p>
      <w:pPr>
        <w:sectPr>
          <w:pgSz w:w="11900" w:h="16838" w:orient="portrait"/>
          <w:cols w:equalWidth="0" w:num="2">
            <w:col w:w="6020" w:space="720"/>
            <w:col w:w="4660"/>
          </w:cols>
          <w:pgMar w:left="240" w:top="225" w:right="259" w:bottom="406" w:gutter="0" w:footer="0" w:header="0"/>
          <w:type w:val="continuous"/>
        </w:sectPr>
      </w:pPr>
    </w:p>
    <w:tbl>
      <w:tblPr>
        <w:tblLayout w:type="fixed"/>
        <w:tblInd w:w="0" w:type="dxa"/>
        <w:tblCellMar>
          <w:top w:w="0" w:type="dxa"/>
          <w:left w:w="0" w:type="dxa"/>
          <w:bottom w:w="0" w:type="dxa"/>
          <w:right w:w="0" w:type="dxa"/>
        </w:tblCellMar>
      </w:tblPr>
      <w:tr>
        <w:trPr>
          <w:trHeight w:val="202"/>
        </w:trPr>
        <w:tc>
          <w:tcPr>
            <w:tcW w:w="6740" w:type="dxa"/>
            <w:vAlign w:val="bottom"/>
            <w:shd w:val="clear" w:color="auto" w:fill="CCEEFF"/>
          </w:tcPr>
          <w:p>
            <w:pPr>
              <w:ind w:left="380"/>
              <w:spacing w:after="0"/>
              <w:rPr>
                <w:sz w:val="20"/>
                <w:szCs w:val="20"/>
                <w:color w:val="auto"/>
              </w:rPr>
            </w:pPr>
            <w:r>
              <w:rPr>
                <w:rFonts w:ascii="Arial" w:cs="Arial" w:eastAsia="Arial" w:hAnsi="Arial"/>
                <w:sz w:val="14"/>
                <w:szCs w:val="14"/>
                <w:color w:val="auto"/>
              </w:rPr>
              <w:t>Repurchase of common stock</w:t>
            </w:r>
          </w:p>
        </w:tc>
        <w:tc>
          <w:tcPr>
            <w:tcW w:w="440" w:type="dxa"/>
            <w:vAlign w:val="bottom"/>
            <w:shd w:val="clear" w:color="auto" w:fill="CCEEFF"/>
          </w:tcPr>
          <w:p>
            <w:pPr>
              <w:spacing w:after="0"/>
              <w:rPr>
                <w:sz w:val="17"/>
                <w:szCs w:val="17"/>
                <w:color w:val="auto"/>
              </w:rPr>
            </w:pPr>
          </w:p>
        </w:tc>
        <w:tc>
          <w:tcPr>
            <w:tcW w:w="106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(181,564)</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(260,875)</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(64,962)</w:t>
            </w:r>
          </w:p>
        </w:tc>
        <w:tc>
          <w:tcPr>
            <w:tcW w:w="0" w:type="dxa"/>
            <w:vAlign w:val="bottom"/>
          </w:tcPr>
          <w:p>
            <w:pPr>
              <w:spacing w:after="0"/>
              <w:rPr>
                <w:sz w:val="1"/>
                <w:szCs w:val="1"/>
                <w:color w:val="auto"/>
              </w:rPr>
            </w:pPr>
          </w:p>
        </w:tc>
      </w:tr>
      <w:tr>
        <w:trPr>
          <w:trHeight w:val="68"/>
        </w:trPr>
        <w:tc>
          <w:tcPr>
            <w:tcW w:w="6740" w:type="dxa"/>
            <w:vAlign w:val="bottom"/>
            <w:shd w:val="clear" w:color="auto" w:fill="CCEEFF"/>
          </w:tcPr>
          <w:p>
            <w:pPr>
              <w:spacing w:after="0"/>
              <w:rPr>
                <w:sz w:val="5"/>
                <w:szCs w:val="5"/>
                <w:color w:val="auto"/>
              </w:rPr>
            </w:pPr>
          </w:p>
        </w:tc>
        <w:tc>
          <w:tcPr>
            <w:tcW w:w="440" w:type="dxa"/>
            <w:vAlign w:val="bottom"/>
            <w:shd w:val="clear" w:color="auto" w:fill="CCEEFF"/>
          </w:tcPr>
          <w:p>
            <w:pPr>
              <w:spacing w:after="0"/>
              <w:rPr>
                <w:sz w:val="5"/>
                <w:szCs w:val="5"/>
                <w:color w:val="auto"/>
              </w:rPr>
            </w:pPr>
          </w:p>
        </w:tc>
        <w:tc>
          <w:tcPr>
            <w:tcW w:w="1060" w:type="dxa"/>
            <w:vAlign w:val="bottom"/>
            <w:vMerge w:val="continue"/>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440" w:type="dxa"/>
            <w:vAlign w:val="bottom"/>
            <w:shd w:val="clear" w:color="auto" w:fill="CCEEFF"/>
          </w:tcPr>
          <w:p>
            <w:pPr>
              <w:spacing w:after="0"/>
              <w:rPr>
                <w:sz w:val="5"/>
                <w:szCs w:val="5"/>
                <w:color w:val="auto"/>
              </w:rPr>
            </w:pPr>
          </w:p>
        </w:tc>
        <w:tc>
          <w:tcPr>
            <w:tcW w:w="1020" w:type="dxa"/>
            <w:vAlign w:val="bottom"/>
            <w:vMerge w:val="continue"/>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440" w:type="dxa"/>
            <w:vAlign w:val="bottom"/>
            <w:shd w:val="clear" w:color="auto" w:fill="CCEEFF"/>
          </w:tcPr>
          <w:p>
            <w:pPr>
              <w:spacing w:after="0"/>
              <w:rPr>
                <w:sz w:val="5"/>
                <w:szCs w:val="5"/>
                <w:color w:val="auto"/>
              </w:rPr>
            </w:pPr>
          </w:p>
        </w:tc>
        <w:tc>
          <w:tcPr>
            <w:tcW w:w="1020" w:type="dxa"/>
            <w:vAlign w:val="bottom"/>
            <w:vMerge w:val="continue"/>
            <w:shd w:val="clear" w:color="auto" w:fill="CCEEFF"/>
          </w:tcPr>
          <w:p>
            <w:pPr>
              <w:spacing w:after="0"/>
              <w:rPr>
                <w:sz w:val="5"/>
                <w:szCs w:val="5"/>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380"/>
              <w:spacing w:after="0"/>
              <w:rPr>
                <w:sz w:val="20"/>
                <w:szCs w:val="20"/>
                <w:color w:val="auto"/>
              </w:rPr>
            </w:pPr>
            <w:r>
              <w:rPr>
                <w:rFonts w:ascii="Arial" w:cs="Arial" w:eastAsia="Arial" w:hAnsi="Arial"/>
                <w:sz w:val="14"/>
                <w:szCs w:val="14"/>
                <w:color w:val="auto"/>
              </w:rPr>
              <w:t>Proceeds from employee stock plans</w:t>
            </w:r>
          </w:p>
        </w:tc>
        <w:tc>
          <w:tcPr>
            <w:tcW w:w="440" w:type="dxa"/>
            <w:vAlign w:val="bottom"/>
          </w:tcPr>
          <w:p>
            <w:pPr>
              <w:spacing w:after="0"/>
              <w:rPr>
                <w:sz w:val="16"/>
                <w:szCs w:val="16"/>
                <w:color w:val="auto"/>
              </w:rPr>
            </w:pPr>
          </w:p>
        </w:tc>
        <w:tc>
          <w:tcPr>
            <w:tcW w:w="1060" w:type="dxa"/>
            <w:vAlign w:val="bottom"/>
            <w:vMerge w:val="restart"/>
          </w:tcPr>
          <w:p>
            <w:pPr>
              <w:jc w:val="right"/>
              <w:ind w:right="48"/>
              <w:spacing w:after="0"/>
              <w:rPr>
                <w:sz w:val="20"/>
                <w:szCs w:val="20"/>
                <w:color w:val="auto"/>
              </w:rPr>
            </w:pPr>
            <w:r>
              <w:rPr>
                <w:rFonts w:ascii="Arial" w:cs="Arial" w:eastAsia="Arial" w:hAnsi="Arial"/>
                <w:sz w:val="14"/>
                <w:szCs w:val="14"/>
                <w:color w:val="auto"/>
              </w:rPr>
              <w:t>74,219</w:t>
            </w:r>
          </w:p>
        </w:tc>
        <w:tc>
          <w:tcPr>
            <w:tcW w:w="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vMerge w:val="restart"/>
          </w:tcPr>
          <w:p>
            <w:pPr>
              <w:jc w:val="right"/>
              <w:ind w:right="28"/>
              <w:spacing w:after="0"/>
              <w:rPr>
                <w:sz w:val="20"/>
                <w:szCs w:val="20"/>
                <w:color w:val="auto"/>
              </w:rPr>
            </w:pPr>
            <w:r>
              <w:rPr>
                <w:rFonts w:ascii="Arial" w:cs="Arial" w:eastAsia="Arial" w:hAnsi="Arial"/>
                <w:sz w:val="14"/>
                <w:szCs w:val="14"/>
                <w:color w:val="auto"/>
              </w:rPr>
              <w:t>80,717</w:t>
            </w:r>
          </w:p>
        </w:tc>
        <w:tc>
          <w:tcPr>
            <w:tcW w:w="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vMerge w:val="restart"/>
          </w:tcPr>
          <w:p>
            <w:pPr>
              <w:jc w:val="right"/>
              <w:ind w:right="48"/>
              <w:spacing w:after="0"/>
              <w:rPr>
                <w:sz w:val="20"/>
                <w:szCs w:val="20"/>
                <w:color w:val="auto"/>
              </w:rPr>
            </w:pPr>
            <w:r>
              <w:rPr>
                <w:rFonts w:ascii="Arial" w:cs="Arial" w:eastAsia="Arial" w:hAnsi="Arial"/>
                <w:sz w:val="14"/>
                <w:szCs w:val="14"/>
                <w:color w:val="auto"/>
              </w:rPr>
              <w:t>112,357</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6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2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380"/>
              <w:spacing w:after="0"/>
              <w:rPr>
                <w:sz w:val="20"/>
                <w:szCs w:val="20"/>
                <w:color w:val="auto"/>
              </w:rPr>
            </w:pPr>
            <w:r>
              <w:rPr>
                <w:rFonts w:ascii="Arial" w:cs="Arial" w:eastAsia="Arial" w:hAnsi="Arial"/>
                <w:sz w:val="14"/>
                <w:szCs w:val="14"/>
                <w:color w:val="auto"/>
              </w:rPr>
              <w:t>Minimum tax withholding paid on behalf of employees for net share settlement</w:t>
            </w:r>
          </w:p>
        </w:tc>
        <w:tc>
          <w:tcPr>
            <w:tcW w:w="440" w:type="dxa"/>
            <w:vAlign w:val="bottom"/>
            <w:shd w:val="clear" w:color="auto" w:fill="CCEEFF"/>
          </w:tcPr>
          <w:p>
            <w:pPr>
              <w:spacing w:after="0"/>
              <w:rPr>
                <w:sz w:val="17"/>
                <w:szCs w:val="17"/>
                <w:color w:val="auto"/>
              </w:rPr>
            </w:pPr>
          </w:p>
        </w:tc>
        <w:tc>
          <w:tcPr>
            <w:tcW w:w="106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(16,683)</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(24,358)</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(26,494)</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440" w:type="dxa"/>
            <w:vAlign w:val="bottom"/>
            <w:shd w:val="clear" w:color="auto" w:fill="CCEEFF"/>
          </w:tcPr>
          <w:p>
            <w:pPr>
              <w:spacing w:after="0"/>
              <w:rPr>
                <w:sz w:val="6"/>
                <w:szCs w:val="6"/>
                <w:color w:val="auto"/>
              </w:rPr>
            </w:pPr>
          </w:p>
        </w:tc>
        <w:tc>
          <w:tcPr>
            <w:tcW w:w="106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shd w:val="clear" w:color="auto" w:fill="CCEEFF"/>
          </w:tcPr>
          <w:p>
            <w:pPr>
              <w:spacing w:after="0"/>
              <w:rPr>
                <w:sz w:val="6"/>
                <w:szCs w:val="6"/>
                <w:color w:val="auto"/>
              </w:rPr>
            </w:pPr>
          </w:p>
        </w:tc>
        <w:tc>
          <w:tcPr>
            <w:tcW w:w="102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shd w:val="clear" w:color="auto" w:fill="CCEEFF"/>
          </w:tcPr>
          <w:p>
            <w:pPr>
              <w:spacing w:after="0"/>
              <w:rPr>
                <w:sz w:val="6"/>
                <w:szCs w:val="6"/>
                <w:color w:val="auto"/>
              </w:rPr>
            </w:pPr>
          </w:p>
        </w:tc>
        <w:tc>
          <w:tcPr>
            <w:tcW w:w="102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380"/>
              <w:spacing w:after="0"/>
              <w:rPr>
                <w:sz w:val="20"/>
                <w:szCs w:val="20"/>
                <w:color w:val="auto"/>
              </w:rPr>
            </w:pPr>
            <w:r>
              <w:rPr>
                <w:rFonts w:ascii="Arial" w:cs="Arial" w:eastAsia="Arial" w:hAnsi="Arial"/>
                <w:sz w:val="14"/>
                <w:szCs w:val="14"/>
                <w:color w:val="auto"/>
              </w:rPr>
              <w:t>Dividend payments to shareholders</w:t>
            </w:r>
          </w:p>
        </w:tc>
        <w:tc>
          <w:tcPr>
            <w:tcW w:w="440" w:type="dxa"/>
            <w:vAlign w:val="bottom"/>
          </w:tcPr>
          <w:p>
            <w:pPr>
              <w:spacing w:after="0"/>
              <w:rPr>
                <w:sz w:val="16"/>
                <w:szCs w:val="16"/>
                <w:color w:val="auto"/>
              </w:rPr>
            </w:pPr>
          </w:p>
        </w:tc>
        <w:tc>
          <w:tcPr>
            <w:tcW w:w="1060" w:type="dxa"/>
            <w:vAlign w:val="bottom"/>
            <w:vMerge w:val="restart"/>
          </w:tcPr>
          <w:p>
            <w:pPr>
              <w:jc w:val="right"/>
              <w:ind w:right="8"/>
              <w:spacing w:after="0"/>
              <w:rPr>
                <w:sz w:val="20"/>
                <w:szCs w:val="20"/>
                <w:color w:val="auto"/>
              </w:rPr>
            </w:pPr>
            <w:r>
              <w:rPr>
                <w:rFonts w:ascii="Arial" w:cs="Arial" w:eastAsia="Arial" w:hAnsi="Arial"/>
                <w:sz w:val="14"/>
                <w:szCs w:val="14"/>
                <w:color w:val="auto"/>
              </w:rPr>
              <w:t>(122,292)</w:t>
            </w:r>
          </w:p>
        </w:tc>
        <w:tc>
          <w:tcPr>
            <w:tcW w:w="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vMerge w:val="restart"/>
          </w:tcPr>
          <w:p>
            <w:pPr>
              <w:jc w:val="right"/>
              <w:spacing w:after="0"/>
              <w:rPr>
                <w:sz w:val="20"/>
                <w:szCs w:val="20"/>
                <w:color w:val="auto"/>
              </w:rPr>
            </w:pPr>
            <w:r>
              <w:rPr>
                <w:rFonts w:ascii="Arial" w:cs="Arial" w:eastAsia="Arial" w:hAnsi="Arial"/>
                <w:sz w:val="14"/>
                <w:szCs w:val="14"/>
                <w:color w:val="auto"/>
              </w:rPr>
              <w:t>(122,821)</w:t>
            </w:r>
          </w:p>
        </w:tc>
        <w:tc>
          <w:tcPr>
            <w:tcW w:w="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vMerge w:val="restart"/>
          </w:tcPr>
          <w:p>
            <w:pPr>
              <w:jc w:val="right"/>
              <w:spacing w:after="0"/>
              <w:rPr>
                <w:sz w:val="20"/>
                <w:szCs w:val="20"/>
                <w:color w:val="auto"/>
              </w:rPr>
            </w:pPr>
            <w:r>
              <w:rPr>
                <w:rFonts w:ascii="Arial" w:cs="Arial" w:eastAsia="Arial" w:hAnsi="Arial"/>
                <w:sz w:val="14"/>
                <w:szCs w:val="14"/>
                <w:color w:val="auto"/>
              </w:rPr>
              <w:t>(122,801)</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6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2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380"/>
              <w:spacing w:after="0"/>
              <w:rPr>
                <w:sz w:val="20"/>
                <w:szCs w:val="20"/>
                <w:color w:val="auto"/>
              </w:rPr>
            </w:pPr>
            <w:r>
              <w:rPr>
                <w:rFonts w:ascii="Arial" w:cs="Arial" w:eastAsia="Arial" w:hAnsi="Arial"/>
                <w:sz w:val="14"/>
                <w:szCs w:val="14"/>
                <w:color w:val="auto"/>
              </w:rPr>
              <w:t>Payments on technology license obligations</w:t>
            </w:r>
          </w:p>
        </w:tc>
        <w:tc>
          <w:tcPr>
            <w:tcW w:w="440" w:type="dxa"/>
            <w:vAlign w:val="bottom"/>
            <w:shd w:val="clear" w:color="auto" w:fill="CCEEFF"/>
          </w:tcPr>
          <w:p>
            <w:pPr>
              <w:spacing w:after="0"/>
              <w:rPr>
                <w:sz w:val="17"/>
                <w:szCs w:val="17"/>
                <w:color w:val="auto"/>
              </w:rPr>
            </w:pPr>
          </w:p>
        </w:tc>
        <w:tc>
          <w:tcPr>
            <w:tcW w:w="106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(20,965)</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(12,528)</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(13,010)</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440" w:type="dxa"/>
            <w:vAlign w:val="bottom"/>
            <w:shd w:val="clear" w:color="auto" w:fill="CCEEFF"/>
          </w:tcPr>
          <w:p>
            <w:pPr>
              <w:spacing w:after="0"/>
              <w:rPr>
                <w:sz w:val="6"/>
                <w:szCs w:val="6"/>
                <w:color w:val="auto"/>
              </w:rPr>
            </w:pPr>
          </w:p>
        </w:tc>
        <w:tc>
          <w:tcPr>
            <w:tcW w:w="106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shd w:val="clear" w:color="auto" w:fill="CCEEFF"/>
          </w:tcPr>
          <w:p>
            <w:pPr>
              <w:spacing w:after="0"/>
              <w:rPr>
                <w:sz w:val="6"/>
                <w:szCs w:val="6"/>
                <w:color w:val="auto"/>
              </w:rPr>
            </w:pPr>
          </w:p>
        </w:tc>
        <w:tc>
          <w:tcPr>
            <w:tcW w:w="1020" w:type="dxa"/>
            <w:vAlign w:val="bottom"/>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shd w:val="clear" w:color="auto" w:fill="CCEEFF"/>
          </w:tcPr>
          <w:p>
            <w:pPr>
              <w:spacing w:after="0"/>
              <w:rPr>
                <w:sz w:val="6"/>
                <w:szCs w:val="6"/>
                <w:color w:val="auto"/>
              </w:rPr>
            </w:pPr>
          </w:p>
        </w:tc>
        <w:tc>
          <w:tcPr>
            <w:tcW w:w="1020" w:type="dxa"/>
            <w:vAlign w:val="bottom"/>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91"/>
        </w:trPr>
        <w:tc>
          <w:tcPr>
            <w:tcW w:w="6740" w:type="dxa"/>
            <w:vAlign w:val="bottom"/>
          </w:tcPr>
          <w:p>
            <w:pPr>
              <w:ind w:left="380"/>
              <w:spacing w:after="0"/>
              <w:rPr>
                <w:sz w:val="20"/>
                <w:szCs w:val="20"/>
                <w:color w:val="auto"/>
              </w:rPr>
            </w:pPr>
            <w:r>
              <w:rPr>
                <w:rFonts w:ascii="Arial" w:cs="Arial" w:eastAsia="Arial" w:hAnsi="Arial"/>
                <w:sz w:val="14"/>
                <w:szCs w:val="14"/>
                <w:color w:val="auto"/>
              </w:rPr>
              <w:t>Excess tax benefits from share-based compensation</w:t>
            </w:r>
          </w:p>
        </w:tc>
        <w:tc>
          <w:tcPr>
            <w:tcW w:w="440" w:type="dxa"/>
            <w:vAlign w:val="bottom"/>
          </w:tcPr>
          <w:p>
            <w:pPr>
              <w:spacing w:after="0"/>
              <w:rPr>
                <w:sz w:val="16"/>
                <w:szCs w:val="16"/>
                <w:color w:val="auto"/>
              </w:rPr>
            </w:pPr>
          </w:p>
        </w:tc>
        <w:tc>
          <w:tcPr>
            <w:tcW w:w="1060" w:type="dxa"/>
            <w:vAlign w:val="bottom"/>
            <w:vMerge w:val="restart"/>
          </w:tcPr>
          <w:p>
            <w:pPr>
              <w:jc w:val="right"/>
              <w:ind w:right="48"/>
              <w:spacing w:after="0"/>
              <w:rPr>
                <w:sz w:val="20"/>
                <w:szCs w:val="20"/>
                <w:color w:val="auto"/>
              </w:rPr>
            </w:pPr>
            <w:r>
              <w:rPr>
                <w:rFonts w:ascii="Arial" w:cs="Arial" w:eastAsia="Arial" w:hAnsi="Arial"/>
                <w:sz w:val="14"/>
                <w:szCs w:val="14"/>
                <w:color w:val="auto"/>
              </w:rPr>
              <w:t>37</w:t>
            </w:r>
          </w:p>
        </w:tc>
        <w:tc>
          <w:tcPr>
            <w:tcW w:w="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vMerge w:val="restart"/>
          </w:tcPr>
          <w:p>
            <w:pPr>
              <w:jc w:val="right"/>
              <w:ind w:right="28"/>
              <w:spacing w:after="0"/>
              <w:rPr>
                <w:sz w:val="20"/>
                <w:szCs w:val="20"/>
                <w:color w:val="auto"/>
              </w:rPr>
            </w:pPr>
            <w:r>
              <w:rPr>
                <w:rFonts w:ascii="Arial" w:cs="Arial" w:eastAsia="Arial" w:hAnsi="Arial"/>
                <w:sz w:val="14"/>
                <w:szCs w:val="14"/>
                <w:color w:val="auto"/>
              </w:rPr>
              <w:t>26</w:t>
            </w:r>
          </w:p>
        </w:tc>
        <w:tc>
          <w:tcPr>
            <w:tcW w:w="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vMerge w:val="restart"/>
          </w:tcPr>
          <w:p>
            <w:pPr>
              <w:jc w:val="right"/>
              <w:ind w:right="48"/>
              <w:spacing w:after="0"/>
              <w:rPr>
                <w:sz w:val="20"/>
                <w:szCs w:val="20"/>
                <w:color w:val="auto"/>
              </w:rPr>
            </w:pPr>
            <w:r>
              <w:rPr>
                <w:rFonts w:ascii="Arial" w:cs="Arial" w:eastAsia="Arial" w:hAnsi="Arial"/>
                <w:sz w:val="14"/>
                <w:szCs w:val="14"/>
                <w:color w:val="auto"/>
              </w:rPr>
              <w:t>145</w:t>
            </w:r>
          </w:p>
        </w:tc>
        <w:tc>
          <w:tcPr>
            <w:tcW w:w="0" w:type="dxa"/>
            <w:vAlign w:val="bottom"/>
          </w:tcPr>
          <w:p>
            <w:pPr>
              <w:spacing w:after="0"/>
              <w:rPr>
                <w:sz w:val="1"/>
                <w:szCs w:val="1"/>
                <w:color w:val="auto"/>
              </w:rPr>
            </w:pPr>
          </w:p>
        </w:tc>
      </w:tr>
      <w:tr>
        <w:trPr>
          <w:trHeight w:val="74"/>
        </w:trPr>
        <w:tc>
          <w:tcPr>
            <w:tcW w:w="6740" w:type="dxa"/>
            <w:vAlign w:val="bottom"/>
            <w:tcBorders>
              <w:bottom w:val="single" w:sz="8" w:color="CCEEFF"/>
            </w:tcBorders>
          </w:tcPr>
          <w:p>
            <w:pPr>
              <w:spacing w:after="0"/>
              <w:rPr>
                <w:sz w:val="6"/>
                <w:szCs w:val="6"/>
                <w:color w:val="auto"/>
              </w:rPr>
            </w:pPr>
          </w:p>
        </w:tc>
        <w:tc>
          <w:tcPr>
            <w:tcW w:w="440" w:type="dxa"/>
            <w:vAlign w:val="bottom"/>
            <w:tcBorders>
              <w:bottom w:val="single" w:sz="8" w:color="auto"/>
            </w:tcBorders>
          </w:tcPr>
          <w:p>
            <w:pPr>
              <w:spacing w:after="0"/>
              <w:rPr>
                <w:sz w:val="6"/>
                <w:szCs w:val="6"/>
                <w:color w:val="auto"/>
              </w:rPr>
            </w:pPr>
          </w:p>
        </w:tc>
        <w:tc>
          <w:tcPr>
            <w:tcW w:w="1060" w:type="dxa"/>
            <w:vAlign w:val="bottom"/>
            <w:tcBorders>
              <w:bottom w:val="single" w:sz="8" w:color="auto"/>
            </w:tcBorders>
            <w:vMerge w:val="continue"/>
          </w:tcPr>
          <w:p>
            <w:pPr>
              <w:spacing w:after="0"/>
              <w:rPr>
                <w:sz w:val="6"/>
                <w:szCs w:val="6"/>
                <w:color w:val="auto"/>
              </w:rPr>
            </w:pPr>
          </w:p>
        </w:tc>
        <w:tc>
          <w:tcPr>
            <w:tcW w:w="120" w:type="dxa"/>
            <w:vAlign w:val="bottom"/>
            <w:tcBorders>
              <w:bottom w:val="single" w:sz="8" w:color="CCEEFF"/>
            </w:tcBorders>
          </w:tcPr>
          <w:p>
            <w:pPr>
              <w:spacing w:after="0"/>
              <w:rPr>
                <w:sz w:val="6"/>
                <w:szCs w:val="6"/>
                <w:color w:val="auto"/>
              </w:rPr>
            </w:pPr>
          </w:p>
        </w:tc>
        <w:tc>
          <w:tcPr>
            <w:tcW w:w="440" w:type="dxa"/>
            <w:vAlign w:val="bottom"/>
            <w:tcBorders>
              <w:bottom w:val="single" w:sz="8" w:color="auto"/>
            </w:tcBorders>
          </w:tcPr>
          <w:p>
            <w:pPr>
              <w:spacing w:after="0"/>
              <w:rPr>
                <w:sz w:val="6"/>
                <w:szCs w:val="6"/>
                <w:color w:val="auto"/>
              </w:rPr>
            </w:pPr>
          </w:p>
        </w:tc>
        <w:tc>
          <w:tcPr>
            <w:tcW w:w="1020" w:type="dxa"/>
            <w:vAlign w:val="bottom"/>
            <w:tcBorders>
              <w:bottom w:val="single" w:sz="8" w:color="auto"/>
            </w:tcBorders>
            <w:vMerge w:val="continue"/>
          </w:tcPr>
          <w:p>
            <w:pPr>
              <w:spacing w:after="0"/>
              <w:rPr>
                <w:sz w:val="6"/>
                <w:szCs w:val="6"/>
                <w:color w:val="auto"/>
              </w:rPr>
            </w:pPr>
          </w:p>
        </w:tc>
        <w:tc>
          <w:tcPr>
            <w:tcW w:w="120" w:type="dxa"/>
            <w:vAlign w:val="bottom"/>
            <w:tcBorders>
              <w:bottom w:val="single" w:sz="8" w:color="CCEEFF"/>
            </w:tcBorders>
          </w:tcPr>
          <w:p>
            <w:pPr>
              <w:spacing w:after="0"/>
              <w:rPr>
                <w:sz w:val="6"/>
                <w:szCs w:val="6"/>
                <w:color w:val="auto"/>
              </w:rPr>
            </w:pPr>
          </w:p>
        </w:tc>
        <w:tc>
          <w:tcPr>
            <w:tcW w:w="440" w:type="dxa"/>
            <w:vAlign w:val="bottom"/>
            <w:tcBorders>
              <w:bottom w:val="single" w:sz="8" w:color="auto"/>
            </w:tcBorders>
          </w:tcPr>
          <w:p>
            <w:pPr>
              <w:spacing w:after="0"/>
              <w:rPr>
                <w:sz w:val="6"/>
                <w:szCs w:val="6"/>
                <w:color w:val="auto"/>
              </w:rPr>
            </w:pPr>
          </w:p>
        </w:tc>
        <w:tc>
          <w:tcPr>
            <w:tcW w:w="1020" w:type="dxa"/>
            <w:vAlign w:val="bottom"/>
            <w:tcBorders>
              <w:bottom w:val="single" w:sz="8" w:color="auto"/>
            </w:tcBorders>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77"/>
        </w:trPr>
        <w:tc>
          <w:tcPr>
            <w:tcW w:w="6740" w:type="dxa"/>
            <w:vAlign w:val="bottom"/>
            <w:shd w:val="clear" w:color="auto" w:fill="CCEEFF"/>
          </w:tcPr>
          <w:p>
            <w:pPr>
              <w:ind w:left="1460"/>
              <w:spacing w:after="0"/>
              <w:rPr>
                <w:sz w:val="20"/>
                <w:szCs w:val="20"/>
                <w:color w:val="auto"/>
              </w:rPr>
            </w:pPr>
            <w:r>
              <w:rPr>
                <w:rFonts w:ascii="Arial" w:cs="Arial" w:eastAsia="Arial" w:hAnsi="Arial"/>
                <w:sz w:val="14"/>
                <w:szCs w:val="14"/>
                <w:color w:val="auto"/>
              </w:rPr>
              <w:t>Net cash used in financing activities</w:t>
            </w:r>
          </w:p>
        </w:tc>
        <w:tc>
          <w:tcPr>
            <w:tcW w:w="440" w:type="dxa"/>
            <w:vAlign w:val="bottom"/>
            <w:shd w:val="clear" w:color="auto" w:fill="CCEEFF"/>
          </w:tcPr>
          <w:p>
            <w:pPr>
              <w:spacing w:after="0"/>
              <w:rPr>
                <w:sz w:val="15"/>
                <w:szCs w:val="15"/>
                <w:color w:val="auto"/>
              </w:rPr>
            </w:pPr>
          </w:p>
        </w:tc>
        <w:tc>
          <w:tcPr>
            <w:tcW w:w="1060" w:type="dxa"/>
            <w:vAlign w:val="bottom"/>
            <w:vMerge w:val="restart"/>
            <w:shd w:val="clear" w:color="auto" w:fill="CCEEFF"/>
          </w:tcPr>
          <w:p>
            <w:pPr>
              <w:jc w:val="right"/>
              <w:ind w:right="8"/>
              <w:spacing w:after="0"/>
              <w:rPr>
                <w:sz w:val="20"/>
                <w:szCs w:val="20"/>
                <w:color w:val="auto"/>
              </w:rPr>
            </w:pPr>
            <w:r>
              <w:rPr>
                <w:rFonts w:ascii="Arial" w:cs="Arial" w:eastAsia="Arial" w:hAnsi="Arial"/>
                <w:sz w:val="14"/>
                <w:szCs w:val="14"/>
                <w:color w:val="auto"/>
              </w:rPr>
              <w:t>(267,248)</w:t>
            </w:r>
          </w:p>
        </w:tc>
        <w:tc>
          <w:tcPr>
            <w:tcW w:w="1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(339,839)</w:t>
            </w:r>
          </w:p>
        </w:tc>
        <w:tc>
          <w:tcPr>
            <w:tcW w:w="1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(114,765)</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440" w:type="dxa"/>
            <w:vAlign w:val="bottom"/>
            <w:tcBorders>
              <w:bottom w:val="single" w:sz="8" w:color="auto"/>
            </w:tcBorders>
            <w:shd w:val="clear" w:color="auto" w:fill="CCEEFF"/>
          </w:tcPr>
          <w:p>
            <w:pPr>
              <w:spacing w:after="0"/>
              <w:rPr>
                <w:sz w:val="6"/>
                <w:szCs w:val="6"/>
                <w:color w:val="auto"/>
              </w:rPr>
            </w:pPr>
          </w:p>
        </w:tc>
        <w:tc>
          <w:tcPr>
            <w:tcW w:w="1060" w:type="dxa"/>
            <w:vAlign w:val="bottom"/>
            <w:tcBorders>
              <w:bottom w:val="single" w:sz="8" w:color="auto"/>
            </w:tcBorders>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tcBorders>
              <w:bottom w:val="single" w:sz="8" w:color="auto"/>
            </w:tcBorders>
            <w:shd w:val="clear" w:color="auto" w:fill="CCEEFF"/>
          </w:tcPr>
          <w:p>
            <w:pPr>
              <w:spacing w:after="0"/>
              <w:rPr>
                <w:sz w:val="6"/>
                <w:szCs w:val="6"/>
                <w:color w:val="auto"/>
              </w:rPr>
            </w:pPr>
          </w:p>
        </w:tc>
        <w:tc>
          <w:tcPr>
            <w:tcW w:w="1020" w:type="dxa"/>
            <w:vAlign w:val="bottom"/>
            <w:tcBorders>
              <w:bottom w:val="single" w:sz="8" w:color="auto"/>
            </w:tcBorders>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tcBorders>
              <w:bottom w:val="single" w:sz="8" w:color="auto"/>
            </w:tcBorders>
            <w:shd w:val="clear" w:color="auto" w:fill="CCEEFF"/>
          </w:tcPr>
          <w:p>
            <w:pPr>
              <w:spacing w:after="0"/>
              <w:rPr>
                <w:sz w:val="6"/>
                <w:szCs w:val="6"/>
                <w:color w:val="auto"/>
              </w:rPr>
            </w:pPr>
          </w:p>
        </w:tc>
        <w:tc>
          <w:tcPr>
            <w:tcW w:w="1020" w:type="dxa"/>
            <w:vAlign w:val="bottom"/>
            <w:tcBorders>
              <w:bottom w:val="single" w:sz="8" w:color="auto"/>
            </w:tcBorders>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71"/>
        </w:trPr>
        <w:tc>
          <w:tcPr>
            <w:tcW w:w="6740" w:type="dxa"/>
            <w:vAlign w:val="bottom"/>
          </w:tcPr>
          <w:p>
            <w:pPr>
              <w:ind w:left="40"/>
              <w:spacing w:after="0"/>
              <w:rPr>
                <w:sz w:val="20"/>
                <w:szCs w:val="20"/>
                <w:color w:val="auto"/>
              </w:rPr>
            </w:pPr>
            <w:r>
              <w:rPr>
                <w:rFonts w:ascii="Arial" w:cs="Arial" w:eastAsia="Arial" w:hAnsi="Arial"/>
                <w:sz w:val="14"/>
                <w:szCs w:val="14"/>
                <w:color w:val="auto"/>
              </w:rPr>
              <w:t>Net increase (decrease) in cash and cash equivalents</w:t>
            </w:r>
          </w:p>
        </w:tc>
        <w:tc>
          <w:tcPr>
            <w:tcW w:w="440" w:type="dxa"/>
            <w:vAlign w:val="bottom"/>
          </w:tcPr>
          <w:p>
            <w:pPr>
              <w:spacing w:after="0"/>
              <w:rPr>
                <w:sz w:val="14"/>
                <w:szCs w:val="14"/>
                <w:color w:val="auto"/>
              </w:rPr>
            </w:pPr>
          </w:p>
        </w:tc>
        <w:tc>
          <w:tcPr>
            <w:tcW w:w="1060" w:type="dxa"/>
            <w:vAlign w:val="bottom"/>
            <w:vMerge w:val="restart"/>
          </w:tcPr>
          <w:p>
            <w:pPr>
              <w:jc w:val="right"/>
              <w:ind w:right="8"/>
              <w:spacing w:after="0"/>
              <w:rPr>
                <w:sz w:val="20"/>
                <w:szCs w:val="20"/>
                <w:color w:val="auto"/>
              </w:rPr>
            </w:pPr>
            <w:r>
              <w:rPr>
                <w:rFonts w:ascii="Arial" w:cs="Arial" w:eastAsia="Arial" w:hAnsi="Arial"/>
                <w:sz w:val="14"/>
                <w:szCs w:val="14"/>
                <w:color w:val="auto"/>
              </w:rPr>
              <w:t>(464,088)</w:t>
            </w:r>
          </w:p>
        </w:tc>
        <w:tc>
          <w:tcPr>
            <w:tcW w:w="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vMerge w:val="restart"/>
          </w:tcPr>
          <w:p>
            <w:pPr>
              <w:jc w:val="right"/>
              <w:ind w:right="28"/>
              <w:spacing w:after="0"/>
              <w:rPr>
                <w:sz w:val="20"/>
                <w:szCs w:val="20"/>
                <w:color w:val="auto"/>
              </w:rPr>
            </w:pPr>
            <w:r>
              <w:rPr>
                <w:rFonts w:ascii="Arial" w:cs="Arial" w:eastAsia="Arial" w:hAnsi="Arial"/>
                <w:sz w:val="14"/>
                <w:szCs w:val="14"/>
                <w:color w:val="auto"/>
              </w:rPr>
              <w:t>67,203</w:t>
            </w:r>
          </w:p>
        </w:tc>
        <w:tc>
          <w:tcPr>
            <w:tcW w:w="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vMerge w:val="restart"/>
          </w:tcPr>
          <w:p>
            <w:pPr>
              <w:jc w:val="right"/>
              <w:ind w:right="48"/>
              <w:spacing w:after="0"/>
              <w:rPr>
                <w:sz w:val="20"/>
                <w:szCs w:val="20"/>
                <w:color w:val="auto"/>
              </w:rPr>
            </w:pPr>
            <w:r>
              <w:rPr>
                <w:rFonts w:ascii="Arial" w:cs="Arial" w:eastAsia="Arial" w:hAnsi="Arial"/>
                <w:sz w:val="14"/>
                <w:szCs w:val="14"/>
                <w:color w:val="auto"/>
              </w:rPr>
              <w:t>245,227</w:t>
            </w:r>
          </w:p>
        </w:tc>
        <w:tc>
          <w:tcPr>
            <w:tcW w:w="0" w:type="dxa"/>
            <w:vAlign w:val="bottom"/>
          </w:tcPr>
          <w:p>
            <w:pPr>
              <w:spacing w:after="0"/>
              <w:rPr>
                <w:sz w:val="1"/>
                <w:szCs w:val="1"/>
                <w:color w:val="auto"/>
              </w:rPr>
            </w:pPr>
          </w:p>
        </w:tc>
      </w:tr>
      <w:tr>
        <w:trPr>
          <w:trHeight w:val="74"/>
        </w:trPr>
        <w:tc>
          <w:tcPr>
            <w:tcW w:w="674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6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2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440" w:type="dxa"/>
            <w:vAlign w:val="bottom"/>
          </w:tcPr>
          <w:p>
            <w:pPr>
              <w:spacing w:after="0"/>
              <w:rPr>
                <w:sz w:val="6"/>
                <w:szCs w:val="6"/>
                <w:color w:val="auto"/>
              </w:rPr>
            </w:pPr>
          </w:p>
        </w:tc>
        <w:tc>
          <w:tcPr>
            <w:tcW w:w="10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6740" w:type="dxa"/>
            <w:vAlign w:val="bottom"/>
            <w:shd w:val="clear" w:color="auto" w:fill="CCEEFF"/>
          </w:tcPr>
          <w:p>
            <w:pPr>
              <w:ind w:left="40"/>
              <w:spacing w:after="0"/>
              <w:rPr>
                <w:sz w:val="20"/>
                <w:szCs w:val="20"/>
                <w:color w:val="auto"/>
              </w:rPr>
            </w:pPr>
            <w:r>
              <w:rPr>
                <w:rFonts w:ascii="Arial" w:cs="Arial" w:eastAsia="Arial" w:hAnsi="Arial"/>
                <w:sz w:val="14"/>
                <w:szCs w:val="14"/>
                <w:color w:val="auto"/>
              </w:rPr>
              <w:t>Cash and cash equivalents at beginning of the year</w:t>
            </w:r>
          </w:p>
        </w:tc>
        <w:tc>
          <w:tcPr>
            <w:tcW w:w="440" w:type="dxa"/>
            <w:vAlign w:val="bottom"/>
            <w:shd w:val="clear" w:color="auto" w:fill="CCEEFF"/>
          </w:tcPr>
          <w:p>
            <w:pPr>
              <w:spacing w:after="0"/>
              <w:rPr>
                <w:sz w:val="17"/>
                <w:szCs w:val="17"/>
                <w:color w:val="auto"/>
              </w:rPr>
            </w:pPr>
          </w:p>
        </w:tc>
        <w:tc>
          <w:tcPr>
            <w:tcW w:w="106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1,278,180</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ind w:right="28"/>
              <w:spacing w:after="0"/>
              <w:rPr>
                <w:sz w:val="20"/>
                <w:szCs w:val="20"/>
                <w:color w:val="auto"/>
              </w:rPr>
            </w:pPr>
            <w:r>
              <w:rPr>
                <w:rFonts w:ascii="Arial" w:cs="Arial" w:eastAsia="Arial" w:hAnsi="Arial"/>
                <w:sz w:val="14"/>
                <w:szCs w:val="14"/>
                <w:color w:val="auto"/>
              </w:rPr>
              <w:t>1,210,977</w:t>
            </w: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20" w:type="dxa"/>
            <w:vAlign w:val="bottom"/>
            <w:vMerge w:val="restart"/>
            <w:shd w:val="clear" w:color="auto" w:fill="CCEEFF"/>
          </w:tcPr>
          <w:p>
            <w:pPr>
              <w:jc w:val="right"/>
              <w:ind w:right="48"/>
              <w:spacing w:after="0"/>
              <w:rPr>
                <w:sz w:val="20"/>
                <w:szCs w:val="20"/>
                <w:color w:val="auto"/>
              </w:rPr>
            </w:pPr>
            <w:r>
              <w:rPr>
                <w:rFonts w:ascii="Arial" w:cs="Arial" w:eastAsia="Arial" w:hAnsi="Arial"/>
                <w:sz w:val="14"/>
                <w:szCs w:val="14"/>
                <w:color w:val="auto"/>
              </w:rPr>
              <w:t>965,750</w:t>
            </w:r>
          </w:p>
        </w:tc>
        <w:tc>
          <w:tcPr>
            <w:tcW w:w="0" w:type="dxa"/>
            <w:vAlign w:val="bottom"/>
          </w:tcPr>
          <w:p>
            <w:pPr>
              <w:spacing w:after="0"/>
              <w:rPr>
                <w:sz w:val="1"/>
                <w:szCs w:val="1"/>
                <w:color w:val="auto"/>
              </w:rPr>
            </w:pPr>
          </w:p>
        </w:tc>
      </w:tr>
      <w:tr>
        <w:trPr>
          <w:trHeight w:val="80"/>
        </w:trPr>
        <w:tc>
          <w:tcPr>
            <w:tcW w:w="6740" w:type="dxa"/>
            <w:vAlign w:val="bottom"/>
            <w:shd w:val="clear" w:color="auto" w:fill="CCEEFF"/>
          </w:tcPr>
          <w:p>
            <w:pPr>
              <w:spacing w:after="0"/>
              <w:rPr>
                <w:sz w:val="6"/>
                <w:szCs w:val="6"/>
                <w:color w:val="auto"/>
              </w:rPr>
            </w:pPr>
          </w:p>
        </w:tc>
        <w:tc>
          <w:tcPr>
            <w:tcW w:w="440" w:type="dxa"/>
            <w:vAlign w:val="bottom"/>
            <w:tcBorders>
              <w:bottom w:val="single" w:sz="8" w:color="auto"/>
            </w:tcBorders>
            <w:shd w:val="clear" w:color="auto" w:fill="CCEEFF"/>
          </w:tcPr>
          <w:p>
            <w:pPr>
              <w:spacing w:after="0"/>
              <w:rPr>
                <w:sz w:val="6"/>
                <w:szCs w:val="6"/>
                <w:color w:val="auto"/>
              </w:rPr>
            </w:pPr>
          </w:p>
        </w:tc>
        <w:tc>
          <w:tcPr>
            <w:tcW w:w="1060" w:type="dxa"/>
            <w:vAlign w:val="bottom"/>
            <w:tcBorders>
              <w:bottom w:val="single" w:sz="8" w:color="auto"/>
            </w:tcBorders>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tcBorders>
              <w:bottom w:val="single" w:sz="8" w:color="auto"/>
            </w:tcBorders>
            <w:shd w:val="clear" w:color="auto" w:fill="CCEEFF"/>
          </w:tcPr>
          <w:p>
            <w:pPr>
              <w:spacing w:after="0"/>
              <w:rPr>
                <w:sz w:val="6"/>
                <w:szCs w:val="6"/>
                <w:color w:val="auto"/>
              </w:rPr>
            </w:pPr>
          </w:p>
        </w:tc>
        <w:tc>
          <w:tcPr>
            <w:tcW w:w="1020" w:type="dxa"/>
            <w:vAlign w:val="bottom"/>
            <w:tcBorders>
              <w:bottom w:val="single" w:sz="8" w:color="auto"/>
            </w:tcBorders>
            <w:vMerge w:val="continue"/>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440" w:type="dxa"/>
            <w:vAlign w:val="bottom"/>
            <w:tcBorders>
              <w:bottom w:val="single" w:sz="8" w:color="auto"/>
            </w:tcBorders>
            <w:shd w:val="clear" w:color="auto" w:fill="CCEEFF"/>
          </w:tcPr>
          <w:p>
            <w:pPr>
              <w:spacing w:after="0"/>
              <w:rPr>
                <w:sz w:val="6"/>
                <w:szCs w:val="6"/>
                <w:color w:val="auto"/>
              </w:rPr>
            </w:pPr>
          </w:p>
        </w:tc>
        <w:tc>
          <w:tcPr>
            <w:tcW w:w="1020" w:type="dxa"/>
            <w:vAlign w:val="bottom"/>
            <w:tcBorders>
              <w:bottom w:val="single" w:sz="8" w:color="auto"/>
            </w:tcBorders>
            <w:vMerge w:val="continue"/>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71"/>
        </w:trPr>
        <w:tc>
          <w:tcPr>
            <w:tcW w:w="6740" w:type="dxa"/>
            <w:vAlign w:val="bottom"/>
          </w:tcPr>
          <w:p>
            <w:pPr>
              <w:ind w:left="40"/>
              <w:spacing w:after="0"/>
              <w:rPr>
                <w:sz w:val="20"/>
                <w:szCs w:val="20"/>
                <w:color w:val="auto"/>
              </w:rPr>
            </w:pPr>
            <w:r>
              <w:rPr>
                <w:rFonts w:ascii="Arial" w:cs="Arial" w:eastAsia="Arial" w:hAnsi="Arial"/>
                <w:sz w:val="14"/>
                <w:szCs w:val="14"/>
                <w:color w:val="auto"/>
              </w:rPr>
              <w:t>Cash and cash equivalents at end of the year</w:t>
            </w:r>
          </w:p>
        </w:tc>
        <w:tc>
          <w:tcPr>
            <w:tcW w:w="440" w:type="dxa"/>
            <w:vAlign w:val="bottom"/>
            <w:vMerge w:val="restart"/>
          </w:tcPr>
          <w:p>
            <w:pPr>
              <w:jc w:val="right"/>
              <w:ind w:right="268"/>
              <w:spacing w:after="0"/>
              <w:rPr>
                <w:sz w:val="20"/>
                <w:szCs w:val="20"/>
                <w:color w:val="auto"/>
              </w:rPr>
            </w:pPr>
            <w:r>
              <w:rPr>
                <w:rFonts w:ascii="Arial" w:cs="Arial" w:eastAsia="Arial" w:hAnsi="Arial"/>
                <w:sz w:val="14"/>
                <w:szCs w:val="14"/>
                <w:color w:val="auto"/>
              </w:rPr>
              <w:t>$</w:t>
            </w:r>
          </w:p>
        </w:tc>
        <w:tc>
          <w:tcPr>
            <w:tcW w:w="1060" w:type="dxa"/>
            <w:vAlign w:val="bottom"/>
            <w:vMerge w:val="restart"/>
          </w:tcPr>
          <w:p>
            <w:pPr>
              <w:jc w:val="right"/>
              <w:ind w:right="48"/>
              <w:spacing w:after="0"/>
              <w:rPr>
                <w:sz w:val="20"/>
                <w:szCs w:val="20"/>
                <w:color w:val="auto"/>
              </w:rPr>
            </w:pPr>
            <w:r>
              <w:rPr>
                <w:rFonts w:ascii="Arial" w:cs="Arial" w:eastAsia="Arial" w:hAnsi="Arial"/>
                <w:sz w:val="14"/>
                <w:szCs w:val="14"/>
                <w:color w:val="auto"/>
              </w:rPr>
              <w:t>814,092</w:t>
            </w:r>
          </w:p>
        </w:tc>
        <w:tc>
          <w:tcPr>
            <w:tcW w:w="120" w:type="dxa"/>
            <w:vAlign w:val="bottom"/>
          </w:tcPr>
          <w:p>
            <w:pPr>
              <w:spacing w:after="0"/>
              <w:rPr>
                <w:sz w:val="14"/>
                <w:szCs w:val="14"/>
                <w:color w:val="auto"/>
              </w:rPr>
            </w:pPr>
          </w:p>
        </w:tc>
        <w:tc>
          <w:tcPr>
            <w:tcW w:w="440" w:type="dxa"/>
            <w:vAlign w:val="bottom"/>
            <w:vMerge w:val="restart"/>
          </w:tcPr>
          <w:p>
            <w:pPr>
              <w:jc w:val="right"/>
              <w:ind w:right="268"/>
              <w:spacing w:after="0"/>
              <w:rPr>
                <w:sz w:val="20"/>
                <w:szCs w:val="20"/>
                <w:color w:val="auto"/>
              </w:rPr>
            </w:pPr>
            <w:r>
              <w:rPr>
                <w:rFonts w:ascii="Arial" w:cs="Arial" w:eastAsia="Arial" w:hAnsi="Arial"/>
                <w:sz w:val="14"/>
                <w:szCs w:val="14"/>
                <w:color w:val="auto"/>
              </w:rPr>
              <w:t>$</w:t>
            </w:r>
          </w:p>
        </w:tc>
        <w:tc>
          <w:tcPr>
            <w:tcW w:w="1020" w:type="dxa"/>
            <w:vAlign w:val="bottom"/>
            <w:vMerge w:val="restart"/>
          </w:tcPr>
          <w:p>
            <w:pPr>
              <w:jc w:val="right"/>
              <w:ind w:right="28"/>
              <w:spacing w:after="0"/>
              <w:rPr>
                <w:sz w:val="20"/>
                <w:szCs w:val="20"/>
                <w:color w:val="auto"/>
              </w:rPr>
            </w:pPr>
            <w:r>
              <w:rPr>
                <w:rFonts w:ascii="Arial" w:cs="Arial" w:eastAsia="Arial" w:hAnsi="Arial"/>
                <w:sz w:val="14"/>
                <w:szCs w:val="14"/>
                <w:color w:val="auto"/>
              </w:rPr>
              <w:t>1,278,180</w:t>
            </w:r>
          </w:p>
        </w:tc>
        <w:tc>
          <w:tcPr>
            <w:tcW w:w="120" w:type="dxa"/>
            <w:vAlign w:val="bottom"/>
          </w:tcPr>
          <w:p>
            <w:pPr>
              <w:spacing w:after="0"/>
              <w:rPr>
                <w:sz w:val="14"/>
                <w:szCs w:val="14"/>
                <w:color w:val="auto"/>
              </w:rPr>
            </w:pPr>
          </w:p>
        </w:tc>
        <w:tc>
          <w:tcPr>
            <w:tcW w:w="440" w:type="dxa"/>
            <w:vAlign w:val="bottom"/>
            <w:vMerge w:val="restart"/>
          </w:tcPr>
          <w:p>
            <w:pPr>
              <w:jc w:val="right"/>
              <w:ind w:right="268"/>
              <w:spacing w:after="0"/>
              <w:rPr>
                <w:sz w:val="20"/>
                <w:szCs w:val="20"/>
                <w:color w:val="auto"/>
              </w:rPr>
            </w:pPr>
            <w:r>
              <w:rPr>
                <w:rFonts w:ascii="Arial" w:cs="Arial" w:eastAsia="Arial" w:hAnsi="Arial"/>
                <w:sz w:val="14"/>
                <w:szCs w:val="14"/>
                <w:color w:val="auto"/>
              </w:rPr>
              <w:t>$</w:t>
            </w:r>
          </w:p>
        </w:tc>
        <w:tc>
          <w:tcPr>
            <w:tcW w:w="1020" w:type="dxa"/>
            <w:vAlign w:val="bottom"/>
            <w:vMerge w:val="restart"/>
          </w:tcPr>
          <w:p>
            <w:pPr>
              <w:jc w:val="right"/>
              <w:ind w:right="48"/>
              <w:spacing w:after="0"/>
              <w:rPr>
                <w:sz w:val="20"/>
                <w:szCs w:val="20"/>
                <w:color w:val="auto"/>
              </w:rPr>
            </w:pPr>
            <w:r>
              <w:rPr>
                <w:rFonts w:ascii="Arial" w:cs="Arial" w:eastAsia="Arial" w:hAnsi="Arial"/>
                <w:sz w:val="14"/>
                <w:szCs w:val="14"/>
                <w:color w:val="auto"/>
              </w:rPr>
              <w:t>1,210,977</w:t>
            </w:r>
          </w:p>
        </w:tc>
        <w:tc>
          <w:tcPr>
            <w:tcW w:w="0" w:type="dxa"/>
            <w:vAlign w:val="bottom"/>
          </w:tcPr>
          <w:p>
            <w:pPr>
              <w:spacing w:after="0"/>
              <w:rPr>
                <w:sz w:val="1"/>
                <w:szCs w:val="1"/>
                <w:color w:val="auto"/>
              </w:rPr>
            </w:pPr>
          </w:p>
        </w:tc>
      </w:tr>
      <w:tr>
        <w:trPr>
          <w:trHeight w:val="65"/>
        </w:trPr>
        <w:tc>
          <w:tcPr>
            <w:tcW w:w="6740" w:type="dxa"/>
            <w:vAlign w:val="bottom"/>
          </w:tcPr>
          <w:p>
            <w:pPr>
              <w:spacing w:after="0"/>
              <w:rPr>
                <w:sz w:val="5"/>
                <w:szCs w:val="5"/>
                <w:color w:val="auto"/>
              </w:rPr>
            </w:pPr>
          </w:p>
        </w:tc>
        <w:tc>
          <w:tcPr>
            <w:tcW w:w="440" w:type="dxa"/>
            <w:vAlign w:val="bottom"/>
            <w:tcBorders>
              <w:bottom w:val="single" w:sz="8" w:color="auto"/>
            </w:tcBorders>
            <w:vMerge w:val="continue"/>
          </w:tcPr>
          <w:p>
            <w:pPr>
              <w:spacing w:after="0"/>
              <w:rPr>
                <w:sz w:val="5"/>
                <w:szCs w:val="5"/>
                <w:color w:val="auto"/>
              </w:rPr>
            </w:pPr>
          </w:p>
        </w:tc>
        <w:tc>
          <w:tcPr>
            <w:tcW w:w="1060" w:type="dxa"/>
            <w:vAlign w:val="bottom"/>
            <w:tcBorders>
              <w:bottom w:val="single" w:sz="8" w:color="auto"/>
            </w:tcBorders>
            <w:vMerge w:val="continue"/>
          </w:tcPr>
          <w:p>
            <w:pPr>
              <w:spacing w:after="0"/>
              <w:rPr>
                <w:sz w:val="5"/>
                <w:szCs w:val="5"/>
                <w:color w:val="auto"/>
              </w:rPr>
            </w:pPr>
          </w:p>
        </w:tc>
        <w:tc>
          <w:tcPr>
            <w:tcW w:w="120" w:type="dxa"/>
            <w:vAlign w:val="bottom"/>
          </w:tcPr>
          <w:p>
            <w:pPr>
              <w:spacing w:after="0"/>
              <w:rPr>
                <w:sz w:val="5"/>
                <w:szCs w:val="5"/>
                <w:color w:val="auto"/>
              </w:rPr>
            </w:pPr>
          </w:p>
        </w:tc>
        <w:tc>
          <w:tcPr>
            <w:tcW w:w="440" w:type="dxa"/>
            <w:vAlign w:val="bottom"/>
            <w:tcBorders>
              <w:bottom w:val="single" w:sz="8" w:color="auto"/>
            </w:tcBorders>
            <w:vMerge w:val="continue"/>
          </w:tcPr>
          <w:p>
            <w:pPr>
              <w:spacing w:after="0"/>
              <w:rPr>
                <w:sz w:val="5"/>
                <w:szCs w:val="5"/>
                <w:color w:val="auto"/>
              </w:rPr>
            </w:pPr>
          </w:p>
        </w:tc>
        <w:tc>
          <w:tcPr>
            <w:tcW w:w="1020" w:type="dxa"/>
            <w:vAlign w:val="bottom"/>
            <w:tcBorders>
              <w:bottom w:val="single" w:sz="8" w:color="auto"/>
            </w:tcBorders>
            <w:vMerge w:val="continue"/>
          </w:tcPr>
          <w:p>
            <w:pPr>
              <w:spacing w:after="0"/>
              <w:rPr>
                <w:sz w:val="5"/>
                <w:szCs w:val="5"/>
                <w:color w:val="auto"/>
              </w:rPr>
            </w:pPr>
          </w:p>
        </w:tc>
        <w:tc>
          <w:tcPr>
            <w:tcW w:w="120" w:type="dxa"/>
            <w:vAlign w:val="bottom"/>
          </w:tcPr>
          <w:p>
            <w:pPr>
              <w:spacing w:after="0"/>
              <w:rPr>
                <w:sz w:val="5"/>
                <w:szCs w:val="5"/>
                <w:color w:val="auto"/>
              </w:rPr>
            </w:pPr>
          </w:p>
        </w:tc>
        <w:tc>
          <w:tcPr>
            <w:tcW w:w="440" w:type="dxa"/>
            <w:vAlign w:val="bottom"/>
            <w:tcBorders>
              <w:bottom w:val="single" w:sz="8" w:color="auto"/>
            </w:tcBorders>
            <w:vMerge w:val="continue"/>
          </w:tcPr>
          <w:p>
            <w:pPr>
              <w:spacing w:after="0"/>
              <w:rPr>
                <w:sz w:val="5"/>
                <w:szCs w:val="5"/>
                <w:color w:val="auto"/>
              </w:rPr>
            </w:pPr>
          </w:p>
        </w:tc>
        <w:tc>
          <w:tcPr>
            <w:tcW w:w="1020" w:type="dxa"/>
            <w:vAlign w:val="bottom"/>
            <w:tcBorders>
              <w:bottom w:val="single" w:sz="8" w:color="auto"/>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674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00"/>
          </w:cols>
          <w:pgMar w:left="240" w:top="225" w:right="259" w:bottom="406" w:gutter="0" w:footer="0" w:header="0"/>
          <w:type w:val="continuous"/>
        </w:sectPr>
      </w:pP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51</w:t>
      </w:r>
    </w:p>
    <w:p>
      <w:pPr>
        <w:sectPr>
          <w:pgSz w:w="11900" w:h="16838" w:orient="portrait"/>
          <w:cols w:equalWidth="0" w:num="1">
            <w:col w:w="11400"/>
          </w:cols>
          <w:pgMar w:left="240" w:top="225" w:right="259" w:bottom="406" w:gutter="0" w:footer="0" w:header="0"/>
          <w:type w:val="continuous"/>
        </w:sectPr>
      </w:pPr>
    </w:p>
    <w:bookmarkStart w:id="54" w:name="page55"/>
    <w:bookmarkEnd w:id="54"/>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The Company</w:t>
      </w:r>
    </w:p>
    <w:p>
      <w:pPr>
        <w:spacing w:after="0" w:line="117" w:lineRule="exact"/>
        <w:rPr>
          <w:sz w:val="20"/>
          <w:szCs w:val="20"/>
          <w:color w:val="auto"/>
        </w:rPr>
      </w:pPr>
    </w:p>
    <w:p>
      <w:pPr>
        <w:ind w:right="40" w:firstLine="432"/>
        <w:spacing w:after="0" w:line="255" w:lineRule="auto"/>
        <w:rPr>
          <w:sz w:val="20"/>
          <w:szCs w:val="20"/>
          <w:color w:val="auto"/>
        </w:rPr>
      </w:pPr>
      <w:r>
        <w:rPr>
          <w:rFonts w:ascii="Arial" w:cs="Arial" w:eastAsia="Arial" w:hAnsi="Arial"/>
          <w:sz w:val="18"/>
          <w:szCs w:val="18"/>
          <w:color w:val="auto"/>
        </w:rPr>
        <w:t>Marvell Technology Group Ltd., a Bermuda exempted company, and its subsidiaries (the “Company”), is a fabless semiconductor provider of high-performance application-specific standard products. The Company’s core strength is the development of complex System-on-a-Chip devices, leveraging its extensive technology portfolio of intellectual property in the areas of analog, mixed-signal, digital signal processing, and embedded and standalone integrated circuits. The Company also develops platforms that it defines as integrated hardware along with software that incorporates digital computing technologies designed and configured to provide an optimized computing solution. The Company’s broad product portfolio includes devices for storage, networking and connectivity.</w:t>
      </w:r>
    </w:p>
    <w:p>
      <w:pPr>
        <w:spacing w:after="0" w:line="8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117" w:lineRule="exact"/>
        <w:rPr>
          <w:sz w:val="20"/>
          <w:szCs w:val="20"/>
          <w:color w:val="auto"/>
        </w:rPr>
      </w:pPr>
    </w:p>
    <w:p>
      <w:pPr>
        <w:ind w:right="60" w:firstLine="432"/>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2017, 2016 and 2015 each had a 52-week period. The next 53-week year will be fiscal 2018.</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Discontinued Operations</w:t>
      </w:r>
    </w:p>
    <w:p>
      <w:pPr>
        <w:spacing w:after="0" w:line="117" w:lineRule="exact"/>
        <w:rPr>
          <w:sz w:val="20"/>
          <w:szCs w:val="20"/>
          <w:color w:val="auto"/>
        </w:rPr>
      </w:pPr>
    </w:p>
    <w:p>
      <w:pPr>
        <w:ind w:right="20" w:firstLine="432"/>
        <w:spacing w:after="0" w:line="271" w:lineRule="auto"/>
        <w:rPr>
          <w:sz w:val="20"/>
          <w:szCs w:val="20"/>
          <w:color w:val="auto"/>
        </w:rPr>
      </w:pPr>
      <w:r>
        <w:rPr>
          <w:rFonts w:ascii="Arial" w:cs="Arial" w:eastAsia="Arial" w:hAnsi="Arial"/>
          <w:sz w:val="17"/>
          <w:szCs w:val="17"/>
          <w:color w:val="auto"/>
        </w:rPr>
        <w:t>In connection with the plan the Company announced in November 2016 to restructure its operations to refocus its research and development, increase operational efficiency and improve profitability, it also planned to divest certain businesses and it began an active program to locate buyers for several businesses. As of January 28, 2017, two of these businesses have been classified as discontinued operations (see "Note 2 - Discontinued Operations"). As required, the Company has retrospectively recast its consolidated statements of operations and balance sheets for all periods presented to reflect these businesses as discontinued operations. The cash flows of these discontinued operations were not material for any period presented and we have not segregated the cash flows of these businesses in the consolidated statements of cash flows. Management was also required to make certain assumptions and apply judgment to determine historical expenses related to the discontinued operations presented in prior periods. Unless noted otherwise, discussion in the Notes to Consolidated Financial Statements refers to the Company’s continuing operations.</w:t>
      </w:r>
    </w:p>
    <w:p>
      <w:pPr>
        <w:spacing w:after="0" w:line="7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117" w:lineRule="exact"/>
        <w:rPr>
          <w:sz w:val="20"/>
          <w:szCs w:val="20"/>
          <w:color w:val="auto"/>
        </w:rPr>
      </w:pPr>
    </w:p>
    <w:p>
      <w:pPr>
        <w:ind w:firstLine="378"/>
        <w:spacing w:after="0" w:line="272" w:lineRule="auto"/>
        <w:rPr>
          <w:sz w:val="20"/>
          <w:szCs w:val="20"/>
          <w:color w:val="auto"/>
        </w:rPr>
      </w:pPr>
      <w:r>
        <w:rPr>
          <w:rFonts w:ascii="Arial" w:cs="Arial" w:eastAsia="Arial" w:hAnsi="Arial"/>
          <w:sz w:val="17"/>
          <w:szCs w:val="17"/>
          <w:color w:val="auto"/>
        </w:rPr>
        <w:t>The preparation of consolidated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70"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117" w:lineRule="exact"/>
        <w:rPr>
          <w:sz w:val="20"/>
          <w:szCs w:val="20"/>
          <w:color w:val="auto"/>
        </w:rPr>
      </w:pPr>
    </w:p>
    <w:p>
      <w:pPr>
        <w:ind w:right="720" w:firstLine="432"/>
        <w:spacing w:after="0" w:line="277"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17"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The Company considers all highly liquid investments with an original maturity of three months or less from the date of purchase to be cash equivalents. Cash and cash equivalents consist of cash on deposit with banks, time deposits, U.S. government and agency debt, municipal debt securities, corporate debt securities and money market funds.</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Investments</w:t>
      </w:r>
    </w:p>
    <w:p>
      <w:pPr>
        <w:spacing w:after="0" w:line="117" w:lineRule="exact"/>
        <w:rPr>
          <w:sz w:val="20"/>
          <w:szCs w:val="20"/>
          <w:color w:val="auto"/>
        </w:rPr>
      </w:pPr>
    </w:p>
    <w:p>
      <w:pPr>
        <w:ind w:right="100" w:firstLine="432"/>
        <w:spacing w:after="0" w:line="259" w:lineRule="auto"/>
        <w:rPr>
          <w:sz w:val="20"/>
          <w:szCs w:val="20"/>
          <w:color w:val="auto"/>
        </w:rPr>
      </w:pPr>
      <w:r>
        <w:rPr>
          <w:rFonts w:ascii="Arial" w:cs="Arial" w:eastAsia="Arial" w:hAnsi="Arial"/>
          <w:sz w:val="18"/>
          <w:szCs w:val="18"/>
          <w:color w:val="auto"/>
        </w:rPr>
        <w:t>The Company’s marketable investments are classified as available-for-sale and are reported at fair value. The Company determines any realized gains or losses on the sale of available-for-sale securities on a specific identification method, and such gains and losses are recorded as a component of interest and other income, net. Unrealized gains and losses of the available-for-sale securities are excluded from earnings and reported as a component of accumulated other comprehensive income. Time</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225" w:right="239" w:bottom="1440" w:gutter="0" w:footer="0" w:header="0"/>
        </w:sectPr>
      </w:pPr>
    </w:p>
    <w:bookmarkStart w:id="55" w:name="page56"/>
    <w:bookmarkEnd w:id="55"/>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deposits with maturities greater than 90 days, but less than one year are classified in short-term investments as held-to-maturity since the Company has both the intent and ability to hold them to maturity.</w:t>
      </w:r>
    </w:p>
    <w:p>
      <w:pPr>
        <w:spacing w:after="0" w:line="62" w:lineRule="exact"/>
        <w:rPr>
          <w:sz w:val="20"/>
          <w:szCs w:val="20"/>
          <w:color w:val="auto"/>
        </w:rPr>
      </w:pPr>
    </w:p>
    <w:p>
      <w:pPr>
        <w:ind w:right="300" w:firstLine="432"/>
        <w:spacing w:after="0" w:line="264"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can be sold to fund current operations.</w:t>
      </w:r>
    </w:p>
    <w:p>
      <w:pPr>
        <w:spacing w:after="0" w:line="73" w:lineRule="exact"/>
        <w:rPr>
          <w:sz w:val="20"/>
          <w:szCs w:val="20"/>
          <w:color w:val="auto"/>
        </w:rPr>
      </w:pPr>
    </w:p>
    <w:p>
      <w:pPr>
        <w:ind w:right="180" w:firstLine="432"/>
        <w:spacing w:after="0" w:line="259"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or if the investee is a partnership type investment, the Company accounts for the investments under the equity method. If the Company does not have the ability to exercise significant influence over the operations of the investee, the Company accounts for the investment under the cost method. Investments in privately-held companies are included in other non-current assets.</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117" w:lineRule="exact"/>
        <w:rPr>
          <w:sz w:val="20"/>
          <w:szCs w:val="20"/>
          <w:color w:val="auto"/>
        </w:rPr>
      </w:pPr>
    </w:p>
    <w:p>
      <w:pPr>
        <w:ind w:right="180" w:firstLine="432"/>
        <w:spacing w:after="0" w:line="257" w:lineRule="auto"/>
        <w:rPr>
          <w:sz w:val="20"/>
          <w:szCs w:val="20"/>
          <w:color w:val="auto"/>
        </w:rPr>
      </w:pPr>
      <w:r>
        <w:rPr>
          <w:rFonts w:ascii="Arial" w:cs="Arial" w:eastAsia="Arial" w:hAnsi="Arial"/>
          <w:sz w:val="18"/>
          <w:szCs w:val="18"/>
          <w:color w:val="auto"/>
        </w:rPr>
        <w:t>The Company performs a periodic review of its available-for-sale securities to determine whether an other-than-temporary impairment has occurred. Generally, for an individual security that has been in an unrealized loss position for an extended period of time, the Company evaluates whether an impairment charge should be recognized. Its evaluation is based on specific facts and circumstances at the time of assessment, including general market conditions, and the duration and extent to which the fair value is below cost. If the fair value of a debt security is less than its amortized cost, then an other-than-temporary impairment for the difference is recognized if:</w:t>
      </w:r>
    </w:p>
    <w:p>
      <w:pPr>
        <w:spacing w:after="0" w:line="188" w:lineRule="exact"/>
        <w:rPr>
          <w:sz w:val="20"/>
          <w:szCs w:val="20"/>
          <w:color w:val="auto"/>
        </w:rPr>
      </w:pPr>
    </w:p>
    <w:p>
      <w:pPr>
        <w:ind w:left="640" w:hanging="321"/>
        <w:spacing w:after="0"/>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Company has the intent to sell the security;</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it is more likely than not that the Company will be required to sell the security before recovery of its amortized cost base; or</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 credit loss exists insofar as the Company does not expect to recover the entire recognized amortized cost of the security.</w:t>
      </w:r>
    </w:p>
    <w:p>
      <w:pPr>
        <w:spacing w:after="0" w:line="117"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net in the consolidated statements of operations.</w:t>
      </w:r>
    </w:p>
    <w:p>
      <w:pPr>
        <w:spacing w:after="0" w:line="73"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Investments in privately-held companies are subject to a periodic impairment review. Investments are considered impaired when the fair value is below the investment’s cost basis and the decline in value is judged to be other-than-temporary.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117" w:lineRule="exact"/>
        <w:rPr>
          <w:sz w:val="20"/>
          <w:szCs w:val="20"/>
          <w:color w:val="auto"/>
        </w:rPr>
      </w:pPr>
    </w:p>
    <w:p>
      <w:pPr>
        <w:ind w:right="100" w:firstLine="432"/>
        <w:spacing w:after="0" w:line="293"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For derivative instruments that hedge the exposure to variability in expected future cash flows and are designated as cash flow hedges, the effective portion of the gain or loss on the derivative instrument is reported as a component of accumulated other comprehensive income in the consolidated statements of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Derivatives that are not designated as hedges must be adjusted to fair value through earnings.</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117" w:lineRule="exact"/>
        <w:rPr>
          <w:sz w:val="20"/>
          <w:szCs w:val="20"/>
          <w:color w:val="auto"/>
        </w:rPr>
      </w:pPr>
    </w:p>
    <w:p>
      <w:pPr>
        <w:ind w:firstLine="432"/>
        <w:spacing w:after="0" w:line="253" w:lineRule="auto"/>
        <w:rPr>
          <w:sz w:val="20"/>
          <w:szCs w:val="20"/>
          <w:color w:val="auto"/>
        </w:rPr>
      </w:pPr>
      <w:r>
        <w:rPr>
          <w:rFonts w:ascii="Arial" w:cs="Arial" w:eastAsia="Arial" w:hAnsi="Arial"/>
          <w:sz w:val="18"/>
          <w:szCs w:val="18"/>
          <w:color w:val="auto"/>
        </w:rPr>
        <w:t>Financial instruments that potentially subject the Company to a significant concentration of credit risk consist principally of cash equivalents, short-term investments and accounts receivable. Cash, cash equivalents and short-term investments balances are maintained with high-quality financial institutions, the composition and maturities of which are regularly monitored by management. The Company believes that the concentration of credit risk in its trade receivables, which consists of a customer base located primarily in the Asia Pacific Region,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22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60"/>
          </w:cols>
          <w:pgMar w:left="240" w:top="391" w:right="299" w:bottom="1440" w:gutter="0" w:footer="0" w:header="0"/>
        </w:sectPr>
      </w:pPr>
    </w:p>
    <w:bookmarkStart w:id="56" w:name="page57"/>
    <w:bookmarkEnd w:id="5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firstLine="432"/>
        <w:spacing w:after="0" w:line="342" w:lineRule="auto"/>
        <w:rPr>
          <w:sz w:val="20"/>
          <w:szCs w:val="20"/>
          <w:color w:val="auto"/>
        </w:rPr>
      </w:pPr>
      <w:r>
        <w:rPr>
          <w:rFonts w:ascii="Arial" w:cs="Arial" w:eastAsia="Arial" w:hAnsi="Arial"/>
          <w:sz w:val="16"/>
          <w:szCs w:val="16"/>
          <w:color w:val="auto"/>
        </w:rPr>
        <w:t>The Company’s accounts receivable was concentrated with three customers at January 28, 2017, who represented 14%, 13%, and 11% of gross accounts receivable, respectively, compared with two customers at January 30, 2016, who represented 13% and 11% of gross accounts receivable, respectively.</w:t>
      </w:r>
    </w:p>
    <w:p>
      <w:pPr>
        <w:spacing w:after="0" w:line="16" w:lineRule="exact"/>
        <w:rPr>
          <w:sz w:val="20"/>
          <w:szCs w:val="20"/>
          <w:color w:val="auto"/>
        </w:rPr>
      </w:pPr>
    </w:p>
    <w:p>
      <w:pPr>
        <w:ind w:right="160" w:firstLine="432"/>
        <w:spacing w:after="0" w:line="308" w:lineRule="auto"/>
        <w:rPr>
          <w:sz w:val="20"/>
          <w:szCs w:val="20"/>
          <w:color w:val="auto"/>
        </w:rPr>
      </w:pPr>
      <w:r>
        <w:rPr>
          <w:rFonts w:ascii="Arial" w:cs="Arial" w:eastAsia="Arial" w:hAnsi="Arial"/>
          <w:sz w:val="17"/>
          <w:szCs w:val="17"/>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260"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4164330</wp:posOffset>
            </wp:positionH>
            <wp:positionV relativeFrom="paragraph">
              <wp:posOffset>23495</wp:posOffset>
            </wp:positionV>
            <wp:extent cx="307022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3070225" cy="8890"/>
                    </a:xfrm>
                    <a:prstGeom prst="rect">
                      <a:avLst/>
                    </a:prstGeom>
                    <a:noFill/>
                  </pic:spPr>
                </pic:pic>
              </a:graphicData>
            </a:graphic>
          </wp:anchor>
        </w:drawing>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560" w:type="dxa"/>
            <w:vAlign w:val="bottom"/>
          </w:tcPr>
          <w:p>
            <w:pPr>
              <w:spacing w:after="0"/>
              <w:rPr>
                <w:sz w:val="14"/>
                <w:szCs w:val="14"/>
                <w:color w:val="auto"/>
              </w:rPr>
            </w:pPr>
          </w:p>
        </w:tc>
        <w:tc>
          <w:tcPr>
            <w:tcW w:w="1160" w:type="dxa"/>
            <w:vAlign w:val="bottom"/>
          </w:tcPr>
          <w:p>
            <w:pPr>
              <w:ind w:left="400"/>
              <w:spacing w:after="0"/>
              <w:rPr>
                <w:sz w:val="20"/>
                <w:szCs w:val="20"/>
                <w:color w:val="auto"/>
              </w:rPr>
            </w:pPr>
            <w:r>
              <w:rPr>
                <w:rFonts w:ascii="Arial" w:cs="Arial" w:eastAsia="Arial" w:hAnsi="Arial"/>
                <w:sz w:val="14"/>
                <w:szCs w:val="14"/>
                <w:b w:val="1"/>
                <w:bCs w:val="1"/>
                <w:color w:val="auto"/>
                <w:w w:val="95"/>
              </w:rPr>
              <w:t>January 28,</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3"/>
              </w:rPr>
              <w:t>January 30,</w:t>
            </w:r>
          </w:p>
        </w:tc>
        <w:tc>
          <w:tcPr>
            <w:tcW w:w="15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January 31,</w:t>
            </w:r>
          </w:p>
        </w:tc>
      </w:tr>
      <w:tr>
        <w:trPr>
          <w:trHeight w:val="192"/>
        </w:trPr>
        <w:tc>
          <w:tcPr>
            <w:tcW w:w="7720" w:type="dxa"/>
            <w:vAlign w:val="bottom"/>
            <w:gridSpan w:val="2"/>
          </w:tcPr>
          <w:p>
            <w:pPr>
              <w:ind w:left="7180"/>
              <w:spacing w:after="0"/>
              <w:rPr>
                <w:sz w:val="20"/>
                <w:szCs w:val="20"/>
                <w:color w:val="auto"/>
              </w:rPr>
            </w:pPr>
            <w:r>
              <w:rPr>
                <w:rFonts w:ascii="Arial" w:cs="Arial" w:eastAsia="Arial" w:hAnsi="Arial"/>
                <w:sz w:val="14"/>
                <w:szCs w:val="14"/>
                <w:b w:val="1"/>
                <w:bCs w:val="1"/>
                <w:color w:val="auto"/>
              </w:rPr>
              <w:t>2017</w:t>
            </w:r>
          </w:p>
        </w:tc>
        <w:tc>
          <w:tcPr>
            <w:tcW w:w="3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40" w:type="dxa"/>
            <w:vAlign w:val="bottom"/>
          </w:tcPr>
          <w:p>
            <w:pPr>
              <w:jc w:val="right"/>
              <w:ind w:right="37"/>
              <w:spacing w:after="0"/>
              <w:rPr>
                <w:sz w:val="20"/>
                <w:szCs w:val="20"/>
                <w:color w:val="auto"/>
              </w:rPr>
            </w:pPr>
            <w:r>
              <w:rPr>
                <w:rFonts w:ascii="Arial" w:cs="Arial" w:eastAsia="Arial" w:hAnsi="Arial"/>
                <w:sz w:val="14"/>
                <w:szCs w:val="14"/>
                <w:b w:val="1"/>
                <w:bCs w:val="1"/>
                <w:color w:val="auto"/>
              </w:rPr>
              <w:t>2016</w:t>
            </w:r>
          </w:p>
        </w:tc>
        <w:tc>
          <w:tcPr>
            <w:tcW w:w="5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20" w:type="dxa"/>
            <w:vAlign w:val="bottom"/>
          </w:tcPr>
          <w:p>
            <w:pPr>
              <w:jc w:val="right"/>
              <w:ind w:right="37"/>
              <w:spacing w:after="0"/>
              <w:rPr>
                <w:sz w:val="20"/>
                <w:szCs w:val="20"/>
                <w:color w:val="auto"/>
              </w:rPr>
            </w:pPr>
            <w:r>
              <w:rPr>
                <w:rFonts w:ascii="Arial" w:cs="Arial" w:eastAsia="Arial" w:hAnsi="Arial"/>
                <w:sz w:val="14"/>
                <w:szCs w:val="14"/>
                <w:b w:val="1"/>
                <w:bCs w:val="1"/>
                <w:color w:val="auto"/>
              </w:rPr>
              <w:t>2015</w:t>
            </w:r>
          </w:p>
        </w:tc>
        <w:tc>
          <w:tcPr>
            <w:tcW w:w="520" w:type="dxa"/>
            <w:vAlign w:val="bottom"/>
          </w:tcPr>
          <w:p>
            <w:pPr>
              <w:spacing w:after="0"/>
              <w:rPr>
                <w:sz w:val="16"/>
                <w:szCs w:val="16"/>
                <w:color w:val="auto"/>
              </w:rPr>
            </w:pPr>
          </w:p>
        </w:tc>
      </w:tr>
      <w:tr>
        <w:trPr>
          <w:trHeight w:val="250"/>
        </w:trPr>
        <w:tc>
          <w:tcPr>
            <w:tcW w:w="65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Customer:</w:t>
            </w: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CCEEFF"/>
            </w:tcBorders>
            <w:shd w:val="clear" w:color="auto" w:fill="CCEEFF"/>
          </w:tcPr>
          <w:p>
            <w:pPr>
              <w:spacing w:after="0"/>
              <w:rPr>
                <w:sz w:val="21"/>
                <w:szCs w:val="21"/>
                <w:color w:val="auto"/>
              </w:rPr>
            </w:pPr>
          </w:p>
        </w:tc>
        <w:tc>
          <w:tcPr>
            <w:tcW w:w="50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20" w:type="dxa"/>
            <w:vAlign w:val="bottom"/>
            <w:tcBorders>
              <w:top w:val="single" w:sz="8" w:color="auto"/>
              <w:bottom w:val="single" w:sz="8" w:color="CCEEFF"/>
            </w:tcBorders>
            <w:shd w:val="clear" w:color="auto" w:fill="CCEEFF"/>
          </w:tcPr>
          <w:p>
            <w:pPr>
              <w:spacing w:after="0"/>
              <w:rPr>
                <w:sz w:val="21"/>
                <w:szCs w:val="21"/>
                <w:color w:val="auto"/>
              </w:rPr>
            </w:pPr>
          </w:p>
        </w:tc>
        <w:tc>
          <w:tcPr>
            <w:tcW w:w="5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7720" w:type="dxa"/>
            <w:vAlign w:val="bottom"/>
            <w:gridSpan w:val="2"/>
          </w:tcPr>
          <w:p>
            <w:pPr>
              <w:ind w:left="380"/>
              <w:spacing w:after="0"/>
              <w:rPr>
                <w:sz w:val="20"/>
                <w:szCs w:val="20"/>
                <w:color w:val="auto"/>
              </w:rPr>
            </w:pPr>
            <w:r>
              <w:rPr>
                <w:rFonts w:ascii="Arial" w:cs="Arial" w:eastAsia="Arial" w:hAnsi="Arial"/>
                <w:sz w:val="18"/>
                <w:szCs w:val="18"/>
                <w:color w:val="auto"/>
              </w:rPr>
              <w:t>Western Digital*</w:t>
            </w:r>
          </w:p>
        </w:tc>
        <w:tc>
          <w:tcPr>
            <w:tcW w:w="380" w:type="dxa"/>
            <w:vAlign w:val="bottom"/>
          </w:tcPr>
          <w:p>
            <w:pPr>
              <w:jc w:val="right"/>
              <w:spacing w:after="0"/>
              <w:rPr>
                <w:sz w:val="20"/>
                <w:szCs w:val="20"/>
                <w:color w:val="auto"/>
              </w:rPr>
            </w:pPr>
            <w:r>
              <w:rPr>
                <w:rFonts w:ascii="Arial" w:cs="Arial" w:eastAsia="Arial" w:hAnsi="Arial"/>
                <w:sz w:val="18"/>
                <w:szCs w:val="18"/>
                <w:color w:val="auto"/>
                <w:w w:val="88"/>
              </w:rPr>
              <w:t>21%</w:t>
            </w:r>
          </w:p>
        </w:tc>
        <w:tc>
          <w:tcPr>
            <w:tcW w:w="10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20%</w:t>
            </w:r>
          </w:p>
        </w:tc>
      </w:tr>
      <w:tr>
        <w:trPr>
          <w:trHeight w:val="27"/>
        </w:trPr>
        <w:tc>
          <w:tcPr>
            <w:tcW w:w="65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20" w:type="dxa"/>
            <w:vAlign w:val="bottom"/>
          </w:tcPr>
          <w:p>
            <w:pPr>
              <w:spacing w:after="0"/>
              <w:rPr>
                <w:sz w:val="2"/>
                <w:szCs w:val="2"/>
                <w:color w:val="auto"/>
              </w:rPr>
            </w:pPr>
          </w:p>
        </w:tc>
      </w:tr>
      <w:tr>
        <w:trPr>
          <w:trHeight w:val="250"/>
        </w:trPr>
        <w:tc>
          <w:tcPr>
            <w:tcW w:w="7720" w:type="dxa"/>
            <w:vAlign w:val="bottom"/>
            <w:tcBorders>
              <w:bottom w:val="single" w:sz="8" w:color="CCEEFF"/>
            </w:tcBorders>
            <w:gridSpan w:val="2"/>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8"/>
              </w:rPr>
              <w:t>13%</w:t>
            </w:r>
          </w:p>
        </w:tc>
        <w:tc>
          <w:tcPr>
            <w:tcW w:w="1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shd w:val="clear" w:color="auto" w:fill="CCEEFF"/>
              </w:rPr>
              <w:t>**%</w:t>
            </w:r>
          </w:p>
        </w:tc>
        <w:tc>
          <w:tcPr>
            <w:tcW w:w="1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shd w:val="clear" w:color="auto" w:fill="CCEEFF"/>
              </w:rPr>
              <w:t>**%</w:t>
            </w:r>
          </w:p>
        </w:tc>
      </w:tr>
      <w:tr>
        <w:trPr>
          <w:trHeight w:val="243"/>
        </w:trPr>
        <w:tc>
          <w:tcPr>
            <w:tcW w:w="7720" w:type="dxa"/>
            <w:vAlign w:val="bottom"/>
            <w:gridSpan w:val="2"/>
          </w:tcPr>
          <w:p>
            <w:pPr>
              <w:ind w:left="380"/>
              <w:spacing w:after="0"/>
              <w:rPr>
                <w:sz w:val="20"/>
                <w:szCs w:val="20"/>
                <w:color w:val="auto"/>
              </w:rPr>
            </w:pPr>
            <w:r>
              <w:rPr>
                <w:rFonts w:ascii="Arial" w:cs="Arial" w:eastAsia="Arial" w:hAnsi="Arial"/>
                <w:sz w:val="18"/>
                <w:szCs w:val="18"/>
                <w:color w:val="auto"/>
              </w:rPr>
              <w:t>Seagate</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13%</w:t>
            </w:r>
          </w:p>
        </w:tc>
      </w:tr>
      <w:tr>
        <w:trPr>
          <w:trHeight w:val="27"/>
        </w:trPr>
        <w:tc>
          <w:tcPr>
            <w:tcW w:w="65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20" w:type="dxa"/>
            <w:vAlign w:val="bottom"/>
          </w:tcPr>
          <w:p>
            <w:pPr>
              <w:spacing w:after="0"/>
              <w:rPr>
                <w:sz w:val="2"/>
                <w:szCs w:val="2"/>
                <w:color w:val="auto"/>
              </w:rPr>
            </w:pPr>
          </w:p>
        </w:tc>
      </w:tr>
      <w:tr>
        <w:trPr>
          <w:trHeight w:val="243"/>
        </w:trPr>
        <w:tc>
          <w:tcPr>
            <w:tcW w:w="77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Wintech</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10%</w:t>
            </w:r>
          </w:p>
        </w:tc>
        <w:tc>
          <w:tcPr>
            <w:tcW w:w="100" w:type="dxa"/>
            <w:vAlign w:val="bottom"/>
            <w:shd w:val="clear" w:color="auto" w:fill="CCEEFF"/>
          </w:tcPr>
          <w:p>
            <w:pPr>
              <w:spacing w:after="0"/>
              <w:rPr>
                <w:sz w:val="21"/>
                <w:szCs w:val="21"/>
                <w:color w:val="auto"/>
              </w:rPr>
            </w:pPr>
          </w:p>
        </w:tc>
        <w:tc>
          <w:tcPr>
            <w:tcW w:w="15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7"/>
        </w:trPr>
        <w:tc>
          <w:tcPr>
            <w:tcW w:w="656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5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020" w:type="dxa"/>
            <w:vAlign w:val="bottom"/>
            <w:shd w:val="clear" w:color="auto" w:fill="CCEEFF"/>
          </w:tcPr>
          <w:p>
            <w:pPr>
              <w:spacing w:after="0"/>
              <w:rPr>
                <w:sz w:val="2"/>
                <w:szCs w:val="2"/>
                <w:color w:val="auto"/>
              </w:rPr>
            </w:pPr>
          </w:p>
        </w:tc>
        <w:tc>
          <w:tcPr>
            <w:tcW w:w="520" w:type="dxa"/>
            <w:vAlign w:val="bottom"/>
            <w:shd w:val="clear" w:color="auto" w:fill="CCEEFF"/>
          </w:tcPr>
          <w:p>
            <w:pPr>
              <w:spacing w:after="0"/>
              <w:rPr>
                <w:sz w:val="2"/>
                <w:szCs w:val="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7229475" cy="3086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29475" cy="308610"/>
                    </a:xfrm>
                    <a:prstGeom prst="rect">
                      <a:avLst/>
                    </a:prstGeom>
                    <a:noFill/>
                  </pic:spPr>
                </pic:pic>
              </a:graphicData>
            </a:graphic>
          </wp:anchor>
        </w:drawing>
      </w:r>
    </w:p>
    <w:p>
      <w:pPr>
        <w:spacing w:after="0" w:line="290" w:lineRule="exact"/>
        <w:rPr>
          <w:sz w:val="20"/>
          <w:szCs w:val="20"/>
          <w:color w:val="auto"/>
        </w:rPr>
      </w:pPr>
    </w:p>
    <w:p>
      <w:pPr>
        <w:ind w:left="380" w:right="120" w:firstLine="6"/>
        <w:spacing w:after="0" w:line="277" w:lineRule="auto"/>
        <w:tabs>
          <w:tab w:leader="none" w:pos="515"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percentage of net revenues reported for Western Digital for fiscal year 2017 includes net revenue of HGST and SanDisk that became subsidiaries of Western Digital in late fiscal 2016.</w:t>
      </w:r>
    </w:p>
    <w:p>
      <w:pPr>
        <w:spacing w:after="0" w:line="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 Less than 10% of net revenue</w:t>
      </w:r>
    </w:p>
    <w:p>
      <w:pPr>
        <w:spacing w:after="0" w:line="144" w:lineRule="exact"/>
        <w:rPr>
          <w:sz w:val="20"/>
          <w:szCs w:val="20"/>
          <w:color w:val="auto"/>
        </w:rPr>
      </w:pPr>
    </w:p>
    <w:p>
      <w:pPr>
        <w:ind w:right="520" w:firstLine="432"/>
        <w:spacing w:after="0" w:line="277" w:lineRule="auto"/>
        <w:rPr>
          <w:sz w:val="20"/>
          <w:szCs w:val="20"/>
          <w:color w:val="auto"/>
        </w:rPr>
      </w:pPr>
      <w:r>
        <w:rPr>
          <w:rFonts w:ascii="Arial" w:cs="Arial" w:eastAsia="Arial" w:hAnsi="Arial"/>
          <w:sz w:val="18"/>
          <w:szCs w:val="18"/>
          <w:color w:val="auto"/>
        </w:rPr>
        <w:t>The Company continuously monitors the creditworthiness of its distributors and believes these distributors’ sales to diverse end customers and to diverse geographies further serve to mitigate the Company’s exposure to credit risk.</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Inventories</w:t>
      </w:r>
    </w:p>
    <w:p>
      <w:pPr>
        <w:spacing w:after="0" w:line="117" w:lineRule="exact"/>
        <w:rPr>
          <w:sz w:val="20"/>
          <w:szCs w:val="20"/>
          <w:color w:val="auto"/>
        </w:rPr>
      </w:pPr>
    </w:p>
    <w:p>
      <w:pPr>
        <w:ind w:right="40" w:firstLine="432"/>
        <w:spacing w:after="0" w:line="255"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The total carrying value of the Company’s inventory is reduced for any difference between cost and estimated market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to is sold or otherwise disposed of. Inventoriable shipping and handling costs are classified as a component of cost of goods sold in the consolidated statements of operations.</w:t>
      </w:r>
    </w:p>
    <w:p>
      <w:pPr>
        <w:spacing w:after="0" w:line="8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117" w:lineRule="exact"/>
        <w:rPr>
          <w:sz w:val="20"/>
          <w:szCs w:val="20"/>
          <w:color w:val="auto"/>
        </w:rPr>
      </w:pPr>
    </w:p>
    <w:p>
      <w:pPr>
        <w:ind w:right="240" w:firstLine="432"/>
        <w:spacing w:after="0" w:line="302"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3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46"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360" w:firstLine="432"/>
        <w:spacing w:after="0" w:line="279" w:lineRule="auto"/>
        <w:rPr>
          <w:sz w:val="20"/>
          <w:szCs w:val="20"/>
          <w:color w:val="auto"/>
        </w:rPr>
      </w:pPr>
      <w:r>
        <w:rPr>
          <w:rFonts w:ascii="Arial" w:cs="Arial" w:eastAsia="Arial" w:hAnsi="Arial"/>
          <w:sz w:val="17"/>
          <w:szCs w:val="17"/>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w:t>
      </w:r>
    </w:p>
    <w:p>
      <w:pPr>
        <w:spacing w:after="0" w:line="63" w:lineRule="exact"/>
        <w:rPr>
          <w:sz w:val="20"/>
          <w:szCs w:val="20"/>
          <w:color w:val="auto"/>
        </w:rPr>
      </w:pPr>
    </w:p>
    <w:p>
      <w:pPr>
        <w:ind w:right="20" w:firstLine="432"/>
        <w:spacing w:after="0" w:line="290" w:lineRule="auto"/>
        <w:rPr>
          <w:sz w:val="20"/>
          <w:szCs w:val="20"/>
          <w:color w:val="auto"/>
        </w:rPr>
      </w:pPr>
      <w:r>
        <w:rPr>
          <w:rFonts w:ascii="Arial" w:cs="Arial" w:eastAsia="Arial" w:hAnsi="Arial"/>
          <w:sz w:val="16"/>
          <w:szCs w:val="16"/>
          <w:color w:val="auto"/>
        </w:rPr>
        <w:t>If the Company concludes that it is more likely than not that the fair value of a reporting unit is less than its carrying amount or if the Company notes multiple qualitative factors indicating potential impairment, then a two-step quantitative impairment test is performed. The first step requires comparing the fair value of the reporting unit to its net book value, including goodwill. The Company has identified that its business operates as a single operating segment with two components (Storage, and Networking &amp; Connectivity), which it has concluded can be aggregated into a single reporting unit for purposes of testing goodwill impairment. As part of a restructuring announced in November 2016 (see “Note 8 - Restructuring and Other Related Charges”), the former Smart Networked Devices and Solutions component was renamed to Networking &amp; Connectivity. A potential impairment exists if the fair value of the reporting unit is lower than its net book value. The second step of the process is only performed if a potential impairment exists, and it involves determining the implied fair value of the reporting unit’s goodwill and comparing it to the carrying value of goodwill. If the carrying value of goodwill were to exceed</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391" w:right="239" w:bottom="1440" w:gutter="0" w:footer="0" w:header="0"/>
        </w:sectPr>
      </w:pPr>
    </w:p>
    <w:bookmarkStart w:id="57" w:name="page58"/>
    <w:bookmarkEnd w:id="57"/>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spacing w:after="0"/>
        <w:rPr>
          <w:sz w:val="20"/>
          <w:szCs w:val="20"/>
          <w:color w:val="auto"/>
        </w:rPr>
      </w:pPr>
      <w:r>
        <w:rPr>
          <w:rFonts w:ascii="Arial" w:cs="Arial" w:eastAsia="Arial" w:hAnsi="Arial"/>
          <w:sz w:val="17"/>
          <w:szCs w:val="17"/>
          <w:color w:val="auto"/>
        </w:rPr>
        <w:t>its implied fair value, then the Company would record an impairment loss for the difference in the fiscal quarter in which the determination is made.</w:t>
      </w:r>
    </w:p>
    <w:p>
      <w:pPr>
        <w:spacing w:after="0" w:line="12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117" w:lineRule="exact"/>
        <w:rPr>
          <w:sz w:val="20"/>
          <w:szCs w:val="20"/>
          <w:color w:val="auto"/>
        </w:rPr>
      </w:pPr>
    </w:p>
    <w:p>
      <w:pPr>
        <w:ind w:right="40" w:firstLine="432"/>
        <w:spacing w:after="0" w:line="297" w:lineRule="auto"/>
        <w:rPr>
          <w:sz w:val="20"/>
          <w:szCs w:val="20"/>
          <w:color w:val="auto"/>
        </w:rPr>
      </w:pPr>
      <w:r>
        <w:rPr>
          <w:rFonts w:ascii="Arial" w:cs="Arial" w:eastAsia="Arial" w:hAnsi="Arial"/>
          <w:sz w:val="16"/>
          <w:szCs w:val="16"/>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7 — Goodwill and Acquired Intangible Assets, Net” for further details regarding impairment of acquisition-related identified intangible assets.</w:t>
      </w:r>
    </w:p>
    <w:p>
      <w:pPr>
        <w:spacing w:after="0" w:line="50" w:lineRule="exact"/>
        <w:rPr>
          <w:sz w:val="20"/>
          <w:szCs w:val="20"/>
          <w:color w:val="auto"/>
        </w:rPr>
      </w:pPr>
    </w:p>
    <w:p>
      <w:pPr>
        <w:ind w:right="540" w:firstLine="432"/>
        <w:spacing w:after="0" w:line="277"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In-process research and development (“IPR&amp;D”) is not amortized until the completion of the related development.</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117" w:lineRule="exact"/>
        <w:rPr>
          <w:sz w:val="20"/>
          <w:szCs w:val="20"/>
          <w:color w:val="auto"/>
        </w:rPr>
      </w:pPr>
    </w:p>
    <w:p>
      <w:pPr>
        <w:jc w:val="both"/>
        <w:ind w:right="80" w:firstLine="432"/>
        <w:spacing w:after="0" w:line="340" w:lineRule="auto"/>
        <w:rPr>
          <w:sz w:val="20"/>
          <w:szCs w:val="20"/>
          <w:color w:val="auto"/>
        </w:rPr>
      </w:pPr>
      <w:r>
        <w:rPr>
          <w:rFonts w:ascii="Arial" w:cs="Arial" w:eastAsia="Arial" w:hAnsi="Arial"/>
          <w:sz w:val="15"/>
          <w:szCs w:val="15"/>
          <w:color w:val="auto"/>
        </w:rPr>
        <w:t>The functional currency of all of the Company’s non-U.S. operations is the U.S. dollar. Monetary accounts maintained in currencies other than the U.S. dollar are re-measured using the foreign exchange rate at the balance sheet date. Operational accounts and nonmonetary balance sheet accounts are measured and recorded at the exchange rate in effect at the date of the transaction. The effects of foreign currency re-measurement are reported in current operations.</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117" w:lineRule="exact"/>
        <w:rPr>
          <w:sz w:val="20"/>
          <w:szCs w:val="20"/>
          <w:color w:val="auto"/>
        </w:rPr>
      </w:pPr>
    </w:p>
    <w:p>
      <w:pPr>
        <w:ind w:right="200" w:firstLine="432"/>
        <w:spacing w:after="0" w:line="259" w:lineRule="auto"/>
        <w:rPr>
          <w:sz w:val="20"/>
          <w:szCs w:val="20"/>
          <w:color w:val="auto"/>
        </w:rPr>
      </w:pPr>
      <w:r>
        <w:rPr>
          <w:rFonts w:ascii="Arial" w:cs="Arial" w:eastAsia="Arial" w:hAnsi="Arial"/>
          <w:sz w:val="18"/>
          <w:szCs w:val="18"/>
          <w:color w:val="auto"/>
        </w:rPr>
        <w:t>The Company recognizes revenue when there is persuasive evidence of an arrangement, delivery has occurred, the fee is fixed or determinable, and collection is reasonably assured. If the Company grants extended payment terms greater than its standard terms for a customer such that collectability is not assured, the revenue is deferred upon shipment and will be recognized when the payment becomes due provided all other revenue recognition criteria have been satisfied.</w:t>
      </w:r>
    </w:p>
    <w:p>
      <w:pPr>
        <w:spacing w:after="0" w:line="79" w:lineRule="exact"/>
        <w:rPr>
          <w:sz w:val="20"/>
          <w:szCs w:val="20"/>
          <w:color w:val="auto"/>
        </w:rPr>
      </w:pPr>
    </w:p>
    <w:p>
      <w:pPr>
        <w:ind w:right="80" w:firstLine="432"/>
        <w:spacing w:after="0" w:line="254" w:lineRule="auto"/>
        <w:rPr>
          <w:sz w:val="20"/>
          <w:szCs w:val="20"/>
          <w:color w:val="auto"/>
        </w:rPr>
      </w:pPr>
      <w:r>
        <w:rPr>
          <w:rFonts w:ascii="Arial" w:cs="Arial" w:eastAsia="Arial" w:hAnsi="Arial"/>
          <w:sz w:val="18"/>
          <w:szCs w:val="18"/>
          <w:color w:val="auto"/>
        </w:rPr>
        <w:t>Product revenue is generally recognized upon shipment of product to customers, net of accruals for estimated sales returns and rebates. However, some of the Company’s sales are made through distributors under agreements allowing for price protection and limited rights of stock rotation on products unsold by the distributors. Although title passes to the distributor upon shipment, terms and payment by the Company’s distributors is not contingent on resale of the product. Product revenue on sales made through distributors with price protection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w:t>
      </w:r>
    </w:p>
    <w:p>
      <w:pPr>
        <w:spacing w:after="0" w:line="84" w:lineRule="exact"/>
        <w:rPr>
          <w:sz w:val="20"/>
          <w:szCs w:val="20"/>
          <w:color w:val="auto"/>
        </w:rPr>
      </w:pPr>
    </w:p>
    <w:p>
      <w:pPr>
        <w:jc w:val="both"/>
        <w:ind w:right="200" w:firstLine="432"/>
        <w:spacing w:after="0" w:line="264" w:lineRule="auto"/>
        <w:rPr>
          <w:sz w:val="20"/>
          <w:szCs w:val="20"/>
          <w:color w:val="auto"/>
        </w:rPr>
      </w:pPr>
      <w:r>
        <w:rPr>
          <w:rFonts w:ascii="Arial" w:cs="Arial" w:eastAsia="Arial" w:hAnsi="Arial"/>
          <w:sz w:val="18"/>
          <w:szCs w:val="18"/>
          <w:color w:val="auto"/>
        </w:rPr>
        <w:t>A portion of the Company’s net revenue is derived from sales through third-party logistics providers, who maintain warehouses in close proximity to the customer’s facilities. Revenue from sales through these third-party logistics providers is not recognized until the product is pulled from stock by the end customer.</w:t>
      </w:r>
    </w:p>
    <w:p>
      <w:pPr>
        <w:spacing w:after="0" w:line="73"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117"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Advertising costs are expensed as incurred. The Company recorded $0.5 million, $5.1 million and $5.6 million of advertising costs for fiscal 2017, 2016 and 2015, respectively, included in selling and marketing expenses in the consolidated statement of operations.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117" w:lineRule="exact"/>
        <w:rPr>
          <w:sz w:val="20"/>
          <w:szCs w:val="20"/>
          <w:color w:val="auto"/>
        </w:rPr>
      </w:pPr>
    </w:p>
    <w:p>
      <w:pPr>
        <w:ind w:right="40" w:firstLine="432"/>
        <w:spacing w:after="0" w:line="273" w:lineRule="auto"/>
        <w:rPr>
          <w:sz w:val="20"/>
          <w:szCs w:val="20"/>
          <w:color w:val="auto"/>
        </w:rPr>
      </w:pPr>
      <w:r>
        <w:rPr>
          <w:rFonts w:ascii="Arial" w:cs="Arial" w:eastAsia="Arial" w:hAnsi="Arial"/>
          <w:sz w:val="17"/>
          <w:szCs w:val="17"/>
          <w:color w:val="auto"/>
        </w:rPr>
        <w:t>Share-based compensation is measured at the grant date, based on the fair value of the award, and is recognized as expense over the requisite service period. The Company amortizes share-based compensation expense for time-based awards under the straight-line attribution method over the vesting period. Share-based compensation expense for performance-based awards is recognized when it becomes probable that the performance conditions will be met. Once it becomes probable that a performance-based award will vest, the Company recognizes compensation expense equal to the number of shares expected to vest multiplied by the fair value of the award at the grant date, which is amortized using the accelerated method. In the case of performance-based awards based on total shareholder return (“TSR”), share-based compensation expense is amortized over the</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391" w:right="239" w:bottom="1440" w:gutter="0" w:footer="0" w:header="0"/>
        </w:sectPr>
      </w:pPr>
    </w:p>
    <w:bookmarkStart w:id="58" w:name="page59"/>
    <w:bookmarkEnd w:id="5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requisite service period. For stock purchase rights under the stock purchase plan, the Company amortizes share-based compensation expense ratably over the two-year offering period.</w:t>
      </w:r>
    </w:p>
    <w:p>
      <w:pPr>
        <w:spacing w:after="0" w:line="62" w:lineRule="exact"/>
        <w:rPr>
          <w:sz w:val="20"/>
          <w:szCs w:val="20"/>
          <w:color w:val="auto"/>
        </w:rPr>
      </w:pPr>
    </w:p>
    <w:p>
      <w:pPr>
        <w:ind w:right="20" w:firstLine="432"/>
        <w:spacing w:after="0" w:line="276" w:lineRule="auto"/>
        <w:rPr>
          <w:sz w:val="20"/>
          <w:szCs w:val="20"/>
          <w:color w:val="auto"/>
        </w:rPr>
      </w:pPr>
      <w:r>
        <w:rPr>
          <w:rFonts w:ascii="Arial" w:cs="Arial" w:eastAsia="Arial" w:hAnsi="Arial"/>
          <w:sz w:val="17"/>
          <w:szCs w:val="17"/>
          <w:color w:val="auto"/>
        </w:rPr>
        <w:t>The Company estimates the fair value of time-based stock option and stock purchase awards on the date of grant using the Black Scholes option-pricing model. The fair value of TSR awards is estimated on the date of grant using a Monte Carlo simulation model since the award is indexed to the price of the Company’s common stock as set forth under the terms of the award. The value of the portion of the awards that is ultimately expected to vest is recognized as expense over the requisite service periods. The Black Scholes and Monte Carlo models incorporate various highly subjective assumptions including expected term of awards, expected future stock price volatility, expected dividend yield and risk-free interest rate.</w:t>
      </w:r>
    </w:p>
    <w:p>
      <w:pPr>
        <w:spacing w:after="0" w:line="64" w:lineRule="exact"/>
        <w:rPr>
          <w:sz w:val="20"/>
          <w:szCs w:val="20"/>
          <w:color w:val="auto"/>
        </w:rPr>
      </w:pPr>
    </w:p>
    <w:p>
      <w:pPr>
        <w:ind w:firstLine="432"/>
        <w:spacing w:after="0" w:line="255" w:lineRule="auto"/>
        <w:rPr>
          <w:sz w:val="20"/>
          <w:szCs w:val="20"/>
          <w:color w:val="auto"/>
        </w:rPr>
      </w:pPr>
      <w:r>
        <w:rPr>
          <w:rFonts w:ascii="Arial" w:cs="Arial" w:eastAsia="Arial" w:hAnsi="Arial"/>
          <w:sz w:val="18"/>
          <w:szCs w:val="18"/>
          <w:color w:val="auto"/>
        </w:rPr>
        <w:t>In developing estimates used to calculate assumptions, the Company establishes the expected term for employee stock options, as well as expected forfeiture rates, based on the historical settlement experience and after giving consideration to vesting schedules. Assumptions for stock option exercises and pre-vesting terminations of stock options are stratified by two employee groups and one employee/non-employee group with sufficiently distinct behavior patterns. Expected volatility was developed based on equally weighted combination of historical stock price volatility and implied volatility derived from traded options on the Company’s stock in the marketplace. The expected dividend yield is calculated by dividing annualized dividend payments by the closing stock price on the grant date of the option.</w:t>
      </w:r>
    </w:p>
    <w:p>
      <w:pPr>
        <w:spacing w:after="0" w:line="85" w:lineRule="exact"/>
        <w:rPr>
          <w:sz w:val="20"/>
          <w:szCs w:val="20"/>
          <w:color w:val="auto"/>
        </w:rPr>
      </w:pPr>
    </w:p>
    <w:p>
      <w:pPr>
        <w:ind w:right="620" w:firstLine="432"/>
        <w:spacing w:after="0" w:line="277"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62"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Forfeitures are estimated at the time of grant and revised, if necessary, in subsequent periods if actual forfeitures differ from initial estimates. Share-based compensation expense for time-based and performance-based awards is recorded net of estimated forfeitures such that expense is recorded only for those share-based awards that are expected to vest. Previously recognized expense is reversed for the portion of awards forfeited prior to vesting as and when forfeitures occurred.</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117" w:lineRule="exact"/>
        <w:rPr>
          <w:sz w:val="20"/>
          <w:szCs w:val="20"/>
          <w:color w:val="auto"/>
        </w:rPr>
      </w:pPr>
    </w:p>
    <w:p>
      <w:pPr>
        <w:ind w:right="80" w:firstLine="432"/>
        <w:spacing w:after="0" w:line="286" w:lineRule="auto"/>
        <w:rPr>
          <w:sz w:val="20"/>
          <w:szCs w:val="20"/>
          <w:color w:val="auto"/>
        </w:rPr>
      </w:pPr>
      <w:r>
        <w:rPr>
          <w:rFonts w:ascii="Arial" w:cs="Arial" w:eastAsia="Arial" w:hAnsi="Arial"/>
          <w:sz w:val="17"/>
          <w:szCs w:val="17"/>
          <w:color w:val="auto"/>
        </w:rPr>
        <w:t>Comprehensive income (loss) is comprised of net income and unrealized gains and losses, net of tax, on available-for-sale securities, auction rate securities and cash flow hedges. Accumulated other comprehensive income (loss), as presented on the accompanying consolidated balance sheets, consists of net unrealized gains and losses on available-for-sale securities, auction rate securities and cash flow hedges, net of tax.</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117" w:lineRule="exact"/>
        <w:rPr>
          <w:sz w:val="20"/>
          <w:szCs w:val="20"/>
          <w:color w:val="auto"/>
        </w:rPr>
      </w:pPr>
    </w:p>
    <w:p>
      <w:pPr>
        <w:ind w:right="140" w:firstLine="432"/>
        <w:spacing w:after="0" w:line="259"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79" w:lineRule="exact"/>
        <w:rPr>
          <w:sz w:val="20"/>
          <w:szCs w:val="20"/>
          <w:color w:val="auto"/>
        </w:rPr>
      </w:pPr>
    </w:p>
    <w:p>
      <w:pPr>
        <w:ind w:firstLine="432"/>
        <w:spacing w:after="0" w:line="302" w:lineRule="auto"/>
        <w:rPr>
          <w:sz w:val="20"/>
          <w:szCs w:val="20"/>
          <w:color w:val="auto"/>
        </w:rPr>
      </w:pPr>
      <w:r>
        <w:rPr>
          <w:rFonts w:ascii="Arial" w:cs="Arial" w:eastAsia="Arial" w:hAnsi="Arial"/>
          <w:sz w:val="16"/>
          <w:szCs w:val="16"/>
          <w:color w:val="auto"/>
        </w:rPr>
        <w:t>Using available evidence and judgment, the Company establishes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foreign subsidiaries. A change in the assessment of the realization of deferred tax assets may materially impact the Company’s tax provision in the period in which a change of assessment occurs.</w:t>
      </w:r>
    </w:p>
    <w:p>
      <w:pPr>
        <w:spacing w:after="0" w:line="46" w:lineRule="exact"/>
        <w:rPr>
          <w:sz w:val="20"/>
          <w:szCs w:val="20"/>
          <w:color w:val="auto"/>
        </w:rPr>
      </w:pPr>
    </w:p>
    <w:p>
      <w:pPr>
        <w:ind w:right="60" w:firstLine="432"/>
        <w:spacing w:after="0" w:line="279" w:lineRule="auto"/>
        <w:rPr>
          <w:sz w:val="20"/>
          <w:szCs w:val="20"/>
          <w:color w:val="auto"/>
        </w:rPr>
      </w:pPr>
      <w:r>
        <w:rPr>
          <w:rFonts w:ascii="Arial" w:cs="Arial" w:eastAsia="Arial" w:hAnsi="Arial"/>
          <w:sz w:val="17"/>
          <w:szCs w:val="17"/>
          <w:color w:val="auto"/>
        </w:rPr>
        <w:t>The Company is subject to income tax audits by the respective tax authorities in each jurisdiction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w:t>
      </w:r>
    </w:p>
    <w:p>
      <w:pPr>
        <w:spacing w:after="0" w:line="6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Warranty</w:t>
      </w:r>
    </w:p>
    <w:p>
      <w:pPr>
        <w:spacing w:after="0" w:line="117" w:lineRule="exact"/>
        <w:rPr>
          <w:sz w:val="20"/>
          <w:szCs w:val="20"/>
          <w:color w:val="auto"/>
        </w:rPr>
      </w:pPr>
    </w:p>
    <w:p>
      <w:pPr>
        <w:ind w:right="60" w:firstLine="432"/>
        <w:spacing w:after="0" w:line="276" w:lineRule="auto"/>
        <w:rPr>
          <w:sz w:val="20"/>
          <w:szCs w:val="20"/>
          <w:color w:val="auto"/>
        </w:rPr>
      </w:pPr>
      <w:r>
        <w:rPr>
          <w:rFonts w:ascii="Arial" w:cs="Arial" w:eastAsia="Arial" w:hAnsi="Arial"/>
          <w:sz w:val="17"/>
          <w:szCs w:val="17"/>
          <w:color w:val="auto"/>
        </w:rPr>
        <w:t>The Company’s products are generally subject to warranty, which provides for the estimated future costs of repair or replacement upon shipment of the product. The Company’s products carry a standard 90-day warranty, with certain exceptions in which the warranty period can extend to more than one year based on contractual agreements. The warranty accrual is primarily estimated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in fiscal 2017, 2016 and 2015.</w:t>
      </w:r>
    </w:p>
    <w:p>
      <w:pPr>
        <w:spacing w:after="0" w:line="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391" w:right="239" w:bottom="1440" w:gutter="0" w:footer="0" w:header="0"/>
        </w:sectPr>
      </w:pPr>
    </w:p>
    <w:bookmarkStart w:id="59" w:name="page60"/>
    <w:bookmarkEnd w:id="5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117" w:lineRule="exact"/>
        <w:rPr>
          <w:sz w:val="20"/>
          <w:szCs w:val="20"/>
          <w:color w:val="auto"/>
        </w:rPr>
      </w:pPr>
    </w:p>
    <w:p>
      <w:pPr>
        <w:ind w:right="80" w:firstLine="432"/>
        <w:spacing w:after="0" w:line="254" w:lineRule="auto"/>
        <w:rPr>
          <w:sz w:val="20"/>
          <w:szCs w:val="20"/>
          <w:color w:val="auto"/>
        </w:rPr>
      </w:pPr>
      <w:r>
        <w:rPr>
          <w:rFonts w:ascii="Arial" w:cs="Arial" w:eastAsia="Arial" w:hAnsi="Arial"/>
          <w:sz w:val="18"/>
          <w:szCs w:val="18"/>
          <w:color w:val="auto"/>
        </w:rPr>
        <w:t>In April 2015, the Financial Accounting Standards Board ("FASB") issued new guidance to help entities evaluate the accounting for fees paid by a customer in a cloud computing arrangement, which the Company adopted beginning in the first quarter of fiscal 2017. The guidance provides a basis for evaluating whether a cloud computing arrangement includes a software license and whether the license arrangement should be accounted for as an intangible asset. This guidance also strikes from previous authoritative guidance, the use by analogy to the accounting for capital leases, which the Company previously applied in the accounting for certain of its technology license agreements. As such, the Company accounts for new agreements under the new guidance by determining if capitalization as an asset is appropriate or if the arrangement should be treated as a subscription with expense recognized in the period when service is received. Similarly, the Company will re-evaluate the accounting for any renewals to existing license agreements in accordance with the new guidance as they occur.</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Accounting Pronouncements Not Yet Effective</w:t>
      </w:r>
    </w:p>
    <w:p>
      <w:pPr>
        <w:spacing w:after="0" w:line="225" w:lineRule="exact"/>
        <w:rPr>
          <w:sz w:val="20"/>
          <w:szCs w:val="20"/>
          <w:color w:val="auto"/>
        </w:rPr>
      </w:pPr>
    </w:p>
    <w:p>
      <w:pPr>
        <w:ind w:firstLine="432"/>
        <w:spacing w:after="0" w:line="253" w:lineRule="auto"/>
        <w:rPr>
          <w:sz w:val="20"/>
          <w:szCs w:val="20"/>
          <w:color w:val="auto"/>
        </w:rPr>
      </w:pPr>
      <w:r>
        <w:rPr>
          <w:rFonts w:ascii="Arial" w:cs="Arial" w:eastAsia="Arial" w:hAnsi="Arial"/>
          <w:sz w:val="18"/>
          <w:szCs w:val="18"/>
          <w:color w:val="auto"/>
        </w:rPr>
        <w:t>In May 2014, the FASB issued a new standard on the recognition of revenue from contracts with customers, which will supersede nearly all existing revenue recognition guidance under GAAP. The new standard will require an entity to recognize revenue from the transfer of promised goods or services to customers in an amount that reflects the consideration to which the entity expects to be entitled in exchange for those goods or services. The guidance addresses, in particular, contracts with more than one performance obligation, as well as the accounting for some costs to obtain or fulfill a contract with a customer, and provides for additional disclosures with respect to revenues and cash flows arising from contracts with customers. Public entities are required to apply the amendments on either a full or modified retrospective basis for annual periods beginning after December 15, 2017 and for interim periods within those annual periods. This update will be effective for the Company beginning in the first quarter of fiscal year 2019. Early adoption is not permitted. The Company plans to adopt the standard retrospectively with the cumulative effect of initially applying it recognized at the date of initial application under the full retrospective approach.</w:t>
      </w:r>
    </w:p>
    <w:p>
      <w:pPr>
        <w:spacing w:after="0" w:line="197" w:lineRule="exact"/>
        <w:rPr>
          <w:sz w:val="20"/>
          <w:szCs w:val="20"/>
          <w:color w:val="auto"/>
        </w:rPr>
      </w:pPr>
    </w:p>
    <w:p>
      <w:pPr>
        <w:ind w:right="20" w:firstLine="432"/>
        <w:spacing w:after="0" w:line="297" w:lineRule="auto"/>
        <w:rPr>
          <w:sz w:val="20"/>
          <w:szCs w:val="20"/>
          <w:color w:val="auto"/>
        </w:rPr>
      </w:pPr>
      <w:r>
        <w:rPr>
          <w:rFonts w:ascii="Arial" w:cs="Arial" w:eastAsia="Arial" w:hAnsi="Arial"/>
          <w:sz w:val="16"/>
          <w:szCs w:val="16"/>
          <w:color w:val="auto"/>
        </w:rPr>
        <w:t>The Company’s initial assessment has identified a change in revenue recognition timing on our component sales made to distributors. The Company expects to recognize revenue when the Company delivers to the distributor rather than deferring recognition until the distributor sells the components. Other changes may be identified as the Company completes the assessment phase of its revenue project. On the date of initial application, the Company will remove the deferred net revenue on component sales made to distributors through a cumulative adjustment to retained earnings. The Company expects the revenue and corresponding cost of goods sold deferral to be offset by the acceleration of revenue recognition as control of the product transfers to our customer.</w:t>
      </w:r>
    </w:p>
    <w:p>
      <w:pPr>
        <w:spacing w:after="0" w:line="158" w:lineRule="exact"/>
        <w:rPr>
          <w:sz w:val="20"/>
          <w:szCs w:val="20"/>
          <w:color w:val="auto"/>
        </w:rPr>
      </w:pPr>
    </w:p>
    <w:p>
      <w:pPr>
        <w:ind w:right="300" w:firstLine="432"/>
        <w:spacing w:after="0" w:line="302" w:lineRule="auto"/>
        <w:rPr>
          <w:sz w:val="20"/>
          <w:szCs w:val="20"/>
          <w:color w:val="auto"/>
        </w:rPr>
      </w:pPr>
      <w:r>
        <w:rPr>
          <w:rFonts w:ascii="Arial" w:cs="Arial" w:eastAsia="Arial" w:hAnsi="Arial"/>
          <w:sz w:val="16"/>
          <w:szCs w:val="16"/>
          <w:color w:val="auto"/>
        </w:rPr>
        <w:t>To date, the Company has completed the assessment phase of its revenue project and has begun the next phase for the design and development of its systems and processes to enable compliance with the new standards. It expects to complete this phase in its second quarter of fiscal 2018 ending July 29, 2017. Currently, the Company has determined to apply the amendments on a full retrospective basis, although it may decide to change at a later date. The Company will continue to track relevant elements and finalize its evaluation of any changes to its accounting policies and disclosures.</w:t>
      </w:r>
    </w:p>
    <w:p>
      <w:pPr>
        <w:spacing w:after="0" w:line="154" w:lineRule="exact"/>
        <w:rPr>
          <w:sz w:val="20"/>
          <w:szCs w:val="20"/>
          <w:color w:val="auto"/>
        </w:rPr>
      </w:pPr>
    </w:p>
    <w:p>
      <w:pPr>
        <w:ind w:right="100" w:firstLine="378"/>
        <w:spacing w:after="0" w:line="272" w:lineRule="auto"/>
        <w:rPr>
          <w:sz w:val="20"/>
          <w:szCs w:val="20"/>
          <w:color w:val="auto"/>
        </w:rPr>
      </w:pPr>
      <w:r>
        <w:rPr>
          <w:rFonts w:ascii="Arial" w:cs="Arial" w:eastAsia="Arial" w:hAnsi="Arial"/>
          <w:sz w:val="17"/>
          <w:szCs w:val="17"/>
          <w:color w:val="auto"/>
        </w:rPr>
        <w:t>In July 2015, the FASB issued an amendment to its guidance regarding the subsequent measurement of inventory. Currently, inventory is measured at the lower of cost or market. Market could be replacement cost, net realizable value or net realizable value less an approximately normal profit margin. Under this amended guidance, inventory is to be measured at the lower of cost and net realizable value. Net realizable value is the estimated selling prices in the ordinary course of business, less reasonably predictable costs of completion, disposal and transportation. This amendment applies to inventories for which cost is determined by methods other than last-in first-out and the retail inventory method. This standard is effective for annual and interim reporting periods beginning after December 15, 2016. The Company does not expect the adoption of this new accounting standard in the first quarter of fiscal 2018 will have a material effect on its consolidated financial statements.</w:t>
      </w:r>
    </w:p>
    <w:p>
      <w:pPr>
        <w:spacing w:after="0" w:line="178" w:lineRule="exact"/>
        <w:rPr>
          <w:sz w:val="20"/>
          <w:szCs w:val="20"/>
          <w:color w:val="auto"/>
        </w:rPr>
      </w:pPr>
    </w:p>
    <w:p>
      <w:pPr>
        <w:ind w:right="40" w:firstLine="378"/>
        <w:spacing w:after="0" w:line="279" w:lineRule="auto"/>
        <w:rPr>
          <w:sz w:val="20"/>
          <w:szCs w:val="20"/>
          <w:color w:val="auto"/>
        </w:rPr>
      </w:pPr>
      <w:r>
        <w:rPr>
          <w:rFonts w:ascii="Arial" w:cs="Arial" w:eastAsia="Arial" w:hAnsi="Arial"/>
          <w:sz w:val="17"/>
          <w:szCs w:val="17"/>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surrounding lease arrangements. The standard is effective for annual and interim reporting periods beginning after December 15, 2018. The Company is currently evaluating the effect this new guidance will have on its consolidated financial statements.</w:t>
      </w:r>
    </w:p>
    <w:p>
      <w:pPr>
        <w:spacing w:after="0" w:line="171" w:lineRule="exact"/>
        <w:rPr>
          <w:sz w:val="20"/>
          <w:szCs w:val="20"/>
          <w:color w:val="auto"/>
        </w:rPr>
      </w:pPr>
    </w:p>
    <w:p>
      <w:pPr>
        <w:jc w:val="both"/>
        <w:ind w:right="20" w:firstLine="378"/>
        <w:spacing w:after="0" w:line="264" w:lineRule="auto"/>
        <w:rPr>
          <w:sz w:val="20"/>
          <w:szCs w:val="20"/>
          <w:color w:val="auto"/>
        </w:rPr>
      </w:pPr>
      <w:r>
        <w:rPr>
          <w:rFonts w:ascii="Arial" w:cs="Arial" w:eastAsia="Arial" w:hAnsi="Arial"/>
          <w:sz w:val="18"/>
          <w:szCs w:val="18"/>
          <w:color w:val="auto"/>
        </w:rPr>
        <w:t>In March 2016, the FASB issued new guidance which simplifies several aspects of the accounting for share-based payment award transactions, including the accounting for income taxes, forfeitures and statutory tax withholding requirements, as well as classification in the statement of cash flows. The guidance is effective for annual and interim reporting periods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391" w:right="239" w:bottom="1440" w:gutter="0" w:footer="0" w:header="0"/>
        </w:sectPr>
      </w:pPr>
    </w:p>
    <w:bookmarkStart w:id="60" w:name="page61"/>
    <w:bookmarkEnd w:id="6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beginning after December 15, 2016. The Company does not expect the adoption of this new accounting standard to have a material effect on its consolidated financial statements since the Company will continue to account for forfeitures based on an estimated forfeiture rate.</w:t>
      </w:r>
    </w:p>
    <w:p>
      <w:pPr>
        <w:spacing w:after="0" w:line="170" w:lineRule="exact"/>
        <w:rPr>
          <w:sz w:val="20"/>
          <w:szCs w:val="20"/>
          <w:color w:val="auto"/>
        </w:rPr>
      </w:pPr>
    </w:p>
    <w:p>
      <w:pPr>
        <w:ind w:right="200" w:firstLine="378"/>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in current GAAP and reflects an entity’s current estimate of all expected credit losses. The measurement of expected credit losses is based upon historical experience, current conditions, and reasonable and supportable forecasts that affect the collectability of the financial assets. The standard is effective for annual and interim reporting periods beginning after December 15, 2019. The Company is currently evaluating the effect this new guidance will have on its consolidated financial statements.</w:t>
      </w:r>
    </w:p>
    <w:p>
      <w:pPr>
        <w:spacing w:after="0" w:line="193" w:lineRule="exact"/>
        <w:rPr>
          <w:sz w:val="20"/>
          <w:szCs w:val="20"/>
          <w:color w:val="auto"/>
        </w:rPr>
      </w:pPr>
    </w:p>
    <w:p>
      <w:pPr>
        <w:ind w:right="220" w:firstLine="378"/>
        <w:spacing w:after="0" w:line="273" w:lineRule="auto"/>
        <w:rPr>
          <w:sz w:val="20"/>
          <w:szCs w:val="20"/>
          <w:color w:val="auto"/>
        </w:rPr>
      </w:pPr>
      <w:r>
        <w:rPr>
          <w:rFonts w:ascii="Arial" w:cs="Arial" w:eastAsia="Arial" w:hAnsi="Arial"/>
          <w:sz w:val="17"/>
          <w:szCs w:val="17"/>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and is effective for annual and interim periods beginning after December 15, 2017. Early adoption is permitted, including adoption in an interim period.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is evaluating the effect this new guidance will have on its consolidated statement of cash flows.</w:t>
      </w:r>
    </w:p>
    <w:p>
      <w:pPr>
        <w:spacing w:after="0" w:line="178" w:lineRule="exact"/>
        <w:rPr>
          <w:sz w:val="20"/>
          <w:szCs w:val="20"/>
          <w:color w:val="auto"/>
        </w:rPr>
      </w:pPr>
    </w:p>
    <w:p>
      <w:pPr>
        <w:ind w:right="80" w:firstLine="378"/>
        <w:spacing w:after="0" w:line="276" w:lineRule="auto"/>
        <w:rPr>
          <w:sz w:val="20"/>
          <w:szCs w:val="20"/>
          <w:color w:val="auto"/>
        </w:rPr>
      </w:pPr>
      <w:r>
        <w:rPr>
          <w:rFonts w:ascii="Arial" w:cs="Arial" w:eastAsia="Arial" w:hAnsi="Arial"/>
          <w:sz w:val="17"/>
          <w:szCs w:val="17"/>
          <w:color w:val="auto"/>
        </w:rPr>
        <w:t>In October 2016, the FASB issued new guidance which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guidance is effective for annual and interim periods beginning after December 15, 2017. Early adoption is permitted, including adoption in an interim period. The Company is evaluating the effect this new guidance will have on its consolidated financial statements.</w:t>
      </w:r>
    </w:p>
    <w:p>
      <w:pPr>
        <w:spacing w:after="0" w:line="173" w:lineRule="exact"/>
        <w:rPr>
          <w:sz w:val="20"/>
          <w:szCs w:val="20"/>
          <w:color w:val="auto"/>
        </w:rPr>
      </w:pPr>
    </w:p>
    <w:p>
      <w:pPr>
        <w:ind w:firstLine="378"/>
        <w:spacing w:after="0" w:line="257" w:lineRule="auto"/>
        <w:rPr>
          <w:sz w:val="20"/>
          <w:szCs w:val="20"/>
          <w:color w:val="auto"/>
        </w:rPr>
      </w:pPr>
      <w:r>
        <w:rPr>
          <w:rFonts w:ascii="Arial" w:cs="Arial" w:eastAsia="Arial" w:hAnsi="Arial"/>
          <w:sz w:val="18"/>
          <w:szCs w:val="18"/>
          <w:color w:val="auto"/>
        </w:rPr>
        <w:t>In November 2016, the FASB issued new guidance which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guidance is effective for annual and interim periods beginning after December 15, 2017. Early adoption is permitted, including adoption in an interim period. The Company is evaluating the effect this new guidance will have on its consolidated financial statements.</w:t>
      </w:r>
    </w:p>
    <w:p>
      <w:pPr>
        <w:spacing w:after="0" w:line="188" w:lineRule="exact"/>
        <w:rPr>
          <w:sz w:val="20"/>
          <w:szCs w:val="20"/>
          <w:color w:val="auto"/>
        </w:rPr>
      </w:pPr>
    </w:p>
    <w:p>
      <w:pPr>
        <w:ind w:right="220" w:firstLine="378"/>
        <w:spacing w:after="0" w:line="257" w:lineRule="auto"/>
        <w:rPr>
          <w:sz w:val="20"/>
          <w:szCs w:val="20"/>
          <w:color w:val="auto"/>
        </w:rPr>
      </w:pPr>
      <w:r>
        <w:rPr>
          <w:rFonts w:ascii="Arial" w:cs="Arial" w:eastAsia="Arial" w:hAnsi="Arial"/>
          <w:sz w:val="18"/>
          <w:szCs w:val="18"/>
          <w:color w:val="auto"/>
        </w:rPr>
        <w:t>In January 2017, the FASB issued an accounting standards update which revises the definition of a business. The amendments provide a more robust framework for determining when a set of assets and activities is a business and is intended to help companies evaluate whether transactions should be accounted for as acquisitions (or disposals) of assets or businesses. The guidance is effective for annual and interim periods beginning after December 15, 2018. Early adoption is permitted for certain transactions as specifically described in the guidance. The Company is evaluating the effect this new guidance will have on its consolidated financial statements.</w:t>
      </w:r>
    </w:p>
    <w:p>
      <w:pPr>
        <w:spacing w:after="0" w:line="188" w:lineRule="exact"/>
        <w:rPr>
          <w:sz w:val="20"/>
          <w:szCs w:val="20"/>
          <w:color w:val="auto"/>
        </w:rPr>
      </w:pPr>
    </w:p>
    <w:p>
      <w:pPr>
        <w:jc w:val="both"/>
        <w:ind w:right="80" w:firstLine="378"/>
        <w:spacing w:after="0" w:line="291" w:lineRule="auto"/>
        <w:rPr>
          <w:sz w:val="20"/>
          <w:szCs w:val="20"/>
          <w:color w:val="auto"/>
        </w:rPr>
      </w:pPr>
      <w:r>
        <w:rPr>
          <w:rFonts w:ascii="Arial" w:cs="Arial" w:eastAsia="Arial" w:hAnsi="Arial"/>
          <w:sz w:val="16"/>
          <w:szCs w:val="16"/>
          <w:color w:val="auto"/>
        </w:rPr>
        <w:t>In January 2017, the FASB issued an accounting standards update which simplifies the accounting for goodwill impairment by eliminating Step 2 of the goodwill impairment test, which required a hypothetical purchase price allocation. Instead, an entity shall perform its annual or interim, goodwill impairment test by comparing the fair value of a reporting unit with its carrying amount. Goodwill impairment will now be measured as the amount by which a reporting unit’s carrying value exceeds its fair value, but not in an amount to exceed the carrying amount of goodwill allocated to the reporting unit. This guidance will be effective for annual or any interim goodwill impairment tests in fiscal years beginning after December 15, 2019, with early adoption permitted for interim or annual goodwill impairment tests performed on testing dates after January 31, 2017. The Company’s current year step one test outcomes indicated that the adoption of this pronouncement is not expected to have a material effect on the Company’s consolidated financial statements.</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Discontinued Operations</w:t>
      </w:r>
    </w:p>
    <w:p>
      <w:pPr>
        <w:spacing w:after="0" w:line="229" w:lineRule="exact"/>
        <w:rPr>
          <w:sz w:val="20"/>
          <w:szCs w:val="20"/>
          <w:color w:val="auto"/>
        </w:rPr>
      </w:pPr>
    </w:p>
    <w:p>
      <w:pPr>
        <w:jc w:val="both"/>
        <w:ind w:right="40" w:firstLine="405"/>
        <w:spacing w:after="0" w:line="264" w:lineRule="auto"/>
        <w:rPr>
          <w:sz w:val="20"/>
          <w:szCs w:val="20"/>
          <w:color w:val="auto"/>
        </w:rPr>
      </w:pPr>
      <w:r>
        <w:rPr>
          <w:rFonts w:ascii="Arial" w:cs="Arial" w:eastAsia="Arial" w:hAnsi="Arial"/>
          <w:sz w:val="18"/>
          <w:szCs w:val="18"/>
          <w:color w:val="auto"/>
        </w:rPr>
        <w:t>In July 2016, the Company hired a new President and Chief Executive Officer who immediately initiated a review of the Company’s businesses in order to assess the market position and potential returns of each business. The outcome of this process was to align the Company’s core competencies to ensure it is investing in areas that are most likely to provide the best long-</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391" w:right="239" w:bottom="1440" w:gutter="0" w:footer="0" w:header="0"/>
        </w:sectPr>
      </w:pPr>
    </w:p>
    <w:bookmarkStart w:id="61" w:name="page62"/>
    <w:bookmarkEnd w:id="61"/>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term returns. The Company identified several businesses that it believes no longer fit with its core competencies and long-term goals to focus on the storage, networking and connectivity markets.</w:t>
      </w:r>
    </w:p>
    <w:p>
      <w:pPr>
        <w:spacing w:after="0" w:line="170" w:lineRule="exact"/>
        <w:rPr>
          <w:sz w:val="20"/>
          <w:szCs w:val="20"/>
          <w:color w:val="auto"/>
        </w:rPr>
      </w:pPr>
    </w:p>
    <w:p>
      <w:pPr>
        <w:ind w:right="120" w:firstLine="405"/>
        <w:spacing w:after="0" w:line="255" w:lineRule="auto"/>
        <w:rPr>
          <w:sz w:val="20"/>
          <w:szCs w:val="20"/>
          <w:color w:val="auto"/>
        </w:rPr>
      </w:pPr>
      <w:r>
        <w:rPr>
          <w:rFonts w:ascii="Arial" w:cs="Arial" w:eastAsia="Arial" w:hAnsi="Arial"/>
          <w:sz w:val="18"/>
          <w:szCs w:val="18"/>
          <w:color w:val="auto"/>
        </w:rPr>
        <w:t>After the business review had been completed, the Company assessed its overall resource requirements in terms of direct costs and indirect costs. In November 2016, the Company announced a plan to restructure its operations to refocus its research and development, increase operational efficiency and improve profitability. The Company expects that the restructuring actions, which include discontinuing investment in specific research and development programs, streamlining engineering processes, and consolidating research and development sites, will eliminate approximately 900 positions worldwide. In addition, the Company plans to divest certain businesses with approximately $60 million in operating expenses and $100 million in revenue based on a first half of fiscal 2017 annualized run rate.</w:t>
      </w:r>
    </w:p>
    <w:p>
      <w:pPr>
        <w:spacing w:after="0" w:line="193" w:lineRule="exact"/>
        <w:rPr>
          <w:sz w:val="20"/>
          <w:szCs w:val="20"/>
          <w:color w:val="auto"/>
        </w:rPr>
      </w:pPr>
    </w:p>
    <w:p>
      <w:pPr>
        <w:ind w:right="60" w:firstLine="405"/>
        <w:spacing w:after="0" w:line="290" w:lineRule="auto"/>
        <w:rPr>
          <w:sz w:val="20"/>
          <w:szCs w:val="20"/>
          <w:color w:val="auto"/>
        </w:rPr>
      </w:pPr>
      <w:r>
        <w:rPr>
          <w:rFonts w:ascii="Arial" w:cs="Arial" w:eastAsia="Arial" w:hAnsi="Arial"/>
          <w:sz w:val="16"/>
          <w:szCs w:val="16"/>
          <w:color w:val="auto"/>
        </w:rPr>
        <w:t>As part of the above actions, the Company began an active program to locate buyers for several businesses. The Company concluded that the divestitures of these businesses represented a strategic shift that has a major effect on the Company’s operations and financial results. These businesses were deemed not to align with the Company’s core business. As of January 28, 2017, the Company believes two of these businesses will be sold within the next twelve months. The Company has entered into an agreement with a buyer for one of the businesses and is actively seeking a buyer for another business, which it believes is probable and, therefore, the Company expects the sale of these two businesses to be completed within the next twelve months. The Company continues its effort to sell a third business. However, at this time, management does not believe the sale will be completed within the next twelve months. As a result, the Company has classified the two above-mentioned businesses as discontinued operations, and has reclassified its statement of operations and balance sheets for all periods presented in its consolidated financial statements to report the effect of these discontinued operations.</w:t>
      </w:r>
    </w:p>
    <w:p>
      <w:pPr>
        <w:spacing w:after="0" w:line="166" w:lineRule="exact"/>
        <w:rPr>
          <w:sz w:val="20"/>
          <w:szCs w:val="20"/>
          <w:color w:val="auto"/>
        </w:rPr>
      </w:pPr>
    </w:p>
    <w:p>
      <w:pPr>
        <w:ind w:right="40" w:firstLine="405"/>
        <w:spacing w:after="0" w:line="342" w:lineRule="auto"/>
        <w:rPr>
          <w:sz w:val="20"/>
          <w:szCs w:val="20"/>
          <w:color w:val="auto"/>
        </w:rPr>
      </w:pPr>
      <w:r>
        <w:rPr>
          <w:rFonts w:ascii="Arial" w:cs="Arial" w:eastAsia="Arial" w:hAnsi="Arial"/>
          <w:sz w:val="16"/>
          <w:szCs w:val="16"/>
          <w:color w:val="auto"/>
        </w:rPr>
        <w:t>The following table presents a reconciliation of the carrying amounts of major classes of assets and liabilities of the discontinued operations to the total assets and liabilities of the disposal group classified as held for sale that are presented separately in the consolidated balance sheets (in thousands):</w:t>
      </w:r>
    </w:p>
    <w:p>
      <w:pPr>
        <w:spacing w:after="0" w:line="318" w:lineRule="exact"/>
        <w:rPr>
          <w:sz w:val="20"/>
          <w:szCs w:val="20"/>
          <w:color w:val="auto"/>
        </w:rPr>
      </w:pPr>
    </w:p>
    <w:tbl>
      <w:tblPr>
        <w:tblLayout w:type="fixed"/>
        <w:tblInd w:w="420" w:type="dxa"/>
        <w:tblCellMar>
          <w:top w:w="0" w:type="dxa"/>
          <w:left w:w="0" w:type="dxa"/>
          <w:bottom w:w="0" w:type="dxa"/>
          <w:right w:w="0" w:type="dxa"/>
        </w:tblCellMar>
      </w:tblPr>
      <w:tr>
        <w:trPr>
          <w:trHeight w:val="192"/>
        </w:trPr>
        <w:tc>
          <w:tcPr>
            <w:tcW w:w="77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January 28, 2017</w:t>
            </w:r>
          </w:p>
        </w:tc>
        <w:tc>
          <w:tcPr>
            <w:tcW w:w="140" w:type="dxa"/>
            <w:vAlign w:val="bottom"/>
          </w:tcPr>
          <w:p>
            <w:pPr>
              <w:spacing w:after="0"/>
              <w:rPr>
                <w:sz w:val="16"/>
                <w:szCs w:val="16"/>
                <w:color w:val="auto"/>
              </w:rPr>
            </w:pPr>
          </w:p>
        </w:tc>
        <w:tc>
          <w:tcPr>
            <w:tcW w:w="1240" w:type="dxa"/>
            <w:vAlign w:val="bottom"/>
          </w:tcPr>
          <w:p>
            <w:pPr>
              <w:jc w:val="right"/>
              <w:ind w:right="72"/>
              <w:spacing w:after="0"/>
              <w:rPr>
                <w:sz w:val="20"/>
                <w:szCs w:val="20"/>
                <w:color w:val="auto"/>
              </w:rPr>
            </w:pPr>
            <w:r>
              <w:rPr>
                <w:rFonts w:ascii="Arial" w:cs="Arial" w:eastAsia="Arial" w:hAnsi="Arial"/>
                <w:sz w:val="14"/>
                <w:szCs w:val="14"/>
                <w:b w:val="1"/>
                <w:bCs w:val="1"/>
                <w:color w:val="auto"/>
                <w:w w:val="94"/>
              </w:rPr>
              <w:t>January 30, 2016</w:t>
            </w:r>
          </w:p>
        </w:tc>
        <w:tc>
          <w:tcPr>
            <w:tcW w:w="0" w:type="dxa"/>
            <w:vAlign w:val="bottom"/>
          </w:tcPr>
          <w:p>
            <w:pPr>
              <w:spacing w:after="0"/>
              <w:rPr>
                <w:sz w:val="1"/>
                <w:szCs w:val="1"/>
                <w:color w:val="auto"/>
              </w:rPr>
            </w:pPr>
          </w:p>
        </w:tc>
      </w:tr>
      <w:tr>
        <w:trPr>
          <w:trHeight w:val="230"/>
        </w:trPr>
        <w:tc>
          <w:tcPr>
            <w:tcW w:w="7740" w:type="dxa"/>
            <w:vAlign w:val="bottom"/>
          </w:tcPr>
          <w:p>
            <w:pPr>
              <w:ind w:left="20"/>
              <w:spacing w:after="0"/>
              <w:rPr>
                <w:sz w:val="20"/>
                <w:szCs w:val="20"/>
                <w:color w:val="auto"/>
              </w:rPr>
            </w:pPr>
            <w:r>
              <w:rPr>
                <w:rFonts w:ascii="Arial" w:cs="Arial" w:eastAsia="Arial" w:hAnsi="Arial"/>
                <w:sz w:val="18"/>
                <w:szCs w:val="18"/>
                <w:b w:val="1"/>
                <w:bCs w:val="1"/>
                <w:color w:val="auto"/>
              </w:rPr>
              <w:t>Current assets held for sale:</w:t>
            </w: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77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7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Inventory</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8,154</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9,059</w:t>
            </w:r>
          </w:p>
        </w:tc>
        <w:tc>
          <w:tcPr>
            <w:tcW w:w="0" w:type="dxa"/>
            <w:vAlign w:val="bottom"/>
          </w:tcPr>
          <w:p>
            <w:pPr>
              <w:spacing w:after="0"/>
              <w:rPr>
                <w:sz w:val="1"/>
                <w:szCs w:val="1"/>
                <w:color w:val="auto"/>
              </w:rPr>
            </w:pPr>
          </w:p>
        </w:tc>
      </w:tr>
      <w:tr>
        <w:trPr>
          <w:trHeight w:val="243"/>
        </w:trPr>
        <w:tc>
          <w:tcPr>
            <w:tcW w:w="7740" w:type="dxa"/>
            <w:vAlign w:val="bottom"/>
          </w:tcPr>
          <w:p>
            <w:pPr>
              <w:ind w:left="380"/>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2,898</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2,762</w:t>
            </w:r>
          </w:p>
        </w:tc>
        <w:tc>
          <w:tcPr>
            <w:tcW w:w="0" w:type="dxa"/>
            <w:vAlign w:val="bottom"/>
          </w:tcPr>
          <w:p>
            <w:pPr>
              <w:spacing w:after="0"/>
              <w:rPr>
                <w:sz w:val="1"/>
                <w:szCs w:val="1"/>
                <w:color w:val="auto"/>
              </w:rPr>
            </w:pPr>
          </w:p>
        </w:tc>
      </w:tr>
      <w:tr>
        <w:trPr>
          <w:trHeight w:val="27"/>
        </w:trPr>
        <w:tc>
          <w:tcPr>
            <w:tcW w:w="77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Goodwill</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26,532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26,532</w:t>
            </w:r>
          </w:p>
        </w:tc>
        <w:tc>
          <w:tcPr>
            <w:tcW w:w="0" w:type="dxa"/>
            <w:vAlign w:val="bottom"/>
          </w:tcPr>
          <w:p>
            <w:pPr>
              <w:spacing w:after="0"/>
              <w:rPr>
                <w:sz w:val="1"/>
                <w:szCs w:val="1"/>
                <w:color w:val="auto"/>
              </w:rPr>
            </w:pPr>
          </w:p>
        </w:tc>
      </w:tr>
      <w:tr>
        <w:trPr>
          <w:trHeight w:val="243"/>
        </w:trPr>
        <w:tc>
          <w:tcPr>
            <w:tcW w:w="7740" w:type="dxa"/>
            <w:vAlign w:val="bottom"/>
          </w:tcPr>
          <w:p>
            <w:pPr>
              <w:ind w:left="380"/>
              <w:spacing w:after="0"/>
              <w:rPr>
                <w:sz w:val="20"/>
                <w:szCs w:val="20"/>
                <w:color w:val="auto"/>
              </w:rPr>
            </w:pPr>
            <w:r>
              <w:rPr>
                <w:rFonts w:ascii="Arial" w:cs="Arial" w:eastAsia="Arial" w:hAnsi="Arial"/>
                <w:sz w:val="18"/>
                <w:szCs w:val="18"/>
                <w:color w:val="auto"/>
              </w:rPr>
              <w:t>Acquired intangible assets, net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3,799</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6,063</w:t>
            </w:r>
          </w:p>
        </w:tc>
        <w:tc>
          <w:tcPr>
            <w:tcW w:w="0" w:type="dxa"/>
            <w:vAlign w:val="bottom"/>
          </w:tcPr>
          <w:p>
            <w:pPr>
              <w:spacing w:after="0"/>
              <w:rPr>
                <w:sz w:val="1"/>
                <w:szCs w:val="1"/>
                <w:color w:val="auto"/>
              </w:rPr>
            </w:pPr>
          </w:p>
        </w:tc>
      </w:tr>
      <w:tr>
        <w:trPr>
          <w:trHeight w:val="27"/>
        </w:trPr>
        <w:tc>
          <w:tcPr>
            <w:tcW w:w="77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7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1,490</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679</w:t>
            </w:r>
          </w:p>
        </w:tc>
        <w:tc>
          <w:tcPr>
            <w:tcW w:w="0" w:type="dxa"/>
            <w:vAlign w:val="bottom"/>
          </w:tcPr>
          <w:p>
            <w:pPr>
              <w:spacing w:after="0"/>
              <w:rPr>
                <w:sz w:val="1"/>
                <w:szCs w:val="1"/>
                <w:color w:val="auto"/>
              </w:rPr>
            </w:pPr>
          </w:p>
        </w:tc>
      </w:tr>
      <w:tr>
        <w:trPr>
          <w:trHeight w:val="237"/>
        </w:trPr>
        <w:tc>
          <w:tcPr>
            <w:tcW w:w="7740" w:type="dxa"/>
            <w:vAlign w:val="bottom"/>
          </w:tcPr>
          <w:p>
            <w:pPr>
              <w:ind w:left="20"/>
              <w:spacing w:after="0"/>
              <w:rPr>
                <w:sz w:val="20"/>
                <w:szCs w:val="20"/>
                <w:color w:val="auto"/>
              </w:rPr>
            </w:pPr>
            <w:r>
              <w:rPr>
                <w:rFonts w:ascii="Arial" w:cs="Arial" w:eastAsia="Arial" w:hAnsi="Arial"/>
                <w:sz w:val="18"/>
                <w:szCs w:val="18"/>
                <w:color w:val="auto"/>
              </w:rPr>
              <w:t>Current assets held for sale for discontinued operations</w:t>
            </w: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42,873</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45,095</w:t>
            </w:r>
          </w:p>
        </w:tc>
        <w:tc>
          <w:tcPr>
            <w:tcW w:w="0" w:type="dxa"/>
            <w:vAlign w:val="bottom"/>
          </w:tcPr>
          <w:p>
            <w:pPr>
              <w:spacing w:after="0"/>
              <w:rPr>
                <w:sz w:val="1"/>
                <w:szCs w:val="1"/>
                <w:color w:val="auto"/>
              </w:rPr>
            </w:pPr>
          </w:p>
        </w:tc>
      </w:tr>
      <w:tr>
        <w:trPr>
          <w:trHeight w:val="27"/>
        </w:trPr>
        <w:tc>
          <w:tcPr>
            <w:tcW w:w="77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assets held for sale</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740" w:type="dxa"/>
            <w:vAlign w:val="bottom"/>
          </w:tcPr>
          <w:p>
            <w:pPr>
              <w:ind w:left="340"/>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2,973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74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7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 of the disposal group classified as held for sale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45,846</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45,095</w:t>
            </w:r>
          </w:p>
        </w:tc>
        <w:tc>
          <w:tcPr>
            <w:tcW w:w="0" w:type="dxa"/>
            <w:vAlign w:val="bottom"/>
          </w:tcPr>
          <w:p>
            <w:pPr>
              <w:spacing w:after="0"/>
              <w:rPr>
                <w:sz w:val="1"/>
                <w:szCs w:val="1"/>
                <w:color w:val="auto"/>
              </w:rPr>
            </w:pPr>
          </w:p>
        </w:tc>
      </w:tr>
      <w:tr>
        <w:trPr>
          <w:trHeight w:val="20"/>
        </w:trPr>
        <w:tc>
          <w:tcPr>
            <w:tcW w:w="77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b w:val="1"/>
                <w:bCs w:val="1"/>
                <w:color w:val="auto"/>
              </w:rPr>
              <w:t>Current liabilities held for sale:</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740" w:type="dxa"/>
            <w:vAlign w:val="bottom"/>
            <w:vMerge w:val="continue"/>
          </w:tcPr>
          <w:p>
            <w:pPr>
              <w:spacing w:after="0"/>
              <w:rPr>
                <w:sz w:val="17"/>
                <w:szCs w:val="17"/>
                <w:color w:val="auto"/>
              </w:rPr>
            </w:pPr>
          </w:p>
        </w:tc>
        <w:tc>
          <w:tcPr>
            <w:tcW w:w="1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7740" w:type="dxa"/>
            <w:vAlign w:val="bottom"/>
          </w:tcPr>
          <w:p>
            <w:pPr>
              <w:spacing w:after="0"/>
              <w:rPr>
                <w:sz w:val="4"/>
                <w:szCs w:val="4"/>
                <w:color w:val="auto"/>
              </w:rPr>
            </w:pPr>
          </w:p>
        </w:tc>
        <w:tc>
          <w:tcPr>
            <w:tcW w:w="1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0"/>
        </w:trPr>
        <w:tc>
          <w:tcPr>
            <w:tcW w:w="7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Deferred Income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1,670</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1,749</w:t>
            </w:r>
          </w:p>
        </w:tc>
        <w:tc>
          <w:tcPr>
            <w:tcW w:w="0" w:type="dxa"/>
            <w:vAlign w:val="bottom"/>
          </w:tcPr>
          <w:p>
            <w:pPr>
              <w:spacing w:after="0"/>
              <w:rPr>
                <w:sz w:val="1"/>
                <w:szCs w:val="1"/>
                <w:color w:val="auto"/>
              </w:rPr>
            </w:pPr>
          </w:p>
        </w:tc>
      </w:tr>
      <w:tr>
        <w:trPr>
          <w:trHeight w:val="237"/>
        </w:trPr>
        <w:tc>
          <w:tcPr>
            <w:tcW w:w="7740" w:type="dxa"/>
            <w:vAlign w:val="bottom"/>
          </w:tcPr>
          <w:p>
            <w:pPr>
              <w:ind w:left="20"/>
              <w:spacing w:after="0"/>
              <w:rPr>
                <w:sz w:val="20"/>
                <w:szCs w:val="20"/>
                <w:color w:val="auto"/>
              </w:rPr>
            </w:pPr>
            <w:r>
              <w:rPr>
                <w:rFonts w:ascii="Arial" w:cs="Arial" w:eastAsia="Arial" w:hAnsi="Arial"/>
                <w:sz w:val="18"/>
                <w:szCs w:val="18"/>
                <w:color w:val="auto"/>
              </w:rPr>
              <w:t>Total liabilities of the disposal group classified as held for sale</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1,670</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1,749</w:t>
            </w:r>
          </w:p>
        </w:tc>
        <w:tc>
          <w:tcPr>
            <w:tcW w:w="0" w:type="dxa"/>
            <w:vAlign w:val="bottom"/>
          </w:tcPr>
          <w:p>
            <w:pPr>
              <w:spacing w:after="0"/>
              <w:rPr>
                <w:sz w:val="1"/>
                <w:szCs w:val="1"/>
                <w:color w:val="auto"/>
              </w:rPr>
            </w:pPr>
          </w:p>
        </w:tc>
      </w:tr>
      <w:tr>
        <w:trPr>
          <w:trHeight w:val="27"/>
        </w:trPr>
        <w:tc>
          <w:tcPr>
            <w:tcW w:w="77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77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The following table presents a reconciliation of the major financial lines constituting the results of operations for discontinued operations to the net loss from discontinued operations presented separately in the consolidated statement of operations (in thousands):</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340"/>
          </w:cols>
          <w:pgMar w:left="240" w:top="391" w:right="319" w:bottom="1440" w:gutter="0" w:footer="0" w:header="0"/>
        </w:sectPr>
      </w:pPr>
    </w:p>
    <w:bookmarkStart w:id="62" w:name="page63"/>
    <w:bookmarkEnd w:id="6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7" w:lineRule="exact"/>
        <w:rPr>
          <w:sz w:val="20"/>
          <w:szCs w:val="20"/>
          <w:color w:val="auto"/>
        </w:rPr>
      </w:pPr>
    </w:p>
    <w:tbl>
      <w:tblPr>
        <w:tblLayout w:type="fixed"/>
        <w:tblInd w:w="380" w:type="dxa"/>
        <w:tblCellMar>
          <w:top w:w="0" w:type="dxa"/>
          <w:left w:w="0" w:type="dxa"/>
          <w:bottom w:w="0" w:type="dxa"/>
          <w:right w:w="0" w:type="dxa"/>
        </w:tblCellMar>
      </w:tblPr>
      <w:tr>
        <w:trPr>
          <w:trHeight w:val="192"/>
        </w:trPr>
        <w:tc>
          <w:tcPr>
            <w:tcW w:w="67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gridSpan w:val="2"/>
          </w:tcPr>
          <w:p>
            <w:pPr>
              <w:ind w:left="220"/>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r>
      <w:tr>
        <w:trPr>
          <w:trHeight w:val="263"/>
        </w:trPr>
        <w:tc>
          <w:tcPr>
            <w:tcW w:w="6720" w:type="dxa"/>
            <w:vAlign w:val="bottom"/>
          </w:tcPr>
          <w:p>
            <w:pPr>
              <w:spacing w:after="0"/>
              <w:rPr>
                <w:sz w:val="22"/>
                <w:szCs w:val="22"/>
                <w:color w:val="auto"/>
              </w:rPr>
            </w:pPr>
          </w:p>
        </w:tc>
        <w:tc>
          <w:tcPr>
            <w:tcW w:w="128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 2017</w:t>
            </w:r>
          </w:p>
        </w:tc>
        <w:tc>
          <w:tcPr>
            <w:tcW w:w="120" w:type="dxa"/>
            <w:vAlign w:val="bottom"/>
          </w:tcPr>
          <w:p>
            <w:pPr>
              <w:spacing w:after="0"/>
              <w:rPr>
                <w:sz w:val="22"/>
                <w:szCs w:val="22"/>
                <w:color w:val="auto"/>
              </w:rPr>
            </w:pPr>
          </w:p>
        </w:tc>
        <w:tc>
          <w:tcPr>
            <w:tcW w:w="1280" w:type="dxa"/>
            <w:vAlign w:val="bottom"/>
            <w:gridSpan w:val="2"/>
          </w:tcPr>
          <w:p>
            <w:pPr>
              <w:spacing w:after="0"/>
              <w:rPr>
                <w:sz w:val="20"/>
                <w:szCs w:val="20"/>
                <w:color w:val="auto"/>
              </w:rPr>
            </w:pPr>
            <w:r>
              <w:rPr>
                <w:rFonts w:ascii="Arial" w:cs="Arial" w:eastAsia="Arial" w:hAnsi="Arial"/>
                <w:sz w:val="14"/>
                <w:szCs w:val="14"/>
                <w:b w:val="1"/>
                <w:bCs w:val="1"/>
                <w:color w:val="auto"/>
              </w:rPr>
              <w:t>January 30, 2016</w:t>
            </w:r>
          </w:p>
        </w:tc>
        <w:tc>
          <w:tcPr>
            <w:tcW w:w="100" w:type="dxa"/>
            <w:vAlign w:val="bottom"/>
          </w:tcPr>
          <w:p>
            <w:pPr>
              <w:spacing w:after="0"/>
              <w:rPr>
                <w:sz w:val="22"/>
                <w:szCs w:val="22"/>
                <w:color w:val="auto"/>
              </w:rPr>
            </w:pPr>
          </w:p>
        </w:tc>
        <w:tc>
          <w:tcPr>
            <w:tcW w:w="1180" w:type="dxa"/>
            <w:vAlign w:val="bottom"/>
          </w:tcPr>
          <w:p>
            <w:pPr>
              <w:jc w:val="right"/>
              <w:ind w:right="32"/>
              <w:spacing w:after="0"/>
              <w:rPr>
                <w:sz w:val="20"/>
                <w:szCs w:val="20"/>
                <w:color w:val="auto"/>
              </w:rPr>
            </w:pPr>
            <w:r>
              <w:rPr>
                <w:rFonts w:ascii="Arial" w:cs="Arial" w:eastAsia="Arial" w:hAnsi="Arial"/>
                <w:sz w:val="14"/>
                <w:szCs w:val="14"/>
                <w:b w:val="1"/>
                <w:bCs w:val="1"/>
                <w:color w:val="auto"/>
                <w:w w:val="92"/>
              </w:rPr>
              <w:t>January 31, 2015</w:t>
            </w:r>
          </w:p>
        </w:tc>
      </w:tr>
      <w:tr>
        <w:trPr>
          <w:trHeight w:val="243"/>
        </w:trPr>
        <w:tc>
          <w:tcPr>
            <w:tcW w:w="6720" w:type="dxa"/>
            <w:vAlign w:val="bottom"/>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tcBorders>
              <w:top w:val="single" w:sz="8" w:color="auto"/>
            </w:tcBorders>
          </w:tcPr>
          <w:p>
            <w:pPr>
              <w:jc w:val="right"/>
              <w:ind w:right="116"/>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98,755</w:t>
            </w:r>
          </w:p>
        </w:tc>
        <w:tc>
          <w:tcPr>
            <w:tcW w:w="100" w:type="dxa"/>
            <w:vAlign w:val="bottom"/>
          </w:tcPr>
          <w:p>
            <w:pPr>
              <w:spacing w:after="0"/>
              <w:rPr>
                <w:sz w:val="21"/>
                <w:szCs w:val="21"/>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76,612</w:t>
            </w:r>
          </w:p>
        </w:tc>
        <w:tc>
          <w:tcPr>
            <w:tcW w:w="120" w:type="dxa"/>
            <w:vAlign w:val="bottom"/>
          </w:tcPr>
          <w:p>
            <w:pPr>
              <w:spacing w:after="0"/>
              <w:rPr>
                <w:sz w:val="21"/>
                <w:szCs w:val="21"/>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69,757</w:t>
            </w:r>
          </w:p>
        </w:tc>
      </w:tr>
      <w:tr>
        <w:trPr>
          <w:trHeight w:val="27"/>
        </w:trPr>
        <w:tc>
          <w:tcPr>
            <w:tcW w:w="67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6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costs and expenses:</w:t>
            </w:r>
          </w:p>
        </w:tc>
        <w:tc>
          <w:tcPr>
            <w:tcW w:w="3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672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30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60,799</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52,219</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44,281</w:t>
            </w:r>
          </w:p>
        </w:tc>
      </w:tr>
      <w:tr>
        <w:trPr>
          <w:trHeight w:val="27"/>
        </w:trPr>
        <w:tc>
          <w:tcPr>
            <w:tcW w:w="67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67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3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53,784</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59,524</w:t>
            </w:r>
          </w:p>
        </w:tc>
        <w:tc>
          <w:tcPr>
            <w:tcW w:w="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67,263</w:t>
            </w:r>
          </w:p>
        </w:tc>
      </w:tr>
      <w:tr>
        <w:trPr>
          <w:trHeight w:val="243"/>
        </w:trPr>
        <w:tc>
          <w:tcPr>
            <w:tcW w:w="6720" w:type="dxa"/>
            <w:vAlign w:val="bottom"/>
          </w:tcPr>
          <w:p>
            <w:pPr>
              <w:ind w:left="260"/>
              <w:spacing w:after="0"/>
              <w:rPr>
                <w:sz w:val="20"/>
                <w:szCs w:val="20"/>
                <w:color w:val="auto"/>
              </w:rPr>
            </w:pPr>
            <w:r>
              <w:rPr>
                <w:rFonts w:ascii="Arial" w:cs="Arial" w:eastAsia="Arial" w:hAnsi="Arial"/>
                <w:sz w:val="18"/>
                <w:szCs w:val="18"/>
                <w:color w:val="auto"/>
              </w:rPr>
              <w:t>Selling and marketing</w:t>
            </w:r>
          </w:p>
        </w:tc>
        <w:tc>
          <w:tcPr>
            <w:tcW w:w="30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4,750</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4,684</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4,325</w:t>
            </w:r>
          </w:p>
        </w:tc>
      </w:tr>
      <w:tr>
        <w:trPr>
          <w:trHeight w:val="27"/>
        </w:trPr>
        <w:tc>
          <w:tcPr>
            <w:tcW w:w="67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67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General and administrative</w:t>
            </w:r>
          </w:p>
        </w:tc>
        <w:tc>
          <w:tcPr>
            <w:tcW w:w="3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963</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769</w:t>
            </w:r>
          </w:p>
        </w:tc>
        <w:tc>
          <w:tcPr>
            <w:tcW w:w="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795</w:t>
            </w:r>
          </w:p>
        </w:tc>
      </w:tr>
      <w:tr>
        <w:trPr>
          <w:trHeight w:val="243"/>
        </w:trPr>
        <w:tc>
          <w:tcPr>
            <w:tcW w:w="6720" w:type="dxa"/>
            <w:vAlign w:val="bottom"/>
          </w:tcPr>
          <w:p>
            <w:pPr>
              <w:ind w:left="240"/>
              <w:spacing w:after="0"/>
              <w:rPr>
                <w:sz w:val="20"/>
                <w:szCs w:val="20"/>
                <w:color w:val="auto"/>
              </w:rPr>
            </w:pPr>
            <w:r>
              <w:rPr>
                <w:rFonts w:ascii="Arial" w:cs="Arial" w:eastAsia="Arial" w:hAnsi="Arial"/>
                <w:sz w:val="18"/>
                <w:szCs w:val="18"/>
                <w:color w:val="auto"/>
              </w:rPr>
              <w:t>Amortization of acquired intangible assets</w:t>
            </w:r>
          </w:p>
        </w:tc>
        <w:tc>
          <w:tcPr>
            <w:tcW w:w="30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325</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650</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650</w:t>
            </w:r>
          </w:p>
        </w:tc>
      </w:tr>
      <w:tr>
        <w:trPr>
          <w:trHeight w:val="27"/>
        </w:trPr>
        <w:tc>
          <w:tcPr>
            <w:tcW w:w="67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672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Total operating costs and expenses</w:t>
            </w:r>
          </w:p>
        </w:tc>
        <w:tc>
          <w:tcPr>
            <w:tcW w:w="300" w:type="dxa"/>
            <w:vAlign w:val="bottom"/>
            <w:tcBorders>
              <w:bottom w:val="single" w:sz="8" w:color="CCEEFF"/>
            </w:tcBorders>
            <w:shd w:val="clear" w:color="auto" w:fill="CCEEFF"/>
          </w:tcPr>
          <w:p>
            <w:pPr>
              <w:spacing w:after="0"/>
              <w:rPr>
                <w:sz w:val="22"/>
                <w:szCs w:val="22"/>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120,621</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117,846</w:t>
            </w:r>
          </w:p>
        </w:tc>
        <w:tc>
          <w:tcPr>
            <w:tcW w:w="1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117,314</w:t>
            </w:r>
          </w:p>
        </w:tc>
      </w:tr>
      <w:tr>
        <w:trPr>
          <w:trHeight w:val="237"/>
        </w:trPr>
        <w:tc>
          <w:tcPr>
            <w:tcW w:w="6720" w:type="dxa"/>
            <w:vAlign w:val="bottom"/>
          </w:tcPr>
          <w:p>
            <w:pPr>
              <w:ind w:left="20"/>
              <w:spacing w:after="0"/>
              <w:rPr>
                <w:sz w:val="20"/>
                <w:szCs w:val="20"/>
                <w:color w:val="auto"/>
              </w:rPr>
            </w:pPr>
            <w:r>
              <w:rPr>
                <w:rFonts w:ascii="Arial" w:cs="Arial" w:eastAsia="Arial" w:hAnsi="Arial"/>
                <w:sz w:val="18"/>
                <w:szCs w:val="18"/>
                <w:color w:val="auto"/>
              </w:rPr>
              <w:t>Loss from discontinued operations before income taxes</w:t>
            </w:r>
          </w:p>
        </w:tc>
        <w:tc>
          <w:tcPr>
            <w:tcW w:w="30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(21,866)</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(41,234)</w:t>
            </w:r>
          </w:p>
        </w:tc>
        <w:tc>
          <w:tcPr>
            <w:tcW w:w="120" w:type="dxa"/>
            <w:vAlign w:val="bottom"/>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(47,557)</w:t>
            </w:r>
          </w:p>
        </w:tc>
      </w:tr>
      <w:tr>
        <w:trPr>
          <w:trHeight w:val="27"/>
        </w:trPr>
        <w:tc>
          <w:tcPr>
            <w:tcW w:w="67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6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Provision for income taxes</w:t>
            </w:r>
          </w:p>
        </w:tc>
        <w:tc>
          <w:tcPr>
            <w:tcW w:w="30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977</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1,011</w:t>
            </w:r>
          </w:p>
        </w:tc>
        <w:tc>
          <w:tcPr>
            <w:tcW w:w="12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884</w:t>
            </w:r>
          </w:p>
        </w:tc>
      </w:tr>
      <w:tr>
        <w:trPr>
          <w:trHeight w:val="237"/>
        </w:trPr>
        <w:tc>
          <w:tcPr>
            <w:tcW w:w="6720" w:type="dxa"/>
            <w:vAlign w:val="bottom"/>
          </w:tcPr>
          <w:p>
            <w:pPr>
              <w:ind w:left="20"/>
              <w:spacing w:after="0"/>
              <w:rPr>
                <w:sz w:val="20"/>
                <w:szCs w:val="20"/>
                <w:color w:val="auto"/>
              </w:rPr>
            </w:pPr>
            <w:r>
              <w:rPr>
                <w:rFonts w:ascii="Arial" w:cs="Arial" w:eastAsia="Arial" w:hAnsi="Arial"/>
                <w:sz w:val="18"/>
                <w:szCs w:val="18"/>
                <w:color w:val="auto"/>
              </w:rPr>
              <w:t>Net loss from discontinued operations</w:t>
            </w:r>
          </w:p>
        </w:tc>
        <w:tc>
          <w:tcPr>
            <w:tcW w:w="300" w:type="dxa"/>
            <w:vAlign w:val="bottom"/>
            <w:tcBorders>
              <w:top w:val="single" w:sz="8" w:color="auto"/>
            </w:tcBorders>
          </w:tcPr>
          <w:p>
            <w:pPr>
              <w:jc w:val="right"/>
              <w:ind w:right="116"/>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(22,843)</w:t>
            </w:r>
          </w:p>
        </w:tc>
        <w:tc>
          <w:tcPr>
            <w:tcW w:w="10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(42,245)</w:t>
            </w:r>
          </w:p>
        </w:tc>
        <w:tc>
          <w:tcPr>
            <w:tcW w:w="120" w:type="dxa"/>
            <w:vAlign w:val="bottom"/>
          </w:tcPr>
          <w:p>
            <w:pPr>
              <w:spacing w:after="0"/>
              <w:rPr>
                <w:sz w:val="20"/>
                <w:szCs w:val="20"/>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(48,441)</w:t>
            </w:r>
          </w:p>
        </w:tc>
      </w:tr>
      <w:tr>
        <w:trPr>
          <w:trHeight w:val="27"/>
        </w:trPr>
        <w:tc>
          <w:tcPr>
            <w:tcW w:w="67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0"/>
        </w:trPr>
        <w:tc>
          <w:tcPr>
            <w:tcW w:w="67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175" w:lineRule="exact"/>
        <w:rPr>
          <w:sz w:val="20"/>
          <w:szCs w:val="20"/>
          <w:color w:val="auto"/>
        </w:rPr>
      </w:pPr>
    </w:p>
    <w:p>
      <w:pPr>
        <w:ind w:right="40" w:firstLine="405"/>
        <w:spacing w:after="0" w:line="293" w:lineRule="auto"/>
        <w:rPr>
          <w:sz w:val="20"/>
          <w:szCs w:val="20"/>
          <w:color w:val="auto"/>
        </w:rPr>
      </w:pPr>
      <w:r>
        <w:rPr>
          <w:rFonts w:ascii="Arial" w:cs="Arial" w:eastAsia="Arial" w:hAnsi="Arial"/>
          <w:sz w:val="16"/>
          <w:szCs w:val="16"/>
          <w:color w:val="auto"/>
        </w:rPr>
        <w:t>The Company has elected not to separately report discontinued operations in its consolidated statement of cash flows since its effect is not material. Non-cash operating amounts reported for discontinued operations include share-based compensation expense of $9.2 million, $7.8 million and $6.2 million in fiscal 2017, 2016 and 2015, respectively. Depreciation, amortization and capital expenditures are not material and there were no other material non-cash investing amounts related to the cash flows from discontinued operations. Due to the Company's transfer pricing arrangements, the Company generates income in most jurisdictions in which it operates, regardless if there is a loss on a consolidated basis. As such, the Company has reflected tax expense of $1.0 million, $1.0 million, and $0.9 million for fiscal years 2017, 2016, and 2015, respectively, attributable to discontinued operations.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740"/>
              <w:spacing w:after="0"/>
              <w:rPr>
                <w:sz w:val="20"/>
                <w:szCs w:val="20"/>
                <w:color w:val="auto"/>
              </w:rPr>
            </w:pPr>
            <w:r>
              <w:rPr>
                <w:rFonts w:ascii="Arial" w:cs="Arial" w:eastAsia="Arial" w:hAnsi="Arial"/>
                <w:sz w:val="14"/>
                <w:szCs w:val="14"/>
                <w:b w:val="1"/>
                <w:bCs w:val="1"/>
                <w:color w:val="auto"/>
              </w:rPr>
              <w:t>January 28, 2017</w:t>
            </w: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80" w:type="dxa"/>
            <w:vAlign w:val="bottom"/>
          </w:tcPr>
          <w:p>
            <w:pPr>
              <w:spacing w:after="0"/>
              <w:rPr>
                <w:sz w:val="13"/>
                <w:szCs w:val="13"/>
                <w:color w:val="auto"/>
              </w:rPr>
            </w:pPr>
          </w:p>
        </w:tc>
        <w:tc>
          <w:tcPr>
            <w:tcW w:w="1200" w:type="dxa"/>
            <w:vAlign w:val="bottom"/>
            <w:vMerge w:val="restart"/>
          </w:tcPr>
          <w:p>
            <w:pPr>
              <w:jc w:val="right"/>
              <w:ind w:right="333"/>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2"/>
                <w:szCs w:val="12"/>
                <w:color w:val="auto"/>
              </w:rPr>
            </w:pPr>
          </w:p>
        </w:tc>
        <w:tc>
          <w:tcPr>
            <w:tcW w:w="12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3"/>
              </w:rPr>
              <w:t>Cost</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2"/>
              </w:rPr>
              <w:t>Gains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Pr>
          <w:p>
            <w:pPr>
              <w:spacing w:after="0"/>
              <w:rPr>
                <w:sz w:val="16"/>
                <w:szCs w:val="16"/>
                <w:color w:val="auto"/>
              </w:rPr>
            </w:pPr>
          </w:p>
        </w:tc>
        <w:tc>
          <w:tcPr>
            <w:tcW w:w="1200" w:type="dxa"/>
            <w:vAlign w:val="bottom"/>
          </w:tcPr>
          <w:p>
            <w:pPr>
              <w:jc w:val="right"/>
              <w:ind w:right="333"/>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432,603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281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432,108</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26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185,584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15"/>
              <w:spacing w:after="0"/>
              <w:rPr>
                <w:sz w:val="20"/>
                <w:szCs w:val="20"/>
                <w:color w:val="auto"/>
              </w:rPr>
            </w:pPr>
            <w:r>
              <w:rPr>
                <w:rFonts w:ascii="Arial" w:cs="Arial" w:eastAsia="Arial" w:hAnsi="Arial"/>
                <w:sz w:val="18"/>
                <w:szCs w:val="18"/>
                <w:color w:val="auto"/>
              </w:rPr>
              <w:t>86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(283)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185,387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45,541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45,527</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6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13,425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13,375</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27,916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27,871</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Held-to-Maturity:</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short-term investments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855,069</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404</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854,268</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Long-term investments: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Auction rate securities</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4,615</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rPr>
              <w:t>Total long-term investments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4,615</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investments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859,684</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404</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858,883</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56"/>
        </w:trPr>
        <w:tc>
          <w:tcPr>
            <w:tcW w:w="5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jc w:val="right"/>
              <w:ind w:right="773"/>
              <w:spacing w:after="0"/>
              <w:rPr>
                <w:sz w:val="20"/>
                <w:szCs w:val="20"/>
                <w:color w:val="auto"/>
              </w:rPr>
            </w:pPr>
            <w:r>
              <w:rPr>
                <w:rFonts w:ascii="Arial" w:cs="Arial" w:eastAsia="Arial" w:hAnsi="Arial"/>
                <w:sz w:val="18"/>
                <w:szCs w:val="18"/>
                <w:color w:val="auto"/>
              </w:rPr>
              <w:t>60</w:t>
            </w: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sectPr>
      </w:pPr>
    </w:p>
    <w:bookmarkStart w:id="63" w:name="page64"/>
    <w:bookmarkEnd w:id="6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3160" w:type="dxa"/>
            <w:vAlign w:val="bottom"/>
            <w:tcBorders>
              <w:bottom w:val="single" w:sz="8" w:color="auto"/>
            </w:tcBorders>
            <w:gridSpan w:val="6"/>
          </w:tcPr>
          <w:p>
            <w:pPr>
              <w:ind w:left="1000"/>
              <w:spacing w:after="0"/>
              <w:rPr>
                <w:sz w:val="20"/>
                <w:szCs w:val="20"/>
                <w:color w:val="auto"/>
              </w:rPr>
            </w:pPr>
            <w:r>
              <w:rPr>
                <w:rFonts w:ascii="Arial" w:cs="Arial" w:eastAsia="Arial" w:hAnsi="Arial"/>
                <w:sz w:val="14"/>
                <w:szCs w:val="14"/>
                <w:b w:val="1"/>
                <w:bCs w:val="1"/>
                <w:color w:val="auto"/>
              </w:rPr>
              <w:t>January 30, 2016</w:t>
            </w: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6"/>
              </w:rPr>
              <w:t>Amortized</w:t>
            </w:r>
          </w:p>
        </w:tc>
        <w:tc>
          <w:tcPr>
            <w:tcW w:w="1080" w:type="dxa"/>
            <w:vAlign w:val="bottom"/>
          </w:tcPr>
          <w:p>
            <w:pPr>
              <w:jc w:val="center"/>
              <w:ind w:left="322"/>
              <w:spacing w:after="0" w:line="153" w:lineRule="exact"/>
              <w:rPr>
                <w:sz w:val="20"/>
                <w:szCs w:val="20"/>
                <w:color w:val="auto"/>
              </w:rPr>
            </w:pPr>
            <w:r>
              <w:rPr>
                <w:rFonts w:ascii="Arial" w:cs="Arial" w:eastAsia="Arial" w:hAnsi="Arial"/>
                <w:sz w:val="14"/>
                <w:szCs w:val="14"/>
                <w:b w:val="1"/>
                <w:bCs w:val="1"/>
                <w:color w:val="auto"/>
                <w:w w:val="88"/>
              </w:rPr>
              <w:t>Gross</w:t>
            </w: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80" w:type="dxa"/>
            <w:vAlign w:val="bottom"/>
          </w:tcPr>
          <w:p>
            <w:pPr>
              <w:spacing w:after="0"/>
              <w:rPr>
                <w:sz w:val="13"/>
                <w:szCs w:val="13"/>
                <w:color w:val="auto"/>
              </w:rPr>
            </w:pPr>
          </w:p>
        </w:tc>
        <w:tc>
          <w:tcPr>
            <w:tcW w:w="1200" w:type="dxa"/>
            <w:vAlign w:val="bottom"/>
            <w:vMerge w:val="restart"/>
          </w:tcPr>
          <w:p>
            <w:pPr>
              <w:jc w:val="right"/>
              <w:ind w:right="333"/>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vMerge w:val="continue"/>
          </w:tcPr>
          <w:p>
            <w:pPr>
              <w:spacing w:after="0"/>
              <w:rPr>
                <w:sz w:val="12"/>
                <w:szCs w:val="12"/>
                <w:color w:val="auto"/>
              </w:rPr>
            </w:pPr>
          </w:p>
        </w:tc>
        <w:tc>
          <w:tcPr>
            <w:tcW w:w="1080" w:type="dxa"/>
            <w:vAlign w:val="bottom"/>
          </w:tcPr>
          <w:p>
            <w:pPr>
              <w:jc w:val="center"/>
              <w:ind w:left="322"/>
              <w:spacing w:after="0" w:line="149" w:lineRule="exact"/>
              <w:rPr>
                <w:sz w:val="20"/>
                <w:szCs w:val="20"/>
                <w:color w:val="auto"/>
              </w:rPr>
            </w:pPr>
            <w:r>
              <w:rPr>
                <w:rFonts w:ascii="Arial" w:cs="Arial" w:eastAsia="Arial" w:hAnsi="Arial"/>
                <w:sz w:val="14"/>
                <w:szCs w:val="14"/>
                <w:b w:val="1"/>
                <w:bCs w:val="1"/>
                <w:color w:val="auto"/>
                <w:w w:val="95"/>
              </w:rPr>
              <w:t>Unrealized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2"/>
                <w:szCs w:val="12"/>
                <w:color w:val="auto"/>
              </w:rPr>
            </w:pPr>
          </w:p>
        </w:tc>
        <w:tc>
          <w:tcPr>
            <w:tcW w:w="12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3"/>
              </w:rPr>
              <w:t>Cost</w:t>
            </w:r>
          </w:p>
        </w:tc>
        <w:tc>
          <w:tcPr>
            <w:tcW w:w="1080" w:type="dxa"/>
            <w:vAlign w:val="bottom"/>
          </w:tcPr>
          <w:p>
            <w:pPr>
              <w:jc w:val="center"/>
              <w:ind w:left="322"/>
              <w:spacing w:after="0"/>
              <w:rPr>
                <w:sz w:val="20"/>
                <w:szCs w:val="20"/>
                <w:color w:val="auto"/>
              </w:rPr>
            </w:pPr>
            <w:r>
              <w:rPr>
                <w:rFonts w:ascii="Arial" w:cs="Arial" w:eastAsia="Arial" w:hAnsi="Arial"/>
                <w:sz w:val="14"/>
                <w:szCs w:val="14"/>
                <w:b w:val="1"/>
                <w:bCs w:val="1"/>
                <w:color w:val="auto"/>
                <w:w w:val="92"/>
              </w:rPr>
              <w:t>Gains</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Pr>
          <w:p>
            <w:pPr>
              <w:spacing w:after="0"/>
              <w:rPr>
                <w:sz w:val="16"/>
                <w:szCs w:val="16"/>
                <w:color w:val="auto"/>
              </w:rPr>
            </w:pPr>
          </w:p>
        </w:tc>
        <w:tc>
          <w:tcPr>
            <w:tcW w:w="1200" w:type="dxa"/>
            <w:vAlign w:val="bottom"/>
          </w:tcPr>
          <w:p>
            <w:pPr>
              <w:jc w:val="right"/>
              <w:ind w:right="333"/>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558,337</w:t>
            </w:r>
          </w:p>
        </w:tc>
        <w:tc>
          <w:tcPr>
            <w:tcW w:w="1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82"/>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3"/>
              </w:rPr>
              <w:t>766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557,821</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26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317,595</w:t>
            </w: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10"/>
              <w:spacing w:after="0"/>
              <w:rPr>
                <w:sz w:val="20"/>
                <w:szCs w:val="20"/>
                <w:color w:val="auto"/>
              </w:rPr>
            </w:pPr>
            <w:r>
              <w:rPr>
                <w:rFonts w:ascii="Arial" w:cs="Arial" w:eastAsia="Arial" w:hAnsi="Arial"/>
                <w:sz w:val="18"/>
                <w:szCs w:val="18"/>
                <w:color w:val="auto"/>
              </w:rPr>
              <w:t>64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317,405</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76,711</w:t>
            </w:r>
          </w:p>
        </w:tc>
        <w:tc>
          <w:tcPr>
            <w:tcW w:w="1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76,736</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6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21,370</w:t>
            </w: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10"/>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21,358</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31,211</w:t>
            </w:r>
          </w:p>
        </w:tc>
        <w:tc>
          <w:tcPr>
            <w:tcW w:w="1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45</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31,249</w:t>
            </w:r>
          </w:p>
        </w:tc>
        <w:tc>
          <w:tcPr>
            <w:tcW w:w="0" w:type="dxa"/>
            <w:vAlign w:val="bottom"/>
          </w:tcPr>
          <w:p>
            <w:pPr>
              <w:spacing w:after="0"/>
              <w:rPr>
                <w:sz w:val="1"/>
                <w:szCs w:val="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short-term investments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1,005,224</w:t>
            </w:r>
          </w:p>
        </w:tc>
        <w:tc>
          <w:tcPr>
            <w:tcW w:w="120" w:type="dxa"/>
            <w:vAlign w:val="bottom"/>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3"/>
              </w:rPr>
              <w:t>958</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(1,613)</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1,004,569</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Long-term investments: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Auction rate securities</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11,296</w:t>
            </w:r>
          </w:p>
        </w:tc>
        <w:tc>
          <w:tcPr>
            <w:tcW w:w="1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11,296</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rPr>
              <w:t>Total long-term investments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11,296</w:t>
            </w:r>
          </w:p>
        </w:tc>
        <w:tc>
          <w:tcPr>
            <w:tcW w:w="120" w:type="dxa"/>
            <w:vAlign w:val="bottom"/>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11,296</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investments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1,016,520</w:t>
            </w:r>
          </w:p>
        </w:tc>
        <w:tc>
          <w:tcPr>
            <w:tcW w:w="12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882"/>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3"/>
              </w:rPr>
              <w:t>958</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(1,613)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1,015,865</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100" w:firstLine="432"/>
        <w:spacing w:after="0" w:line="257" w:lineRule="auto"/>
        <w:rPr>
          <w:sz w:val="20"/>
          <w:szCs w:val="20"/>
          <w:color w:val="auto"/>
        </w:rPr>
      </w:pPr>
      <w:r>
        <w:rPr>
          <w:rFonts w:ascii="Arial" w:cs="Arial" w:eastAsia="Arial" w:hAnsi="Arial"/>
          <w:sz w:val="18"/>
          <w:szCs w:val="18"/>
          <w:color w:val="auto"/>
        </w:rPr>
        <w:t>As of January 28, 2017, the Company’s investment portfolio included auction rate securities with an aggregate par value of $5 million. Although these auction rate securities have continued to pay interest and the underlying collateral has not deteriorated, there is currently limited trading volume. The Company uses a discounted cash flow model to estimate the fair value of the auction rate securities based on its estimated timing and amount of future interest and principal payments. The fair value of the auction rate securities as of January 28, 2017 was $0.4 million less than the par value and is included in long-term investments.</w:t>
      </w:r>
    </w:p>
    <w:p>
      <w:pPr>
        <w:spacing w:after="0" w:line="80" w:lineRule="exact"/>
        <w:rPr>
          <w:sz w:val="20"/>
          <w:szCs w:val="20"/>
          <w:color w:val="auto"/>
        </w:rPr>
      </w:pPr>
    </w:p>
    <w:p>
      <w:pPr>
        <w:ind w:firstLine="432"/>
        <w:spacing w:after="0" w:line="279" w:lineRule="auto"/>
        <w:rPr>
          <w:sz w:val="20"/>
          <w:szCs w:val="20"/>
          <w:color w:val="auto"/>
        </w:rPr>
      </w:pPr>
      <w:r>
        <w:rPr>
          <w:rFonts w:ascii="Arial" w:cs="Arial" w:eastAsia="Arial" w:hAnsi="Arial"/>
          <w:sz w:val="17"/>
          <w:szCs w:val="17"/>
          <w:color w:val="auto"/>
        </w:rPr>
        <w:t>The Company made a determination in January 2016 that it did not expect to recover the par value of these auction rate securities and considers any impairment of these securities to be other-than-temporary. There has been no change in circumstances since January 2016 based upon the current time horizon for holding these auction rate securities and the continuation of an illiquid market. Based on the Company's assessment of fair value as of January 28, 2017, the Company determined there was no further impairment of these auction rate securities.</w:t>
      </w:r>
    </w:p>
    <w:p>
      <w:pPr>
        <w:spacing w:after="0" w:line="63" w:lineRule="exact"/>
        <w:rPr>
          <w:sz w:val="20"/>
          <w:szCs w:val="20"/>
          <w:color w:val="auto"/>
        </w:rPr>
      </w:pPr>
    </w:p>
    <w:p>
      <w:pPr>
        <w:ind w:right="40" w:firstLine="378"/>
        <w:spacing w:after="0" w:line="264" w:lineRule="auto"/>
        <w:rPr>
          <w:sz w:val="20"/>
          <w:szCs w:val="20"/>
          <w:color w:val="auto"/>
        </w:rPr>
      </w:pPr>
      <w:r>
        <w:rPr>
          <w:rFonts w:ascii="Arial" w:cs="Arial" w:eastAsia="Arial" w:hAnsi="Arial"/>
          <w:sz w:val="18"/>
          <w:szCs w:val="18"/>
          <w:color w:val="auto"/>
        </w:rPr>
        <w:t>During fiscal 2017, the Company sold auction rate securities with an aggregate par value of $7.5 million for total net proceeds of $6.9 million. The carrying value of these auction rate securities was $6.7 million and resulted in a net gain of $0.2 million recorded in interest and other income, net, in the year ended January 28, 2017.</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Gross realized gains and gross realized losses on sales of available-for-sale securities are presented in the following table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6"/>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6"/>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8"/>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realized gains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2,047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1,654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1,618</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Gross realized losses</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(1,923)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(169)</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Impairment loss</w:t>
            </w:r>
          </w:p>
        </w:tc>
        <w:tc>
          <w:tcPr>
            <w:tcW w:w="26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w:t>
            </w: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Total net realized gains (losses)</w:t>
            </w: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1,500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(1,473)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1,449</w:t>
            </w:r>
          </w:p>
        </w:tc>
      </w:tr>
      <w:tr>
        <w:trPr>
          <w:trHeight w:val="27"/>
        </w:trPr>
        <w:tc>
          <w:tcPr>
            <w:tcW w:w="674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67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4"/>
          </w:tcPr>
          <w:p>
            <w:pPr>
              <w:jc w:val="right"/>
              <w:ind w:right="936"/>
              <w:spacing w:after="0"/>
              <w:rPr>
                <w:sz w:val="20"/>
                <w:szCs w:val="20"/>
                <w:color w:val="auto"/>
              </w:rPr>
            </w:pPr>
            <w:r>
              <w:rPr>
                <w:rFonts w:ascii="Arial" w:cs="Arial" w:eastAsia="Arial" w:hAnsi="Arial"/>
                <w:sz w:val="14"/>
                <w:szCs w:val="14"/>
                <w:b w:val="1"/>
                <w:bCs w:val="1"/>
                <w:color w:val="auto"/>
              </w:rPr>
              <w:t>January 28, 2017</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96"/>
              <w:spacing w:after="0"/>
              <w:rPr>
                <w:sz w:val="20"/>
                <w:szCs w:val="20"/>
                <w:color w:val="auto"/>
              </w:rPr>
            </w:pPr>
            <w:r>
              <w:rPr>
                <w:rFonts w:ascii="Arial" w:cs="Arial" w:eastAsia="Arial" w:hAnsi="Arial"/>
                <w:sz w:val="14"/>
                <w:szCs w:val="14"/>
                <w:b w:val="1"/>
                <w:bCs w:val="1"/>
                <w:color w:val="auto"/>
              </w:rPr>
              <w:t>January 30, 2016</w:t>
            </w:r>
          </w:p>
        </w:tc>
      </w:tr>
      <w:tr>
        <w:trPr>
          <w:trHeight w:val="152"/>
        </w:trPr>
        <w:tc>
          <w:tcPr>
            <w:tcW w:w="51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6"/>
              </w:rPr>
              <w:t>Amortized</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Estimated</w:t>
            </w:r>
          </w:p>
        </w:tc>
        <w:tc>
          <w:tcPr>
            <w:tcW w:w="280" w:type="dxa"/>
            <w:vAlign w:val="bottom"/>
          </w:tcPr>
          <w:p>
            <w:pPr>
              <w:spacing w:after="0"/>
              <w:rPr>
                <w:sz w:val="13"/>
                <w:szCs w:val="13"/>
                <w:color w:val="auto"/>
              </w:rPr>
            </w:pPr>
          </w:p>
        </w:tc>
        <w:tc>
          <w:tcPr>
            <w:tcW w:w="130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6"/>
              </w:rPr>
              <w:t>Amortized</w:t>
            </w:r>
          </w:p>
        </w:tc>
        <w:tc>
          <w:tcPr>
            <w:tcW w:w="280" w:type="dxa"/>
            <w:vAlign w:val="bottom"/>
          </w:tcPr>
          <w:p>
            <w:pPr>
              <w:spacing w:after="0"/>
              <w:rPr>
                <w:sz w:val="13"/>
                <w:szCs w:val="13"/>
                <w:color w:val="auto"/>
              </w:rPr>
            </w:pPr>
          </w:p>
        </w:tc>
        <w:tc>
          <w:tcPr>
            <w:tcW w:w="1200" w:type="dxa"/>
            <w:vAlign w:val="bottom"/>
          </w:tcPr>
          <w:p>
            <w:pPr>
              <w:jc w:val="right"/>
              <w:ind w:right="336"/>
              <w:spacing w:after="0" w:line="153" w:lineRule="exact"/>
              <w:rPr>
                <w:sz w:val="20"/>
                <w:szCs w:val="20"/>
                <w:color w:val="auto"/>
              </w:rPr>
            </w:pPr>
            <w:r>
              <w:rPr>
                <w:rFonts w:ascii="Arial" w:cs="Arial" w:eastAsia="Arial" w:hAnsi="Arial"/>
                <w:sz w:val="14"/>
                <w:szCs w:val="14"/>
                <w:b w:val="1"/>
                <w:bCs w:val="1"/>
                <w:color w:val="auto"/>
              </w:rPr>
              <w:t>Estimated</w:t>
            </w: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6"/>
                <w:szCs w:val="16"/>
                <w:color w:val="auto"/>
              </w:rPr>
            </w:pPr>
          </w:p>
        </w:tc>
        <w:tc>
          <w:tcPr>
            <w:tcW w:w="1300" w:type="dxa"/>
            <w:vAlign w:val="bottom"/>
            <w:gridSpan w:val="2"/>
          </w:tcPr>
          <w:p>
            <w:pPr>
              <w:ind w:left="140"/>
              <w:spacing w:after="0"/>
              <w:rPr>
                <w:sz w:val="20"/>
                <w:szCs w:val="20"/>
                <w:color w:val="auto"/>
              </w:rPr>
            </w:pPr>
            <w:r>
              <w:rPr>
                <w:rFonts w:ascii="Arial" w:cs="Arial" w:eastAsia="Arial" w:hAnsi="Arial"/>
                <w:sz w:val="14"/>
                <w:szCs w:val="14"/>
                <w:b w:val="1"/>
                <w:bCs w:val="1"/>
                <w:color w:val="auto"/>
              </w:rPr>
              <w:t>Fair Value</w:t>
            </w:r>
          </w:p>
        </w:tc>
        <w:tc>
          <w:tcPr>
            <w:tcW w:w="280" w:type="dxa"/>
            <w:vAlign w:val="bottom"/>
          </w:tcPr>
          <w:p>
            <w:pPr>
              <w:spacing w:after="0"/>
              <w:rPr>
                <w:sz w:val="16"/>
                <w:szCs w:val="16"/>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280" w:type="dxa"/>
            <w:vAlign w:val="bottom"/>
          </w:tcPr>
          <w:p>
            <w:pPr>
              <w:spacing w:after="0"/>
              <w:rPr>
                <w:sz w:val="16"/>
                <w:szCs w:val="16"/>
                <w:color w:val="auto"/>
              </w:rPr>
            </w:pPr>
          </w:p>
        </w:tc>
        <w:tc>
          <w:tcPr>
            <w:tcW w:w="1200" w:type="dxa"/>
            <w:vAlign w:val="bottom"/>
          </w:tcPr>
          <w:p>
            <w:pPr>
              <w:jc w:val="right"/>
              <w:ind w:right="336"/>
              <w:spacing w:after="0"/>
              <w:rPr>
                <w:sz w:val="20"/>
                <w:szCs w:val="20"/>
                <w:color w:val="auto"/>
              </w:rPr>
            </w:pPr>
            <w:r>
              <w:rPr>
                <w:rFonts w:ascii="Arial" w:cs="Arial" w:eastAsia="Arial" w:hAnsi="Arial"/>
                <w:sz w:val="14"/>
                <w:szCs w:val="14"/>
                <w:b w:val="1"/>
                <w:bCs w:val="1"/>
                <w:color w:val="auto"/>
              </w:rPr>
              <w:t>Fair Value</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in one year or less</w:t>
            </w: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423,151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423,058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304,117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304,035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Due between one and five years</w:t>
            </w:r>
          </w:p>
        </w:tc>
        <w:tc>
          <w:tcPr>
            <w:tcW w:w="260" w:type="dxa"/>
            <w:vAlign w:val="bottom"/>
          </w:tcPr>
          <w:p>
            <w:pPr>
              <w:spacing w:after="0"/>
              <w:rPr>
                <w:sz w:val="21"/>
                <w:szCs w:val="21"/>
                <w:color w:val="auto"/>
              </w:rPr>
            </w:pPr>
          </w:p>
        </w:tc>
        <w:tc>
          <w:tcPr>
            <w:tcW w:w="1240" w:type="dxa"/>
            <w:vAlign w:val="bottom"/>
          </w:tcPr>
          <w:p>
            <w:pPr>
              <w:jc w:val="right"/>
              <w:ind w:right="38"/>
              <w:spacing w:after="0"/>
              <w:rPr>
                <w:sz w:val="20"/>
                <w:szCs w:val="20"/>
                <w:color w:val="auto"/>
              </w:rPr>
            </w:pPr>
            <w:r>
              <w:rPr>
                <w:rFonts w:ascii="Arial" w:cs="Arial" w:eastAsia="Arial" w:hAnsi="Arial"/>
                <w:sz w:val="18"/>
                <w:szCs w:val="18"/>
                <w:color w:val="auto"/>
              </w:rPr>
              <w:t>423,669</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422,995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8"/>
              <w:spacing w:after="0"/>
              <w:rPr>
                <w:sz w:val="20"/>
                <w:szCs w:val="20"/>
                <w:color w:val="auto"/>
              </w:rPr>
            </w:pPr>
            <w:r>
              <w:rPr>
                <w:rFonts w:ascii="Arial" w:cs="Arial" w:eastAsia="Arial" w:hAnsi="Arial"/>
                <w:sz w:val="18"/>
                <w:szCs w:val="18"/>
                <w:color w:val="auto"/>
              </w:rPr>
              <w:t>689,847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689,279</w:t>
            </w: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over five years</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12,864</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12,830</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22,556</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22,551</w:t>
            </w:r>
          </w:p>
        </w:tc>
      </w:tr>
      <w:tr>
        <w:trPr>
          <w:trHeight w:val="237"/>
        </w:trPr>
        <w:tc>
          <w:tcPr>
            <w:tcW w:w="516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859,684</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858,883</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1,016,520</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1,015,865</w:t>
            </w:r>
          </w:p>
        </w:tc>
      </w:tr>
      <w:tr>
        <w:trPr>
          <w:trHeight w:val="27"/>
        </w:trPr>
        <w:tc>
          <w:tcPr>
            <w:tcW w:w="516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391" w:right="239" w:bottom="1440" w:gutter="0" w:footer="0" w:header="0"/>
        </w:sectPr>
      </w:pPr>
    </w:p>
    <w:p>
      <w:pPr>
        <w:spacing w:after="0" w:line="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61</w:t>
      </w:r>
    </w:p>
    <w:p>
      <w:pPr>
        <w:sectPr>
          <w:pgSz w:w="11900" w:h="16838" w:orient="portrait"/>
          <w:cols w:equalWidth="0" w:num="1">
            <w:col w:w="11420"/>
          </w:cols>
          <w:pgMar w:left="240" w:top="391" w:right="239" w:bottom="1440" w:gutter="0" w:footer="0" w:header="0"/>
          <w:type w:val="continuous"/>
        </w:sectPr>
      </w:pPr>
    </w:p>
    <w:bookmarkStart w:id="64" w:name="page65"/>
    <w:bookmarkEnd w:id="6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40" w:firstLine="432"/>
        <w:spacing w:after="0" w:line="277" w:lineRule="auto"/>
        <w:rPr>
          <w:sz w:val="20"/>
          <w:szCs w:val="20"/>
          <w:color w:val="auto"/>
        </w:rPr>
      </w:pPr>
      <w:r>
        <w:rPr>
          <w:rFonts w:ascii="Arial" w:cs="Arial" w:eastAsia="Arial" w:hAnsi="Arial"/>
          <w:sz w:val="18"/>
          <w:szCs w:val="18"/>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Arial" w:cs="Arial" w:eastAsia="Arial" w:hAnsi="Arial"/>
                <w:sz w:val="14"/>
                <w:szCs w:val="14"/>
                <w:b w:val="1"/>
                <w:bCs w:val="1"/>
                <w:color w:val="auto"/>
                <w:w w:val="94"/>
              </w:rPr>
              <w:t>January 28, 2017</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108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88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3"/>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5"/>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199,382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16,063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215,445</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(776)</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94,064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(283)</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94,064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(283)</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16,754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16,754</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11,875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1,499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13,374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17,450</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1,248</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18,698</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r>
      <w:tr>
        <w:trPr>
          <w:trHeight w:val="237"/>
        </w:trPr>
        <w:tc>
          <w:tcPr>
            <w:tcW w:w="3340" w:type="dxa"/>
            <w:vAlign w:val="bottom"/>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339,525</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(1,176)</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18,810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358,335</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(1,205)</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6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r>
        <w:trPr>
          <w:trHeight w:val="488"/>
        </w:trPr>
        <w:tc>
          <w:tcPr>
            <w:tcW w:w="33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0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Arial" w:cs="Arial" w:eastAsia="Arial" w:hAnsi="Arial"/>
                <w:sz w:val="14"/>
                <w:szCs w:val="14"/>
                <w:b w:val="1"/>
                <w:bCs w:val="1"/>
                <w:color w:val="auto"/>
                <w:w w:val="94"/>
              </w:rPr>
              <w:t>January 30, 2016</w:t>
            </w:r>
          </w:p>
        </w:tc>
        <w:tc>
          <w:tcPr>
            <w:tcW w:w="28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tcPr>
          <w:p>
            <w:pPr>
              <w:spacing w:after="0"/>
              <w:rPr>
                <w:sz w:val="24"/>
                <w:szCs w:val="24"/>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108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88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3"/>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5"/>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283,138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(1,237)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14,383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297,521</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(1,282)</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263,325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(254)</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263,325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(254)</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46,646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46,646</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16,458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16,458</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5"/>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2,943</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1,571</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4,514</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w:t>
            </w:r>
          </w:p>
        </w:tc>
      </w:tr>
      <w:tr>
        <w:trPr>
          <w:trHeight w:val="269"/>
        </w:trPr>
        <w:tc>
          <w:tcPr>
            <w:tcW w:w="33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612,510</w:t>
            </w: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(1,566)</w:t>
            </w: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28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15,954</w:t>
            </w: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628,464</w:t>
            </w:r>
          </w:p>
        </w:tc>
        <w:tc>
          <w:tcPr>
            <w:tcW w:w="100" w:type="dxa"/>
            <w:vAlign w:val="bottom"/>
            <w:tcBorders>
              <w:top w:val="single" w:sz="8" w:color="auto"/>
              <w:bottom w:val="single" w:sz="8" w:color="CCEEFF"/>
            </w:tcBorders>
            <w:shd w:val="clear" w:color="auto" w:fill="CCEEFF"/>
          </w:tcPr>
          <w:p>
            <w:pPr>
              <w:spacing w:after="0"/>
              <w:rPr>
                <w:sz w:val="22"/>
                <w:szCs w:val="22"/>
                <w:color w:val="auto"/>
              </w:rPr>
            </w:pP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(1,613)</w:t>
            </w:r>
          </w:p>
        </w:tc>
      </w:tr>
      <w:tr>
        <w:trPr>
          <w:trHeight w:val="20"/>
        </w:trPr>
        <w:tc>
          <w:tcPr>
            <w:tcW w:w="3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Supplemental Financial Information (in thousands)</w:t>
      </w:r>
    </w:p>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Consolidated Balance Sheets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January 30,</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and cash equivalents: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Cash</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651,953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669,312</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equivalents: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Time deposits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67,000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209,405</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U.S. government and agency debt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17,497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184,374</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Money market funds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36,122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160,400</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Corporate debt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31,280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54,689</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Municipal debt securities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8,740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Foreign government and agency debt</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1,500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37"/>
        </w:trPr>
        <w:tc>
          <w:tcPr>
            <w:tcW w:w="8340" w:type="dxa"/>
            <w:vAlign w:val="bottom"/>
          </w:tcPr>
          <w:p>
            <w:pPr>
              <w:ind w:left="38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814,092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1,278,180</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39" w:lineRule="exact"/>
        <w:rPr>
          <w:sz w:val="20"/>
          <w:szCs w:val="20"/>
          <w:color w:val="auto"/>
        </w:rPr>
      </w:pPr>
    </w:p>
    <w:p>
      <w:pPr>
        <w:sectPr>
          <w:pgSz w:w="11900" w:h="16838" w:orient="portrait"/>
          <w:cols w:equalWidth="0" w:num="1">
            <w:col w:w="11420"/>
          </w:cols>
          <w:pgMar w:left="240" w:top="391" w:right="239" w:bottom="1440" w:gutter="0" w:footer="0" w:header="0"/>
        </w:sectPr>
      </w:pPr>
    </w:p>
    <w:p>
      <w:pPr>
        <w:ind w:left="8700"/>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ind w:left="8940"/>
        <w:spacing w:after="0"/>
        <w:rPr>
          <w:sz w:val="20"/>
          <w:szCs w:val="20"/>
          <w:color w:val="auto"/>
        </w:rPr>
      </w:pPr>
      <w:r>
        <w:rPr>
          <w:rFonts w:ascii="Arial" w:cs="Arial" w:eastAsia="Arial" w:hAnsi="Arial"/>
          <w:sz w:val="14"/>
          <w:szCs w:val="14"/>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January 30,</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2016</w:t>
      </w:r>
    </w:p>
    <w:p>
      <w:pPr>
        <w:spacing w:after="0" w:line="30" w:lineRule="exact"/>
        <w:rPr>
          <w:sz w:val="20"/>
          <w:szCs w:val="20"/>
          <w:color w:val="auto"/>
        </w:rPr>
      </w:pPr>
    </w:p>
    <w:p>
      <w:pPr>
        <w:sectPr>
          <w:pgSz w:w="11900" w:h="16838" w:orient="portrait"/>
          <w:cols w:equalWidth="0" w:num="2">
            <w:col w:w="9580" w:space="720"/>
            <w:col w:w="1120"/>
          </w:cols>
          <w:pgMar w:left="240" w:top="391" w:right="23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Provision for sales returns and allowances:</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40" w:type="dxa"/>
            <w:vAlign w:val="bottom"/>
          </w:tcPr>
          <w:p>
            <w:pPr>
              <w:ind w:left="40"/>
              <w:spacing w:after="0"/>
              <w:rPr>
                <w:sz w:val="20"/>
                <w:szCs w:val="20"/>
                <w:color w:val="auto"/>
              </w:rPr>
            </w:pPr>
            <w:r>
              <w:rPr>
                <w:rFonts w:ascii="Arial" w:cs="Arial" w:eastAsia="Arial" w:hAnsi="Arial"/>
                <w:sz w:val="18"/>
                <w:szCs w:val="18"/>
                <w:color w:val="auto"/>
              </w:rPr>
              <w:t>Sales returns</w:t>
            </w:r>
          </w:p>
        </w:tc>
        <w:tc>
          <w:tcPr>
            <w:tcW w:w="560" w:type="dxa"/>
            <w:vAlign w:val="bottom"/>
          </w:tcPr>
          <w:p>
            <w:pPr>
              <w:jc w:val="right"/>
              <w:ind w:right="350"/>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ind w:right="10"/>
              <w:spacing w:after="0"/>
              <w:rPr>
                <w:sz w:val="20"/>
                <w:szCs w:val="20"/>
                <w:color w:val="auto"/>
              </w:rPr>
            </w:pPr>
            <w:r>
              <w:rPr>
                <w:rFonts w:ascii="Arial" w:cs="Arial" w:eastAsia="Arial" w:hAnsi="Arial"/>
                <w:sz w:val="18"/>
                <w:szCs w:val="18"/>
                <w:color w:val="auto"/>
              </w:rPr>
              <w:t>470</w:t>
            </w:r>
          </w:p>
        </w:tc>
        <w:tc>
          <w:tcPr>
            <w:tcW w:w="100" w:type="dxa"/>
            <w:vAlign w:val="bottom"/>
          </w:tcPr>
          <w:p>
            <w:pPr>
              <w:spacing w:after="0"/>
              <w:rPr>
                <w:sz w:val="20"/>
                <w:szCs w:val="20"/>
                <w:color w:val="auto"/>
              </w:rPr>
            </w:pPr>
          </w:p>
        </w:tc>
        <w:tc>
          <w:tcPr>
            <w:tcW w:w="540" w:type="dxa"/>
            <w:vAlign w:val="bottom"/>
          </w:tcPr>
          <w:p>
            <w:pPr>
              <w:jc w:val="right"/>
              <w:ind w:right="330"/>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ind w:right="10"/>
              <w:spacing w:after="0"/>
              <w:rPr>
                <w:sz w:val="20"/>
                <w:szCs w:val="20"/>
                <w:color w:val="auto"/>
              </w:rPr>
            </w:pPr>
            <w:r>
              <w:rPr>
                <w:rFonts w:ascii="Arial" w:cs="Arial" w:eastAsia="Arial" w:hAnsi="Arial"/>
                <w:sz w:val="18"/>
                <w:szCs w:val="18"/>
                <w:color w:val="auto"/>
              </w:rPr>
              <w:t>1,873</w:t>
            </w:r>
          </w:p>
        </w:tc>
      </w:tr>
      <w:tr>
        <w:trPr>
          <w:trHeight w:val="27"/>
        </w:trPr>
        <w:tc>
          <w:tcPr>
            <w:tcW w:w="83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9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Doubtful accounts</w:t>
            </w:r>
          </w:p>
        </w:tc>
        <w:tc>
          <w:tcPr>
            <w:tcW w:w="56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914</w:t>
            </w:r>
          </w:p>
        </w:tc>
        <w:tc>
          <w:tcPr>
            <w:tcW w:w="100" w:type="dxa"/>
            <w:vAlign w:val="bottom"/>
            <w:tcBorders>
              <w:bottom w:val="single" w:sz="8" w:color="CCEEFF"/>
            </w:tcBorders>
            <w:shd w:val="clear" w:color="auto" w:fill="CCEEFF"/>
          </w:tcPr>
          <w:p>
            <w:pPr>
              <w:spacing w:after="0"/>
              <w:rPr>
                <w:sz w:val="23"/>
                <w:szCs w:val="23"/>
                <w:color w:val="auto"/>
              </w:rPr>
            </w:pPr>
          </w:p>
        </w:tc>
        <w:tc>
          <w:tcPr>
            <w:tcW w:w="54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889</w:t>
            </w:r>
          </w:p>
        </w:tc>
      </w:tr>
      <w:tr>
        <w:trPr>
          <w:trHeight w:val="237"/>
        </w:trPr>
        <w:tc>
          <w:tcPr>
            <w:tcW w:w="8340" w:type="dxa"/>
            <w:vAlign w:val="bottom"/>
          </w:tcPr>
          <w:p>
            <w:pPr>
              <w:spacing w:after="0"/>
              <w:rPr>
                <w:sz w:val="20"/>
                <w:szCs w:val="20"/>
                <w:color w:val="auto"/>
              </w:rPr>
            </w:pPr>
          </w:p>
        </w:tc>
        <w:tc>
          <w:tcPr>
            <w:tcW w:w="560" w:type="dxa"/>
            <w:vAlign w:val="bottom"/>
            <w:tcBorders>
              <w:top w:val="single" w:sz="8" w:color="auto"/>
            </w:tcBorders>
          </w:tcPr>
          <w:p>
            <w:pPr>
              <w:jc w:val="right"/>
              <w:ind w:right="35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1,384</w:t>
            </w:r>
          </w:p>
        </w:tc>
        <w:tc>
          <w:tcPr>
            <w:tcW w:w="100" w:type="dxa"/>
            <w:vAlign w:val="bottom"/>
          </w:tcPr>
          <w:p>
            <w:pPr>
              <w:spacing w:after="0"/>
              <w:rPr>
                <w:sz w:val="20"/>
                <w:szCs w:val="20"/>
                <w:color w:val="auto"/>
              </w:rPr>
            </w:pPr>
          </w:p>
        </w:tc>
        <w:tc>
          <w:tcPr>
            <w:tcW w:w="540" w:type="dxa"/>
            <w:vAlign w:val="bottom"/>
            <w:tcBorders>
              <w:top w:val="single" w:sz="8" w:color="auto"/>
            </w:tcBorders>
          </w:tcPr>
          <w:p>
            <w:pPr>
              <w:jc w:val="right"/>
              <w:ind w:right="33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2,762</w:t>
            </w:r>
          </w:p>
        </w:tc>
      </w:tr>
      <w:tr>
        <w:trPr>
          <w:trHeight w:val="27"/>
        </w:trPr>
        <w:tc>
          <w:tcPr>
            <w:tcW w:w="8340" w:type="dxa"/>
            <w:vAlign w:val="bottom"/>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391" w:right="239" w:bottom="1440" w:gutter="0" w:footer="0" w:header="0"/>
          <w:type w:val="continuous"/>
        </w:sect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62</w:t>
      </w:r>
    </w:p>
    <w:p>
      <w:pPr>
        <w:sectPr>
          <w:pgSz w:w="11900" w:h="16838" w:orient="portrait"/>
          <w:cols w:equalWidth="0" w:num="1">
            <w:col w:w="11420"/>
          </w:cols>
          <w:pgMar w:left="240" w:top="391" w:right="239" w:bottom="1440" w:gutter="0" w:footer="0" w:header="0"/>
          <w:type w:val="continuous"/>
        </w:sectPr>
      </w:pPr>
    </w:p>
    <w:bookmarkStart w:id="65" w:name="page66"/>
    <w:bookmarkEnd w:id="6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January 30,</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7"/>
              <w:spacing w:after="0"/>
              <w:rPr>
                <w:sz w:val="20"/>
                <w:szCs w:val="20"/>
                <w:color w:val="auto"/>
              </w:rPr>
            </w:pPr>
            <w:r>
              <w:rPr>
                <w:rFonts w:ascii="Arial" w:cs="Arial" w:eastAsia="Arial" w:hAnsi="Arial"/>
                <w:sz w:val="18"/>
                <w:szCs w:val="18"/>
                <w:color w:val="auto"/>
              </w:rPr>
              <w:t>110,083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125,800</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61,886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75,158</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Inventories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171,969</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200,958</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520" w:firstLine="405"/>
        <w:spacing w:after="0" w:line="342" w:lineRule="auto"/>
        <w:rPr>
          <w:sz w:val="20"/>
          <w:szCs w:val="20"/>
          <w:color w:val="auto"/>
        </w:rPr>
      </w:pPr>
      <w:r>
        <w:rPr>
          <w:rFonts w:ascii="Arial" w:cs="Arial" w:eastAsia="Arial" w:hAnsi="Arial"/>
          <w:sz w:val="16"/>
          <w:szCs w:val="16"/>
          <w:color w:val="auto"/>
        </w:rPr>
        <w:t>Inventory held by third-party logistics providers is recorded as consigned inventory on the Company’s consolidated balance sheet. The amount of inventory held at third-party logistics providers was $26.5 million and $21.0 million at January 28, 2017 and January 30, 2016, respectively.</w:t>
      </w:r>
    </w:p>
    <w:p>
      <w:pPr>
        <w:spacing w:after="0" w:line="26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40" w:type="dxa"/>
            <w:vAlign w:val="bottom"/>
          </w:tcPr>
          <w:p>
            <w:pPr>
              <w:jc w:val="right"/>
              <w:ind w:right="313"/>
              <w:spacing w:after="0"/>
              <w:rPr>
                <w:sz w:val="20"/>
                <w:szCs w:val="20"/>
                <w:color w:val="auto"/>
              </w:rPr>
            </w:pPr>
            <w:r>
              <w:rPr>
                <w:rFonts w:ascii="Arial" w:cs="Arial" w:eastAsia="Arial" w:hAnsi="Arial"/>
                <w:sz w:val="14"/>
                <w:szCs w:val="14"/>
                <w:b w:val="1"/>
                <w:bCs w:val="1"/>
                <w:color w:val="auto"/>
              </w:rPr>
              <w:t>January 30,</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3"/>
              <w:spacing w:after="0"/>
              <w:rPr>
                <w:sz w:val="20"/>
                <w:szCs w:val="20"/>
                <w:color w:val="auto"/>
              </w:rPr>
            </w:pPr>
            <w:r>
              <w:rPr>
                <w:rFonts w:ascii="Arial" w:cs="Arial" w:eastAsia="Arial" w:hAnsi="Arial"/>
                <w:sz w:val="18"/>
                <w:szCs w:val="18"/>
                <w:color w:val="auto"/>
              </w:rPr>
              <w:t>578,248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575,954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Buildings and building improvements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194,290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194,247</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Arial" w:cs="Arial" w:eastAsia="Arial" w:hAnsi="Arial"/>
                <w:sz w:val="18"/>
                <w:szCs w:val="18"/>
                <w:color w:val="auto"/>
              </w:rPr>
              <w:t>99,186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102,840</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53,373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53,373</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Leasehold improvements</w:t>
            </w:r>
          </w:p>
        </w:tc>
        <w:tc>
          <w:tcPr>
            <w:tcW w:w="24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Arial" w:cs="Arial" w:eastAsia="Arial" w:hAnsi="Arial"/>
                <w:sz w:val="18"/>
                <w:szCs w:val="18"/>
                <w:color w:val="auto"/>
              </w:rPr>
              <w:t>49,004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50,192</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23,903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27,118</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Construction in progress</w:t>
            </w:r>
          </w:p>
        </w:tc>
        <w:tc>
          <w:tcPr>
            <w:tcW w:w="24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Arial" w:cs="Arial" w:eastAsia="Arial" w:hAnsi="Arial"/>
                <w:sz w:val="18"/>
                <w:szCs w:val="18"/>
                <w:color w:val="auto"/>
              </w:rPr>
              <w:t>11,240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1,353</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1,009,244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1,005,077</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Less: Accumulated depreciation</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(765,847)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(708,299)</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243,397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296,778</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Company recorded depreciation expense of $82.4 million, $73.8 million and $78.3 million for fiscal 2017, 2016 and 2015, respectively.</w:t>
      </w: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January 30,</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Technology and other licenses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53,254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48,091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tax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26,608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34,505</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Investments in privately-held companies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5,787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5,804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Prepaid land use rights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12,810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13,123</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Deposits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3,756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51,512</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11,109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10,996</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113,324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164,031</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160" w:firstLine="432"/>
        <w:spacing w:after="0" w:line="264" w:lineRule="auto"/>
        <w:rPr>
          <w:sz w:val="20"/>
          <w:szCs w:val="20"/>
          <w:color w:val="auto"/>
        </w:rPr>
      </w:pPr>
      <w:r>
        <w:rPr>
          <w:rFonts w:ascii="Arial" w:cs="Arial" w:eastAsia="Arial" w:hAnsi="Arial"/>
          <w:sz w:val="18"/>
          <w:szCs w:val="18"/>
          <w:color w:val="auto"/>
        </w:rPr>
        <w:t>Amortization of technology and other licenses was $25.5 million, $26.4 million and $27.9 million in fiscal 2017, 2016 and 2015, respectively. In connection with its restructuring plan announced in November 2016, the Company recorded the impairment of a $45.0 million nonrefundable deposit due to non-utilization of the related contract in fiscal 2017.</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391" w:right="239" w:bottom="1440" w:gutter="0" w:footer="0" w:header="0"/>
        </w:sectPr>
      </w:pPr>
    </w:p>
    <w:bookmarkStart w:id="66" w:name="page67"/>
    <w:bookmarkEnd w:id="6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January 30,</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Accrued rebates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26,095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41,320</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liability</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23,150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3,842</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Accrued royalties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17,349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16,217</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21,905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17,985</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Accrued legal expense</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5,127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9,761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49,865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42,935</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Accrued liabilities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143,491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132,060</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39" w:lineRule="exact"/>
        <w:rPr>
          <w:sz w:val="20"/>
          <w:szCs w:val="20"/>
          <w:color w:val="auto"/>
        </w:rPr>
      </w:pPr>
    </w:p>
    <w:p>
      <w:pPr>
        <w:sectPr>
          <w:pgSz w:w="11900" w:h="16838" w:orient="portrait"/>
          <w:cols w:equalWidth="0" w:num="1">
            <w:col w:w="11420"/>
          </w:cols>
          <w:pgMar w:left="240" w:top="391" w:right="239" w:bottom="1440" w:gutter="0" w:footer="0" w:header="0"/>
        </w:sectPr>
      </w:pPr>
    </w:p>
    <w:p>
      <w:pPr>
        <w:ind w:left="8700"/>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ind w:left="8940"/>
        <w:spacing w:after="0"/>
        <w:rPr>
          <w:sz w:val="20"/>
          <w:szCs w:val="20"/>
          <w:color w:val="auto"/>
        </w:rPr>
      </w:pPr>
      <w:r>
        <w:rPr>
          <w:rFonts w:ascii="Arial" w:cs="Arial" w:eastAsia="Arial" w:hAnsi="Arial"/>
          <w:sz w:val="14"/>
          <w:szCs w:val="14"/>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January 30,</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2016</w:t>
      </w:r>
    </w:p>
    <w:p>
      <w:pPr>
        <w:spacing w:after="0" w:line="30" w:lineRule="exact"/>
        <w:rPr>
          <w:sz w:val="20"/>
          <w:szCs w:val="20"/>
          <w:color w:val="auto"/>
        </w:rPr>
      </w:pPr>
    </w:p>
    <w:p>
      <w:pPr>
        <w:sectPr>
          <w:pgSz w:w="11900" w:h="16838" w:orient="portrait"/>
          <w:cols w:equalWidth="0" w:num="2">
            <w:col w:w="9580" w:space="720"/>
            <w:col w:w="1120"/>
          </w:cols>
          <w:pgMar w:left="240" w:top="391" w:right="23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Deferred income:</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40" w:type="dxa"/>
            <w:vAlign w:val="bottom"/>
          </w:tcPr>
          <w:p>
            <w:pPr>
              <w:ind w:left="40"/>
              <w:spacing w:after="0"/>
              <w:rPr>
                <w:sz w:val="20"/>
                <w:szCs w:val="20"/>
                <w:color w:val="auto"/>
              </w:rPr>
            </w:pPr>
            <w:r>
              <w:rPr>
                <w:rFonts w:ascii="Arial" w:cs="Arial" w:eastAsia="Arial" w:hAnsi="Arial"/>
                <w:sz w:val="18"/>
                <w:szCs w:val="18"/>
                <w:color w:val="auto"/>
              </w:rPr>
              <w:t>Net deferred revenue</w:t>
            </w:r>
          </w:p>
        </w:tc>
        <w:tc>
          <w:tcPr>
            <w:tcW w:w="480" w:type="dxa"/>
            <w:vAlign w:val="bottom"/>
          </w:tcPr>
          <w:p>
            <w:pPr>
              <w:jc w:val="right"/>
              <w:ind w:right="27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93,148</w:t>
            </w:r>
          </w:p>
        </w:tc>
        <w:tc>
          <w:tcPr>
            <w:tcW w:w="100" w:type="dxa"/>
            <w:vAlign w:val="bottom"/>
          </w:tcPr>
          <w:p>
            <w:pPr>
              <w:spacing w:after="0"/>
              <w:rPr>
                <w:sz w:val="20"/>
                <w:szCs w:val="20"/>
                <w:color w:val="auto"/>
              </w:rPr>
            </w:pPr>
          </w:p>
        </w:tc>
        <w:tc>
          <w:tcPr>
            <w:tcW w:w="480" w:type="dxa"/>
            <w:vAlign w:val="bottom"/>
          </w:tcPr>
          <w:p>
            <w:pPr>
              <w:jc w:val="right"/>
              <w:ind w:right="27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75,541</w:t>
            </w:r>
          </w:p>
        </w:tc>
      </w:tr>
      <w:tr>
        <w:trPr>
          <w:trHeight w:val="27"/>
        </w:trPr>
        <w:tc>
          <w:tcPr>
            <w:tcW w:w="834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cost of goods sold</w:t>
            </w:r>
          </w:p>
        </w:tc>
        <w:tc>
          <w:tcPr>
            <w:tcW w:w="48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(25,024)</w:t>
            </w:r>
          </w:p>
        </w:tc>
        <w:tc>
          <w:tcPr>
            <w:tcW w:w="100" w:type="dxa"/>
            <w:vAlign w:val="bottom"/>
            <w:tcBorders>
              <w:bottom w:val="single" w:sz="8" w:color="CCEEFF"/>
            </w:tcBorders>
            <w:shd w:val="clear" w:color="auto" w:fill="CCEEFF"/>
          </w:tcPr>
          <w:p>
            <w:pPr>
              <w:spacing w:after="0"/>
              <w:rPr>
                <w:sz w:val="23"/>
                <w:szCs w:val="23"/>
                <w:color w:val="auto"/>
              </w:rPr>
            </w:pPr>
          </w:p>
        </w:tc>
        <w:tc>
          <w:tcPr>
            <w:tcW w:w="48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(21,568)</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Deferred income</w:t>
            </w:r>
          </w:p>
        </w:tc>
        <w:tc>
          <w:tcPr>
            <w:tcW w:w="480" w:type="dxa"/>
            <w:vAlign w:val="bottom"/>
            <w:tcBorders>
              <w:top w:val="single" w:sz="8" w:color="auto"/>
            </w:tcBorders>
          </w:tcPr>
          <w:p>
            <w:pPr>
              <w:jc w:val="right"/>
              <w:ind w:right="27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68,124</w:t>
            </w:r>
          </w:p>
        </w:tc>
        <w:tc>
          <w:tcPr>
            <w:tcW w:w="100" w:type="dxa"/>
            <w:vAlign w:val="bottom"/>
          </w:tcPr>
          <w:p>
            <w:pPr>
              <w:spacing w:after="0"/>
              <w:rPr>
                <w:sz w:val="20"/>
                <w:szCs w:val="20"/>
                <w:color w:val="auto"/>
              </w:rPr>
            </w:pPr>
          </w:p>
        </w:tc>
        <w:tc>
          <w:tcPr>
            <w:tcW w:w="480" w:type="dxa"/>
            <w:vAlign w:val="bottom"/>
            <w:tcBorders>
              <w:top w:val="single" w:sz="8" w:color="auto"/>
            </w:tcBorders>
          </w:tcPr>
          <w:p>
            <w:pPr>
              <w:jc w:val="right"/>
              <w:ind w:right="27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53,973</w:t>
            </w:r>
          </w:p>
        </w:tc>
      </w:tr>
      <w:tr>
        <w:trPr>
          <w:trHeight w:val="27"/>
        </w:trPr>
        <w:tc>
          <w:tcPr>
            <w:tcW w:w="8340" w:type="dxa"/>
            <w:vAlign w:val="bottom"/>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r>
    </w:tbl>
    <w:p>
      <w:pPr>
        <w:spacing w:after="0" w:line="139" w:lineRule="exact"/>
        <w:rPr>
          <w:sz w:val="20"/>
          <w:szCs w:val="20"/>
          <w:color w:val="auto"/>
        </w:rPr>
      </w:pPr>
    </w:p>
    <w:p>
      <w:pPr>
        <w:sectPr>
          <w:pgSz w:w="11900" w:h="16838" w:orient="portrait"/>
          <w:cols w:equalWidth="0" w:num="1">
            <w:col w:w="11420"/>
          </w:cols>
          <w:pgMar w:left="240" w:top="391" w:right="239" w:bottom="1440" w:gutter="0" w:footer="0" w:header="0"/>
          <w:type w:val="continuous"/>
        </w:sectPr>
      </w:pPr>
    </w:p>
    <w:p>
      <w:pPr>
        <w:ind w:left="8700"/>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ind w:left="8940"/>
        <w:spacing w:after="0"/>
        <w:rPr>
          <w:sz w:val="20"/>
          <w:szCs w:val="20"/>
          <w:color w:val="auto"/>
        </w:rPr>
      </w:pPr>
      <w:r>
        <w:rPr>
          <w:rFonts w:ascii="Arial" w:cs="Arial" w:eastAsia="Arial" w:hAnsi="Arial"/>
          <w:sz w:val="14"/>
          <w:szCs w:val="14"/>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January 30,</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2016</w:t>
      </w:r>
    </w:p>
    <w:p>
      <w:pPr>
        <w:spacing w:after="0" w:line="30" w:lineRule="exact"/>
        <w:rPr>
          <w:sz w:val="20"/>
          <w:szCs w:val="20"/>
          <w:color w:val="auto"/>
        </w:rPr>
      </w:pPr>
    </w:p>
    <w:p>
      <w:pPr>
        <w:sectPr>
          <w:pgSz w:w="11900" w:h="16838" w:orient="portrait"/>
          <w:cols w:equalWidth="0" w:num="2">
            <w:col w:w="9580" w:space="720"/>
            <w:col w:w="1120"/>
          </w:cols>
          <w:pgMar w:left="240" w:top="391" w:right="23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Other non-current liabilities:</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40" w:type="dxa"/>
            <w:vAlign w:val="bottom"/>
          </w:tcPr>
          <w:p>
            <w:pPr>
              <w:ind w:left="40"/>
              <w:spacing w:after="0"/>
              <w:rPr>
                <w:sz w:val="20"/>
                <w:szCs w:val="20"/>
                <w:color w:val="auto"/>
              </w:rPr>
            </w:pPr>
            <w:r>
              <w:rPr>
                <w:rFonts w:ascii="Arial" w:cs="Arial" w:eastAsia="Arial" w:hAnsi="Arial"/>
                <w:sz w:val="18"/>
                <w:szCs w:val="18"/>
                <w:color w:val="auto"/>
              </w:rPr>
              <w:t>Technology license obligations</w:t>
            </w: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14,949</w:t>
            </w:r>
          </w:p>
        </w:tc>
        <w:tc>
          <w:tcPr>
            <w:tcW w:w="100" w:type="dxa"/>
            <w:vAlign w:val="bottom"/>
          </w:tcPr>
          <w:p>
            <w:pPr>
              <w:spacing w:after="0"/>
              <w:rPr>
                <w:sz w:val="20"/>
                <w:szCs w:val="20"/>
                <w:color w:val="auto"/>
              </w:rPr>
            </w:pP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12,461</w:t>
            </w:r>
          </w:p>
        </w:tc>
      </w:tr>
      <w:tr>
        <w:trPr>
          <w:trHeight w:val="27"/>
        </w:trPr>
        <w:tc>
          <w:tcPr>
            <w:tcW w:w="83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accrued employee compensation</w:t>
            </w:r>
          </w:p>
        </w:tc>
        <w:tc>
          <w:tcPr>
            <w:tcW w:w="5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4,075</w:t>
            </w:r>
          </w:p>
        </w:tc>
        <w:tc>
          <w:tcPr>
            <w:tcW w:w="10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6,078</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50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38,777</w:t>
            </w:r>
          </w:p>
        </w:tc>
        <w:tc>
          <w:tcPr>
            <w:tcW w:w="1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1,098</w:t>
            </w:r>
          </w:p>
        </w:tc>
      </w:tr>
      <w:tr>
        <w:trPr>
          <w:trHeight w:val="27"/>
        </w:trPr>
        <w:tc>
          <w:tcPr>
            <w:tcW w:w="83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50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6,136</w:t>
            </w:r>
          </w:p>
        </w:tc>
        <w:tc>
          <w:tcPr>
            <w:tcW w:w="10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7,326</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500" w:type="dxa"/>
            <w:vAlign w:val="bottom"/>
            <w:tcBorders>
              <w:top w:val="single" w:sz="8" w:color="auto"/>
            </w:tcBorders>
          </w:tcPr>
          <w:p>
            <w:pPr>
              <w:jc w:val="right"/>
              <w:ind w:right="2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63,937</w:t>
            </w:r>
          </w:p>
        </w:tc>
        <w:tc>
          <w:tcPr>
            <w:tcW w:w="100" w:type="dxa"/>
            <w:vAlign w:val="bottom"/>
          </w:tcPr>
          <w:p>
            <w:pPr>
              <w:spacing w:after="0"/>
              <w:rPr>
                <w:sz w:val="20"/>
                <w:szCs w:val="20"/>
                <w:color w:val="auto"/>
              </w:rPr>
            </w:pPr>
          </w:p>
        </w:tc>
        <w:tc>
          <w:tcPr>
            <w:tcW w:w="500" w:type="dxa"/>
            <w:vAlign w:val="bottom"/>
            <w:tcBorders>
              <w:top w:val="single" w:sz="8" w:color="auto"/>
            </w:tcBorders>
          </w:tcPr>
          <w:p>
            <w:pPr>
              <w:jc w:val="right"/>
              <w:ind w:right="290"/>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26,963</w:t>
            </w:r>
          </w:p>
        </w:tc>
      </w:tr>
      <w:tr>
        <w:trPr>
          <w:trHeight w:val="27"/>
        </w:trPr>
        <w:tc>
          <w:tcPr>
            <w:tcW w:w="834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Unrealized</w:t>
            </w:r>
          </w:p>
        </w:tc>
        <w:tc>
          <w:tcPr>
            <w:tcW w:w="260" w:type="dxa"/>
            <w:vAlign w:val="bottom"/>
          </w:tcPr>
          <w:p>
            <w:pPr>
              <w:spacing w:after="0"/>
              <w:rPr>
                <w:sz w:val="14"/>
                <w:szCs w:val="14"/>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4"/>
                <w:szCs w:val="14"/>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5"/>
              </w:rPr>
              <w:t>Unrealized</w:t>
            </w:r>
          </w:p>
        </w:tc>
        <w:tc>
          <w:tcPr>
            <w:tcW w:w="3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6"/>
              </w:rPr>
              <w:t>Gain</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9"/>
              </w:rPr>
              <w:t>Loss on</w:t>
            </w:r>
          </w:p>
        </w:tc>
        <w:tc>
          <w:tcPr>
            <w:tcW w:w="260" w:type="dxa"/>
            <w:vAlign w:val="bottom"/>
          </w:tcPr>
          <w:p>
            <w:pPr>
              <w:spacing w:after="0"/>
              <w:rPr>
                <w:sz w:val="12"/>
                <w:szCs w:val="12"/>
                <w:color w:val="auto"/>
              </w:rPr>
            </w:pPr>
          </w:p>
        </w:tc>
        <w:tc>
          <w:tcPr>
            <w:tcW w:w="132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6"/>
              </w:rPr>
              <w:t>Gain</w:t>
            </w:r>
          </w:p>
        </w:tc>
        <w:tc>
          <w:tcPr>
            <w:tcW w:w="3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1"/>
              </w:rPr>
              <w:t>(Loss) on</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Auction</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(Loss) on</w:t>
            </w:r>
          </w:p>
        </w:tc>
        <w:tc>
          <w:tcPr>
            <w:tcW w:w="3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5"/>
              </w:rPr>
              <w:t>Marketable</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Rate</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1"/>
              </w:rPr>
              <w:t>Cash Flow</w:t>
            </w:r>
          </w:p>
        </w:tc>
        <w:tc>
          <w:tcPr>
            <w:tcW w:w="360" w:type="dxa"/>
            <w:vAlign w:val="bottom"/>
          </w:tcPr>
          <w:p>
            <w:pPr>
              <w:spacing w:after="0"/>
              <w:rPr>
                <w:sz w:val="12"/>
                <w:szCs w:val="12"/>
                <w:color w:val="auto"/>
              </w:rPr>
            </w:pPr>
          </w:p>
        </w:tc>
        <w:tc>
          <w:tcPr>
            <w:tcW w:w="1120" w:type="dxa"/>
            <w:vAlign w:val="bottom"/>
            <w:vMerge w:val="restart"/>
          </w:tcPr>
          <w:p>
            <w:pPr>
              <w:jc w:val="right"/>
              <w:ind w:right="4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6"/>
              </w:rPr>
              <w:t>Securities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Securities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6"/>
              </w:rPr>
              <w:t>Hedges</w:t>
            </w:r>
          </w:p>
        </w:tc>
        <w:tc>
          <w:tcPr>
            <w:tcW w:w="360" w:type="dxa"/>
            <w:vAlign w:val="bottom"/>
          </w:tcPr>
          <w:p>
            <w:pPr>
              <w:spacing w:after="0"/>
              <w:rPr>
                <w:sz w:val="16"/>
                <w:szCs w:val="16"/>
                <w:color w:val="auto"/>
              </w:rPr>
            </w:pPr>
          </w:p>
        </w:tc>
        <w:tc>
          <w:tcPr>
            <w:tcW w:w="11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jc w:val="center"/>
              <w:ind w:right="2970"/>
              <w:spacing w:after="0"/>
              <w:rPr>
                <w:sz w:val="20"/>
                <w:szCs w:val="20"/>
                <w:color w:val="auto"/>
              </w:rPr>
            </w:pPr>
            <w:r>
              <w:rPr>
                <w:rFonts w:ascii="Arial" w:cs="Arial" w:eastAsia="Arial" w:hAnsi="Arial"/>
                <w:sz w:val="18"/>
                <w:szCs w:val="18"/>
                <w:color w:val="auto"/>
                <w:w w:val="88"/>
              </w:rPr>
              <w:t>Balance at January 31, 2015</w:t>
            </w: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3,768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(2,274)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(1,186)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308</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Other comprehensive income (loss) before reclassifications</w:t>
            </w:r>
          </w:p>
        </w:tc>
        <w:tc>
          <w:tcPr>
            <w:tcW w:w="2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(3,838)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Arial" w:cs="Arial" w:eastAsia="Arial" w:hAnsi="Arial"/>
                <w:sz w:val="18"/>
                <w:szCs w:val="18"/>
                <w:color w:val="auto"/>
              </w:rPr>
              <w:t>1,111</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(2,727)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160" w:type="dxa"/>
            <w:vAlign w:val="bottom"/>
            <w:shd w:val="clear" w:color="auto" w:fill="CCEEFF"/>
          </w:tcPr>
          <w:p>
            <w:pPr>
              <w:ind w:left="380"/>
              <w:spacing w:after="0"/>
              <w:rPr>
                <w:sz w:val="20"/>
                <w:szCs w:val="20"/>
                <w:color w:val="auto"/>
              </w:rPr>
            </w:pPr>
            <w:r>
              <w:rPr>
                <w:rFonts w:ascii="Arial" w:cs="Arial" w:eastAsia="Arial" w:hAnsi="Arial"/>
                <w:sz w:val="18"/>
                <w:szCs w:val="18"/>
                <w:color w:val="auto"/>
                <w:w w:val="97"/>
              </w:rPr>
              <w:t>Amounts reclassified from accumulated other comprehensive</w:t>
            </w:r>
          </w:p>
        </w:tc>
        <w:tc>
          <w:tcPr>
            <w:tcW w:w="2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57"/>
        </w:trPr>
        <w:tc>
          <w:tcPr>
            <w:tcW w:w="5160" w:type="dxa"/>
            <w:vAlign w:val="bottom"/>
            <w:tcBorders>
              <w:bottom w:val="single" w:sz="8" w:color="CCEEFF"/>
            </w:tcBorders>
            <w:shd w:val="clear" w:color="auto" w:fill="CCEEFF"/>
          </w:tcPr>
          <w:p>
            <w:pPr>
              <w:jc w:val="center"/>
              <w:ind w:right="3010"/>
              <w:spacing w:after="0"/>
              <w:rPr>
                <w:sz w:val="20"/>
                <w:szCs w:val="20"/>
                <w:color w:val="auto"/>
              </w:rPr>
            </w:pPr>
            <w:r>
              <w:rPr>
                <w:rFonts w:ascii="Arial" w:cs="Arial" w:eastAsia="Arial" w:hAnsi="Arial"/>
                <w:sz w:val="18"/>
                <w:szCs w:val="18"/>
                <w:color w:val="auto"/>
                <w:w w:val="91"/>
              </w:rPr>
              <w:t>income (loss)</w:t>
            </w:r>
          </w:p>
        </w:tc>
        <w:tc>
          <w:tcPr>
            <w:tcW w:w="2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(586)</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2,274</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1,624</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w w:val="92"/>
              </w:rPr>
              <w:t>Net current-period other comprehensive income (loss), net of tax</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(4,424)</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2,274</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1,047</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(1,103)</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160" w:type="dxa"/>
            <w:vAlign w:val="bottom"/>
            <w:tcBorders>
              <w:bottom w:val="single" w:sz="8" w:color="CCEEFF"/>
            </w:tcBorders>
            <w:shd w:val="clear" w:color="auto" w:fill="CCEEFF"/>
          </w:tcPr>
          <w:p>
            <w:pPr>
              <w:jc w:val="center"/>
              <w:ind w:right="2970"/>
              <w:spacing w:after="0"/>
              <w:rPr>
                <w:sz w:val="20"/>
                <w:szCs w:val="20"/>
                <w:color w:val="auto"/>
              </w:rPr>
            </w:pPr>
            <w:r>
              <w:rPr>
                <w:rFonts w:ascii="Arial" w:cs="Arial" w:eastAsia="Arial" w:hAnsi="Arial"/>
                <w:sz w:val="18"/>
                <w:szCs w:val="18"/>
                <w:color w:val="auto"/>
                <w:w w:val="88"/>
              </w:rPr>
              <w:t>Balance at January 30, 2016</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Other comprehensive income before reclassifications</w:t>
            </w:r>
          </w:p>
        </w:tc>
        <w:tc>
          <w:tcPr>
            <w:tcW w:w="260" w:type="dxa"/>
            <w:vAlign w:val="bottom"/>
          </w:tcPr>
          <w:p>
            <w:pPr>
              <w:spacing w:after="0"/>
              <w:rPr>
                <w:sz w:val="21"/>
                <w:szCs w:val="21"/>
                <w:color w:val="auto"/>
              </w:rPr>
            </w:pP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1,766</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Arial" w:cs="Arial" w:eastAsia="Arial" w:hAnsi="Arial"/>
                <w:sz w:val="18"/>
                <w:szCs w:val="18"/>
                <w:color w:val="auto"/>
              </w:rPr>
              <w:t>1,496</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3,262</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160" w:type="dxa"/>
            <w:vAlign w:val="bottom"/>
            <w:shd w:val="clear" w:color="auto" w:fill="CCEEFF"/>
          </w:tcPr>
          <w:p>
            <w:pPr>
              <w:ind w:left="380"/>
              <w:spacing w:after="0"/>
              <w:rPr>
                <w:sz w:val="20"/>
                <w:szCs w:val="20"/>
                <w:color w:val="auto"/>
              </w:rPr>
            </w:pPr>
            <w:r>
              <w:rPr>
                <w:rFonts w:ascii="Arial" w:cs="Arial" w:eastAsia="Arial" w:hAnsi="Arial"/>
                <w:sz w:val="18"/>
                <w:szCs w:val="18"/>
                <w:color w:val="auto"/>
                <w:w w:val="97"/>
              </w:rPr>
              <w:t>Amounts reclassified from accumulated other comprehensive</w:t>
            </w:r>
          </w:p>
        </w:tc>
        <w:tc>
          <w:tcPr>
            <w:tcW w:w="2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57"/>
        </w:trPr>
        <w:tc>
          <w:tcPr>
            <w:tcW w:w="5160" w:type="dxa"/>
            <w:vAlign w:val="bottom"/>
            <w:tcBorders>
              <w:bottom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income</w:t>
            </w:r>
          </w:p>
        </w:tc>
        <w:tc>
          <w:tcPr>
            <w:tcW w:w="2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(1,911)</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(533)</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(2,444)</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w w:val="92"/>
              </w:rPr>
              <w:t>Net current-period other comprehensive income (loss), net of tax</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(145)</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963</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818</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jc w:val="center"/>
              <w:ind w:right="2970"/>
              <w:spacing w:after="0"/>
              <w:rPr>
                <w:sz w:val="20"/>
                <w:szCs w:val="20"/>
                <w:color w:val="auto"/>
              </w:rPr>
            </w:pPr>
            <w:r>
              <w:rPr>
                <w:rFonts w:ascii="Arial" w:cs="Arial" w:eastAsia="Arial" w:hAnsi="Arial"/>
                <w:sz w:val="18"/>
                <w:szCs w:val="18"/>
                <w:color w:val="auto"/>
                <w:w w:val="88"/>
              </w:rPr>
              <w:t>Balance at January 28, 2017</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(801)</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824</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The amounts reclassified from accumulated other comprehensive income (loss) by components are presented in the following table (in thousands):</w:t>
      </w: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391" w:right="239" w:bottom="1440" w:gutter="0" w:footer="0" w:header="0"/>
          <w:type w:val="continuous"/>
        </w:sectPr>
      </w:pPr>
    </w:p>
    <w:bookmarkStart w:id="67" w:name="page68"/>
    <w:bookmarkEnd w:id="6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vMerge w:val="restart"/>
          </w:tcPr>
          <w:p>
            <w:pPr>
              <w:ind w:left="40"/>
              <w:spacing w:after="0"/>
              <w:rPr>
                <w:sz w:val="20"/>
                <w:szCs w:val="20"/>
                <w:color w:val="auto"/>
              </w:rPr>
            </w:pPr>
            <w:r>
              <w:rPr>
                <w:rFonts w:ascii="Arial" w:cs="Arial" w:eastAsia="Arial" w:hAnsi="Arial"/>
                <w:sz w:val="18"/>
                <w:szCs w:val="18"/>
                <w:b w:val="1"/>
                <w:bCs w:val="1"/>
                <w:color w:val="auto"/>
              </w:rPr>
              <w:t>Affected Line Item in the Statement of Operations</w:t>
            </w:r>
          </w:p>
        </w:tc>
        <w:tc>
          <w:tcPr>
            <w:tcW w:w="260" w:type="dxa"/>
            <w:vAlign w:val="bottom"/>
          </w:tcPr>
          <w:p>
            <w:pPr>
              <w:spacing w:after="0"/>
              <w:rPr>
                <w:sz w:val="13"/>
                <w:szCs w:val="13"/>
                <w:color w:val="auto"/>
              </w:rPr>
            </w:pPr>
          </w:p>
        </w:tc>
        <w:tc>
          <w:tcPr>
            <w:tcW w:w="136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3"/>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center"/>
              <w:ind w:right="194"/>
              <w:spacing w:after="0" w:line="153" w:lineRule="exact"/>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2015</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Available-for-sale securities: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Marketable securities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1,911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586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1,245</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Auction rate securities</w:t>
            </w:r>
          </w:p>
        </w:tc>
        <w:tc>
          <w:tcPr>
            <w:tcW w:w="26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(512)</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costs and expenses: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Cash flow hedges: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467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(198)</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Total</w:t>
            </w: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2,444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(1,624)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515</w:t>
            </w:r>
          </w:p>
        </w:tc>
        <w:tc>
          <w:tcPr>
            <w:tcW w:w="0" w:type="dxa"/>
            <w:vAlign w:val="bottom"/>
          </w:tcPr>
          <w:p>
            <w:pPr>
              <w:spacing w:after="0"/>
              <w:rPr>
                <w:sz w:val="1"/>
                <w:szCs w:val="1"/>
                <w:color w:val="auto"/>
              </w:rPr>
            </w:pPr>
          </w:p>
        </w:tc>
      </w:tr>
      <w:tr>
        <w:trPr>
          <w:trHeight w:val="27"/>
        </w:trPr>
        <w:tc>
          <w:tcPr>
            <w:tcW w:w="674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Consolidated Statements of Operations</w:t>
            </w: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40" w:type="dxa"/>
            <w:vAlign w:val="bottom"/>
            <w:vMerge w:val="continue"/>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6740" w:type="dxa"/>
            <w:vAlign w:val="bottom"/>
            <w:vMerge w:val="continue"/>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42"/>
        </w:trPr>
        <w:tc>
          <w:tcPr>
            <w:tcW w:w="6740" w:type="dxa"/>
            <w:vAlign w:val="bottom"/>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3"/>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center"/>
              <w:ind w:right="194"/>
              <w:spacing w:after="0" w:line="153" w:lineRule="exact"/>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2015</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Interest and other income, net: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Interest income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13,198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15,982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11,370</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realized gain (loss) on investments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1,500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1,449</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Currency translation gain</w:t>
            </w:r>
          </w:p>
        </w:tc>
        <w:tc>
          <w:tcPr>
            <w:tcW w:w="26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1,746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6,655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1,871</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(loss)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946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9,811</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Interest expense</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(368)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(706)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(1,167)</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17,022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17,685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23,334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40"/>
              <w:spacing w:after="0"/>
              <w:rPr>
                <w:sz w:val="20"/>
                <w:szCs w:val="20"/>
                <w:color w:val="auto"/>
              </w:rPr>
            </w:pPr>
            <w:r>
              <w:rPr>
                <w:rFonts w:ascii="Arial" w:cs="Arial" w:eastAsia="Arial" w:hAnsi="Arial"/>
                <w:sz w:val="18"/>
                <w:szCs w:val="18"/>
                <w:b w:val="1"/>
                <w:bCs w:val="1"/>
                <w:i w:val="1"/>
                <w:iCs w:val="1"/>
                <w:color w:val="auto"/>
              </w:rPr>
              <w:t>Consolidated Statements of Cash Flows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6740" w:type="dxa"/>
            <w:vAlign w:val="bottom"/>
            <w:vMerge w:val="continue"/>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9"/>
        </w:trPr>
        <w:tc>
          <w:tcPr>
            <w:tcW w:w="6740" w:type="dxa"/>
            <w:vAlign w:val="bottom"/>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3"/>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center"/>
              <w:ind w:right="194"/>
              <w:spacing w:after="0" w:line="153" w:lineRule="exact"/>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2015</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Supplemental cash flow information:</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Cash paid for interest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363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703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1,167</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Cash paid for income taxes, net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17,032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13,363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15,727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b w:val="1"/>
                <w:bCs w:val="1"/>
                <w:color w:val="auto"/>
              </w:rPr>
              <w:t>Non-Cash Investing and Financing Activities: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6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 of intellectual property under license obligations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27,081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13,800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Unsettled trade receivable of available-for-sale securities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7,742</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53,749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Unsettled trade payable of available-for-sale securities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15,371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Unpaid purchase of property and equipment at end of year</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2,547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9,069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7,083</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Unpaid repurchases of our common shares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1,499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jc w:val="both"/>
        <w:ind w:right="20" w:firstLine="432"/>
        <w:spacing w:after="0" w:line="259"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shares outstanding during the period. The computations of basic and diluted net income (loss) per share are presented in the following table (in thousands, except per share amounts):</w:t>
      </w:r>
    </w:p>
    <w:p>
      <w:pPr>
        <w:sectPr>
          <w:pgSz w:w="11900" w:h="16838" w:orient="portrait"/>
          <w:cols w:equalWidth="0" w:num="1">
            <w:col w:w="11420"/>
          </w:cols>
          <w:pgMar w:left="240" w:top="391" w:right="239" w:bottom="1440" w:gutter="0" w:footer="0" w:header="0"/>
        </w:sect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65</w:t>
      </w:r>
    </w:p>
    <w:p>
      <w:pPr>
        <w:sectPr>
          <w:pgSz w:w="11900" w:h="16838" w:orient="portrait"/>
          <w:cols w:equalWidth="0" w:num="1">
            <w:col w:w="11420"/>
          </w:cols>
          <w:pgMar w:left="240" w:top="391" w:right="239" w:bottom="1440" w:gutter="0" w:footer="0" w:header="0"/>
          <w:type w:val="continuous"/>
        </w:sectPr>
      </w:pPr>
    </w:p>
    <w:bookmarkStart w:id="68" w:name="page69"/>
    <w:bookmarkEnd w:id="6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2015</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Income (loss) from continuing operations</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43,994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(769,155)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483,787</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shd w:val="clear" w:color="auto" w:fill="CCEEFF"/>
              </w:rPr>
              <w:t>Loss from discontinued operations</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(22,843)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(42,245)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(48,441)</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21,151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(811,400)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435,346</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67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Denominator:</w:t>
            </w:r>
          </w:p>
        </w:tc>
        <w:tc>
          <w:tcPr>
            <w:tcW w:w="26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Weighted average shares — basic</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509,738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510,945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511,089</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7,775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9,671</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diluted</w:t>
            </w:r>
          </w:p>
        </w:tc>
        <w:tc>
          <w:tcPr>
            <w:tcW w:w="26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517,513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510,945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520,760</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Income (loss) from continuing operations per share:</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6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0.95</w:t>
            </w:r>
          </w:p>
        </w:tc>
        <w:tc>
          <w:tcPr>
            <w:tcW w:w="0" w:type="dxa"/>
            <w:vAlign w:val="bottom"/>
          </w:tcPr>
          <w:p>
            <w:pPr>
              <w:spacing w:after="0"/>
              <w:rPr>
                <w:sz w:val="1"/>
                <w:szCs w:val="1"/>
                <w:color w:val="auto"/>
              </w:rPr>
            </w:pPr>
          </w:p>
        </w:tc>
      </w:tr>
      <w:tr>
        <w:trPr>
          <w:trHeight w:val="243"/>
        </w:trPr>
        <w:tc>
          <w:tcPr>
            <w:tcW w:w="67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(1.51)</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0.93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Loss from discontinued operations per share:</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260"/>
              <w:spacing w:after="0"/>
              <w:rPr>
                <w:sz w:val="20"/>
                <w:szCs w:val="20"/>
                <w:color w:val="auto"/>
              </w:rPr>
            </w:pPr>
            <w:r>
              <w:rPr>
                <w:rFonts w:ascii="Arial" w:cs="Arial" w:eastAsia="Arial" w:hAnsi="Arial"/>
                <w:sz w:val="18"/>
                <w:szCs w:val="18"/>
                <w:color w:val="auto"/>
              </w:rPr>
              <w:t>Basic</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(0.05)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Net income (loss) per share:</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243"/>
        </w:trPr>
        <w:tc>
          <w:tcPr>
            <w:tcW w:w="67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0.04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0.84</w:t>
            </w: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2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20" w:type="dxa"/>
            <w:vAlign w:val="bottom"/>
          </w:tcPr>
          <w:p>
            <w:pPr>
              <w:spacing w:after="0"/>
              <w:rPr>
                <w:sz w:val="16"/>
                <w:szCs w:val="16"/>
                <w:color w:val="auto"/>
              </w:rPr>
            </w:pPr>
          </w:p>
        </w:tc>
        <w:tc>
          <w:tcPr>
            <w:tcW w:w="14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1400" w:type="dxa"/>
            <w:vAlign w:val="bottom"/>
            <w:tcBorders>
              <w:bottom w:val="single" w:sz="8" w:color="auto"/>
            </w:tcBorders>
          </w:tcPr>
          <w:p>
            <w:pPr>
              <w:spacing w:after="0"/>
              <w:rPr>
                <w:sz w:val="16"/>
                <w:szCs w:val="16"/>
                <w:color w:val="auto"/>
              </w:rPr>
            </w:pPr>
          </w:p>
        </w:tc>
      </w:tr>
      <w:tr>
        <w:trPr>
          <w:trHeight w:val="264"/>
        </w:trPr>
        <w:tc>
          <w:tcPr>
            <w:tcW w:w="6420" w:type="dxa"/>
            <w:vAlign w:val="bottom"/>
          </w:tcPr>
          <w:p>
            <w:pPr>
              <w:spacing w:after="0"/>
              <w:rPr>
                <w:sz w:val="22"/>
                <w:szCs w:val="22"/>
                <w:color w:val="auto"/>
              </w:rPr>
            </w:pPr>
          </w:p>
        </w:tc>
        <w:tc>
          <w:tcPr>
            <w:tcW w:w="1540" w:type="dxa"/>
            <w:vAlign w:val="bottom"/>
            <w:gridSpan w:val="2"/>
          </w:tcPr>
          <w:p>
            <w:pPr>
              <w:ind w:left="200"/>
              <w:spacing w:after="0"/>
              <w:rPr>
                <w:sz w:val="20"/>
                <w:szCs w:val="20"/>
                <w:color w:val="auto"/>
              </w:rPr>
            </w:pPr>
            <w:r>
              <w:rPr>
                <w:rFonts w:ascii="Arial" w:cs="Arial" w:eastAsia="Arial" w:hAnsi="Arial"/>
                <w:sz w:val="14"/>
                <w:szCs w:val="14"/>
                <w:b w:val="1"/>
                <w:bCs w:val="1"/>
                <w:color w:val="auto"/>
              </w:rPr>
              <w:t>January 28, 2017</w:t>
            </w:r>
          </w:p>
        </w:tc>
        <w:tc>
          <w:tcPr>
            <w:tcW w:w="15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4"/>
              </w:rPr>
              <w:t>January 30, 2016</w:t>
            </w:r>
          </w:p>
        </w:tc>
        <w:tc>
          <w:tcPr>
            <w:tcW w:w="1400" w:type="dxa"/>
            <w:vAlign w:val="bottom"/>
          </w:tcPr>
          <w:p>
            <w:pPr>
              <w:jc w:val="right"/>
              <w:ind w:right="99"/>
              <w:spacing w:after="0"/>
              <w:rPr>
                <w:sz w:val="20"/>
                <w:szCs w:val="20"/>
                <w:color w:val="auto"/>
              </w:rPr>
            </w:pPr>
            <w:r>
              <w:rPr>
                <w:rFonts w:ascii="Arial" w:cs="Arial" w:eastAsia="Arial" w:hAnsi="Arial"/>
                <w:sz w:val="14"/>
                <w:szCs w:val="14"/>
                <w:b w:val="1"/>
                <w:bCs w:val="1"/>
                <w:color w:val="auto"/>
              </w:rPr>
              <w:t>January 31, 2015</w:t>
            </w:r>
          </w:p>
        </w:tc>
      </w:tr>
      <w:tr>
        <w:trPr>
          <w:trHeight w:val="250"/>
        </w:trPr>
        <w:tc>
          <w:tcPr>
            <w:tcW w:w="64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4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642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1440" w:type="dxa"/>
            <w:vAlign w:val="bottom"/>
          </w:tcPr>
          <w:p>
            <w:pPr>
              <w:jc w:val="right"/>
              <w:ind w:right="39"/>
              <w:spacing w:after="0"/>
              <w:rPr>
                <w:sz w:val="20"/>
                <w:szCs w:val="20"/>
                <w:color w:val="auto"/>
              </w:rPr>
            </w:pPr>
            <w:r>
              <w:rPr>
                <w:rFonts w:ascii="Arial" w:cs="Arial" w:eastAsia="Arial" w:hAnsi="Arial"/>
                <w:sz w:val="18"/>
                <w:szCs w:val="18"/>
                <w:color w:val="auto"/>
              </w:rPr>
              <w:t>22,642</w:t>
            </w:r>
          </w:p>
        </w:tc>
        <w:tc>
          <w:tcPr>
            <w:tcW w:w="100" w:type="dxa"/>
            <w:vAlign w:val="bottom"/>
          </w:tcPr>
          <w:p>
            <w:pPr>
              <w:spacing w:after="0"/>
              <w:rPr>
                <w:sz w:val="21"/>
                <w:szCs w:val="21"/>
                <w:color w:val="auto"/>
              </w:rPr>
            </w:pPr>
          </w:p>
        </w:tc>
        <w:tc>
          <w:tcPr>
            <w:tcW w:w="1400" w:type="dxa"/>
            <w:vAlign w:val="bottom"/>
          </w:tcPr>
          <w:p>
            <w:pPr>
              <w:jc w:val="right"/>
              <w:ind w:right="22"/>
              <w:spacing w:after="0"/>
              <w:rPr>
                <w:sz w:val="20"/>
                <w:szCs w:val="20"/>
                <w:color w:val="auto"/>
              </w:rPr>
            </w:pPr>
            <w:r>
              <w:rPr>
                <w:rFonts w:ascii="Arial" w:cs="Arial" w:eastAsia="Arial" w:hAnsi="Arial"/>
                <w:sz w:val="18"/>
                <w:szCs w:val="18"/>
                <w:color w:val="auto"/>
              </w:rPr>
              <w:t>64,420</w:t>
            </w:r>
          </w:p>
        </w:tc>
        <w:tc>
          <w:tcPr>
            <w:tcW w:w="120" w:type="dxa"/>
            <w:vAlign w:val="bottom"/>
          </w:tcPr>
          <w:p>
            <w:pPr>
              <w:spacing w:after="0"/>
              <w:rPr>
                <w:sz w:val="21"/>
                <w:szCs w:val="21"/>
                <w:color w:val="auto"/>
              </w:rPr>
            </w:pPr>
          </w:p>
        </w:tc>
        <w:tc>
          <w:tcPr>
            <w:tcW w:w="1400" w:type="dxa"/>
            <w:vAlign w:val="bottom"/>
          </w:tcPr>
          <w:p>
            <w:pPr>
              <w:jc w:val="right"/>
              <w:ind w:right="19"/>
              <w:spacing w:after="0"/>
              <w:rPr>
                <w:sz w:val="20"/>
                <w:szCs w:val="20"/>
                <w:color w:val="auto"/>
              </w:rPr>
            </w:pPr>
            <w:r>
              <w:rPr>
                <w:rFonts w:ascii="Arial" w:cs="Arial" w:eastAsia="Arial" w:hAnsi="Arial"/>
                <w:sz w:val="18"/>
                <w:szCs w:val="18"/>
                <w:color w:val="auto"/>
              </w:rPr>
              <w:t>35,636</w:t>
            </w:r>
          </w:p>
        </w:tc>
      </w:tr>
      <w:tr>
        <w:trPr>
          <w:trHeight w:val="27"/>
        </w:trPr>
        <w:tc>
          <w:tcPr>
            <w:tcW w:w="6420" w:type="dxa"/>
            <w:vAlign w:val="bottom"/>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0"/>
        </w:trPr>
        <w:tc>
          <w:tcPr>
            <w:tcW w:w="6420" w:type="dxa"/>
            <w:vAlign w:val="bottom"/>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160" w:firstLine="378"/>
        <w:spacing w:after="0" w:line="259"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year ended January 30, 2016 due to the net loss reported in fiscal 2016.</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4" w:lineRule="exact"/>
        <w:rPr>
          <w:sz w:val="20"/>
          <w:szCs w:val="20"/>
          <w:color w:val="auto"/>
        </w:rPr>
      </w:pPr>
    </w:p>
    <w:p>
      <w:pPr>
        <w:ind w:right="100" w:firstLine="432"/>
        <w:spacing w:after="0" w:line="276" w:lineRule="auto"/>
        <w:rPr>
          <w:sz w:val="20"/>
          <w:szCs w:val="20"/>
          <w:color w:val="auto"/>
        </w:rPr>
      </w:pPr>
      <w:r>
        <w:rPr>
          <w:rFonts w:ascii="Arial" w:cs="Arial" w:eastAsia="Arial" w:hAnsi="Arial"/>
          <w:sz w:val="17"/>
          <w:szCs w:val="17"/>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20"/>
          </w:cols>
          <w:pgMar w:left="240" w:top="391" w:right="239" w:bottom="1440" w:gutter="0" w:footer="0" w:header="0"/>
        </w:sectPr>
      </w:pPr>
    </w:p>
    <w:bookmarkStart w:id="69" w:name="page70"/>
    <w:bookmarkEnd w:id="6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4"/>
          </w:tcPr>
          <w:p>
            <w:pPr>
              <w:jc w:val="right"/>
              <w:ind w:right="1002"/>
              <w:spacing w:after="0"/>
              <w:rPr>
                <w:sz w:val="20"/>
                <w:szCs w:val="20"/>
                <w:color w:val="auto"/>
              </w:rPr>
            </w:pPr>
            <w:r>
              <w:rPr>
                <w:rFonts w:ascii="Arial" w:cs="Arial" w:eastAsia="Arial" w:hAnsi="Arial"/>
                <w:sz w:val="14"/>
                <w:szCs w:val="14"/>
                <w:b w:val="1"/>
                <w:bCs w:val="1"/>
                <w:color w:val="auto"/>
              </w:rPr>
              <w:t>Buy Contracts</w:t>
            </w:r>
          </w:p>
        </w:tc>
      </w:tr>
      <w:tr>
        <w:trPr>
          <w:trHeight w:val="152"/>
        </w:trPr>
        <w:tc>
          <w:tcPr>
            <w:tcW w:w="83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January 28,</w:t>
            </w:r>
          </w:p>
        </w:tc>
        <w:tc>
          <w:tcPr>
            <w:tcW w:w="240" w:type="dxa"/>
            <w:vAlign w:val="bottom"/>
          </w:tcPr>
          <w:p>
            <w:pPr>
              <w:spacing w:after="0"/>
              <w:rPr>
                <w:sz w:val="13"/>
                <w:szCs w:val="13"/>
                <w:color w:val="auto"/>
              </w:rPr>
            </w:pPr>
          </w:p>
        </w:tc>
        <w:tc>
          <w:tcPr>
            <w:tcW w:w="1240" w:type="dxa"/>
            <w:vAlign w:val="bottom"/>
          </w:tcPr>
          <w:p>
            <w:pPr>
              <w:jc w:val="center"/>
              <w:ind w:right="202"/>
              <w:spacing w:after="0" w:line="153" w:lineRule="exact"/>
              <w:rPr>
                <w:sz w:val="20"/>
                <w:szCs w:val="20"/>
                <w:color w:val="auto"/>
              </w:rPr>
            </w:pPr>
            <w:r>
              <w:rPr>
                <w:rFonts w:ascii="Arial" w:cs="Arial" w:eastAsia="Arial" w:hAnsi="Arial"/>
                <w:sz w:val="14"/>
                <w:szCs w:val="14"/>
                <w:b w:val="1"/>
                <w:bCs w:val="1"/>
                <w:color w:val="auto"/>
                <w:w w:val="93"/>
              </w:rPr>
              <w:t>January 30,</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2016</w:t>
            </w:r>
          </w:p>
        </w:tc>
      </w:tr>
      <w:tr>
        <w:trPr>
          <w:trHeight w:val="275"/>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Israeli shekel</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24"/>
              <w:spacing w:after="0"/>
              <w:rPr>
                <w:sz w:val="20"/>
                <w:szCs w:val="20"/>
                <w:color w:val="auto"/>
              </w:rPr>
            </w:pPr>
            <w:r>
              <w:rPr>
                <w:rFonts w:ascii="Arial" w:cs="Arial" w:eastAsia="Arial" w:hAnsi="Arial"/>
                <w:sz w:val="18"/>
                <w:szCs w:val="18"/>
                <w:color w:val="auto"/>
              </w:rPr>
              <w:t>63,523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22"/>
              <w:spacing w:after="0"/>
              <w:rPr>
                <w:sz w:val="20"/>
                <w:szCs w:val="20"/>
                <w:color w:val="auto"/>
              </w:rPr>
            </w:pPr>
            <w:r>
              <w:rPr>
                <w:rFonts w:ascii="Arial" w:cs="Arial" w:eastAsia="Arial" w:hAnsi="Arial"/>
                <w:sz w:val="18"/>
                <w:szCs w:val="18"/>
                <w:color w:val="auto"/>
              </w:rPr>
              <w:t>19,082</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3" w:lineRule="exact"/>
        <w:rPr>
          <w:sz w:val="20"/>
          <w:szCs w:val="20"/>
          <w:color w:val="auto"/>
        </w:rPr>
      </w:pPr>
    </w:p>
    <w:p>
      <w:pPr>
        <w:ind w:right="240" w:firstLine="432"/>
        <w:spacing w:after="0" w:line="259" w:lineRule="auto"/>
        <w:rPr>
          <w:sz w:val="20"/>
          <w:szCs w:val="20"/>
          <w:color w:val="auto"/>
        </w:rPr>
      </w:pPr>
      <w:r>
        <w:rPr>
          <w:rFonts w:ascii="Arial" w:cs="Arial" w:eastAsia="Arial" w:hAnsi="Arial"/>
          <w:sz w:val="18"/>
          <w:szCs w:val="18"/>
          <w:i w:val="1"/>
          <w:iCs w:val="1"/>
          <w:color w:val="auto"/>
        </w:rPr>
        <w:t xml:space="preserve">Other Foreign Currency Forward Contracts. </w:t>
      </w:r>
      <w:r>
        <w:rPr>
          <w:rFonts w:ascii="Arial" w:cs="Arial" w:eastAsia="Arial" w:hAnsi="Arial"/>
          <w:sz w:val="18"/>
          <w:szCs w:val="18"/>
          <w:color w:val="auto"/>
        </w:rPr>
        <w:t>The Company may enter into foreign currency forward exchange contracts to hedge certain assets and</w:t>
      </w:r>
      <w:r>
        <w:rPr>
          <w:rFonts w:ascii="Arial" w:cs="Arial" w:eastAsia="Arial" w:hAnsi="Arial"/>
          <w:sz w:val="18"/>
          <w:szCs w:val="18"/>
          <w:i w:val="1"/>
          <w:iCs w:val="1"/>
          <w:color w:val="auto"/>
        </w:rPr>
        <w:t xml:space="preserve"> </w:t>
      </w:r>
      <w:r>
        <w:rPr>
          <w:rFonts w:ascii="Arial" w:cs="Arial" w:eastAsia="Arial" w:hAnsi="Arial"/>
          <w:sz w:val="18"/>
          <w:szCs w:val="18"/>
          <w:color w:val="auto"/>
        </w:rPr>
        <w:t>liabilities 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3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provides information about gains (losses) associated with our derivative financial instruments (in thousands):</w:t>
      </w:r>
    </w:p>
    <w:p>
      <w:pPr>
        <w:spacing w:after="0" w:line="325" w:lineRule="exact"/>
        <w:rPr>
          <w:sz w:val="20"/>
          <w:szCs w:val="20"/>
          <w:color w:val="auto"/>
        </w:rPr>
      </w:pPr>
    </w:p>
    <w:p>
      <w:pPr>
        <w:jc w:val="center"/>
        <w:ind w:left="6780"/>
        <w:spacing w:after="0"/>
        <w:rPr>
          <w:sz w:val="20"/>
          <w:szCs w:val="20"/>
          <w:color w:val="auto"/>
        </w:rPr>
      </w:pPr>
      <w:r>
        <w:rPr>
          <w:rFonts w:ascii="Arial" w:cs="Arial" w:eastAsia="Arial" w:hAnsi="Arial"/>
          <w:sz w:val="14"/>
          <w:szCs w:val="14"/>
          <w:b w:val="1"/>
          <w:bCs w:val="1"/>
          <w:color w:val="auto"/>
        </w:rPr>
        <w:t>Amount of Gains (Losses) in Statement</w:t>
      </w:r>
    </w:p>
    <w:p>
      <w:pPr>
        <w:spacing w:after="0" w:line="4" w:lineRule="exact"/>
        <w:rPr>
          <w:sz w:val="20"/>
          <w:szCs w:val="20"/>
          <w:color w:val="auto"/>
        </w:rPr>
      </w:pPr>
    </w:p>
    <w:p>
      <w:pPr>
        <w:jc w:val="center"/>
        <w:ind w:left="6780"/>
        <w:spacing w:after="0"/>
        <w:rPr>
          <w:sz w:val="20"/>
          <w:szCs w:val="20"/>
          <w:color w:val="auto"/>
        </w:rPr>
      </w:pPr>
      <w:r>
        <w:rPr>
          <w:rFonts w:ascii="Arial" w:cs="Arial" w:eastAsia="Arial" w:hAnsi="Arial"/>
          <w:sz w:val="14"/>
          <w:szCs w:val="14"/>
          <w:b w:val="1"/>
          <w:bCs w:val="1"/>
          <w:color w:val="auto"/>
        </w:rPr>
        <w:t>of Operations for the 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4293235</wp:posOffset>
            </wp:positionH>
            <wp:positionV relativeFrom="paragraph">
              <wp:posOffset>13335</wp:posOffset>
            </wp:positionV>
            <wp:extent cx="295846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958465" cy="8890"/>
                    </a:xfrm>
                    <a:prstGeom prst="rect">
                      <a:avLst/>
                    </a:prstGeom>
                    <a:noFill/>
                  </pic:spPr>
                </pic:pic>
              </a:graphicData>
            </a:graphic>
          </wp:anchor>
        </w:drawing>
      </w:r>
    </w:p>
    <w:p>
      <w:pPr>
        <w:spacing w:after="0" w:line="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2760" w:type="dxa"/>
            <w:vAlign w:val="bottom"/>
            <w:gridSpan w:val="2"/>
          </w:tcPr>
          <w:p>
            <w:pPr>
              <w:ind w:left="500"/>
              <w:spacing w:after="0"/>
              <w:rPr>
                <w:sz w:val="20"/>
                <w:szCs w:val="20"/>
                <w:color w:val="auto"/>
              </w:rPr>
            </w:pPr>
            <w:r>
              <w:rPr>
                <w:rFonts w:ascii="Arial" w:cs="Arial" w:eastAsia="Arial" w:hAnsi="Arial"/>
                <w:sz w:val="14"/>
                <w:szCs w:val="14"/>
                <w:b w:val="1"/>
                <w:bCs w:val="1"/>
                <w:color w:val="auto"/>
              </w:rPr>
              <w:t>Location of Gains (Losses)</w:t>
            </w: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34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4"/>
                <w:szCs w:val="14"/>
                <w:color w:val="auto"/>
              </w:rPr>
            </w:pPr>
          </w:p>
        </w:tc>
        <w:tc>
          <w:tcPr>
            <w:tcW w:w="1240" w:type="dxa"/>
            <w:vAlign w:val="bottom"/>
          </w:tcPr>
          <w:p>
            <w:pPr>
              <w:jc w:val="right"/>
              <w:ind w:right="316"/>
              <w:spacing w:after="0"/>
              <w:rPr>
                <w:sz w:val="20"/>
                <w:szCs w:val="20"/>
                <w:color w:val="auto"/>
              </w:rPr>
            </w:pPr>
            <w:r>
              <w:rPr>
                <w:rFonts w:ascii="Arial" w:cs="Arial" w:eastAsia="Arial" w:hAnsi="Arial"/>
                <w:sz w:val="14"/>
                <w:szCs w:val="14"/>
                <w:b w:val="1"/>
                <w:bCs w:val="1"/>
                <w:color w:val="auto"/>
              </w:rPr>
              <w:t>January 31,</w:t>
            </w:r>
          </w:p>
        </w:tc>
      </w:tr>
      <w:tr>
        <w:trPr>
          <w:trHeight w:val="192"/>
        </w:trPr>
        <w:tc>
          <w:tcPr>
            <w:tcW w:w="4000" w:type="dxa"/>
            <w:vAlign w:val="bottom"/>
          </w:tcPr>
          <w:p>
            <w:pPr>
              <w:spacing w:after="0"/>
              <w:rPr>
                <w:sz w:val="16"/>
                <w:szCs w:val="16"/>
                <w:color w:val="auto"/>
              </w:rPr>
            </w:pPr>
          </w:p>
        </w:tc>
        <w:tc>
          <w:tcPr>
            <w:tcW w:w="2760" w:type="dxa"/>
            <w:vAlign w:val="bottom"/>
            <w:gridSpan w:val="2"/>
          </w:tcPr>
          <w:p>
            <w:pPr>
              <w:ind w:left="500"/>
              <w:spacing w:after="0"/>
              <w:rPr>
                <w:sz w:val="20"/>
                <w:szCs w:val="20"/>
                <w:color w:val="auto"/>
              </w:rPr>
            </w:pPr>
            <w:r>
              <w:rPr>
                <w:rFonts w:ascii="Arial" w:cs="Arial" w:eastAsia="Arial" w:hAnsi="Arial"/>
                <w:sz w:val="14"/>
                <w:szCs w:val="14"/>
                <w:b w:val="1"/>
                <w:bCs w:val="1"/>
                <w:color w:val="auto"/>
              </w:rPr>
              <w:t>in Statement of Operations</w:t>
            </w:r>
          </w:p>
        </w:tc>
        <w:tc>
          <w:tcPr>
            <w:tcW w:w="240" w:type="dxa"/>
            <w:vAlign w:val="bottom"/>
          </w:tcPr>
          <w:p>
            <w:pPr>
              <w:spacing w:after="0"/>
              <w:rPr>
                <w:sz w:val="16"/>
                <w:szCs w:val="16"/>
                <w:color w:val="auto"/>
              </w:rPr>
            </w:pPr>
          </w:p>
        </w:tc>
        <w:tc>
          <w:tcPr>
            <w:tcW w:w="1260" w:type="dxa"/>
            <w:vAlign w:val="bottom"/>
          </w:tcPr>
          <w:p>
            <w:pPr>
              <w:jc w:val="right"/>
              <w:ind w:right="516"/>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40" w:type="dxa"/>
            <w:vAlign w:val="bottom"/>
          </w:tcPr>
          <w:p>
            <w:pPr>
              <w:jc w:val="right"/>
              <w:ind w:right="516"/>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40" w:type="dxa"/>
            <w:vAlign w:val="bottom"/>
          </w:tcPr>
          <w:p>
            <w:pPr>
              <w:jc w:val="right"/>
              <w:ind w:right="516"/>
              <w:spacing w:after="0"/>
              <w:rPr>
                <w:sz w:val="20"/>
                <w:szCs w:val="20"/>
                <w:color w:val="auto"/>
              </w:rPr>
            </w:pPr>
            <w:r>
              <w:rPr>
                <w:rFonts w:ascii="Arial" w:cs="Arial" w:eastAsia="Arial" w:hAnsi="Arial"/>
                <w:sz w:val="14"/>
                <w:szCs w:val="14"/>
                <w:b w:val="1"/>
                <w:bCs w:val="1"/>
                <w:color w:val="auto"/>
              </w:rPr>
              <w:t>2015</w:t>
            </w:r>
          </w:p>
        </w:tc>
      </w:tr>
      <w:tr>
        <w:trPr>
          <w:trHeight w:val="250"/>
        </w:trPr>
        <w:tc>
          <w:tcPr>
            <w:tcW w:w="40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Derivatives designated as cash flow hedges:</w:t>
            </w:r>
          </w:p>
        </w:tc>
        <w:tc>
          <w:tcPr>
            <w:tcW w:w="26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2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Forward contracts:</w:t>
            </w:r>
          </w:p>
        </w:tc>
        <w:tc>
          <w:tcPr>
            <w:tcW w:w="2760" w:type="dxa"/>
            <w:vAlign w:val="bottom"/>
            <w:gridSpan w:val="2"/>
          </w:tcPr>
          <w:p>
            <w:pPr>
              <w:ind w:left="4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737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(390)</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(1,930)</w:t>
            </w:r>
          </w:p>
        </w:tc>
      </w:tr>
      <w:tr>
        <w:trPr>
          <w:trHeight w:val="27"/>
        </w:trPr>
        <w:tc>
          <w:tcPr>
            <w:tcW w:w="4000" w:type="dxa"/>
            <w:vAlign w:val="bottom"/>
          </w:tcPr>
          <w:p>
            <w:pPr>
              <w:spacing w:after="0"/>
              <w:rPr>
                <w:sz w:val="2"/>
                <w:szCs w:val="2"/>
                <w:color w:val="auto"/>
              </w:rPr>
            </w:pPr>
          </w:p>
        </w:tc>
        <w:tc>
          <w:tcPr>
            <w:tcW w:w="2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4000" w:type="dxa"/>
            <w:vAlign w:val="bottom"/>
            <w:tcBorders>
              <w:bottom w:val="single" w:sz="8" w:color="CCEEFF"/>
            </w:tcBorders>
            <w:shd w:val="clear" w:color="auto" w:fill="CCEEFF"/>
          </w:tcPr>
          <w:p>
            <w:pPr>
              <w:spacing w:after="0"/>
              <w:rPr>
                <w:sz w:val="21"/>
                <w:szCs w:val="21"/>
                <w:color w:val="auto"/>
              </w:rPr>
            </w:pPr>
          </w:p>
        </w:tc>
        <w:tc>
          <w:tcPr>
            <w:tcW w:w="27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Selling and marketing</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w:t>
            </w:r>
          </w:p>
        </w:tc>
      </w:tr>
      <w:tr>
        <w:trPr>
          <w:trHeight w:val="243"/>
        </w:trPr>
        <w:tc>
          <w:tcPr>
            <w:tcW w:w="4000" w:type="dxa"/>
            <w:vAlign w:val="bottom"/>
          </w:tcPr>
          <w:p>
            <w:pPr>
              <w:spacing w:after="0"/>
              <w:rPr>
                <w:sz w:val="21"/>
                <w:szCs w:val="21"/>
                <w:color w:val="auto"/>
              </w:rPr>
            </w:pPr>
          </w:p>
        </w:tc>
        <w:tc>
          <w:tcPr>
            <w:tcW w:w="2760" w:type="dxa"/>
            <w:vAlign w:val="bottom"/>
            <w:gridSpan w:val="2"/>
          </w:tcPr>
          <w:p>
            <w:pPr>
              <w:ind w:left="40"/>
              <w:spacing w:after="0"/>
              <w:rPr>
                <w:sz w:val="20"/>
                <w:szCs w:val="20"/>
                <w:color w:val="auto"/>
              </w:rPr>
            </w:pPr>
            <w:r>
              <w:rPr>
                <w:rFonts w:ascii="Arial" w:cs="Arial" w:eastAsia="Arial" w:hAnsi="Arial"/>
                <w:sz w:val="18"/>
                <w:szCs w:val="18"/>
                <w:color w:val="auto"/>
              </w:rPr>
              <w:t>General and administrative</w:t>
            </w:r>
          </w:p>
        </w:tc>
        <w:tc>
          <w:tcPr>
            <w:tcW w:w="240" w:type="dxa"/>
            <w:vAlign w:val="bottom"/>
          </w:tcPr>
          <w:p>
            <w:pPr>
              <w:spacing w:after="0"/>
              <w:rPr>
                <w:sz w:val="21"/>
                <w:szCs w:val="21"/>
                <w:color w:val="auto"/>
              </w:rPr>
            </w:pP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86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(157)</w:t>
            </w:r>
          </w:p>
        </w:tc>
      </w:tr>
      <w:tr>
        <w:trPr>
          <w:trHeight w:val="27"/>
        </w:trPr>
        <w:tc>
          <w:tcPr>
            <w:tcW w:w="4000" w:type="dxa"/>
            <w:vAlign w:val="bottom"/>
            <w:tcBorders>
              <w:bottom w:val="single" w:sz="8" w:color="CCEEFF"/>
            </w:tcBorders>
          </w:tcPr>
          <w:p>
            <w:pPr>
              <w:spacing w:after="0"/>
              <w:rPr>
                <w:sz w:val="2"/>
                <w:szCs w:val="2"/>
                <w:color w:val="auto"/>
              </w:rPr>
            </w:pPr>
          </w:p>
        </w:tc>
        <w:tc>
          <w:tcPr>
            <w:tcW w:w="264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4000" w:type="dxa"/>
            <w:vAlign w:val="bottom"/>
            <w:tcBorders>
              <w:bottom w:val="single" w:sz="8" w:color="CCEEFF"/>
            </w:tcBorders>
            <w:shd w:val="clear" w:color="auto" w:fill="CCEEFF"/>
          </w:tcPr>
          <w:p>
            <w:pPr>
              <w:spacing w:after="0"/>
              <w:rPr>
                <w:sz w:val="22"/>
                <w:szCs w:val="22"/>
                <w:color w:val="auto"/>
              </w:rPr>
            </w:pPr>
          </w:p>
        </w:tc>
        <w:tc>
          <w:tcPr>
            <w:tcW w:w="264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838</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(2,111)</w:t>
            </w:r>
          </w:p>
        </w:tc>
      </w:tr>
      <w:tr>
        <w:trPr>
          <w:trHeight w:val="20"/>
        </w:trPr>
        <w:tc>
          <w:tcPr>
            <w:tcW w:w="4000" w:type="dxa"/>
            <w:vAlign w:val="bottom"/>
            <w:tcBorders>
              <w:top w:val="single" w:sz="8" w:color="CCEEFF"/>
            </w:tcBorders>
          </w:tcPr>
          <w:p>
            <w:pPr>
              <w:spacing w:after="0" w:line="20" w:lineRule="exact"/>
              <w:rPr>
                <w:sz w:val="1"/>
                <w:szCs w:val="1"/>
                <w:color w:val="auto"/>
              </w:rPr>
            </w:pPr>
          </w:p>
        </w:tc>
        <w:tc>
          <w:tcPr>
            <w:tcW w:w="26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The portion of gains (losses) excluded from the assessment of hedge effectiveness are included in interest and other income, net, and these amounts were $(0.3) million, $(0.1) million and $0.2 million in fiscal 2017, 2016 and 2015, respectively. In addition, realized losses from forward contracts that are not designated as hedging instruments that are included in interest and other income, net, were not material in fiscal 2017, 2016 and 2015. The Company also reports hedge ineffectiveness from derivative financial instruments in current earnings, which were not material in fiscal 2017, 2016 and 2015. No cash flow hedges were terminated as a result of forecasted transactions that did not occur.</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121" w:lineRule="exact"/>
        <w:rPr>
          <w:sz w:val="20"/>
          <w:szCs w:val="20"/>
          <w:color w:val="auto"/>
        </w:rPr>
      </w:pPr>
    </w:p>
    <w:p>
      <w:pPr>
        <w:ind w:right="260" w:firstLine="432"/>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6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6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17" w:lineRule="exact"/>
        <w:rPr>
          <w:sz w:val="20"/>
          <w:szCs w:val="20"/>
          <w:color w:val="auto"/>
        </w:rPr>
      </w:pPr>
    </w:p>
    <w:p>
      <w:pPr>
        <w:ind w:right="120" w:firstLine="432"/>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40" w:firstLine="432"/>
        <w:spacing w:after="0" w:line="273" w:lineRule="auto"/>
        <w:rPr>
          <w:sz w:val="20"/>
          <w:szCs w:val="20"/>
          <w:color w:val="auto"/>
        </w:rPr>
      </w:pPr>
      <w:r>
        <w:rPr>
          <w:rFonts w:ascii="Arial" w:cs="Arial" w:eastAsia="Arial" w:hAnsi="Arial"/>
          <w:sz w:val="17"/>
          <w:szCs w:val="17"/>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are</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391" w:right="239" w:bottom="1440" w:gutter="0" w:footer="0" w:header="0"/>
        </w:sectPr>
      </w:pPr>
    </w:p>
    <w:bookmarkStart w:id="70" w:name="page71"/>
    <w:bookmarkEnd w:id="7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classified as Level 3 assets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discounted cash flow model are unobservable in the market.</w:t>
      </w:r>
    </w:p>
    <w:p>
      <w:pPr>
        <w:spacing w:after="0" w:line="73"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84" w:lineRule="exact"/>
        <w:rPr>
          <w:sz w:val="20"/>
          <w:szCs w:val="20"/>
          <w:color w:val="auto"/>
        </w:rPr>
      </w:pPr>
    </w:p>
    <w:p>
      <w:pPr>
        <w:ind w:left="6880"/>
        <w:spacing w:after="0"/>
        <w:rPr>
          <w:sz w:val="20"/>
          <w:szCs w:val="20"/>
          <w:color w:val="auto"/>
        </w:rPr>
      </w:pPr>
      <w:r>
        <w:rPr>
          <w:rFonts w:ascii="Arial" w:cs="Arial" w:eastAsia="Arial" w:hAnsi="Arial"/>
          <w:sz w:val="14"/>
          <w:szCs w:val="14"/>
          <w:b w:val="1"/>
          <w:bCs w:val="1"/>
          <w:color w:val="auto"/>
        </w:rPr>
        <w:t>Fair Value Measurements at 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3272790</wp:posOffset>
            </wp:positionH>
            <wp:positionV relativeFrom="paragraph">
              <wp:posOffset>23495</wp:posOffset>
            </wp:positionV>
            <wp:extent cx="397891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ind w:left="24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60" w:type="dxa"/>
            <w:vAlign w:val="bottom"/>
          </w:tcPr>
          <w:p>
            <w:pPr>
              <w:spacing w:after="0"/>
              <w:rPr>
                <w:sz w:val="16"/>
                <w:szCs w:val="16"/>
                <w:color w:val="auto"/>
              </w:rPr>
            </w:pPr>
          </w:p>
        </w:tc>
        <w:tc>
          <w:tcPr>
            <w:tcW w:w="112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spacing w:after="0"/>
              <w:rPr>
                <w:sz w:val="21"/>
                <w:szCs w:val="21"/>
                <w:color w:val="auto"/>
              </w:rPr>
            </w:pPr>
          </w:p>
        </w:tc>
        <w:tc>
          <w:tcPr>
            <w:tcW w:w="11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Assets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1"/>
              <w:spacing w:after="0"/>
              <w:rPr>
                <w:sz w:val="20"/>
                <w:szCs w:val="20"/>
                <w:color w:val="auto"/>
              </w:rPr>
            </w:pPr>
            <w:r>
              <w:rPr>
                <w:rFonts w:ascii="Arial" w:cs="Arial" w:eastAsia="Arial" w:hAnsi="Arial"/>
                <w:sz w:val="18"/>
                <w:szCs w:val="18"/>
                <w:color w:val="auto"/>
              </w:rPr>
              <w:t>36,122</w:t>
            </w:r>
          </w:p>
        </w:tc>
        <w:tc>
          <w:tcPr>
            <w:tcW w:w="12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36,122</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28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67,000</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Pr>
          <w:p>
            <w:pPr>
              <w:spacing w:after="0"/>
              <w:rPr>
                <w:sz w:val="21"/>
                <w:szCs w:val="21"/>
                <w:color w:val="auto"/>
              </w:rPr>
            </w:pPr>
          </w:p>
        </w:tc>
        <w:tc>
          <w:tcPr>
            <w:tcW w:w="1220" w:type="dxa"/>
            <w:vAlign w:val="bottom"/>
          </w:tcPr>
          <w:p>
            <w:pPr>
              <w:jc w:val="right"/>
              <w:ind w:right="31"/>
              <w:spacing w:after="0"/>
              <w:rPr>
                <w:sz w:val="20"/>
                <w:szCs w:val="20"/>
                <w:color w:val="auto"/>
              </w:rPr>
            </w:pPr>
            <w:r>
              <w:rPr>
                <w:rFonts w:ascii="Arial" w:cs="Arial" w:eastAsia="Arial" w:hAnsi="Arial"/>
                <w:sz w:val="18"/>
                <w:szCs w:val="18"/>
                <w:color w:val="auto"/>
              </w:rPr>
              <w:t>17,497</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17,497</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31,280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31,280</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1,500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1,500</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8,740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8,740</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Short-term investments: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185,387</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185,387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432,108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432,108</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45,527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45,527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13,375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13,375</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43"/>
        </w:trPr>
        <w:tc>
          <w:tcPr>
            <w:tcW w:w="5160" w:type="dxa"/>
            <w:vAlign w:val="bottom"/>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shd w:val="clear" w:color="auto" w:fill="CCEEFF"/>
          </w:tcPr>
          <w:p>
            <w:pPr>
              <w:spacing w:after="0"/>
              <w:rPr>
                <w:sz w:val="21"/>
                <w:szCs w:val="21"/>
                <w:color w:val="auto"/>
              </w:rPr>
            </w:pPr>
          </w:p>
        </w:tc>
        <w:tc>
          <w:tcPr>
            <w:tcW w:w="1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21"/>
                <w:szCs w:val="21"/>
                <w:color w:val="auto"/>
              </w:rPr>
            </w:pPr>
          </w:p>
        </w:tc>
        <w:tc>
          <w:tcPr>
            <w:tcW w:w="116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27,871</w:t>
            </w:r>
          </w:p>
        </w:tc>
        <w:tc>
          <w:tcPr>
            <w:tcW w:w="100" w:type="dxa"/>
            <w:vAlign w:val="bottom"/>
            <w:shd w:val="clear" w:color="auto" w:fill="CCEEFF"/>
          </w:tcPr>
          <w:p>
            <w:pPr>
              <w:spacing w:after="0"/>
              <w:rPr>
                <w:sz w:val="21"/>
                <w:szCs w:val="21"/>
                <w:color w:val="auto"/>
              </w:rPr>
            </w:pPr>
          </w:p>
        </w:tc>
        <w:tc>
          <w:tcPr>
            <w:tcW w:w="320" w:type="dxa"/>
            <w:vAlign w:val="bottom"/>
            <w:shd w:val="clear" w:color="auto" w:fill="CCEEFF"/>
          </w:tcPr>
          <w:p>
            <w:pPr>
              <w:spacing w:after="0"/>
              <w:rPr>
                <w:sz w:val="21"/>
                <w:szCs w:val="21"/>
                <w:color w:val="auto"/>
              </w:rPr>
            </w:pPr>
          </w:p>
        </w:tc>
        <w:tc>
          <w:tcPr>
            <w:tcW w:w="12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21"/>
                <w:szCs w:val="21"/>
                <w:color w:val="auto"/>
              </w:rPr>
            </w:pPr>
          </w:p>
        </w:tc>
        <w:tc>
          <w:tcPr>
            <w:tcW w:w="11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27,871</w:t>
            </w:r>
          </w:p>
        </w:tc>
      </w:tr>
      <w:tr>
        <w:trPr>
          <w:trHeight w:val="277"/>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280" w:type="dxa"/>
            <w:vAlign w:val="bottom"/>
            <w:tcBorders>
              <w:bottom w:val="single" w:sz="8" w:color="CCEEFF"/>
            </w:tcBorders>
            <w:shd w:val="clear" w:color="auto" w:fill="CCEEFF"/>
          </w:tcPr>
          <w:p>
            <w:pPr>
              <w:spacing w:after="0"/>
              <w:rPr>
                <w:sz w:val="24"/>
                <w:szCs w:val="24"/>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4"/>
                <w:szCs w:val="24"/>
                <w:color w:val="auto"/>
              </w:rPr>
            </w:pPr>
          </w:p>
        </w:tc>
        <w:tc>
          <w:tcPr>
            <w:tcW w:w="320" w:type="dxa"/>
            <w:vAlign w:val="bottom"/>
            <w:tcBorders>
              <w:bottom w:val="single" w:sz="8" w:color="CCEEFF"/>
            </w:tcBorders>
            <w:shd w:val="clear" w:color="auto" w:fill="CCEEFF"/>
          </w:tcPr>
          <w:p>
            <w:pPr>
              <w:spacing w:after="0"/>
              <w:rPr>
                <w:sz w:val="24"/>
                <w:szCs w:val="24"/>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4"/>
                <w:szCs w:val="24"/>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150,000</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currency forward contracts</w:t>
            </w:r>
          </w:p>
        </w:tc>
        <w:tc>
          <w:tcPr>
            <w:tcW w:w="28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Long-term investments: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Auction rate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4,615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736</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736</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239,006</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778,872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4,615</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1,022,493</w:t>
            </w:r>
          </w:p>
        </w:tc>
      </w:tr>
      <w:tr>
        <w:trPr>
          <w:trHeight w:val="67"/>
        </w:trPr>
        <w:tc>
          <w:tcPr>
            <w:tcW w:w="516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6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Liabilities</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spacing w:after="0"/>
              <w:rPr>
                <w:sz w:val="20"/>
                <w:szCs w:val="20"/>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5"/>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currency forward contracts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r>
      <w:tr>
        <w:trPr>
          <w:trHeight w:val="440"/>
        </w:trPr>
        <w:tc>
          <w:tcPr>
            <w:tcW w:w="5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jc w:val="right"/>
              <w:ind w:right="771"/>
              <w:spacing w:after="0"/>
              <w:rPr>
                <w:sz w:val="20"/>
                <w:szCs w:val="20"/>
                <w:color w:val="auto"/>
              </w:rPr>
            </w:pPr>
            <w:r>
              <w:rPr>
                <w:rFonts w:ascii="Arial" w:cs="Arial" w:eastAsia="Arial" w:hAnsi="Arial"/>
                <w:sz w:val="18"/>
                <w:szCs w:val="18"/>
                <w:color w:val="auto"/>
              </w:rPr>
              <w:t>68</w:t>
            </w: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ectPr>
          <w:pgSz w:w="11900" w:h="16838" w:orient="portrait"/>
          <w:cols w:equalWidth="0" w:num="1">
            <w:col w:w="11420"/>
          </w:cols>
          <w:pgMar w:left="240" w:top="391" w:right="239" w:bottom="1440" w:gutter="0" w:footer="0" w:header="0"/>
        </w:sectPr>
      </w:pPr>
    </w:p>
    <w:bookmarkStart w:id="71" w:name="page72"/>
    <w:bookmarkEnd w:id="7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p>
      <w:pPr>
        <w:ind w:left="6880"/>
        <w:spacing w:after="0"/>
        <w:rPr>
          <w:sz w:val="20"/>
          <w:szCs w:val="20"/>
          <w:color w:val="auto"/>
        </w:rPr>
      </w:pPr>
      <w:r>
        <w:rPr>
          <w:rFonts w:ascii="Arial" w:cs="Arial" w:eastAsia="Arial" w:hAnsi="Arial"/>
          <w:sz w:val="14"/>
          <w:szCs w:val="14"/>
          <w:b w:val="1"/>
          <w:bCs w:val="1"/>
          <w:color w:val="auto"/>
        </w:rPr>
        <w:t>Fair Value Measurements at January 30,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3272790</wp:posOffset>
            </wp:positionH>
            <wp:positionV relativeFrom="paragraph">
              <wp:posOffset>23495</wp:posOffset>
            </wp:positionV>
            <wp:extent cx="397891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60" w:type="dxa"/>
            <w:vAlign w:val="bottom"/>
          </w:tcPr>
          <w:p>
            <w:pPr>
              <w:spacing w:after="0"/>
              <w:rPr>
                <w:sz w:val="16"/>
                <w:szCs w:val="16"/>
                <w:color w:val="auto"/>
              </w:rPr>
            </w:pPr>
          </w:p>
        </w:tc>
        <w:tc>
          <w:tcPr>
            <w:tcW w:w="112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spacing w:after="0"/>
              <w:rPr>
                <w:sz w:val="21"/>
                <w:szCs w:val="21"/>
                <w:color w:val="auto"/>
              </w:rPr>
            </w:pPr>
          </w:p>
        </w:tc>
        <w:tc>
          <w:tcPr>
            <w:tcW w:w="11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31"/>
              <w:spacing w:after="0"/>
              <w:rPr>
                <w:sz w:val="20"/>
                <w:szCs w:val="20"/>
                <w:color w:val="auto"/>
              </w:rPr>
            </w:pPr>
            <w:r>
              <w:rPr>
                <w:rFonts w:ascii="Arial" w:cs="Arial" w:eastAsia="Arial" w:hAnsi="Arial"/>
                <w:sz w:val="18"/>
                <w:szCs w:val="18"/>
                <w:color w:val="auto"/>
              </w:rPr>
              <w:t>160,400</w:t>
            </w:r>
          </w:p>
        </w:tc>
        <w:tc>
          <w:tcPr>
            <w:tcW w:w="12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160,400</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209,405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209,405</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180" w:type="dxa"/>
            <w:vAlign w:val="bottom"/>
          </w:tcPr>
          <w:p>
            <w:pPr>
              <w:jc w:val="right"/>
              <w:ind w:right="31"/>
              <w:spacing w:after="0"/>
              <w:rPr>
                <w:sz w:val="20"/>
                <w:szCs w:val="20"/>
                <w:color w:val="auto"/>
              </w:rPr>
            </w:pPr>
            <w:r>
              <w:rPr>
                <w:rFonts w:ascii="Arial" w:cs="Arial" w:eastAsia="Arial" w:hAnsi="Arial"/>
                <w:sz w:val="18"/>
                <w:szCs w:val="18"/>
                <w:color w:val="auto"/>
              </w:rPr>
              <w:t>184,374</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184,374</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54,689</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54,689</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317,405</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317,405</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557,821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557,821</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76,736</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76,736</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21,358</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31,249</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31,249</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Long-term investments: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Auction rate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11,296</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11,296</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678</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678</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662,179</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951,966</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11,296</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1,625,441</w:t>
            </w:r>
          </w:p>
        </w:tc>
      </w:tr>
      <w:tr>
        <w:trPr>
          <w:trHeight w:val="67"/>
        </w:trPr>
        <w:tc>
          <w:tcPr>
            <w:tcW w:w="516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6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Liabilities</w:t>
            </w:r>
          </w:p>
        </w:tc>
        <w:tc>
          <w:tcPr>
            <w:tcW w:w="3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spacing w:after="0"/>
              <w:rPr>
                <w:sz w:val="20"/>
                <w:szCs w:val="20"/>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Accrued liabilities: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5"/>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195</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195</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following table summarizes the change in fair values for Level 3 assets for the years ended January 28, 2017 and January 30, 2016 (in thousands):</w:t>
      </w:r>
    </w:p>
    <w:p>
      <w:pPr>
        <w:spacing w:after="0" w:line="36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99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Level 3</w:t>
            </w:r>
          </w:p>
        </w:tc>
      </w:tr>
      <w:tr>
        <w:trPr>
          <w:trHeight w:val="25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Changes in fair value during the year (pre-tax):</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9940" w:type="dxa"/>
            <w:vAlign w:val="bottom"/>
          </w:tcPr>
          <w:p>
            <w:pPr>
              <w:ind w:left="40"/>
              <w:spacing w:after="0"/>
              <w:rPr>
                <w:sz w:val="20"/>
                <w:szCs w:val="20"/>
                <w:color w:val="auto"/>
              </w:rPr>
            </w:pPr>
            <w:r>
              <w:rPr>
                <w:rFonts w:ascii="Arial" w:cs="Arial" w:eastAsia="Arial" w:hAnsi="Arial"/>
                <w:sz w:val="18"/>
                <w:szCs w:val="18"/>
                <w:color w:val="auto"/>
              </w:rPr>
              <w:t>Balance at January 31, 2015</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10,226</w:t>
            </w:r>
          </w:p>
        </w:tc>
      </w:tr>
      <w:tr>
        <w:trPr>
          <w:trHeight w:val="27"/>
        </w:trPr>
        <w:tc>
          <w:tcPr>
            <w:tcW w:w="99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43"/>
        </w:trPr>
        <w:tc>
          <w:tcPr>
            <w:tcW w:w="9940" w:type="dxa"/>
            <w:vAlign w:val="bottom"/>
            <w:shd w:val="clear" w:color="auto" w:fill="CCEEFF"/>
          </w:tcPr>
          <w:p>
            <w:pPr>
              <w:ind w:left="40"/>
              <w:spacing w:after="0"/>
              <w:rPr>
                <w:sz w:val="20"/>
                <w:szCs w:val="20"/>
                <w:color w:val="auto"/>
              </w:rPr>
            </w:pPr>
            <w:r>
              <w:rPr>
                <w:rFonts w:ascii="Arial" w:cs="Arial" w:eastAsia="Arial" w:hAnsi="Arial"/>
                <w:sz w:val="18"/>
                <w:szCs w:val="18"/>
                <w:color w:val="auto"/>
              </w:rPr>
              <w:t>Impairment loss</w:t>
            </w:r>
          </w:p>
        </w:tc>
        <w:tc>
          <w:tcPr>
            <w:tcW w:w="320" w:type="dxa"/>
            <w:vAlign w:val="bottom"/>
            <w:shd w:val="clear" w:color="auto" w:fill="CCEEFF"/>
          </w:tcPr>
          <w:p>
            <w:pPr>
              <w:spacing w:after="0"/>
              <w:rPr>
                <w:sz w:val="21"/>
                <w:szCs w:val="21"/>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(1,204)</w:t>
            </w:r>
          </w:p>
        </w:tc>
      </w:tr>
      <w:tr>
        <w:trPr>
          <w:trHeight w:val="297"/>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32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2,274</w:t>
            </w:r>
          </w:p>
        </w:tc>
      </w:tr>
      <w:tr>
        <w:trPr>
          <w:trHeight w:val="237"/>
        </w:trPr>
        <w:tc>
          <w:tcPr>
            <w:tcW w:w="9940" w:type="dxa"/>
            <w:vAlign w:val="bottom"/>
          </w:tcPr>
          <w:p>
            <w:pPr>
              <w:ind w:left="40"/>
              <w:spacing w:after="0"/>
              <w:rPr>
                <w:sz w:val="20"/>
                <w:szCs w:val="20"/>
                <w:color w:val="auto"/>
              </w:rPr>
            </w:pPr>
            <w:r>
              <w:rPr>
                <w:rFonts w:ascii="Arial" w:cs="Arial" w:eastAsia="Arial" w:hAnsi="Arial"/>
                <w:sz w:val="18"/>
                <w:szCs w:val="18"/>
                <w:color w:val="auto"/>
              </w:rPr>
              <w:t>Balance at January 30, 2016</w:t>
            </w:r>
          </w:p>
        </w:tc>
        <w:tc>
          <w:tcPr>
            <w:tcW w:w="3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11,296</w:t>
            </w:r>
          </w:p>
        </w:tc>
      </w:tr>
      <w:tr>
        <w:trPr>
          <w:trHeight w:val="27"/>
        </w:trPr>
        <w:tc>
          <w:tcPr>
            <w:tcW w:w="99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Sales, redemption and settlement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(6,681)</w:t>
            </w:r>
          </w:p>
        </w:tc>
      </w:tr>
      <w:tr>
        <w:trPr>
          <w:trHeight w:val="243"/>
        </w:trPr>
        <w:tc>
          <w:tcPr>
            <w:tcW w:w="9940" w:type="dxa"/>
            <w:vAlign w:val="bottom"/>
          </w:tcPr>
          <w:p>
            <w:pPr>
              <w:ind w:left="40"/>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99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9"/>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4,615</w:t>
            </w:r>
          </w:p>
        </w:tc>
      </w:tr>
      <w:tr>
        <w:trPr>
          <w:trHeight w:val="20"/>
        </w:trPr>
        <w:tc>
          <w:tcPr>
            <w:tcW w:w="99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There were no transfers of assets between levels in either fiscal 2017 or 2016.</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There was no activity for acquisitions or divestitures recorded to goodwill in fiscal 2017 and 2016 due to business combinations.</w:t>
      </w:r>
    </w:p>
    <w:p>
      <w:pPr>
        <w:spacing w:after="0" w:line="117" w:lineRule="exact"/>
        <w:rPr>
          <w:sz w:val="20"/>
          <w:szCs w:val="20"/>
          <w:color w:val="auto"/>
        </w:rPr>
      </w:pPr>
    </w:p>
    <w:p>
      <w:pPr>
        <w:ind w:right="20" w:firstLine="432"/>
        <w:spacing w:after="0" w:line="302" w:lineRule="auto"/>
        <w:rPr>
          <w:sz w:val="20"/>
          <w:szCs w:val="20"/>
          <w:color w:val="auto"/>
        </w:rPr>
      </w:pPr>
      <w:r>
        <w:rPr>
          <w:rFonts w:ascii="Arial" w:cs="Arial" w:eastAsia="Arial" w:hAnsi="Arial"/>
          <w:sz w:val="16"/>
          <w:szCs w:val="16"/>
          <w:color w:val="auto"/>
        </w:rPr>
        <w:t>The Company has identified that its business operates as a single operating segment with two components that it has concluded can be aggregated into a single reporting unit. In connection with the restructuring plan the Company announced in November 2016 (see “Note 8 - Restructuring and Other Related Charges”), its Board of Directors approved a plan to sell certain businesses that are classified and reported in the consolidated statement of operations as discontinued operations. As a result, goodwill was allocated to these businesses based on relative fair value since each represents a portion of the Company’s</w:t>
      </w:r>
    </w:p>
    <w:p>
      <w:pPr>
        <w:sectPr>
          <w:pgSz w:w="11900" w:h="16838" w:orient="portrait"/>
          <w:cols w:equalWidth="0" w:num="1">
            <w:col w:w="11420"/>
          </w:cols>
          <w:pgMar w:left="240" w:top="391" w:right="239" w:bottom="1440" w:gutter="0" w:footer="0" w:header="0"/>
        </w:sectPr>
      </w:pP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69</w:t>
      </w:r>
    </w:p>
    <w:p>
      <w:pPr>
        <w:sectPr>
          <w:pgSz w:w="11900" w:h="16838" w:orient="portrait"/>
          <w:cols w:equalWidth="0" w:num="1">
            <w:col w:w="11420"/>
          </w:cols>
          <w:pgMar w:left="240" w:top="391" w:right="239" w:bottom="1440" w:gutter="0" w:footer="0" w:header="0"/>
          <w:type w:val="continuous"/>
        </w:sectPr>
      </w:pPr>
    </w:p>
    <w:bookmarkStart w:id="72" w:name="page73"/>
    <w:bookmarkEnd w:id="7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reporting unit (see "Note 2 - Discontinued Operations"). The Company obtained an independent valuation to determine the fair value of these businesses for purposes of allocating the goodwill and to complete an assessment for goodwill impairment of the Company’s continuing operations. Although the Company engaged an independent valuation specialist to provide the fair value calculations, management assumed full responsibility for the valuation results, and the accuracy and completeness of the underlying financial data and corresponding assumptions. The Company’s annual test for goodwill impairment as of the last day of the fourth quarter of fiscal 2017 did not result in any impairment charge.</w:t>
      </w:r>
    </w:p>
    <w:p>
      <w:pPr>
        <w:spacing w:after="0" w:line="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carrying amounts of acquired intangible assets are as follows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54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4"/>
          </w:tcPr>
          <w:p>
            <w:pPr>
              <w:ind w:left="80"/>
              <w:spacing w:after="0"/>
              <w:rPr>
                <w:sz w:val="20"/>
                <w:szCs w:val="20"/>
                <w:color w:val="auto"/>
              </w:rPr>
            </w:pPr>
            <w:r>
              <w:rPr>
                <w:rFonts w:ascii="Arial" w:cs="Arial" w:eastAsia="Arial" w:hAnsi="Arial"/>
                <w:sz w:val="14"/>
                <w:szCs w:val="14"/>
                <w:b w:val="1"/>
                <w:bCs w:val="1"/>
                <w:color w:val="auto"/>
              </w:rPr>
              <w:t>January 28, 2017</w:t>
            </w:r>
          </w:p>
        </w:tc>
        <w:tc>
          <w:tcPr>
            <w:tcW w:w="14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9"/>
              </w:rPr>
              <w:t>January 30, 2016</w:t>
            </w:r>
          </w:p>
        </w:tc>
        <w:tc>
          <w:tcPr>
            <w:tcW w:w="16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5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80" w:type="dxa"/>
            <w:vAlign w:val="bottom"/>
            <w:vMerge w:val="restart"/>
          </w:tcPr>
          <w:p>
            <w:pPr>
              <w:jc w:val="right"/>
              <w:ind w:right="279"/>
              <w:spacing w:after="0"/>
              <w:rPr>
                <w:sz w:val="20"/>
                <w:szCs w:val="20"/>
                <w:color w:val="auto"/>
              </w:rPr>
            </w:pPr>
            <w:r>
              <w:rPr>
                <w:rFonts w:ascii="Arial" w:cs="Arial" w:eastAsia="Arial" w:hAnsi="Arial"/>
                <w:sz w:val="14"/>
                <w:szCs w:val="14"/>
                <w:b w:val="1"/>
                <w:bCs w:val="1"/>
                <w:color w:val="auto"/>
              </w:rPr>
              <w:t>Gross</w:t>
            </w: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10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3"/>
              </w:rPr>
              <w:t>Accumulated</w:t>
            </w:r>
          </w:p>
        </w:tc>
        <w:tc>
          <w:tcPr>
            <w:tcW w:w="140" w:type="dxa"/>
            <w:vAlign w:val="bottom"/>
          </w:tcPr>
          <w:p>
            <w:pPr>
              <w:spacing w:after="0"/>
              <w:rPr>
                <w:sz w:val="13"/>
                <w:szCs w:val="13"/>
                <w:color w:val="auto"/>
              </w:rPr>
            </w:pP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7"/>
              </w:rPr>
              <w:t>Net</w:t>
            </w:r>
          </w:p>
        </w:tc>
        <w:tc>
          <w:tcPr>
            <w:tcW w:w="140" w:type="dxa"/>
            <w:vAlign w:val="bottom"/>
          </w:tcPr>
          <w:p>
            <w:pPr>
              <w:spacing w:after="0"/>
              <w:rPr>
                <w:sz w:val="13"/>
                <w:szCs w:val="13"/>
                <w:color w:val="auto"/>
              </w:rPr>
            </w:pP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13"/>
                <w:szCs w:val="13"/>
                <w:color w:val="auto"/>
              </w:rPr>
            </w:pPr>
          </w:p>
        </w:tc>
        <w:tc>
          <w:tcPr>
            <w:tcW w:w="1140" w:type="dxa"/>
            <w:vAlign w:val="bottom"/>
            <w:gridSpan w:val="2"/>
          </w:tcPr>
          <w:p>
            <w:pPr>
              <w:jc w:val="center"/>
              <w:ind w:right="220"/>
              <w:spacing w:after="0" w:line="153" w:lineRule="exact"/>
              <w:rPr>
                <w:sz w:val="20"/>
                <w:szCs w:val="20"/>
                <w:color w:val="auto"/>
              </w:rPr>
            </w:pPr>
            <w:r>
              <w:rPr>
                <w:rFonts w:ascii="Arial" w:cs="Arial" w:eastAsia="Arial" w:hAnsi="Arial"/>
                <w:sz w:val="14"/>
                <w:szCs w:val="14"/>
                <w:b w:val="1"/>
                <w:bCs w:val="1"/>
                <w:color w:val="auto"/>
                <w:w w:val="90"/>
              </w:rPr>
              <w:t>Accumulated</w:t>
            </w:r>
          </w:p>
        </w:tc>
        <w:tc>
          <w:tcPr>
            <w:tcW w:w="160" w:type="dxa"/>
            <w:vAlign w:val="bottom"/>
          </w:tcPr>
          <w:p>
            <w:pPr>
              <w:spacing w:after="0"/>
              <w:rPr>
                <w:sz w:val="13"/>
                <w:szCs w:val="13"/>
                <w:color w:val="auto"/>
              </w:rPr>
            </w:pPr>
          </w:p>
        </w:tc>
        <w:tc>
          <w:tcPr>
            <w:tcW w:w="860" w:type="dxa"/>
            <w:vAlign w:val="bottom"/>
            <w:vMerge w:val="restart"/>
          </w:tcPr>
          <w:p>
            <w:pPr>
              <w:jc w:val="right"/>
              <w:ind w:right="319"/>
              <w:spacing w:after="0"/>
              <w:rPr>
                <w:sz w:val="20"/>
                <w:szCs w:val="20"/>
                <w:color w:val="auto"/>
              </w:rPr>
            </w:pPr>
            <w:r>
              <w:rPr>
                <w:rFonts w:ascii="Arial" w:cs="Arial" w:eastAsia="Arial" w:hAnsi="Arial"/>
                <w:sz w:val="14"/>
                <w:szCs w:val="14"/>
                <w:b w:val="1"/>
                <w:bCs w:val="1"/>
                <w:color w:val="auto"/>
              </w:rPr>
              <w:t>Net</w:t>
            </w:r>
          </w:p>
        </w:tc>
        <w:tc>
          <w:tcPr>
            <w:tcW w:w="0" w:type="dxa"/>
            <w:vAlign w:val="bottom"/>
          </w:tcPr>
          <w:p>
            <w:pPr>
              <w:spacing w:after="0"/>
              <w:rPr>
                <w:sz w:val="1"/>
                <w:szCs w:val="1"/>
                <w:color w:val="auto"/>
              </w:rPr>
            </w:pPr>
          </w:p>
        </w:tc>
      </w:tr>
      <w:tr>
        <w:trPr>
          <w:trHeight w:val="149"/>
        </w:trPr>
        <w:tc>
          <w:tcPr>
            <w:tcW w:w="3540" w:type="dxa"/>
            <w:vAlign w:val="bottom"/>
          </w:tcPr>
          <w:p>
            <w:pPr>
              <w:spacing w:after="0"/>
              <w:rPr>
                <w:sz w:val="12"/>
                <w:szCs w:val="12"/>
                <w:color w:val="auto"/>
              </w:rPr>
            </w:pPr>
          </w:p>
        </w:tc>
        <w:tc>
          <w:tcPr>
            <w:tcW w:w="1160" w:type="dxa"/>
            <w:vAlign w:val="bottom"/>
            <w:gridSpan w:val="2"/>
            <w:vMerge w:val="restart"/>
          </w:tcPr>
          <w:p>
            <w:pPr>
              <w:ind w:left="260"/>
              <w:spacing w:after="0"/>
              <w:rPr>
                <w:sz w:val="20"/>
                <w:szCs w:val="20"/>
                <w:color w:val="auto"/>
              </w:rPr>
            </w:pPr>
            <w:r>
              <w:rPr>
                <w:rFonts w:ascii="Arial" w:cs="Arial" w:eastAsia="Arial" w:hAnsi="Arial"/>
                <w:sz w:val="14"/>
                <w:szCs w:val="14"/>
                <w:b w:val="1"/>
                <w:bCs w:val="1"/>
                <w:color w:val="auto"/>
              </w:rPr>
              <w:t>Range of</w:t>
            </w:r>
          </w:p>
        </w:tc>
        <w:tc>
          <w:tcPr>
            <w:tcW w:w="200" w:type="dxa"/>
            <w:vAlign w:val="bottom"/>
          </w:tcPr>
          <w:p>
            <w:pPr>
              <w:spacing w:after="0"/>
              <w:rPr>
                <w:sz w:val="12"/>
                <w:szCs w:val="12"/>
                <w:color w:val="auto"/>
              </w:rPr>
            </w:pPr>
          </w:p>
        </w:tc>
        <w:tc>
          <w:tcPr>
            <w:tcW w:w="8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5"/>
              </w:rPr>
              <w:t>Amortization</w:t>
            </w:r>
          </w:p>
        </w:tc>
        <w:tc>
          <w:tcPr>
            <w:tcW w:w="140" w:type="dxa"/>
            <w:vAlign w:val="bottom"/>
          </w:tcPr>
          <w:p>
            <w:pPr>
              <w:spacing w:after="0"/>
              <w:rPr>
                <w:sz w:val="12"/>
                <w:szCs w:val="12"/>
                <w:color w:val="auto"/>
              </w:rPr>
            </w:pPr>
          </w:p>
        </w:tc>
        <w:tc>
          <w:tcPr>
            <w:tcW w:w="88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8"/>
              </w:rPr>
              <w:t>Amortization</w:t>
            </w:r>
          </w:p>
        </w:tc>
        <w:tc>
          <w:tcPr>
            <w:tcW w:w="160" w:type="dxa"/>
            <w:vAlign w:val="bottom"/>
          </w:tcPr>
          <w:p>
            <w:pPr>
              <w:spacing w:after="0"/>
              <w:rPr>
                <w:sz w:val="12"/>
                <w:szCs w:val="12"/>
                <w:color w:val="auto"/>
              </w:rPr>
            </w:pPr>
          </w:p>
        </w:tc>
        <w:tc>
          <w:tcPr>
            <w:tcW w:w="8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40" w:type="dxa"/>
            <w:vAlign w:val="bottom"/>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tcPr>
          <w:p>
            <w:pPr>
              <w:jc w:val="right"/>
              <w:ind w:right="179"/>
              <w:spacing w:after="0" w:line="149" w:lineRule="exact"/>
              <w:rPr>
                <w:sz w:val="20"/>
                <w:szCs w:val="20"/>
                <w:color w:val="auto"/>
              </w:rPr>
            </w:pPr>
            <w:r>
              <w:rPr>
                <w:rFonts w:ascii="Arial" w:cs="Arial" w:eastAsia="Arial" w:hAnsi="Arial"/>
                <w:sz w:val="14"/>
                <w:szCs w:val="14"/>
                <w:b w:val="1"/>
                <w:bCs w:val="1"/>
                <w:color w:val="auto"/>
              </w:rPr>
              <w:t>Carrying</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00" w:type="dxa"/>
            <w:vAlign w:val="bottom"/>
            <w:gridSpan w:val="2"/>
          </w:tcPr>
          <w:p>
            <w:pPr>
              <w:ind w:left="320"/>
              <w:spacing w:after="0" w:line="149" w:lineRule="exact"/>
              <w:rPr>
                <w:sz w:val="20"/>
                <w:szCs w:val="20"/>
                <w:color w:val="auto"/>
              </w:rPr>
            </w:pPr>
            <w:r>
              <w:rPr>
                <w:rFonts w:ascii="Arial" w:cs="Arial" w:eastAsia="Arial" w:hAnsi="Arial"/>
                <w:sz w:val="14"/>
                <w:szCs w:val="14"/>
                <w:b w:val="1"/>
                <w:bCs w:val="1"/>
                <w:color w:val="auto"/>
              </w:rPr>
              <w:t>and</w:t>
            </w:r>
          </w:p>
        </w:tc>
        <w:tc>
          <w:tcPr>
            <w:tcW w:w="140" w:type="dxa"/>
            <w:vAlign w:val="bottom"/>
          </w:tcPr>
          <w:p>
            <w:pPr>
              <w:spacing w:after="0"/>
              <w:rPr>
                <w:sz w:val="12"/>
                <w:szCs w:val="12"/>
                <w:color w:val="auto"/>
              </w:rPr>
            </w:pPr>
          </w:p>
        </w:tc>
        <w:tc>
          <w:tcPr>
            <w:tcW w:w="8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2"/>
                <w:szCs w:val="12"/>
                <w:color w:val="auto"/>
              </w:rPr>
            </w:pPr>
          </w:p>
        </w:tc>
        <w:tc>
          <w:tcPr>
            <w:tcW w:w="8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rPr>
              <w:t>Carrying</w:t>
            </w:r>
          </w:p>
        </w:tc>
        <w:tc>
          <w:tcPr>
            <w:tcW w:w="100" w:type="dxa"/>
            <w:vAlign w:val="bottom"/>
          </w:tcPr>
          <w:p>
            <w:pPr>
              <w:spacing w:after="0"/>
              <w:rPr>
                <w:sz w:val="12"/>
                <w:szCs w:val="12"/>
                <w:color w:val="auto"/>
              </w:rPr>
            </w:pPr>
          </w:p>
        </w:tc>
        <w:tc>
          <w:tcPr>
            <w:tcW w:w="114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and</w:t>
            </w:r>
          </w:p>
        </w:tc>
        <w:tc>
          <w:tcPr>
            <w:tcW w:w="160" w:type="dxa"/>
            <w:vAlign w:val="bottom"/>
          </w:tcPr>
          <w:p>
            <w:pPr>
              <w:spacing w:after="0"/>
              <w:rPr>
                <w:sz w:val="12"/>
                <w:szCs w:val="12"/>
                <w:color w:val="auto"/>
              </w:rPr>
            </w:pPr>
          </w:p>
        </w:tc>
        <w:tc>
          <w:tcPr>
            <w:tcW w:w="860" w:type="dxa"/>
            <w:vAlign w:val="bottom"/>
          </w:tcPr>
          <w:p>
            <w:pPr>
              <w:jc w:val="right"/>
              <w:ind w:right="139"/>
              <w:spacing w:after="0" w:line="149" w:lineRule="exact"/>
              <w:rPr>
                <w:sz w:val="20"/>
                <w:szCs w:val="20"/>
                <w:color w:val="auto"/>
              </w:rPr>
            </w:pPr>
            <w:r>
              <w:rPr>
                <w:rFonts w:ascii="Arial" w:cs="Arial" w:eastAsia="Arial" w:hAnsi="Arial"/>
                <w:sz w:val="14"/>
                <w:szCs w:val="14"/>
                <w:b w:val="1"/>
                <w:bCs w:val="1"/>
                <w:color w:val="auto"/>
              </w:rPr>
              <w:t>Carrying</w:t>
            </w:r>
          </w:p>
        </w:tc>
        <w:tc>
          <w:tcPr>
            <w:tcW w:w="0" w:type="dxa"/>
            <w:vAlign w:val="bottom"/>
          </w:tcPr>
          <w:p>
            <w:pPr>
              <w:spacing w:after="0"/>
              <w:rPr>
                <w:sz w:val="1"/>
                <w:szCs w:val="1"/>
                <w:color w:val="auto"/>
              </w:rPr>
            </w:pPr>
          </w:p>
        </w:tc>
      </w:tr>
      <w:tr>
        <w:trPr>
          <w:trHeight w:val="192"/>
        </w:trPr>
        <w:tc>
          <w:tcPr>
            <w:tcW w:w="3540" w:type="dxa"/>
            <w:vAlign w:val="bottom"/>
            <w:tcBorders>
              <w:bottom w:val="single" w:sz="8" w:color="CCEEFF"/>
            </w:tcBorders>
          </w:tcPr>
          <w:p>
            <w:pPr>
              <w:spacing w:after="0"/>
              <w:rPr>
                <w:sz w:val="16"/>
                <w:szCs w:val="16"/>
                <w:color w:val="auto"/>
              </w:rPr>
            </w:pPr>
          </w:p>
        </w:tc>
        <w:tc>
          <w:tcPr>
            <w:tcW w:w="1040" w:type="dxa"/>
            <w:vAlign w:val="bottom"/>
            <w:tcBorders>
              <w:bottom w:val="single" w:sz="8" w:color="auto"/>
            </w:tcBorders>
          </w:tcPr>
          <w:p>
            <w:pPr>
              <w:ind w:left="140"/>
              <w:spacing w:after="0"/>
              <w:rPr>
                <w:sz w:val="20"/>
                <w:szCs w:val="20"/>
                <w:color w:val="auto"/>
              </w:rPr>
            </w:pPr>
            <w:r>
              <w:rPr>
                <w:rFonts w:ascii="Arial" w:cs="Arial" w:eastAsia="Arial" w:hAnsi="Arial"/>
                <w:sz w:val="14"/>
                <w:szCs w:val="14"/>
                <w:b w:val="1"/>
                <w:bCs w:val="1"/>
                <w:color w:val="auto"/>
              </w:rPr>
              <w:t>Useful Lives</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w w:val="98"/>
              </w:rPr>
              <w:t>Amounts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center"/>
              <w:ind w:right="60"/>
              <w:spacing w:after="0"/>
              <w:rPr>
                <w:sz w:val="20"/>
                <w:szCs w:val="20"/>
                <w:color w:val="auto"/>
              </w:rPr>
            </w:pPr>
            <w:r>
              <w:rPr>
                <w:rFonts w:ascii="Arial" w:cs="Arial" w:eastAsia="Arial" w:hAnsi="Arial"/>
                <w:sz w:val="14"/>
                <w:szCs w:val="14"/>
                <w:b w:val="1"/>
                <w:bCs w:val="1"/>
                <w:color w:val="auto"/>
                <w:w w:val="97"/>
              </w:rPr>
              <w:t>Write-Offs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center"/>
              <w:ind w:right="21"/>
              <w:spacing w:after="0"/>
              <w:rPr>
                <w:sz w:val="20"/>
                <w:szCs w:val="20"/>
                <w:color w:val="auto"/>
              </w:rPr>
            </w:pPr>
            <w:r>
              <w:rPr>
                <w:rFonts w:ascii="Arial" w:cs="Arial" w:eastAsia="Arial" w:hAnsi="Arial"/>
                <w:sz w:val="14"/>
                <w:szCs w:val="14"/>
                <w:b w:val="1"/>
                <w:bCs w:val="1"/>
                <w:color w:val="auto"/>
              </w:rPr>
              <w:t>Write-Offs</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w w:val="98"/>
              </w:rPr>
              <w:t>Amounts</w:t>
            </w:r>
          </w:p>
        </w:tc>
        <w:tc>
          <w:tcPr>
            <w:tcW w:w="0" w:type="dxa"/>
            <w:vAlign w:val="bottom"/>
          </w:tcPr>
          <w:p>
            <w:pPr>
              <w:spacing w:after="0"/>
              <w:rPr>
                <w:sz w:val="1"/>
                <w:szCs w:val="1"/>
                <w:color w:val="auto"/>
              </w:rPr>
            </w:pPr>
          </w:p>
        </w:tc>
      </w:tr>
      <w:tr>
        <w:trPr>
          <w:trHeight w:val="250"/>
        </w:trPr>
        <w:tc>
          <w:tcPr>
            <w:tcW w:w="3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Purchased and core technology</w:t>
            </w:r>
          </w:p>
        </w:tc>
        <w:tc>
          <w:tcPr>
            <w:tcW w:w="1160" w:type="dxa"/>
            <w:vAlign w:val="bottom"/>
            <w:tcBorders>
              <w:bottom w:val="single" w:sz="8" w:color="CCEEFF"/>
            </w:tcBorders>
            <w:gridSpan w:val="2"/>
            <w:shd w:val="clear" w:color="auto" w:fill="CCEEFF"/>
          </w:tcPr>
          <w:p>
            <w:pPr>
              <w:ind w:left="260"/>
              <w:spacing w:after="0"/>
              <w:rPr>
                <w:sz w:val="20"/>
                <w:szCs w:val="20"/>
                <w:color w:val="auto"/>
              </w:rPr>
            </w:pPr>
            <w:r>
              <w:rPr>
                <w:rFonts w:ascii="Arial" w:cs="Arial" w:eastAsia="Arial" w:hAnsi="Arial"/>
                <w:sz w:val="18"/>
                <w:szCs w:val="18"/>
                <w:color w:val="auto"/>
              </w:rPr>
              <w:t>4 - 8 years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25,798</w:t>
            </w:r>
          </w:p>
        </w:tc>
        <w:tc>
          <w:tcPr>
            <w:tcW w:w="24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w w:val="95"/>
              </w:rPr>
              <w:t>(22,227)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3,571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25,798</w:t>
            </w:r>
          </w:p>
        </w:tc>
        <w:tc>
          <w:tcPr>
            <w:tcW w:w="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w w:val="95"/>
              </w:rPr>
              <w:t>(17,950)</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7,848</w:t>
            </w:r>
          </w:p>
        </w:tc>
        <w:tc>
          <w:tcPr>
            <w:tcW w:w="0" w:type="dxa"/>
            <w:vAlign w:val="bottom"/>
          </w:tcPr>
          <w:p>
            <w:pPr>
              <w:spacing w:after="0"/>
              <w:rPr>
                <w:sz w:val="1"/>
                <w:szCs w:val="1"/>
                <w:color w:val="auto"/>
              </w:rPr>
            </w:pPr>
          </w:p>
        </w:tc>
      </w:tr>
      <w:tr>
        <w:trPr>
          <w:trHeight w:val="243"/>
        </w:trPr>
        <w:tc>
          <w:tcPr>
            <w:tcW w:w="3540" w:type="dxa"/>
            <w:vAlign w:val="bottom"/>
          </w:tcPr>
          <w:p>
            <w:pPr>
              <w:ind w:left="40"/>
              <w:spacing w:after="0"/>
              <w:rPr>
                <w:sz w:val="20"/>
                <w:szCs w:val="20"/>
                <w:color w:val="auto"/>
              </w:rPr>
            </w:pPr>
            <w:r>
              <w:rPr>
                <w:rFonts w:ascii="Arial" w:cs="Arial" w:eastAsia="Arial" w:hAnsi="Arial"/>
                <w:sz w:val="18"/>
                <w:szCs w:val="18"/>
                <w:color w:val="auto"/>
              </w:rPr>
              <w:t>Customer intangibles</w:t>
            </w:r>
          </w:p>
        </w:tc>
        <w:tc>
          <w:tcPr>
            <w:tcW w:w="1160" w:type="dxa"/>
            <w:vAlign w:val="bottom"/>
            <w:gridSpan w:val="2"/>
          </w:tcPr>
          <w:p>
            <w:pPr>
              <w:ind w:left="260"/>
              <w:spacing w:after="0"/>
              <w:rPr>
                <w:sz w:val="20"/>
                <w:szCs w:val="20"/>
                <w:color w:val="auto"/>
              </w:rPr>
            </w:pPr>
            <w:r>
              <w:rPr>
                <w:rFonts w:ascii="Arial" w:cs="Arial" w:eastAsia="Arial" w:hAnsi="Arial"/>
                <w:sz w:val="18"/>
                <w:szCs w:val="18"/>
                <w:color w:val="auto"/>
              </w:rPr>
              <w:t>5 - 7 years</w:t>
            </w:r>
          </w:p>
        </w:tc>
        <w:tc>
          <w:tcPr>
            <w:tcW w:w="200" w:type="dxa"/>
            <w:vAlign w:val="bottom"/>
          </w:tcPr>
          <w:p>
            <w:pPr>
              <w:spacing w:after="0"/>
              <w:rPr>
                <w:sz w:val="21"/>
                <w:szCs w:val="21"/>
                <w:color w:val="auto"/>
              </w:rPr>
            </w:pPr>
          </w:p>
        </w:tc>
        <w:tc>
          <w:tcPr>
            <w:tcW w:w="880" w:type="dxa"/>
            <w:vAlign w:val="bottom"/>
          </w:tcPr>
          <w:p>
            <w:pPr>
              <w:jc w:val="right"/>
              <w:ind w:right="39"/>
              <w:spacing w:after="0"/>
              <w:rPr>
                <w:sz w:val="20"/>
                <w:szCs w:val="20"/>
                <w:color w:val="auto"/>
              </w:rPr>
            </w:pPr>
            <w:r>
              <w:rPr>
                <w:rFonts w:ascii="Arial" w:cs="Arial" w:eastAsia="Arial" w:hAnsi="Arial"/>
                <w:sz w:val="18"/>
                <w:szCs w:val="18"/>
                <w:color w:val="auto"/>
              </w:rPr>
              <w:t>24,700</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ind w:left="340"/>
              <w:spacing w:after="0"/>
              <w:rPr>
                <w:sz w:val="20"/>
                <w:szCs w:val="20"/>
                <w:color w:val="auto"/>
              </w:rPr>
            </w:pPr>
            <w:r>
              <w:rPr>
                <w:rFonts w:ascii="Arial" w:cs="Arial" w:eastAsia="Arial" w:hAnsi="Arial"/>
                <w:sz w:val="18"/>
                <w:szCs w:val="18"/>
                <w:color w:val="auto"/>
                <w:w w:val="95"/>
              </w:rPr>
              <w:t>(24,700)</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760" w:type="dxa"/>
            <w:vAlign w:val="bottom"/>
          </w:tcPr>
          <w:p>
            <w:pPr>
              <w:jc w:val="right"/>
              <w:ind w:right="19"/>
              <w:spacing w:after="0"/>
              <w:rPr>
                <w:sz w:val="20"/>
                <w:szCs w:val="20"/>
                <w:color w:val="auto"/>
              </w:rPr>
            </w:pPr>
            <w:r>
              <w:rPr>
                <w:rFonts w:ascii="Arial" w:cs="Arial" w:eastAsia="Arial" w:hAnsi="Arial"/>
                <w:sz w:val="18"/>
                <w:szCs w:val="18"/>
                <w:color w:val="auto"/>
              </w:rPr>
              <w:t>24,700</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20" w:type="dxa"/>
            <w:vAlign w:val="bottom"/>
          </w:tcPr>
          <w:p>
            <w:pPr>
              <w:ind w:left="360"/>
              <w:spacing w:after="0"/>
              <w:rPr>
                <w:sz w:val="20"/>
                <w:szCs w:val="20"/>
                <w:color w:val="auto"/>
              </w:rPr>
            </w:pPr>
            <w:r>
              <w:rPr>
                <w:rFonts w:ascii="Arial" w:cs="Arial" w:eastAsia="Arial" w:hAnsi="Arial"/>
                <w:sz w:val="18"/>
                <w:szCs w:val="18"/>
                <w:color w:val="auto"/>
                <w:w w:val="95"/>
              </w:rPr>
              <w:t>(20,601)</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60" w:type="dxa"/>
            <w:vAlign w:val="bottom"/>
          </w:tcPr>
          <w:p>
            <w:pPr>
              <w:jc w:val="right"/>
              <w:ind w:right="19"/>
              <w:spacing w:after="0"/>
              <w:rPr>
                <w:sz w:val="20"/>
                <w:szCs w:val="20"/>
                <w:color w:val="auto"/>
              </w:rPr>
            </w:pPr>
            <w:r>
              <w:rPr>
                <w:rFonts w:ascii="Arial" w:cs="Arial" w:eastAsia="Arial" w:hAnsi="Arial"/>
                <w:sz w:val="18"/>
                <w:szCs w:val="18"/>
                <w:color w:val="auto"/>
              </w:rPr>
              <w:t>4,099</w:t>
            </w:r>
          </w:p>
        </w:tc>
        <w:tc>
          <w:tcPr>
            <w:tcW w:w="0" w:type="dxa"/>
            <w:vAlign w:val="bottom"/>
          </w:tcPr>
          <w:p>
            <w:pPr>
              <w:spacing w:after="0"/>
              <w:rPr>
                <w:sz w:val="1"/>
                <w:szCs w:val="1"/>
                <w:color w:val="auto"/>
              </w:rPr>
            </w:pPr>
          </w:p>
        </w:tc>
      </w:tr>
      <w:tr>
        <w:trPr>
          <w:trHeight w:val="27"/>
        </w:trPr>
        <w:tc>
          <w:tcPr>
            <w:tcW w:w="3540" w:type="dxa"/>
            <w:vAlign w:val="bottom"/>
            <w:tcBorders>
              <w:bottom w:val="single" w:sz="8" w:color="CCEEFF"/>
            </w:tcBorders>
          </w:tcPr>
          <w:p>
            <w:pPr>
              <w:spacing w:after="0"/>
              <w:rPr>
                <w:sz w:val="2"/>
                <w:szCs w:val="2"/>
                <w:color w:val="auto"/>
              </w:rPr>
            </w:pPr>
          </w:p>
        </w:tc>
        <w:tc>
          <w:tcPr>
            <w:tcW w:w="104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35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Total acquired intangible assets from</w:t>
            </w:r>
          </w:p>
        </w:tc>
        <w:tc>
          <w:tcPr>
            <w:tcW w:w="10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vMerge w:val="restart"/>
            <w:shd w:val="clear" w:color="auto" w:fill="CCEEFF"/>
          </w:tcPr>
          <w:p>
            <w:pPr>
              <w:jc w:val="right"/>
              <w:ind w:right="39"/>
              <w:spacing w:after="0"/>
              <w:rPr>
                <w:sz w:val="20"/>
                <w:szCs w:val="20"/>
                <w:color w:val="auto"/>
              </w:rPr>
            </w:pPr>
            <w:r>
              <w:rPr>
                <w:rFonts w:ascii="Arial" w:cs="Arial" w:eastAsia="Arial" w:hAnsi="Arial"/>
                <w:sz w:val="18"/>
                <w:szCs w:val="18"/>
                <w:color w:val="auto"/>
              </w:rPr>
              <w:t>50,498</w:t>
            </w:r>
          </w:p>
        </w:tc>
        <w:tc>
          <w:tcPr>
            <w:tcW w:w="24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00" w:type="dxa"/>
            <w:vAlign w:val="bottom"/>
            <w:vMerge w:val="restart"/>
            <w:shd w:val="clear" w:color="auto" w:fill="CCEEFF"/>
          </w:tcPr>
          <w:p>
            <w:pPr>
              <w:ind w:left="340"/>
              <w:spacing w:after="0"/>
              <w:rPr>
                <w:sz w:val="20"/>
                <w:szCs w:val="20"/>
                <w:color w:val="auto"/>
              </w:rPr>
            </w:pPr>
            <w:r>
              <w:rPr>
                <w:rFonts w:ascii="Arial" w:cs="Arial" w:eastAsia="Arial" w:hAnsi="Arial"/>
                <w:sz w:val="18"/>
                <w:szCs w:val="18"/>
                <w:color w:val="auto"/>
                <w:w w:val="95"/>
              </w:rPr>
              <w:t>(46,927)</w:t>
            </w:r>
          </w:p>
        </w:tc>
        <w:tc>
          <w:tcPr>
            <w:tcW w:w="100" w:type="dxa"/>
            <w:vAlign w:val="bottom"/>
            <w:shd w:val="clear" w:color="auto" w:fill="CCEEFF"/>
          </w:tcPr>
          <w:p>
            <w:pPr>
              <w:spacing w:after="0"/>
              <w:rPr>
                <w:sz w:val="18"/>
                <w:szCs w:val="18"/>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80" w:type="dxa"/>
            <w:vAlign w:val="bottom"/>
            <w:vMerge w:val="restart"/>
            <w:shd w:val="clear" w:color="auto" w:fill="CCEEFF"/>
          </w:tcPr>
          <w:p>
            <w:pPr>
              <w:jc w:val="right"/>
              <w:ind w:right="39"/>
              <w:spacing w:after="0"/>
              <w:rPr>
                <w:sz w:val="20"/>
                <w:szCs w:val="20"/>
                <w:color w:val="auto"/>
              </w:rPr>
            </w:pPr>
            <w:r>
              <w:rPr>
                <w:rFonts w:ascii="Arial" w:cs="Arial" w:eastAsia="Arial" w:hAnsi="Arial"/>
                <w:sz w:val="18"/>
                <w:szCs w:val="18"/>
                <w:color w:val="auto"/>
              </w:rPr>
              <w:t>3,571</w:t>
            </w:r>
          </w:p>
        </w:tc>
        <w:tc>
          <w:tcPr>
            <w:tcW w:w="100" w:type="dxa"/>
            <w:vAlign w:val="bottom"/>
            <w:shd w:val="clear" w:color="auto" w:fill="CCEEFF"/>
          </w:tcPr>
          <w:p>
            <w:pPr>
              <w:spacing w:after="0"/>
              <w:rPr>
                <w:sz w:val="18"/>
                <w:szCs w:val="18"/>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60" w:type="dxa"/>
            <w:vAlign w:val="bottom"/>
            <w:vMerge w:val="restart"/>
            <w:shd w:val="clear" w:color="auto" w:fill="CCEEFF"/>
          </w:tcPr>
          <w:p>
            <w:pPr>
              <w:jc w:val="right"/>
              <w:ind w:right="19"/>
              <w:spacing w:after="0"/>
              <w:rPr>
                <w:sz w:val="20"/>
                <w:szCs w:val="20"/>
                <w:color w:val="auto"/>
              </w:rPr>
            </w:pPr>
            <w:r>
              <w:rPr>
                <w:rFonts w:ascii="Arial" w:cs="Arial" w:eastAsia="Arial" w:hAnsi="Arial"/>
                <w:sz w:val="18"/>
                <w:szCs w:val="18"/>
                <w:color w:val="auto"/>
              </w:rPr>
              <w:t>50,498</w:t>
            </w:r>
          </w:p>
        </w:tc>
        <w:tc>
          <w:tcPr>
            <w:tcW w:w="120" w:type="dxa"/>
            <w:vAlign w:val="bottom"/>
            <w:shd w:val="clear" w:color="auto" w:fill="CCEEFF"/>
          </w:tcPr>
          <w:p>
            <w:pPr>
              <w:spacing w:after="0"/>
              <w:rPr>
                <w:sz w:val="18"/>
                <w:szCs w:val="18"/>
                <w:color w:val="auto"/>
              </w:rPr>
            </w:pPr>
          </w:p>
        </w:tc>
        <w:tc>
          <w:tcPr>
            <w:tcW w:w="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vMerge w:val="restart"/>
            <w:shd w:val="clear" w:color="auto" w:fill="CCEEFF"/>
          </w:tcPr>
          <w:p>
            <w:pPr>
              <w:ind w:left="360"/>
              <w:spacing w:after="0"/>
              <w:rPr>
                <w:sz w:val="20"/>
                <w:szCs w:val="20"/>
                <w:color w:val="auto"/>
              </w:rPr>
            </w:pPr>
            <w:r>
              <w:rPr>
                <w:rFonts w:ascii="Arial" w:cs="Arial" w:eastAsia="Arial" w:hAnsi="Arial"/>
                <w:sz w:val="18"/>
                <w:szCs w:val="18"/>
                <w:color w:val="auto"/>
                <w:w w:val="95"/>
              </w:rPr>
              <w:t>(38,551)</w:t>
            </w:r>
          </w:p>
        </w:tc>
        <w:tc>
          <w:tcPr>
            <w:tcW w:w="120" w:type="dxa"/>
            <w:vAlign w:val="bottom"/>
            <w:shd w:val="clear" w:color="auto" w:fill="CCEEFF"/>
          </w:tcPr>
          <w:p>
            <w:pPr>
              <w:spacing w:after="0"/>
              <w:rPr>
                <w:sz w:val="18"/>
                <w:szCs w:val="18"/>
                <w:color w:val="auto"/>
              </w:rPr>
            </w:pP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vMerge w:val="restart"/>
            <w:shd w:val="clear" w:color="auto" w:fill="CCEEFF"/>
          </w:tcPr>
          <w:p>
            <w:pPr>
              <w:jc w:val="right"/>
              <w:ind w:right="19"/>
              <w:spacing w:after="0"/>
              <w:rPr>
                <w:sz w:val="20"/>
                <w:szCs w:val="20"/>
                <w:color w:val="auto"/>
              </w:rPr>
            </w:pPr>
            <w:r>
              <w:rPr>
                <w:rFonts w:ascii="Arial" w:cs="Arial" w:eastAsia="Arial" w:hAnsi="Arial"/>
                <w:sz w:val="18"/>
                <w:szCs w:val="18"/>
                <w:color w:val="auto"/>
              </w:rPr>
              <w:t>11,947</w:t>
            </w:r>
          </w:p>
        </w:tc>
        <w:tc>
          <w:tcPr>
            <w:tcW w:w="0" w:type="dxa"/>
            <w:vAlign w:val="bottom"/>
          </w:tcPr>
          <w:p>
            <w:pPr>
              <w:spacing w:after="0"/>
              <w:rPr>
                <w:sz w:val="1"/>
                <w:szCs w:val="1"/>
                <w:color w:val="auto"/>
              </w:rPr>
            </w:pPr>
          </w:p>
        </w:tc>
      </w:tr>
      <w:tr>
        <w:trPr>
          <w:trHeight w:val="237"/>
        </w:trPr>
        <w:tc>
          <w:tcPr>
            <w:tcW w:w="35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continuing operations, net</w:t>
            </w:r>
          </w:p>
        </w:tc>
        <w:tc>
          <w:tcPr>
            <w:tcW w:w="10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vMerge w:val="continue"/>
            <w:shd w:val="clear" w:color="auto" w:fill="CCEEFF"/>
          </w:tcPr>
          <w:p>
            <w:pPr>
              <w:spacing w:after="0"/>
              <w:rPr>
                <w:sz w:val="20"/>
                <w:szCs w:val="20"/>
                <w:color w:val="auto"/>
              </w:rPr>
            </w:pPr>
          </w:p>
        </w:tc>
        <w:tc>
          <w:tcPr>
            <w:tcW w:w="880" w:type="dxa"/>
            <w:vAlign w:val="bottom"/>
            <w:vMerge w:val="continue"/>
            <w:shd w:val="clear" w:color="auto" w:fill="CCEEFF"/>
          </w:tcPr>
          <w:p>
            <w:pPr>
              <w:spacing w:after="0"/>
              <w:rPr>
                <w:sz w:val="20"/>
                <w:szCs w:val="20"/>
                <w:color w:val="auto"/>
              </w:rPr>
            </w:pPr>
          </w:p>
        </w:tc>
        <w:tc>
          <w:tcPr>
            <w:tcW w:w="240" w:type="dxa"/>
            <w:vAlign w:val="bottom"/>
            <w:gridSpan w:val="2"/>
            <w:vMerge w:val="continue"/>
            <w:shd w:val="clear" w:color="auto" w:fill="CCEEFF"/>
          </w:tcPr>
          <w:p>
            <w:pPr>
              <w:spacing w:after="0"/>
              <w:rPr>
                <w:sz w:val="20"/>
                <w:szCs w:val="20"/>
                <w:color w:val="auto"/>
              </w:rPr>
            </w:pPr>
          </w:p>
        </w:tc>
        <w:tc>
          <w:tcPr>
            <w:tcW w:w="1000" w:type="dxa"/>
            <w:vAlign w:val="bottom"/>
            <w:vMerge w:val="continue"/>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780" w:type="dxa"/>
            <w:vAlign w:val="bottom"/>
            <w:vMerge w:val="continue"/>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760" w:type="dxa"/>
            <w:vAlign w:val="bottom"/>
            <w:vMerge w:val="continue"/>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vMerge w:val="continue"/>
            <w:shd w:val="clear" w:color="auto" w:fill="CCEEFF"/>
          </w:tcPr>
          <w:p>
            <w:pPr>
              <w:spacing w:after="0"/>
              <w:rPr>
                <w:sz w:val="20"/>
                <w:szCs w:val="20"/>
                <w:color w:val="auto"/>
              </w:rPr>
            </w:pPr>
          </w:p>
        </w:tc>
        <w:tc>
          <w:tcPr>
            <w:tcW w:w="1020" w:type="dxa"/>
            <w:vAlign w:val="bottom"/>
            <w:vMerge w:val="continue"/>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60" w:type="dxa"/>
            <w:vAlign w:val="bottom"/>
            <w:vMerge w:val="continue"/>
            <w:shd w:val="clear" w:color="auto" w:fill="CCEEFF"/>
          </w:tcPr>
          <w:p>
            <w:pPr>
              <w:spacing w:after="0"/>
              <w:rPr>
                <w:sz w:val="20"/>
                <w:szCs w:val="20"/>
                <w:color w:val="auto"/>
              </w:rPr>
            </w:pPr>
          </w:p>
        </w:tc>
        <w:tc>
          <w:tcPr>
            <w:tcW w:w="860" w:type="dxa"/>
            <w:vAlign w:val="bottom"/>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354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100" w:firstLine="432"/>
        <w:spacing w:after="0" w:line="312" w:lineRule="auto"/>
        <w:rPr>
          <w:sz w:val="20"/>
          <w:szCs w:val="20"/>
          <w:color w:val="auto"/>
        </w:rPr>
      </w:pPr>
      <w:r>
        <w:rPr>
          <w:rFonts w:ascii="Arial" w:cs="Arial" w:eastAsia="Arial" w:hAnsi="Arial"/>
          <w:sz w:val="16"/>
          <w:szCs w:val="16"/>
          <w:color w:val="auto"/>
        </w:rPr>
        <w:t>Intangible assets, along with the related accumulated amortization, are removed from the table above at the end of the fiscal year they become fully amortized. The Company recorded charges of $3.4 million to write off IPR&amp;D in fiscal 2015 upon the Company’s decision to discontinue the related project. These impairment charges are included in amortization and write-off of acquired intangible assets in the consolidated statements of operations.</w:t>
      </w:r>
    </w:p>
    <w:p>
      <w:pPr>
        <w:spacing w:after="0" w:line="39"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Based on the identified intangible assets recorded at January 28, 2017, the future amortization expense of identified intangibles for the next five fiscal years is as follows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9360" w:type="dxa"/>
            <w:vAlign w:val="bottom"/>
          </w:tcPr>
          <w:p>
            <w:pPr>
              <w:ind w:left="40"/>
              <w:spacing w:after="0"/>
              <w:rPr>
                <w:sz w:val="20"/>
                <w:szCs w:val="20"/>
                <w:color w:val="auto"/>
              </w:rPr>
            </w:pPr>
            <w:r>
              <w:rPr>
                <w:rFonts w:ascii="Arial" w:cs="Arial" w:eastAsia="Arial" w:hAnsi="Arial"/>
                <w:sz w:val="14"/>
                <w:szCs w:val="14"/>
                <w:b w:val="1"/>
                <w:bCs w:val="1"/>
                <w:color w:val="auto"/>
              </w:rPr>
              <w:t>Fiscal Year</w:t>
            </w:r>
          </w:p>
        </w:tc>
        <w:tc>
          <w:tcPr>
            <w:tcW w:w="8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256"/>
        </w:trPr>
        <w:tc>
          <w:tcPr>
            <w:tcW w:w="9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2018</w:t>
            </w:r>
          </w:p>
        </w:tc>
        <w:tc>
          <w:tcPr>
            <w:tcW w:w="820" w:type="dxa"/>
            <w:vAlign w:val="bottom"/>
            <w:tcBorders>
              <w:bottom w:val="single" w:sz="8" w:color="CCEEFF"/>
            </w:tcBorders>
            <w:shd w:val="clear" w:color="auto" w:fill="CCEEFF"/>
          </w:tcPr>
          <w:p>
            <w:pPr>
              <w:jc w:val="right"/>
              <w:ind w:right="6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3,571</w:t>
            </w:r>
          </w:p>
        </w:tc>
      </w:tr>
      <w:tr>
        <w:trPr>
          <w:trHeight w:val="243"/>
        </w:trPr>
        <w:tc>
          <w:tcPr>
            <w:tcW w:w="9360" w:type="dxa"/>
            <w:vAlign w:val="bottom"/>
          </w:tcPr>
          <w:p>
            <w:pPr>
              <w:ind w:left="40"/>
              <w:spacing w:after="0"/>
              <w:rPr>
                <w:sz w:val="20"/>
                <w:szCs w:val="20"/>
                <w:color w:val="auto"/>
              </w:rPr>
            </w:pPr>
            <w:r>
              <w:rPr>
                <w:rFonts w:ascii="Arial" w:cs="Arial" w:eastAsia="Arial" w:hAnsi="Arial"/>
                <w:sz w:val="18"/>
                <w:szCs w:val="18"/>
                <w:color w:val="auto"/>
              </w:rPr>
              <w:t>2019 and thereafter</w:t>
            </w:r>
          </w:p>
        </w:tc>
        <w:tc>
          <w:tcPr>
            <w:tcW w:w="82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w:t>
            </w:r>
          </w:p>
        </w:tc>
      </w:tr>
      <w:tr>
        <w:trPr>
          <w:trHeight w:val="27"/>
        </w:trPr>
        <w:tc>
          <w:tcPr>
            <w:tcW w:w="9360" w:type="dxa"/>
            <w:vAlign w:val="bottom"/>
            <w:tcBorders>
              <w:bottom w:val="single" w:sz="8" w:color="CCEEFF"/>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9360" w:type="dxa"/>
            <w:vAlign w:val="bottom"/>
            <w:tcBorders>
              <w:bottom w:val="single" w:sz="8" w:color="CCEEFF"/>
            </w:tcBorders>
            <w:shd w:val="clear" w:color="auto" w:fill="CCEEFF"/>
          </w:tcPr>
          <w:p>
            <w:pPr>
              <w:spacing w:after="0"/>
              <w:rPr>
                <w:sz w:val="22"/>
                <w:szCs w:val="22"/>
                <w:color w:val="auto"/>
              </w:rPr>
            </w:pPr>
          </w:p>
        </w:tc>
        <w:tc>
          <w:tcPr>
            <w:tcW w:w="820" w:type="dxa"/>
            <w:vAlign w:val="bottom"/>
            <w:tcBorders>
              <w:bottom w:val="single" w:sz="8" w:color="CCEEFF"/>
            </w:tcBorders>
            <w:shd w:val="clear" w:color="auto" w:fill="CCEEFF"/>
          </w:tcPr>
          <w:p>
            <w:pPr>
              <w:jc w:val="right"/>
              <w:ind w:right="6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3,571</w:t>
            </w:r>
          </w:p>
        </w:tc>
      </w:tr>
      <w:tr>
        <w:trPr>
          <w:trHeight w:val="20"/>
        </w:trPr>
        <w:tc>
          <w:tcPr>
            <w:tcW w:w="936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bl>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Restructuring and Other Related Charges</w:t>
      </w:r>
    </w:p>
    <w:p>
      <w:pPr>
        <w:spacing w:after="0" w:line="121" w:lineRule="exact"/>
        <w:rPr>
          <w:sz w:val="20"/>
          <w:szCs w:val="20"/>
          <w:color w:val="auto"/>
        </w:rPr>
      </w:pPr>
    </w:p>
    <w:p>
      <w:pPr>
        <w:ind w:right="560" w:firstLine="432"/>
        <w:spacing w:after="0" w:line="277"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Consolidated Statements of Operations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6"/>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6"/>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8"/>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10,292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Restructuring and other related charges</w:t>
            </w:r>
          </w:p>
        </w:tc>
        <w:tc>
          <w:tcPr>
            <w:tcW w:w="260" w:type="dxa"/>
            <w:vAlign w:val="bottom"/>
          </w:tcPr>
          <w:p>
            <w:pPr>
              <w:spacing w:after="0"/>
              <w:rPr>
                <w:sz w:val="21"/>
                <w:szCs w:val="21"/>
                <w:color w:val="auto"/>
              </w:rPr>
            </w:pPr>
          </w:p>
        </w:tc>
        <w:tc>
          <w:tcPr>
            <w:tcW w:w="1260" w:type="dxa"/>
            <w:vAlign w:val="bottom"/>
          </w:tcPr>
          <w:p>
            <w:pPr>
              <w:jc w:val="right"/>
              <w:ind w:right="36"/>
              <w:spacing w:after="0"/>
              <w:rPr>
                <w:sz w:val="20"/>
                <w:szCs w:val="20"/>
                <w:color w:val="auto"/>
              </w:rPr>
            </w:pPr>
            <w:r>
              <w:rPr>
                <w:rFonts w:ascii="Arial" w:cs="Arial" w:eastAsia="Arial" w:hAnsi="Arial"/>
                <w:sz w:val="18"/>
                <w:szCs w:val="18"/>
                <w:color w:val="auto"/>
              </w:rPr>
              <w:t>105,186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8"/>
              <w:spacing w:after="0"/>
              <w:rPr>
                <w:sz w:val="20"/>
                <w:szCs w:val="20"/>
                <w:color w:val="auto"/>
              </w:rPr>
            </w:pPr>
            <w:r>
              <w:rPr>
                <w:rFonts w:ascii="Arial" w:cs="Arial" w:eastAsia="Arial" w:hAnsi="Arial"/>
                <w:sz w:val="18"/>
                <w:szCs w:val="18"/>
                <w:color w:val="auto"/>
              </w:rPr>
              <w:t>53,251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10,438</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Write-off of acquired intangible assets</w:t>
            </w:r>
          </w:p>
        </w:tc>
        <w:tc>
          <w:tcPr>
            <w:tcW w:w="26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3,386</w:t>
            </w:r>
          </w:p>
        </w:tc>
      </w:tr>
      <w:tr>
        <w:trPr>
          <w:trHeight w:val="237"/>
        </w:trPr>
        <w:tc>
          <w:tcPr>
            <w:tcW w:w="674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105,186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63,543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13,824</w:t>
            </w:r>
          </w:p>
        </w:tc>
      </w:tr>
      <w:tr>
        <w:trPr>
          <w:trHeight w:val="27"/>
        </w:trPr>
        <w:tc>
          <w:tcPr>
            <w:tcW w:w="674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67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jc w:val="center"/>
        <w:ind w:right="440"/>
        <w:spacing w:after="0"/>
        <w:rPr>
          <w:sz w:val="20"/>
          <w:szCs w:val="20"/>
          <w:color w:val="auto"/>
        </w:rPr>
      </w:pPr>
      <w:r>
        <w:rPr>
          <w:rFonts w:ascii="Arial" w:cs="Arial" w:eastAsia="Arial" w:hAnsi="Arial"/>
          <w:sz w:val="17"/>
          <w:szCs w:val="17"/>
          <w:color w:val="auto"/>
        </w:rPr>
        <w:t>The following table presents details of charges recorded by the Company related to the restructuring actions described below (in thousands):</w:t>
      </w: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391" w:right="239" w:bottom="1440" w:gutter="0" w:footer="0" w:header="0"/>
        </w:sectPr>
      </w:pPr>
    </w:p>
    <w:bookmarkStart w:id="73" w:name="page74"/>
    <w:bookmarkEnd w:id="7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2"/>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2"/>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3"/>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Severance and related costs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41,035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43,926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5,181</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Facilities and related costs</w:t>
            </w:r>
          </w:p>
        </w:tc>
        <w:tc>
          <w:tcPr>
            <w:tcW w:w="26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6,587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1,407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1,924</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Loss on early contract termination</w:t>
            </w: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1,644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3,230</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Other exit-related costs</w:t>
            </w:r>
          </w:p>
        </w:tc>
        <w:tc>
          <w:tcPr>
            <w:tcW w:w="26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5,452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534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86</w:t>
            </w: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67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53,074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47,511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10,421</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Release of reserves: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shd w:val="clear" w:color="auto" w:fill="CCEEFF"/>
              </w:rPr>
              <w:t>Severance</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Other exit-related costs</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(383)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97"/>
        </w:trPr>
        <w:tc>
          <w:tcPr>
            <w:tcW w:w="674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Impairment and write-off of assets: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Prepaid deposit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45,000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Inventory</w:t>
            </w:r>
          </w:p>
        </w:tc>
        <w:tc>
          <w:tcPr>
            <w:tcW w:w="26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8,046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Technology licenses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629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1,250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Equipment and other</w:t>
            </w:r>
          </w:p>
        </w:tc>
        <w:tc>
          <w:tcPr>
            <w:tcW w:w="26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6,952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6,736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17</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Acquired intangible asset</w:t>
            </w:r>
          </w:p>
        </w:tc>
        <w:tc>
          <w:tcPr>
            <w:tcW w:w="26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3,386</w:t>
            </w:r>
          </w:p>
        </w:tc>
      </w:tr>
      <w:tr>
        <w:trPr>
          <w:trHeight w:val="237"/>
        </w:trPr>
        <w:tc>
          <w:tcPr>
            <w:tcW w:w="674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105,186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63,543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13,824</w:t>
            </w:r>
          </w:p>
        </w:tc>
      </w:tr>
      <w:tr>
        <w:trPr>
          <w:trHeight w:val="27"/>
        </w:trPr>
        <w:tc>
          <w:tcPr>
            <w:tcW w:w="674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67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6"/>
          <w:szCs w:val="16"/>
          <w:i w:val="1"/>
          <w:iCs w:val="1"/>
          <w:color w:val="auto"/>
        </w:rPr>
        <w:t xml:space="preserve">Fiscal 2017.  </w:t>
      </w:r>
      <w:r>
        <w:rPr>
          <w:rFonts w:ascii="Arial" w:cs="Arial" w:eastAsia="Arial" w:hAnsi="Arial"/>
          <w:sz w:val="16"/>
          <w:szCs w:val="16"/>
          <w:color w:val="auto"/>
        </w:rPr>
        <w:t>The Company recorded $105.2 million of restructuring and other related charges in fiscal 2017 as described in the following paragraphs:</w:t>
      </w:r>
    </w:p>
    <w:p>
      <w:pPr>
        <w:spacing w:after="0" w:line="140" w:lineRule="exact"/>
        <w:rPr>
          <w:sz w:val="20"/>
          <w:szCs w:val="20"/>
          <w:color w:val="auto"/>
        </w:rPr>
      </w:pPr>
    </w:p>
    <w:p>
      <w:pPr>
        <w:ind w:right="60" w:firstLine="432"/>
        <w:spacing w:after="0" w:line="291" w:lineRule="auto"/>
        <w:rPr>
          <w:sz w:val="20"/>
          <w:szCs w:val="20"/>
          <w:color w:val="auto"/>
        </w:rPr>
      </w:pPr>
      <w:r>
        <w:rPr>
          <w:rFonts w:ascii="Arial" w:cs="Arial" w:eastAsia="Arial" w:hAnsi="Arial"/>
          <w:sz w:val="16"/>
          <w:szCs w:val="16"/>
          <w:color w:val="auto"/>
        </w:rPr>
        <w:t>In November 2016, the Company announced a plan to restructure its operations to refocus its research and development, increase operational efficiency and improve profitability (see "Note 2 - Discontinued Operations"). The Company expects that the restructuring actions, which include discontinuing investment in specific research and development programs, streamlining engineering processes, and consolidating research and development sites, will eliminate approximately 900 positions worldwide. In addition, the Company plans to divest certain businesses (see “Note 3 - Discontinued Operations”). These actions began immediately following the announcement and are expected to be fully executed by the end of October 2017. As a result of these actions, the Company expects to incur charges of $90 million to $110 million through fiscal 2017, including cash charges of $35 million to $50 million. Restructuring and restructuring-related charges include an estimate of severance, asset impairment, lease termination fees and other costs.</w:t>
      </w:r>
    </w:p>
    <w:p>
      <w:pPr>
        <w:spacing w:after="0" w:line="59" w:lineRule="exact"/>
        <w:rPr>
          <w:sz w:val="20"/>
          <w:szCs w:val="20"/>
          <w:color w:val="auto"/>
        </w:rPr>
      </w:pPr>
    </w:p>
    <w:p>
      <w:pPr>
        <w:ind w:right="80" w:firstLine="432"/>
        <w:spacing w:after="0" w:line="291" w:lineRule="auto"/>
        <w:rPr>
          <w:sz w:val="20"/>
          <w:szCs w:val="20"/>
          <w:color w:val="auto"/>
        </w:rPr>
      </w:pPr>
      <w:r>
        <w:rPr>
          <w:rFonts w:ascii="Arial" w:cs="Arial" w:eastAsia="Arial" w:hAnsi="Arial"/>
          <w:sz w:val="16"/>
          <w:szCs w:val="16"/>
          <w:color w:val="auto"/>
        </w:rPr>
        <w:t>The Company recorded restructuring and other related charges of $98.7 million in fiscal 2017 related to this restructuring plan announced in November 2016. The charges included $41.0 million of severance benefits, $5.5 million of other exit-related costs primarily related to contract cancellation penalties,</w:t>
      </w:r>
    </w:p>
    <w:p>
      <w:pPr>
        <w:spacing w:after="0" w:line="253" w:lineRule="auto"/>
        <w:rPr>
          <w:sz w:val="20"/>
          <w:szCs w:val="20"/>
          <w:color w:val="auto"/>
        </w:rPr>
      </w:pPr>
      <w:r>
        <w:rPr>
          <w:rFonts w:ascii="Arial" w:cs="Arial" w:eastAsia="Arial" w:hAnsi="Arial"/>
          <w:sz w:val="18"/>
          <w:szCs w:val="18"/>
          <w:color w:val="auto"/>
        </w:rPr>
        <w:t>$1.9 million of costs related to closing certain facilities, $45.0 million to fully impair a nonrefundable deposit due to the non-utilization of the related contract, and $5.4 million for the impairment of equipment and technology licenses. The Company is on track to complete activities related to this restructuring plan and expects to incur additional charges in fiscal 2018 since facilities related to the closure of certain operations have yet to be vacated and certain additional actions related to this restructuring plan have yet to occur. Estimated remaining costs are expected to be approximately $10 million to $15 million, which is in line with the Company's original estimated amount.</w:t>
      </w:r>
    </w:p>
    <w:p>
      <w:pPr>
        <w:spacing w:after="0" w:line="83" w:lineRule="exact"/>
        <w:rPr>
          <w:sz w:val="20"/>
          <w:szCs w:val="20"/>
          <w:color w:val="auto"/>
        </w:rPr>
      </w:pPr>
    </w:p>
    <w:p>
      <w:pPr>
        <w:ind w:firstLine="432"/>
        <w:spacing w:after="0" w:line="269" w:lineRule="auto"/>
        <w:rPr>
          <w:sz w:val="20"/>
          <w:szCs w:val="20"/>
          <w:color w:val="auto"/>
        </w:rPr>
      </w:pPr>
      <w:r>
        <w:rPr>
          <w:rFonts w:ascii="Arial" w:cs="Arial" w:eastAsia="Arial" w:hAnsi="Arial"/>
          <w:sz w:val="17"/>
          <w:szCs w:val="17"/>
          <w:color w:val="auto"/>
        </w:rPr>
        <w:t>In connection with the restructuring of its mobile platform business in September 2015, substantially all of the remaining activities expected to be completed in the first half of fiscal 2017 were completed. As a result, the Company recorded a charge of $1.9 million in fiscal 2017, which included $2.2 million primarily for the write off of all remaining mobile-related equipment that was previously classified as held for sale that was offset by a net credit of $0.3 million, mainly due to the release of a reserve related to the loss on contract termination previously recognized in fiscal 2016. Total cumulative charges recorded through the end of fiscal 2017 related to this restructuring action were $46.4 million, which included $28.1 million of severance benefits, a $1.3 million loss on early contract termination, $8.8 million for impairment of technology licenses and certain equipment, $0.2 million related to facility closures and an $8.0 million write down of inventory. The total cumulative charges were lower than the original estimate of $100 million to $130 million primarily due to the Company’s decision to retain approximately 140 mobile employees to support the remaining mobile business than it originally anticipated and certain equipment planned for disposal was subsequently determined to have alternative use. The Company also offered retention bonuses to another 128 mobile employees to remain through the ramp down of certain operations. Their benefit packages were recognized ratably over the employees’ remaining service periods through the first half of fiscal 2017.</w:t>
      </w:r>
    </w:p>
    <w:p>
      <w:pPr>
        <w:spacing w:after="0" w:line="200" w:lineRule="exact"/>
        <w:rPr>
          <w:sz w:val="20"/>
          <w:szCs w:val="20"/>
          <w:color w:val="auto"/>
        </w:rPr>
      </w:pPr>
    </w:p>
    <w:p>
      <w:pPr>
        <w:spacing w:after="0" w:line="2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20"/>
          </w:cols>
          <w:pgMar w:left="240" w:top="391" w:right="239" w:bottom="1440" w:gutter="0" w:footer="0" w:header="0"/>
        </w:sectPr>
      </w:pPr>
    </w:p>
    <w:bookmarkStart w:id="74" w:name="page75"/>
    <w:bookmarkEnd w:id="74"/>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jc w:val="both"/>
        <w:ind w:right="160"/>
        <w:spacing w:after="0" w:line="264" w:lineRule="auto"/>
        <w:rPr>
          <w:sz w:val="20"/>
          <w:szCs w:val="20"/>
          <w:color w:val="auto"/>
        </w:rPr>
      </w:pPr>
      <w:r>
        <w:rPr>
          <w:rFonts w:ascii="Arial" w:cs="Arial" w:eastAsia="Arial" w:hAnsi="Arial"/>
          <w:sz w:val="18"/>
          <w:szCs w:val="18"/>
          <w:color w:val="auto"/>
        </w:rPr>
        <w:t>In addition to the restructuring actions described in the preceding paragraph, the Company recorded charges of $4.6 million in the fiscal 2017, primarily for the remaining lease obligation, net of sublease income, upon vacating certain floors in one of its Israel facilities and ongoing operating expenses of vacated facilities related to restructuring actions in previous years.</w:t>
      </w:r>
    </w:p>
    <w:p>
      <w:pPr>
        <w:spacing w:after="0" w:line="73" w:lineRule="exact"/>
        <w:rPr>
          <w:sz w:val="20"/>
          <w:szCs w:val="20"/>
          <w:color w:val="auto"/>
        </w:rPr>
      </w:pPr>
    </w:p>
    <w:p>
      <w:pPr>
        <w:ind w:left="440"/>
        <w:spacing w:after="0"/>
        <w:tabs>
          <w:tab w:leader="none" w:pos="1500" w:val="left"/>
        </w:tabs>
        <w:rPr>
          <w:sz w:val="20"/>
          <w:szCs w:val="20"/>
          <w:color w:val="auto"/>
        </w:rPr>
      </w:pPr>
      <w:r>
        <w:rPr>
          <w:rFonts w:ascii="Arial" w:cs="Arial" w:eastAsia="Arial" w:hAnsi="Arial"/>
          <w:sz w:val="18"/>
          <w:szCs w:val="18"/>
          <w:i w:val="1"/>
          <w:iCs w:val="1"/>
          <w:color w:val="auto"/>
        </w:rPr>
        <w:t>Fiscal 2016.</w:t>
      </w:r>
      <w:r>
        <w:rPr>
          <w:sz w:val="20"/>
          <w:szCs w:val="20"/>
          <w:color w:val="auto"/>
        </w:rPr>
        <w:tab/>
      </w:r>
      <w:r>
        <w:rPr>
          <w:rFonts w:ascii="Arial" w:cs="Arial" w:eastAsia="Arial" w:hAnsi="Arial"/>
          <w:sz w:val="16"/>
          <w:szCs w:val="16"/>
          <w:color w:val="auto"/>
        </w:rPr>
        <w:t>The Company recorded $63.5 million of restructuring and other related charges in fiscal 2016 as described in the following paragraphs.</w:t>
      </w:r>
    </w:p>
    <w:p>
      <w:pPr>
        <w:spacing w:after="0" w:line="117" w:lineRule="exact"/>
        <w:rPr>
          <w:sz w:val="20"/>
          <w:szCs w:val="20"/>
          <w:color w:val="auto"/>
        </w:rPr>
      </w:pPr>
    </w:p>
    <w:p>
      <w:pPr>
        <w:ind w:right="20" w:firstLine="432"/>
        <w:spacing w:after="0" w:line="255" w:lineRule="auto"/>
        <w:rPr>
          <w:sz w:val="20"/>
          <w:szCs w:val="20"/>
          <w:color w:val="auto"/>
        </w:rPr>
      </w:pPr>
      <w:r>
        <w:rPr>
          <w:rFonts w:ascii="Arial" w:cs="Arial" w:eastAsia="Arial" w:hAnsi="Arial"/>
          <w:sz w:val="18"/>
          <w:szCs w:val="18"/>
          <w:color w:val="auto"/>
        </w:rPr>
        <w:t>In September 2015, the Company announced a significant restructuring of its mobile platform business in order to focus the mobile product line on more profitable opportunities and align its expenses with corporate targets. The Company implemented actions to significantly downsize the mobile platform organization to refocus its technology to other emerging opportunities. As a result of these actions, the Company recorded restructuring and other related charges of $44.4 million in fiscal 2016 related to this restructuring. The charge primarily included severance benefits for 825 employees who were notified of their termination, a loss on early contract termination, the impairment of technology licenses and certain equipment, and the write down of inventory. Substantially all of the affected employees departed by the end of fiscal 2016.</w:t>
      </w:r>
    </w:p>
    <w:p>
      <w:pPr>
        <w:spacing w:after="0" w:line="85" w:lineRule="exact"/>
        <w:rPr>
          <w:sz w:val="20"/>
          <w:szCs w:val="20"/>
          <w:color w:val="auto"/>
        </w:rPr>
      </w:pPr>
    </w:p>
    <w:p>
      <w:pPr>
        <w:ind w:right="20" w:firstLine="432"/>
        <w:spacing w:after="0" w:line="276" w:lineRule="auto"/>
        <w:rPr>
          <w:sz w:val="20"/>
          <w:szCs w:val="20"/>
          <w:color w:val="auto"/>
        </w:rPr>
      </w:pPr>
      <w:r>
        <w:rPr>
          <w:rFonts w:ascii="Arial" w:cs="Arial" w:eastAsia="Arial" w:hAnsi="Arial"/>
          <w:sz w:val="17"/>
          <w:szCs w:val="17"/>
          <w:color w:val="auto"/>
        </w:rPr>
        <w:t>In May 2015, the Company decided to further reduce its research and development operations in Israel and close certain other design centers, primarily located in Europe and the U.S. in connection with its ongoing effort to streamline its business. As a result, the Company recorded a total $16.3 million charge in fiscal 2016 comprised of $15.1 million for severance related to the termination of 358 employees who were notified of their termination and $1.2 million for a lease obligation related to a facility that the Company vacated in July 2015. Substantially all of the activities associated with these actions were completed and all affected employees departed before the end of fiscal 2016.</w:t>
      </w:r>
    </w:p>
    <w:p>
      <w:pPr>
        <w:spacing w:after="0" w:line="64" w:lineRule="exact"/>
        <w:rPr>
          <w:sz w:val="20"/>
          <w:szCs w:val="20"/>
          <w:color w:val="auto"/>
        </w:rPr>
      </w:pPr>
    </w:p>
    <w:p>
      <w:pPr>
        <w:ind w:firstLine="432"/>
        <w:spacing w:after="0" w:line="257" w:lineRule="auto"/>
        <w:rPr>
          <w:sz w:val="20"/>
          <w:szCs w:val="20"/>
          <w:color w:val="auto"/>
        </w:rPr>
      </w:pPr>
      <w:r>
        <w:rPr>
          <w:rFonts w:ascii="Arial" w:cs="Arial" w:eastAsia="Arial" w:hAnsi="Arial"/>
          <w:sz w:val="18"/>
          <w:szCs w:val="18"/>
          <w:color w:val="auto"/>
        </w:rPr>
        <w:t>In March 2015, the Company exercised the early buyout option under an existing operating lease for corporate equipment that it planned to sell as part of a cost reduction action. The Company actively sought a buyer and classified the equipment as held for sale within prepaid and current assets on the consolidated balance sheet. It also ceased depreciation on the asset and recorded impairment charges of $1.4 million through the second quarter ended August 1, 2015. In October 2015, the Company sold the corporate equipment for net proceeds of $9.3 million, which approximated the carrying value and resulted in no gain or loss recognized upon the sale of the asset.</w:t>
      </w:r>
    </w:p>
    <w:p>
      <w:pPr>
        <w:spacing w:after="0" w:line="80" w:lineRule="exact"/>
        <w:rPr>
          <w:sz w:val="20"/>
          <w:szCs w:val="20"/>
          <w:color w:val="auto"/>
        </w:rPr>
      </w:pPr>
    </w:p>
    <w:p>
      <w:pPr>
        <w:ind w:right="500" w:firstLine="432"/>
        <w:spacing w:after="0" w:line="264" w:lineRule="auto"/>
        <w:rPr>
          <w:sz w:val="20"/>
          <w:szCs w:val="20"/>
          <w:color w:val="auto"/>
        </w:rPr>
      </w:pPr>
      <w:r>
        <w:rPr>
          <w:rFonts w:ascii="Arial" w:cs="Arial" w:eastAsia="Arial" w:hAnsi="Arial"/>
          <w:sz w:val="18"/>
          <w:szCs w:val="18"/>
          <w:color w:val="auto"/>
        </w:rPr>
        <w:t>In addition to the restructuring actions described in the preceding paragraphs, the Company recorded $1.4 million of additional charges primarily associated with ongoing operating expenses of vacated facilities related to restructuring actions in previous fiscal years and maintenance costs for the corporate equipment sold in October 2015.</w:t>
      </w:r>
    </w:p>
    <w:p>
      <w:pPr>
        <w:spacing w:after="0" w:line="73" w:lineRule="exact"/>
        <w:rPr>
          <w:sz w:val="20"/>
          <w:szCs w:val="20"/>
          <w:color w:val="auto"/>
        </w:rPr>
      </w:pPr>
    </w:p>
    <w:p>
      <w:pPr>
        <w:ind w:right="40" w:firstLine="432"/>
        <w:spacing w:after="0" w:line="255" w:lineRule="auto"/>
        <w:rPr>
          <w:sz w:val="20"/>
          <w:szCs w:val="20"/>
          <w:color w:val="auto"/>
        </w:rPr>
      </w:pPr>
      <w:r>
        <w:rPr>
          <w:rFonts w:ascii="Arial" w:cs="Arial" w:eastAsia="Arial" w:hAnsi="Arial"/>
          <w:sz w:val="18"/>
          <w:szCs w:val="18"/>
          <w:i w:val="1"/>
          <w:iCs w:val="1"/>
          <w:color w:val="auto"/>
        </w:rPr>
        <w:t xml:space="preserve">Fiscal 2015. </w:t>
      </w:r>
      <w:r>
        <w:rPr>
          <w:rFonts w:ascii="Arial" w:cs="Arial" w:eastAsia="Arial" w:hAnsi="Arial"/>
          <w:sz w:val="18"/>
          <w:szCs w:val="18"/>
          <w:color w:val="auto"/>
        </w:rPr>
        <w:t>The Company decided to streamline its operations, primarily in Israel, to align with its overall strategic plan, and to discontinue the</w:t>
      </w:r>
      <w:r>
        <w:rPr>
          <w:rFonts w:ascii="Arial" w:cs="Arial" w:eastAsia="Arial" w:hAnsi="Arial"/>
          <w:sz w:val="18"/>
          <w:szCs w:val="18"/>
          <w:i w:val="1"/>
          <w:iCs w:val="1"/>
          <w:color w:val="auto"/>
        </w:rPr>
        <w:t xml:space="preserve"> </w:t>
      </w:r>
      <w:r>
        <w:rPr>
          <w:rFonts w:ascii="Arial" w:cs="Arial" w:eastAsia="Arial" w:hAnsi="Arial"/>
          <w:sz w:val="18"/>
          <w:szCs w:val="18"/>
          <w:color w:val="auto"/>
        </w:rPr>
        <w:t>development of a product it originally acquired in a business combination. As a result, the Company recorded $13.8 million of restructuring and other related charges in fiscal 2015. Facilities and related costs primarily included a charge for a portion of the lease obligation related to vacating the floors the Company no longer planned to occupy in one of its Israel facilities. The write-off of an acquired intangible asset in fiscal 2015 was due to the Company’s decision to discontinue the related project. These actions were substantially completed by the end of fiscal 2015. In addition, the Company decided to exercise an early buy out option to acquire an asset under an existing operating lease agreement, and recorded a $3.2 million loss from the termination of the agreement in fiscal 2015.</w:t>
      </w:r>
    </w:p>
    <w:p>
      <w:pPr>
        <w:spacing w:after="0" w:line="81" w:lineRule="exact"/>
        <w:rPr>
          <w:sz w:val="20"/>
          <w:szCs w:val="20"/>
          <w:color w:val="auto"/>
        </w:rPr>
      </w:pPr>
    </w:p>
    <w:p>
      <w:pPr>
        <w:ind w:right="18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380"/>
          </w:cols>
          <w:pgMar w:left="240" w:top="391" w:right="279" w:bottom="1440" w:gutter="0" w:footer="0" w:header="0"/>
        </w:sectPr>
      </w:pPr>
    </w:p>
    <w:bookmarkStart w:id="75" w:name="page76"/>
    <w:bookmarkEnd w:id="7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40" w:lineRule="exact"/>
        <w:rPr>
          <w:sz w:val="20"/>
          <w:szCs w:val="20"/>
          <w:color w:val="auto"/>
        </w:rPr>
      </w:pPr>
    </w:p>
    <w:tbl>
      <w:tblPr>
        <w:tblLayout w:type="fixed"/>
        <w:tblInd w:w="560" w:type="dxa"/>
        <w:tblCellMar>
          <w:top w:w="0" w:type="dxa"/>
          <w:left w:w="0" w:type="dxa"/>
          <w:bottom w:w="0" w:type="dxa"/>
          <w:right w:w="0" w:type="dxa"/>
        </w:tblCellMar>
      </w:tblPr>
      <w:tr>
        <w:trPr>
          <w:trHeight w:val="210"/>
        </w:trPr>
        <w:tc>
          <w:tcPr>
            <w:tcW w:w="2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580" w:type="dxa"/>
            <w:vAlign w:val="bottom"/>
            <w:gridSpan w:val="6"/>
          </w:tcPr>
          <w:p>
            <w:pPr>
              <w:ind w:left="440"/>
              <w:spacing w:after="0"/>
              <w:rPr>
                <w:sz w:val="20"/>
                <w:szCs w:val="20"/>
                <w:color w:val="auto"/>
              </w:rPr>
            </w:pPr>
            <w:r>
              <w:rPr>
                <w:rFonts w:ascii="Arial" w:cs="Arial" w:eastAsia="Arial" w:hAnsi="Arial"/>
                <w:sz w:val="16"/>
                <w:szCs w:val="16"/>
                <w:b w:val="1"/>
                <w:bCs w:val="1"/>
                <w:color w:val="auto"/>
                <w:w w:val="93"/>
              </w:rPr>
              <w:t>November 2016 Restructuring</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160" w:type="dxa"/>
            <w:vAlign w:val="bottom"/>
            <w:gridSpan w:val="8"/>
          </w:tcPr>
          <w:p>
            <w:pPr>
              <w:ind w:left="200"/>
              <w:spacing w:after="0"/>
              <w:rPr>
                <w:sz w:val="20"/>
                <w:szCs w:val="20"/>
                <w:color w:val="auto"/>
              </w:rPr>
            </w:pPr>
            <w:r>
              <w:rPr>
                <w:rFonts w:ascii="Arial" w:cs="Arial" w:eastAsia="Arial" w:hAnsi="Arial"/>
                <w:sz w:val="16"/>
                <w:szCs w:val="16"/>
                <w:b w:val="1"/>
                <w:bCs w:val="1"/>
                <w:color w:val="auto"/>
              </w:rPr>
              <w:t>Mobile &amp; Other Prior Restructuring</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r>
      <w:tr>
        <w:trPr>
          <w:trHeight w:val="33"/>
        </w:trPr>
        <w:tc>
          <w:tcPr>
            <w:tcW w:w="28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gridSpan w:val="2"/>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09"/>
        </w:trPr>
        <w:tc>
          <w:tcPr>
            <w:tcW w:w="2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0"/>
              </w:rPr>
              <w:t>Facilities</w:t>
            </w:r>
          </w:p>
        </w:tc>
        <w:tc>
          <w:tcPr>
            <w:tcW w:w="4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90"/>
              </w:rPr>
              <w:t>Facilities</w:t>
            </w:r>
          </w:p>
        </w:tc>
        <w:tc>
          <w:tcPr>
            <w:tcW w:w="2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r>
      <w:tr>
        <w:trPr>
          <w:trHeight w:val="203"/>
        </w:trPr>
        <w:tc>
          <w:tcPr>
            <w:tcW w:w="2800" w:type="dxa"/>
            <w:vAlign w:val="bottom"/>
          </w:tcPr>
          <w:p>
            <w:pPr>
              <w:spacing w:after="0"/>
              <w:rPr>
                <w:sz w:val="17"/>
                <w:szCs w:val="17"/>
                <w:color w:val="auto"/>
              </w:rPr>
            </w:pPr>
          </w:p>
        </w:tc>
        <w:tc>
          <w:tcPr>
            <w:tcW w:w="1260" w:type="dxa"/>
            <w:vAlign w:val="bottom"/>
            <w:gridSpan w:val="3"/>
          </w:tcPr>
          <w:p>
            <w:pPr>
              <w:jc w:val="center"/>
              <w:ind w:right="120"/>
              <w:spacing w:after="0"/>
              <w:rPr>
                <w:sz w:val="20"/>
                <w:szCs w:val="20"/>
                <w:color w:val="auto"/>
              </w:rPr>
            </w:pPr>
            <w:r>
              <w:rPr>
                <w:rFonts w:ascii="Arial" w:cs="Arial" w:eastAsia="Arial" w:hAnsi="Arial"/>
                <w:sz w:val="16"/>
                <w:szCs w:val="16"/>
                <w:b w:val="1"/>
                <w:bCs w:val="1"/>
                <w:color w:val="auto"/>
                <w:w w:val="90"/>
              </w:rPr>
              <w:t>Severance and</w:t>
            </w:r>
          </w:p>
        </w:tc>
        <w:tc>
          <w:tcPr>
            <w:tcW w:w="1040" w:type="dxa"/>
            <w:vAlign w:val="bottom"/>
            <w:gridSpan w:val="3"/>
          </w:tcPr>
          <w:p>
            <w:pPr>
              <w:jc w:val="center"/>
              <w:ind w:right="120"/>
              <w:spacing w:after="0"/>
              <w:rPr>
                <w:sz w:val="20"/>
                <w:szCs w:val="20"/>
                <w:color w:val="auto"/>
              </w:rPr>
            </w:pPr>
            <w:r>
              <w:rPr>
                <w:rFonts w:ascii="Arial" w:cs="Arial" w:eastAsia="Arial" w:hAnsi="Arial"/>
                <w:sz w:val="16"/>
                <w:szCs w:val="16"/>
                <w:b w:val="1"/>
                <w:bCs w:val="1"/>
                <w:color w:val="auto"/>
                <w:w w:val="93"/>
              </w:rPr>
              <w:t>and related</w:t>
            </w:r>
          </w:p>
        </w:tc>
        <w:tc>
          <w:tcPr>
            <w:tcW w:w="1020" w:type="dxa"/>
            <w:vAlign w:val="bottom"/>
            <w:gridSpan w:val="3"/>
          </w:tcPr>
          <w:p>
            <w:pPr>
              <w:ind w:left="60"/>
              <w:spacing w:after="0"/>
              <w:rPr>
                <w:sz w:val="20"/>
                <w:szCs w:val="20"/>
                <w:color w:val="auto"/>
              </w:rPr>
            </w:pPr>
            <w:r>
              <w:rPr>
                <w:rFonts w:ascii="Arial" w:cs="Arial" w:eastAsia="Arial" w:hAnsi="Arial"/>
                <w:sz w:val="16"/>
                <w:szCs w:val="16"/>
                <w:b w:val="1"/>
                <w:bCs w:val="1"/>
                <w:color w:val="auto"/>
              </w:rPr>
              <w:t>Other exit-</w:t>
            </w:r>
          </w:p>
        </w:tc>
        <w:tc>
          <w:tcPr>
            <w:tcW w:w="1220" w:type="dxa"/>
            <w:vAlign w:val="bottom"/>
            <w:gridSpan w:val="3"/>
          </w:tcPr>
          <w:p>
            <w:pPr>
              <w:jc w:val="center"/>
              <w:ind w:right="100"/>
              <w:spacing w:after="0"/>
              <w:rPr>
                <w:sz w:val="20"/>
                <w:szCs w:val="20"/>
                <w:color w:val="auto"/>
              </w:rPr>
            </w:pPr>
            <w:r>
              <w:rPr>
                <w:rFonts w:ascii="Arial" w:cs="Arial" w:eastAsia="Arial" w:hAnsi="Arial"/>
                <w:sz w:val="16"/>
                <w:szCs w:val="16"/>
                <w:b w:val="1"/>
                <w:bCs w:val="1"/>
                <w:color w:val="auto"/>
                <w:w w:val="88"/>
              </w:rPr>
              <w:t>Severance and</w:t>
            </w:r>
          </w:p>
        </w:tc>
        <w:tc>
          <w:tcPr>
            <w:tcW w:w="1040" w:type="dxa"/>
            <w:vAlign w:val="bottom"/>
            <w:gridSpan w:val="3"/>
          </w:tcPr>
          <w:p>
            <w:pPr>
              <w:jc w:val="center"/>
              <w:ind w:right="120"/>
              <w:spacing w:after="0"/>
              <w:rPr>
                <w:sz w:val="20"/>
                <w:szCs w:val="20"/>
                <w:color w:val="auto"/>
              </w:rPr>
            </w:pPr>
            <w:r>
              <w:rPr>
                <w:rFonts w:ascii="Arial" w:cs="Arial" w:eastAsia="Arial" w:hAnsi="Arial"/>
                <w:sz w:val="16"/>
                <w:szCs w:val="16"/>
                <w:b w:val="1"/>
                <w:bCs w:val="1"/>
                <w:color w:val="auto"/>
                <w:w w:val="93"/>
              </w:rPr>
              <w:t>and related</w:t>
            </w:r>
          </w:p>
        </w:tc>
        <w:tc>
          <w:tcPr>
            <w:tcW w:w="1020" w:type="dxa"/>
            <w:vAlign w:val="bottom"/>
            <w:gridSpan w:val="3"/>
          </w:tcPr>
          <w:p>
            <w:pPr>
              <w:ind w:left="60"/>
              <w:spacing w:after="0"/>
              <w:rPr>
                <w:sz w:val="20"/>
                <w:szCs w:val="20"/>
                <w:color w:val="auto"/>
              </w:rPr>
            </w:pPr>
            <w:r>
              <w:rPr>
                <w:rFonts w:ascii="Arial" w:cs="Arial" w:eastAsia="Arial" w:hAnsi="Arial"/>
                <w:sz w:val="16"/>
                <w:szCs w:val="16"/>
                <w:b w:val="1"/>
                <w:bCs w:val="1"/>
                <w:color w:val="auto"/>
              </w:rPr>
              <w:t>Other exit-</w:t>
            </w:r>
          </w:p>
        </w:tc>
        <w:tc>
          <w:tcPr>
            <w:tcW w:w="18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10"/>
        </w:trPr>
        <w:tc>
          <w:tcPr>
            <w:tcW w:w="2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4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related costs</w:t>
            </w:r>
          </w:p>
        </w:tc>
        <w:tc>
          <w:tcPr>
            <w:tcW w:w="120" w:type="dxa"/>
            <w:vAlign w:val="bottom"/>
          </w:tcPr>
          <w:p>
            <w:pPr>
              <w:spacing w:after="0"/>
              <w:rPr>
                <w:sz w:val="18"/>
                <w:szCs w:val="18"/>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76"/>
              </w:rPr>
              <w:t>costs</w:t>
            </w:r>
          </w:p>
        </w:tc>
        <w:tc>
          <w:tcPr>
            <w:tcW w:w="1020" w:type="dxa"/>
            <w:vAlign w:val="bottom"/>
            <w:gridSpan w:val="3"/>
          </w:tcPr>
          <w:p>
            <w:pPr>
              <w:ind w:left="20"/>
              <w:spacing w:after="0"/>
              <w:rPr>
                <w:sz w:val="20"/>
                <w:szCs w:val="20"/>
                <w:color w:val="auto"/>
              </w:rPr>
            </w:pPr>
            <w:r>
              <w:rPr>
                <w:rFonts w:ascii="Arial" w:cs="Arial" w:eastAsia="Arial" w:hAnsi="Arial"/>
                <w:sz w:val="16"/>
                <w:szCs w:val="16"/>
                <w:b w:val="1"/>
                <w:bCs w:val="1"/>
                <w:color w:val="auto"/>
                <w:w w:val="99"/>
              </w:rPr>
              <w:t>related costs</w:t>
            </w:r>
          </w:p>
        </w:tc>
        <w:tc>
          <w:tcPr>
            <w:tcW w:w="120" w:type="dxa"/>
            <w:vAlign w:val="bottom"/>
          </w:tcPr>
          <w:p>
            <w:pPr>
              <w:spacing w:after="0"/>
              <w:rPr>
                <w:sz w:val="18"/>
                <w:szCs w:val="18"/>
                <w:color w:val="auto"/>
              </w:rPr>
            </w:pPr>
          </w:p>
        </w:tc>
        <w:tc>
          <w:tcPr>
            <w:tcW w:w="11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related costs</w:t>
            </w:r>
          </w:p>
        </w:tc>
        <w:tc>
          <w:tcPr>
            <w:tcW w:w="140" w:type="dxa"/>
            <w:vAlign w:val="bottom"/>
          </w:tcPr>
          <w:p>
            <w:pPr>
              <w:spacing w:after="0"/>
              <w:rPr>
                <w:sz w:val="18"/>
                <w:szCs w:val="18"/>
                <w:color w:val="auto"/>
              </w:rPr>
            </w:pPr>
          </w:p>
        </w:tc>
        <w:tc>
          <w:tcPr>
            <w:tcW w:w="9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76"/>
              </w:rPr>
              <w:t>costs</w:t>
            </w:r>
          </w:p>
        </w:tc>
        <w:tc>
          <w:tcPr>
            <w:tcW w:w="1020" w:type="dxa"/>
            <w:vAlign w:val="bottom"/>
            <w:gridSpan w:val="3"/>
          </w:tcPr>
          <w:p>
            <w:pPr>
              <w:ind w:left="20"/>
              <w:spacing w:after="0"/>
              <w:rPr>
                <w:sz w:val="20"/>
                <w:szCs w:val="20"/>
                <w:color w:val="auto"/>
              </w:rPr>
            </w:pPr>
            <w:r>
              <w:rPr>
                <w:rFonts w:ascii="Arial" w:cs="Arial" w:eastAsia="Arial" w:hAnsi="Arial"/>
                <w:sz w:val="16"/>
                <w:szCs w:val="16"/>
                <w:b w:val="1"/>
                <w:bCs w:val="1"/>
                <w:color w:val="auto"/>
                <w:w w:val="99"/>
              </w:rPr>
              <w:t>related costs</w:t>
            </w:r>
          </w:p>
        </w:tc>
        <w:tc>
          <w:tcPr>
            <w:tcW w:w="180" w:type="dxa"/>
            <w:vAlign w:val="bottom"/>
          </w:tcPr>
          <w:p>
            <w:pPr>
              <w:spacing w:after="0"/>
              <w:rPr>
                <w:sz w:val="18"/>
                <w:szCs w:val="18"/>
                <w:color w:val="auto"/>
              </w:rPr>
            </w:pPr>
          </w:p>
        </w:tc>
        <w:tc>
          <w:tcPr>
            <w:tcW w:w="740" w:type="dxa"/>
            <w:vAlign w:val="bottom"/>
          </w:tcPr>
          <w:p>
            <w:pPr>
              <w:jc w:val="right"/>
              <w:ind w:right="199"/>
              <w:spacing w:after="0"/>
              <w:rPr>
                <w:sz w:val="20"/>
                <w:szCs w:val="20"/>
                <w:color w:val="auto"/>
              </w:rPr>
            </w:pPr>
            <w:r>
              <w:rPr>
                <w:rFonts w:ascii="Arial" w:cs="Arial" w:eastAsia="Arial" w:hAnsi="Arial"/>
                <w:sz w:val="16"/>
                <w:szCs w:val="16"/>
                <w:b w:val="1"/>
                <w:bCs w:val="1"/>
                <w:color w:val="auto"/>
              </w:rPr>
              <w:t>Total</w:t>
            </w:r>
          </w:p>
        </w:tc>
      </w:tr>
      <w:tr>
        <w:trPr>
          <w:trHeight w:val="33"/>
        </w:trPr>
        <w:tc>
          <w:tcPr>
            <w:tcW w:w="28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r>
      <w:tr>
        <w:trPr>
          <w:trHeight w:val="230"/>
        </w:trPr>
        <w:tc>
          <w:tcPr>
            <w:tcW w:w="28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Balance at January 31, 2015</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w:t>
            </w:r>
          </w:p>
        </w:tc>
        <w:tc>
          <w:tcPr>
            <w:tcW w:w="6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1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1,339</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w:t>
            </w:r>
          </w:p>
        </w:tc>
        <w:tc>
          <w:tcPr>
            <w:tcW w:w="6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3,230</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4,569</w:t>
            </w:r>
          </w:p>
        </w:tc>
      </w:tr>
      <w:tr>
        <w:trPr>
          <w:trHeight w:val="237"/>
        </w:trPr>
        <w:tc>
          <w:tcPr>
            <w:tcW w:w="2800" w:type="dxa"/>
            <w:vAlign w:val="bottom"/>
          </w:tcPr>
          <w:p>
            <w:pPr>
              <w:ind w:left="140"/>
              <w:spacing w:after="0"/>
              <w:rPr>
                <w:sz w:val="20"/>
                <w:szCs w:val="20"/>
                <w:color w:val="auto"/>
              </w:rPr>
            </w:pPr>
            <w:r>
              <w:rPr>
                <w:rFonts w:ascii="Arial" w:cs="Arial" w:eastAsia="Arial" w:hAnsi="Arial"/>
                <w:sz w:val="16"/>
                <w:szCs w:val="16"/>
                <w:color w:val="auto"/>
              </w:rPr>
              <w:t>Cost reduction charges</w:t>
            </w:r>
          </w:p>
        </w:tc>
        <w:tc>
          <w:tcPr>
            <w:tcW w:w="1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120" w:type="dxa"/>
            <w:vAlign w:val="bottom"/>
          </w:tcPr>
          <w:p>
            <w:pPr>
              <w:spacing w:after="0"/>
              <w:rPr>
                <w:sz w:val="20"/>
                <w:szCs w:val="20"/>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400" w:type="dxa"/>
            <w:vAlign w:val="bottom"/>
          </w:tcPr>
          <w:p>
            <w:pPr>
              <w:spacing w:after="0"/>
              <w:rPr>
                <w:sz w:val="20"/>
                <w:szCs w:val="20"/>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Pr>
          <w:p>
            <w:pPr>
              <w:spacing w:after="0"/>
              <w:rPr>
                <w:sz w:val="20"/>
                <w:szCs w:val="20"/>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43,926</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80" w:type="dxa"/>
            <w:vAlign w:val="bottom"/>
          </w:tcPr>
          <w:p>
            <w:pPr>
              <w:jc w:val="right"/>
              <w:ind w:right="19"/>
              <w:spacing w:after="0"/>
              <w:rPr>
                <w:sz w:val="20"/>
                <w:szCs w:val="20"/>
                <w:color w:val="auto"/>
              </w:rPr>
            </w:pPr>
            <w:r>
              <w:rPr>
                <w:rFonts w:ascii="Arial" w:cs="Arial" w:eastAsia="Arial" w:hAnsi="Arial"/>
                <w:sz w:val="16"/>
                <w:szCs w:val="16"/>
                <w:color w:val="auto"/>
              </w:rPr>
              <w:t>1,407</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80" w:type="dxa"/>
            <w:vAlign w:val="bottom"/>
          </w:tcPr>
          <w:p>
            <w:pPr>
              <w:jc w:val="right"/>
              <w:ind w:right="19"/>
              <w:spacing w:after="0"/>
              <w:rPr>
                <w:sz w:val="20"/>
                <w:szCs w:val="20"/>
                <w:color w:val="auto"/>
              </w:rPr>
            </w:pPr>
            <w:r>
              <w:rPr>
                <w:rFonts w:ascii="Arial" w:cs="Arial" w:eastAsia="Arial" w:hAnsi="Arial"/>
                <w:sz w:val="16"/>
                <w:szCs w:val="16"/>
                <w:color w:val="auto"/>
              </w:rPr>
              <w:t>2,178</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40" w:type="dxa"/>
            <w:vAlign w:val="bottom"/>
          </w:tcPr>
          <w:p>
            <w:pPr>
              <w:jc w:val="right"/>
              <w:ind w:right="19"/>
              <w:spacing w:after="0"/>
              <w:rPr>
                <w:sz w:val="20"/>
                <w:szCs w:val="20"/>
                <w:color w:val="auto"/>
              </w:rPr>
            </w:pPr>
            <w:r>
              <w:rPr>
                <w:rFonts w:ascii="Arial" w:cs="Arial" w:eastAsia="Arial" w:hAnsi="Arial"/>
                <w:sz w:val="16"/>
                <w:szCs w:val="16"/>
                <w:color w:val="auto"/>
              </w:rPr>
              <w:t>47,511</w:t>
            </w:r>
          </w:p>
        </w:tc>
      </w:tr>
      <w:tr>
        <w:trPr>
          <w:trHeight w:val="33"/>
        </w:trPr>
        <w:tc>
          <w:tcPr>
            <w:tcW w:w="2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28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Cash payments</w:t>
            </w:r>
          </w:p>
        </w:tc>
        <w:tc>
          <w:tcPr>
            <w:tcW w:w="1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b w:val="1"/>
                <w:bCs w:val="1"/>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6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(42,741)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(1,567)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(3,764)</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(48,072)</w:t>
            </w:r>
          </w:p>
        </w:tc>
      </w:tr>
      <w:tr>
        <w:trPr>
          <w:trHeight w:val="237"/>
        </w:trPr>
        <w:tc>
          <w:tcPr>
            <w:tcW w:w="2800" w:type="dxa"/>
            <w:vAlign w:val="bottom"/>
          </w:tcPr>
          <w:p>
            <w:pPr>
              <w:ind w:left="140"/>
              <w:spacing w:after="0"/>
              <w:rPr>
                <w:sz w:val="20"/>
                <w:szCs w:val="20"/>
                <w:color w:val="auto"/>
              </w:rPr>
            </w:pPr>
            <w:r>
              <w:rPr>
                <w:rFonts w:ascii="Arial" w:cs="Arial" w:eastAsia="Arial" w:hAnsi="Arial"/>
                <w:sz w:val="16"/>
                <w:szCs w:val="16"/>
                <w:color w:val="auto"/>
              </w:rPr>
              <w:t>Exchange rate adjustment</w:t>
            </w:r>
          </w:p>
        </w:tc>
        <w:tc>
          <w:tcPr>
            <w:tcW w:w="1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120" w:type="dxa"/>
            <w:vAlign w:val="bottom"/>
          </w:tcPr>
          <w:p>
            <w:pPr>
              <w:spacing w:after="0"/>
              <w:rPr>
                <w:sz w:val="20"/>
                <w:szCs w:val="20"/>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400" w:type="dxa"/>
            <w:vAlign w:val="bottom"/>
          </w:tcPr>
          <w:p>
            <w:pPr>
              <w:spacing w:after="0"/>
              <w:rPr>
                <w:sz w:val="20"/>
                <w:szCs w:val="20"/>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(30)</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(106)</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6"/>
                <w:szCs w:val="16"/>
                <w:b w:val="1"/>
                <w:bCs w:val="1"/>
                <w:color w:val="auto"/>
              </w:rPr>
              <w:t>—</w:t>
            </w:r>
          </w:p>
        </w:tc>
        <w:tc>
          <w:tcPr>
            <w:tcW w:w="18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(136)</w:t>
            </w:r>
          </w:p>
        </w:tc>
      </w:tr>
      <w:tr>
        <w:trPr>
          <w:trHeight w:val="33"/>
        </w:trPr>
        <w:tc>
          <w:tcPr>
            <w:tcW w:w="28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r>
      <w:tr>
        <w:trPr>
          <w:trHeight w:val="230"/>
        </w:trPr>
        <w:tc>
          <w:tcPr>
            <w:tcW w:w="28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Balance at January 30, 2016</w:t>
            </w:r>
          </w:p>
        </w:tc>
        <w:tc>
          <w:tcPr>
            <w:tcW w:w="1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b w:val="1"/>
                <w:bCs w:val="1"/>
                <w:color w:val="auto"/>
              </w:rPr>
              <w:t>—</w:t>
            </w:r>
          </w:p>
        </w:tc>
        <w:tc>
          <w:tcPr>
            <w:tcW w:w="400" w:type="dxa"/>
            <w:vAlign w:val="bottom"/>
            <w:tcBorders>
              <w:bottom w:val="single" w:sz="8" w:color="CCEEFF"/>
            </w:tcBorders>
            <w:shd w:val="clear" w:color="auto" w:fill="CCEEFF"/>
          </w:tcPr>
          <w:p>
            <w:pPr>
              <w:spacing w:after="0"/>
              <w:rPr>
                <w:sz w:val="20"/>
                <w:szCs w:val="20"/>
                <w:color w:val="auto"/>
              </w:rPr>
            </w:pPr>
          </w:p>
        </w:tc>
        <w:tc>
          <w:tcPr>
            <w:tcW w:w="6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1,155</w:t>
            </w: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1,043</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1,644</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3,842</w:t>
            </w:r>
          </w:p>
        </w:tc>
      </w:tr>
      <w:tr>
        <w:trPr>
          <w:trHeight w:val="237"/>
        </w:trPr>
        <w:tc>
          <w:tcPr>
            <w:tcW w:w="2800" w:type="dxa"/>
            <w:vAlign w:val="bottom"/>
          </w:tcPr>
          <w:p>
            <w:pPr>
              <w:ind w:left="140"/>
              <w:spacing w:after="0"/>
              <w:rPr>
                <w:sz w:val="20"/>
                <w:szCs w:val="20"/>
                <w:color w:val="auto"/>
              </w:rPr>
            </w:pPr>
            <w:r>
              <w:rPr>
                <w:rFonts w:ascii="Arial" w:cs="Arial" w:eastAsia="Arial" w:hAnsi="Arial"/>
                <w:sz w:val="16"/>
                <w:szCs w:val="16"/>
                <w:color w:val="auto"/>
              </w:rPr>
              <w:t>Cost reduction charges</w:t>
            </w:r>
          </w:p>
        </w:tc>
        <w:tc>
          <w:tcPr>
            <w:tcW w:w="120" w:type="dxa"/>
            <w:vAlign w:val="bottom"/>
          </w:tcPr>
          <w:p>
            <w:pPr>
              <w:spacing w:after="0"/>
              <w:rPr>
                <w:sz w:val="20"/>
                <w:szCs w:val="20"/>
                <w:color w:val="auto"/>
              </w:rPr>
            </w:pPr>
          </w:p>
        </w:tc>
        <w:tc>
          <w:tcPr>
            <w:tcW w:w="1040" w:type="dxa"/>
            <w:vAlign w:val="bottom"/>
          </w:tcPr>
          <w:p>
            <w:pPr>
              <w:jc w:val="right"/>
              <w:ind w:right="39"/>
              <w:spacing w:after="0"/>
              <w:rPr>
                <w:sz w:val="20"/>
                <w:szCs w:val="20"/>
                <w:color w:val="auto"/>
              </w:rPr>
            </w:pPr>
            <w:r>
              <w:rPr>
                <w:rFonts w:ascii="Arial" w:cs="Arial" w:eastAsia="Arial" w:hAnsi="Arial"/>
                <w:sz w:val="16"/>
                <w:szCs w:val="16"/>
                <w:color w:val="auto"/>
              </w:rPr>
              <w:t>41,020</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tcPr>
          <w:p>
            <w:pPr>
              <w:jc w:val="right"/>
              <w:ind w:right="19"/>
              <w:spacing w:after="0"/>
              <w:rPr>
                <w:sz w:val="20"/>
                <w:szCs w:val="20"/>
                <w:color w:val="auto"/>
              </w:rPr>
            </w:pPr>
            <w:r>
              <w:rPr>
                <w:rFonts w:ascii="Arial" w:cs="Arial" w:eastAsia="Arial" w:hAnsi="Arial"/>
                <w:sz w:val="16"/>
                <w:szCs w:val="16"/>
                <w:color w:val="auto"/>
              </w:rPr>
              <w:t>1,872</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20" w:type="dxa"/>
            <w:vAlign w:val="bottom"/>
          </w:tcPr>
          <w:p>
            <w:pPr>
              <w:jc w:val="right"/>
              <w:ind w:right="19"/>
              <w:spacing w:after="0"/>
              <w:rPr>
                <w:sz w:val="20"/>
                <w:szCs w:val="20"/>
                <w:color w:val="auto"/>
              </w:rPr>
            </w:pPr>
            <w:r>
              <w:rPr>
                <w:rFonts w:ascii="Arial" w:cs="Arial" w:eastAsia="Arial" w:hAnsi="Arial"/>
                <w:sz w:val="16"/>
                <w:szCs w:val="16"/>
                <w:color w:val="auto"/>
                <w:w w:val="99"/>
              </w:rPr>
              <w:t>5,452</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15</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80" w:type="dxa"/>
            <w:vAlign w:val="bottom"/>
          </w:tcPr>
          <w:p>
            <w:pPr>
              <w:jc w:val="right"/>
              <w:ind w:right="19"/>
              <w:spacing w:after="0"/>
              <w:rPr>
                <w:sz w:val="20"/>
                <w:szCs w:val="20"/>
                <w:color w:val="auto"/>
              </w:rPr>
            </w:pPr>
            <w:r>
              <w:rPr>
                <w:rFonts w:ascii="Arial" w:cs="Arial" w:eastAsia="Arial" w:hAnsi="Arial"/>
                <w:sz w:val="16"/>
                <w:szCs w:val="16"/>
                <w:color w:val="auto"/>
              </w:rPr>
              <w:t>4,715</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0"/>
                <w:szCs w:val="20"/>
                <w:color w:val="auto"/>
              </w:rPr>
            </w:pPr>
          </w:p>
        </w:tc>
        <w:tc>
          <w:tcPr>
            <w:tcW w:w="740" w:type="dxa"/>
            <w:vAlign w:val="bottom"/>
          </w:tcPr>
          <w:p>
            <w:pPr>
              <w:jc w:val="right"/>
              <w:ind w:right="19"/>
              <w:spacing w:after="0"/>
              <w:rPr>
                <w:sz w:val="20"/>
                <w:szCs w:val="20"/>
                <w:color w:val="auto"/>
              </w:rPr>
            </w:pPr>
            <w:r>
              <w:rPr>
                <w:rFonts w:ascii="Arial" w:cs="Arial" w:eastAsia="Arial" w:hAnsi="Arial"/>
                <w:sz w:val="16"/>
                <w:szCs w:val="16"/>
                <w:color w:val="auto"/>
              </w:rPr>
              <w:t>53,074</w:t>
            </w:r>
          </w:p>
        </w:tc>
      </w:tr>
      <w:tr>
        <w:trPr>
          <w:trHeight w:val="33"/>
        </w:trPr>
        <w:tc>
          <w:tcPr>
            <w:tcW w:w="2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28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Cash payments</w:t>
            </w: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(24,065)</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(110)</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(829)</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(1,082)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(5,112)</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(1,261)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(32,459)</w:t>
            </w:r>
          </w:p>
        </w:tc>
      </w:tr>
      <w:tr>
        <w:trPr>
          <w:trHeight w:val="237"/>
        </w:trPr>
        <w:tc>
          <w:tcPr>
            <w:tcW w:w="2800" w:type="dxa"/>
            <w:vAlign w:val="bottom"/>
          </w:tcPr>
          <w:p>
            <w:pPr>
              <w:ind w:left="140"/>
              <w:spacing w:after="0"/>
              <w:rPr>
                <w:sz w:val="20"/>
                <w:szCs w:val="20"/>
                <w:color w:val="auto"/>
              </w:rPr>
            </w:pPr>
            <w:r>
              <w:rPr>
                <w:rFonts w:ascii="Arial" w:cs="Arial" w:eastAsia="Arial" w:hAnsi="Arial"/>
                <w:sz w:val="16"/>
                <w:szCs w:val="16"/>
                <w:color w:val="auto"/>
              </w:rPr>
              <w:t>Release of reserves</w:t>
            </w:r>
          </w:p>
        </w:tc>
        <w:tc>
          <w:tcPr>
            <w:tcW w:w="1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120" w:type="dxa"/>
            <w:vAlign w:val="bottom"/>
          </w:tcPr>
          <w:p>
            <w:pPr>
              <w:spacing w:after="0"/>
              <w:rPr>
                <w:sz w:val="20"/>
                <w:szCs w:val="20"/>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400" w:type="dxa"/>
            <w:vAlign w:val="bottom"/>
          </w:tcPr>
          <w:p>
            <w:pPr>
              <w:spacing w:after="0"/>
              <w:rPr>
                <w:sz w:val="20"/>
                <w:szCs w:val="20"/>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(86)</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6"/>
                <w:szCs w:val="16"/>
                <w:b w:val="1"/>
                <w:bCs w:val="1"/>
                <w:color w:val="auto"/>
              </w:rPr>
              <w:t>—</w:t>
            </w:r>
          </w:p>
        </w:tc>
        <w:tc>
          <w:tcPr>
            <w:tcW w:w="2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(383)</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(469)</w:t>
            </w:r>
          </w:p>
        </w:tc>
      </w:tr>
      <w:tr>
        <w:trPr>
          <w:trHeight w:val="33"/>
        </w:trPr>
        <w:tc>
          <w:tcPr>
            <w:tcW w:w="2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280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Exchange rate adjustment</w:t>
            </w: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45</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65</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111</w:t>
            </w:r>
          </w:p>
        </w:tc>
      </w:tr>
      <w:tr>
        <w:trPr>
          <w:trHeight w:val="237"/>
        </w:trPr>
        <w:tc>
          <w:tcPr>
            <w:tcW w:w="2800" w:type="dxa"/>
            <w:vAlign w:val="bottom"/>
          </w:tcPr>
          <w:p>
            <w:pPr>
              <w:ind w:left="20"/>
              <w:spacing w:after="0"/>
              <w:rPr>
                <w:sz w:val="20"/>
                <w:szCs w:val="20"/>
                <w:color w:val="auto"/>
              </w:rPr>
            </w:pPr>
            <w:r>
              <w:rPr>
                <w:rFonts w:ascii="Arial" w:cs="Arial" w:eastAsia="Arial" w:hAnsi="Arial"/>
                <w:sz w:val="16"/>
                <w:szCs w:val="16"/>
                <w:color w:val="auto"/>
              </w:rPr>
              <w:t>Balance at January 28, 2017</w:t>
            </w:r>
          </w:p>
        </w:tc>
        <w:tc>
          <w:tcPr>
            <w:tcW w:w="120" w:type="dxa"/>
            <w:vAlign w:val="bottom"/>
          </w:tcPr>
          <w:p>
            <w:pPr>
              <w:spacing w:after="0"/>
              <w:rPr>
                <w:sz w:val="20"/>
                <w:szCs w:val="20"/>
                <w:color w:val="auto"/>
              </w:rPr>
            </w:pPr>
          </w:p>
        </w:tc>
        <w:tc>
          <w:tcPr>
            <w:tcW w:w="1040" w:type="dxa"/>
            <w:vAlign w:val="bottom"/>
          </w:tcPr>
          <w:p>
            <w:pPr>
              <w:jc w:val="right"/>
              <w:ind w:right="39"/>
              <w:spacing w:after="0"/>
              <w:rPr>
                <w:sz w:val="20"/>
                <w:szCs w:val="20"/>
                <w:color w:val="auto"/>
              </w:rPr>
            </w:pPr>
            <w:r>
              <w:rPr>
                <w:rFonts w:ascii="Arial" w:cs="Arial" w:eastAsia="Arial" w:hAnsi="Arial"/>
                <w:sz w:val="16"/>
                <w:szCs w:val="16"/>
                <w:color w:val="auto"/>
              </w:rPr>
              <w:t>17,000</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tcPr>
          <w:p>
            <w:pPr>
              <w:jc w:val="right"/>
              <w:ind w:right="19"/>
              <w:spacing w:after="0"/>
              <w:rPr>
                <w:sz w:val="20"/>
                <w:szCs w:val="20"/>
                <w:color w:val="auto"/>
              </w:rPr>
            </w:pPr>
            <w:r>
              <w:rPr>
                <w:rFonts w:ascii="Arial" w:cs="Arial" w:eastAsia="Arial" w:hAnsi="Arial"/>
                <w:sz w:val="16"/>
                <w:szCs w:val="16"/>
                <w:color w:val="auto"/>
              </w:rPr>
              <w:t>1,763</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20" w:type="dxa"/>
            <w:vAlign w:val="bottom"/>
          </w:tcPr>
          <w:p>
            <w:pPr>
              <w:jc w:val="right"/>
              <w:ind w:right="19"/>
              <w:spacing w:after="0"/>
              <w:rPr>
                <w:sz w:val="20"/>
                <w:szCs w:val="20"/>
                <w:color w:val="auto"/>
              </w:rPr>
            </w:pPr>
            <w:r>
              <w:rPr>
                <w:rFonts w:ascii="Arial" w:cs="Arial" w:eastAsia="Arial" w:hAnsi="Arial"/>
                <w:sz w:val="16"/>
                <w:szCs w:val="16"/>
                <w:color w:val="auto"/>
                <w:w w:val="99"/>
              </w:rPr>
              <w:t>4,625</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20"/>
                <w:szCs w:val="20"/>
                <w:color w:val="auto"/>
              </w:rPr>
            </w:pPr>
          </w:p>
        </w:tc>
        <w:tc>
          <w:tcPr>
            <w:tcW w:w="780" w:type="dxa"/>
            <w:vAlign w:val="bottom"/>
          </w:tcPr>
          <w:p>
            <w:pPr>
              <w:jc w:val="right"/>
              <w:ind w:right="19"/>
              <w:spacing w:after="0"/>
              <w:rPr>
                <w:sz w:val="20"/>
                <w:szCs w:val="20"/>
                <w:color w:val="auto"/>
              </w:rPr>
            </w:pPr>
            <w:r>
              <w:rPr>
                <w:rFonts w:ascii="Arial" w:cs="Arial" w:eastAsia="Arial" w:hAnsi="Arial"/>
                <w:sz w:val="16"/>
                <w:szCs w:val="16"/>
                <w:color w:val="auto"/>
              </w:rPr>
              <w:t>711</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0"/>
                <w:szCs w:val="20"/>
                <w:color w:val="auto"/>
              </w:rPr>
            </w:pPr>
          </w:p>
        </w:tc>
        <w:tc>
          <w:tcPr>
            <w:tcW w:w="740" w:type="dxa"/>
            <w:vAlign w:val="bottom"/>
          </w:tcPr>
          <w:p>
            <w:pPr>
              <w:jc w:val="right"/>
              <w:ind w:right="19"/>
              <w:spacing w:after="0"/>
              <w:rPr>
                <w:sz w:val="20"/>
                <w:szCs w:val="20"/>
                <w:color w:val="auto"/>
              </w:rPr>
            </w:pPr>
            <w:r>
              <w:rPr>
                <w:rFonts w:ascii="Arial" w:cs="Arial" w:eastAsia="Arial" w:hAnsi="Arial"/>
                <w:sz w:val="16"/>
                <w:szCs w:val="16"/>
                <w:color w:val="auto"/>
              </w:rPr>
              <w:t>24,099</w:t>
            </w:r>
          </w:p>
        </w:tc>
      </w:tr>
      <w:tr>
        <w:trPr>
          <w:trHeight w:val="33"/>
        </w:trPr>
        <w:tc>
          <w:tcPr>
            <w:tcW w:w="28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r>
      <w:tr>
        <w:trPr>
          <w:trHeight w:val="230"/>
        </w:trPr>
        <w:tc>
          <w:tcPr>
            <w:tcW w:w="28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Less: non-current portion</w:t>
            </w:r>
          </w:p>
        </w:tc>
        <w:tc>
          <w:tcPr>
            <w:tcW w:w="1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(949)</w:t>
            </w: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6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4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b w:val="1"/>
                <w:bCs w:val="1"/>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(949)</w:t>
            </w:r>
          </w:p>
        </w:tc>
      </w:tr>
      <w:tr>
        <w:trPr>
          <w:trHeight w:val="250"/>
        </w:trPr>
        <w:tc>
          <w:tcPr>
            <w:tcW w:w="2800" w:type="dxa"/>
            <w:vAlign w:val="bottom"/>
          </w:tcPr>
          <w:p>
            <w:pPr>
              <w:ind w:left="20"/>
              <w:spacing w:after="0"/>
              <w:rPr>
                <w:sz w:val="20"/>
                <w:szCs w:val="20"/>
                <w:color w:val="auto"/>
              </w:rPr>
            </w:pPr>
            <w:r>
              <w:rPr>
                <w:rFonts w:ascii="Arial" w:cs="Arial" w:eastAsia="Arial" w:hAnsi="Arial"/>
                <w:sz w:val="16"/>
                <w:szCs w:val="16"/>
                <w:color w:val="auto"/>
              </w:rPr>
              <w:t>Current portion</w:t>
            </w:r>
          </w:p>
        </w:tc>
        <w:tc>
          <w:tcPr>
            <w:tcW w:w="12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1040" w:type="dxa"/>
            <w:vAlign w:val="bottom"/>
          </w:tcPr>
          <w:p>
            <w:pPr>
              <w:jc w:val="right"/>
              <w:ind w:right="39"/>
              <w:spacing w:after="0"/>
              <w:rPr>
                <w:sz w:val="20"/>
                <w:szCs w:val="20"/>
                <w:color w:val="auto"/>
              </w:rPr>
            </w:pPr>
            <w:r>
              <w:rPr>
                <w:rFonts w:ascii="Arial" w:cs="Arial" w:eastAsia="Arial" w:hAnsi="Arial"/>
                <w:sz w:val="16"/>
                <w:szCs w:val="16"/>
                <w:color w:val="auto"/>
              </w:rPr>
              <w:t>17,000</w:t>
            </w:r>
          </w:p>
        </w:tc>
        <w:tc>
          <w:tcPr>
            <w:tcW w:w="10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800" w:type="dxa"/>
            <w:vAlign w:val="bottom"/>
          </w:tcPr>
          <w:p>
            <w:pPr>
              <w:jc w:val="right"/>
              <w:ind w:right="19"/>
              <w:spacing w:after="0"/>
              <w:rPr>
                <w:sz w:val="20"/>
                <w:szCs w:val="20"/>
                <w:color w:val="auto"/>
              </w:rPr>
            </w:pPr>
            <w:r>
              <w:rPr>
                <w:rFonts w:ascii="Arial" w:cs="Arial" w:eastAsia="Arial" w:hAnsi="Arial"/>
                <w:sz w:val="16"/>
                <w:szCs w:val="16"/>
                <w:color w:val="auto"/>
              </w:rPr>
              <w:t>814</w:t>
            </w:r>
          </w:p>
        </w:tc>
        <w:tc>
          <w:tcPr>
            <w:tcW w:w="120" w:type="dxa"/>
            <w:vAlign w:val="bottom"/>
          </w:tcPr>
          <w:p>
            <w:pPr>
              <w:spacing w:after="0"/>
              <w:rPr>
                <w:sz w:val="21"/>
                <w:szCs w:val="21"/>
                <w:color w:val="auto"/>
              </w:rPr>
            </w:pPr>
          </w:p>
        </w:tc>
        <w:tc>
          <w:tcPr>
            <w:tcW w:w="400" w:type="dxa"/>
            <w:vAlign w:val="bottom"/>
          </w:tcPr>
          <w:p>
            <w:pPr>
              <w:ind w:left="20"/>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19"/>
              <w:spacing w:after="0"/>
              <w:rPr>
                <w:sz w:val="20"/>
                <w:szCs w:val="20"/>
                <w:color w:val="auto"/>
              </w:rPr>
            </w:pPr>
            <w:r>
              <w:rPr>
                <w:rFonts w:ascii="Arial" w:cs="Arial" w:eastAsia="Arial" w:hAnsi="Arial"/>
                <w:sz w:val="16"/>
                <w:szCs w:val="16"/>
                <w:color w:val="auto"/>
                <w:w w:val="99"/>
              </w:rPr>
              <w:t>4,625</w:t>
            </w:r>
          </w:p>
        </w:tc>
        <w:tc>
          <w:tcPr>
            <w:tcW w:w="10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11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4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tcPr>
          <w:p>
            <w:pPr>
              <w:jc w:val="right"/>
              <w:ind w:right="19"/>
              <w:spacing w:after="0"/>
              <w:rPr>
                <w:sz w:val="20"/>
                <w:szCs w:val="20"/>
                <w:color w:val="auto"/>
              </w:rPr>
            </w:pPr>
            <w:r>
              <w:rPr>
                <w:rFonts w:ascii="Arial" w:cs="Arial" w:eastAsia="Arial" w:hAnsi="Arial"/>
                <w:sz w:val="16"/>
                <w:szCs w:val="16"/>
                <w:color w:val="auto"/>
              </w:rPr>
              <w:t>711</w:t>
            </w:r>
          </w:p>
        </w:tc>
        <w:tc>
          <w:tcPr>
            <w:tcW w:w="120" w:type="dxa"/>
            <w:vAlign w:val="bottom"/>
          </w:tcPr>
          <w:p>
            <w:pPr>
              <w:spacing w:after="0"/>
              <w:rPr>
                <w:sz w:val="21"/>
                <w:szCs w:val="21"/>
                <w:color w:val="auto"/>
              </w:rPr>
            </w:pPr>
          </w:p>
        </w:tc>
        <w:tc>
          <w:tcPr>
            <w:tcW w:w="240" w:type="dxa"/>
            <w:vAlign w:val="bottom"/>
          </w:tcPr>
          <w:p>
            <w:pPr>
              <w:ind w:left="20"/>
              <w:spacing w:after="0"/>
              <w:rPr>
                <w:sz w:val="20"/>
                <w:szCs w:val="20"/>
                <w:color w:val="auto"/>
              </w:rPr>
            </w:pPr>
            <w:r>
              <w:rPr>
                <w:rFonts w:ascii="Arial" w:cs="Arial" w:eastAsia="Arial" w:hAnsi="Arial"/>
                <w:sz w:val="16"/>
                <w:szCs w:val="16"/>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740" w:type="dxa"/>
            <w:vAlign w:val="bottom"/>
          </w:tcPr>
          <w:p>
            <w:pPr>
              <w:jc w:val="right"/>
              <w:ind w:right="19"/>
              <w:spacing w:after="0"/>
              <w:rPr>
                <w:sz w:val="20"/>
                <w:szCs w:val="20"/>
                <w:color w:val="auto"/>
              </w:rPr>
            </w:pPr>
            <w:r>
              <w:rPr>
                <w:rFonts w:ascii="Arial" w:cs="Arial" w:eastAsia="Arial" w:hAnsi="Arial"/>
                <w:sz w:val="16"/>
                <w:szCs w:val="16"/>
                <w:color w:val="auto"/>
              </w:rPr>
              <w:t>23,150</w:t>
            </w:r>
          </w:p>
        </w:tc>
      </w:tr>
      <w:tr>
        <w:trPr>
          <w:trHeight w:val="20"/>
        </w:trPr>
        <w:tc>
          <w:tcPr>
            <w:tcW w:w="28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60" w:firstLine="432"/>
        <w:spacing w:after="0" w:line="255" w:lineRule="auto"/>
        <w:rPr>
          <w:sz w:val="20"/>
          <w:szCs w:val="20"/>
          <w:color w:val="auto"/>
        </w:rPr>
      </w:pPr>
      <w:r>
        <w:rPr>
          <w:rFonts w:ascii="Arial" w:cs="Arial" w:eastAsia="Arial" w:hAnsi="Arial"/>
          <w:sz w:val="18"/>
          <w:szCs w:val="18"/>
          <w:color w:val="auto"/>
        </w:rPr>
        <w:t>During fiscal 2017, the Company paid severance and related benefit costs to approximately 500 employees who departed in fiscal 2017 as part of the restructuring actions described above. The remaining severance represents termination benefits determined to have been established under a substantive ongoing benefit arrangement for which payment was considered probable due to the timing of notification to certain additional employee groups after the end of fiscal 2017 and is expected to be paid within the first half of fiscal 2018. The balance at January 28, 2017 for facility and related costs includes remaining payments under lease obligations related to vacated space that are expected to be paid through fiscal 2019. Other exit-related costs are expected to be paid in the first quarter of fiscal 2018.</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Income Taxes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U.S. and non-U.S. components of income (loss) before income taxes of continuing operations consist of the following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7"/>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operations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30,889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32,433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30,607</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Non-U.S. operations</w:t>
            </w:r>
          </w:p>
        </w:tc>
        <w:tc>
          <w:tcPr>
            <w:tcW w:w="260" w:type="dxa"/>
            <w:vAlign w:val="bottom"/>
          </w:tcPr>
          <w:p>
            <w:pPr>
              <w:spacing w:after="0"/>
              <w:rPr>
                <w:sz w:val="21"/>
                <w:szCs w:val="21"/>
                <w:color w:val="auto"/>
              </w:rPr>
            </w:pPr>
          </w:p>
        </w:tc>
        <w:tc>
          <w:tcPr>
            <w:tcW w:w="1260" w:type="dxa"/>
            <w:vAlign w:val="bottom"/>
          </w:tcPr>
          <w:p>
            <w:pPr>
              <w:jc w:val="right"/>
              <w:ind w:right="37"/>
              <w:spacing w:after="0"/>
              <w:rPr>
                <w:sz w:val="20"/>
                <w:szCs w:val="20"/>
                <w:color w:val="auto"/>
              </w:rPr>
            </w:pPr>
            <w:r>
              <w:rPr>
                <w:rFonts w:ascii="Arial" w:cs="Arial" w:eastAsia="Arial" w:hAnsi="Arial"/>
                <w:sz w:val="18"/>
                <w:szCs w:val="18"/>
                <w:color w:val="auto"/>
              </w:rPr>
              <w:t>86,127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(790,253)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449,103</w:t>
            </w: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674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117,016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(757,820)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479,710</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provision (benefit) for income taxes consists of the following (in thousands):</w:t>
      </w:r>
    </w:p>
    <w:p>
      <w:pPr>
        <w:spacing w:after="0" w:line="252"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20"/>
          </w:cols>
          <w:pgMar w:left="240" w:top="391" w:right="239" w:bottom="1440" w:gutter="0" w:footer="0" w:header="0"/>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3"/>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center"/>
              <w:ind w:right="193"/>
              <w:spacing w:after="0" w:line="153" w:lineRule="exact"/>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2017</w:t>
            </w:r>
          </w:p>
        </w:tc>
        <w:tc>
          <w:tcPr>
            <w:tcW w:w="8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3"/>
              <w:spacing w:after="0"/>
              <w:rPr>
                <w:sz w:val="20"/>
                <w:szCs w:val="20"/>
                <w:color w:val="auto"/>
              </w:rPr>
            </w:pPr>
            <w:r>
              <w:rPr>
                <w:rFonts w:ascii="Arial" w:cs="Arial" w:eastAsia="Arial" w:hAnsi="Arial"/>
                <w:sz w:val="14"/>
                <w:szCs w:val="14"/>
                <w:b w:val="1"/>
                <w:bCs w:val="1"/>
                <w:color w:val="auto"/>
                <w:w w:val="89"/>
              </w:rPr>
              <w:t>2015</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income tax provision (benefit):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Federal</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8,289</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10,482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8,826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State</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180</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Foreign</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19,916</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(5,326)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171</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current income tax provision (benefit)</w:t>
            </w:r>
          </w:p>
        </w:tc>
        <w:tc>
          <w:tcPr>
            <w:tcW w:w="26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28,385</w:t>
            </w:r>
          </w:p>
        </w:tc>
        <w:tc>
          <w:tcPr>
            <w:tcW w:w="8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5,239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8,836</w:t>
            </w:r>
          </w:p>
        </w:tc>
        <w:tc>
          <w:tcPr>
            <w:tcW w:w="0" w:type="dxa"/>
            <w:vAlign w:val="bottom"/>
          </w:tcPr>
          <w:p>
            <w:pPr>
              <w:spacing w:after="0"/>
              <w:rPr>
                <w:sz w:val="1"/>
                <w:szCs w:val="1"/>
                <w:color w:val="auto"/>
              </w:rPr>
            </w:pPr>
          </w:p>
        </w:tc>
      </w:tr>
      <w:tr>
        <w:trPr>
          <w:trHeight w:val="223"/>
        </w:trPr>
        <w:tc>
          <w:tcPr>
            <w:tcW w:w="6740" w:type="dxa"/>
            <w:vAlign w:val="bottom"/>
          </w:tcPr>
          <w:p>
            <w:pPr>
              <w:ind w:left="40"/>
              <w:spacing w:after="0"/>
              <w:rPr>
                <w:sz w:val="20"/>
                <w:szCs w:val="20"/>
                <w:color w:val="auto"/>
              </w:rPr>
            </w:pPr>
            <w:r>
              <w:rPr>
                <w:rFonts w:ascii="Arial" w:cs="Arial" w:eastAsia="Arial" w:hAnsi="Arial"/>
                <w:sz w:val="18"/>
                <w:szCs w:val="18"/>
                <w:color w:val="auto"/>
              </w:rPr>
              <w:t>Deferred income tax provision (benefit):</w:t>
            </w:r>
          </w:p>
        </w:tc>
        <w:tc>
          <w:tcPr>
            <w:tcW w:w="26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67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6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Federal</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(5,062)</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(4,355)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(1,775)</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State</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580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49,711</w:t>
            </w: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9,871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(11,154)</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Total deferred income tax provision (benefit)</w:t>
            </w:r>
          </w:p>
        </w:tc>
        <w:tc>
          <w:tcPr>
            <w:tcW w:w="26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44,637</w:t>
            </w: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6,096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(12,913)</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provision (benefit) for income taxes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73,022</w:t>
            </w:r>
          </w:p>
        </w:tc>
        <w:tc>
          <w:tcPr>
            <w:tcW w:w="8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11,335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(4,077)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40"/>
              <w:spacing w:after="0"/>
              <w:rPr>
                <w:sz w:val="20"/>
                <w:szCs w:val="20"/>
                <w:color w:val="auto"/>
              </w:rPr>
            </w:pPr>
            <w:r>
              <w:rPr>
                <w:rFonts w:ascii="Arial" w:cs="Arial" w:eastAsia="Arial" w:hAnsi="Arial"/>
                <w:sz w:val="18"/>
                <w:szCs w:val="18"/>
                <w:color w:val="auto"/>
              </w:rPr>
              <w:t>Deferred tax assets consist of the following (in thousands):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4"/>
        </w:trPr>
        <w:tc>
          <w:tcPr>
            <w:tcW w:w="6740" w:type="dxa"/>
            <w:vAlign w:val="bottom"/>
            <w:vMerge w:val="continue"/>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6"/>
        </w:trPr>
        <w:tc>
          <w:tcPr>
            <w:tcW w:w="6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40" w:type="dxa"/>
            <w:vAlign w:val="bottom"/>
            <w:gridSpan w:val="2"/>
          </w:tcPr>
          <w:p>
            <w:pPr>
              <w:ind w:left="10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24"/>
                <w:szCs w:val="24"/>
                <w:color w:val="auto"/>
              </w:rPr>
            </w:pPr>
          </w:p>
        </w:tc>
        <w:tc>
          <w:tcPr>
            <w:tcW w:w="1240" w:type="dxa"/>
            <w:vAlign w:val="bottom"/>
          </w:tcPr>
          <w:p>
            <w:pPr>
              <w:jc w:val="center"/>
              <w:ind w:right="193"/>
              <w:spacing w:after="0"/>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CCEEFF"/>
            </w:tcBorders>
          </w:tcPr>
          <w:p>
            <w:pPr>
              <w:spacing w:after="0"/>
              <w:rPr>
                <w:sz w:val="16"/>
                <w:szCs w:val="16"/>
                <w:color w:val="auto"/>
              </w:rPr>
            </w:pPr>
          </w:p>
        </w:tc>
        <w:tc>
          <w:tcPr>
            <w:tcW w:w="1260" w:type="dxa"/>
            <w:vAlign w:val="bottom"/>
            <w:tcBorders>
              <w:bottom w:val="single" w:sz="8" w:color="CCEEFF"/>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96"/>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3"/>
              <w:spacing w:after="0"/>
              <w:rPr>
                <w:sz w:val="20"/>
                <w:szCs w:val="20"/>
                <w:color w:val="auto"/>
              </w:rPr>
            </w:pPr>
            <w:r>
              <w:rPr>
                <w:rFonts w:ascii="Arial" w:cs="Arial" w:eastAsia="Arial" w:hAnsi="Arial"/>
                <w:sz w:val="14"/>
                <w:szCs w:val="14"/>
                <w:b w:val="1"/>
                <w:bCs w:val="1"/>
                <w:color w:val="auto"/>
                <w:w w:val="89"/>
              </w:rPr>
              <w:t>2016</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tax assets: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Federal and California research and other tax credits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450,503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414,662</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Reserves and accruals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35,887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35,200</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Share-based compensation</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3,733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4,476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operating losses</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5,361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11,055</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Gross deferred tax assets</w:t>
            </w:r>
          </w:p>
        </w:tc>
        <w:tc>
          <w:tcPr>
            <w:tcW w:w="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495,484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465,393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Valuation allowance</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(456,541)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(424,914)</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Total deferred tax assets</w:t>
            </w:r>
          </w:p>
        </w:tc>
        <w:tc>
          <w:tcPr>
            <w:tcW w:w="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38,943</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40,479</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deferred tax liabilities</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(51,112)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(7,073)</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Net deferred tax assets (liabilities)</w:t>
            </w:r>
          </w:p>
        </w:tc>
        <w:tc>
          <w:tcPr>
            <w:tcW w:w="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(12,169)</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33,406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jc w:val="both"/>
        <w:ind w:right="320" w:firstLine="432"/>
        <w:spacing w:after="0" w:line="375" w:lineRule="auto"/>
        <w:rPr>
          <w:sz w:val="20"/>
          <w:szCs w:val="20"/>
          <w:color w:val="auto"/>
        </w:rPr>
      </w:pPr>
      <w:r>
        <w:rPr>
          <w:rFonts w:ascii="Arial" w:cs="Arial" w:eastAsia="Arial" w:hAnsi="Arial"/>
          <w:sz w:val="15"/>
          <w:szCs w:val="15"/>
          <w:color w:val="auto"/>
        </w:rPr>
        <w:t>As presented in the consolidated balance sheets as of January 28, 2017 and January 30, 2016, and in the table above, unrecognized tax benefits have been offset by deferred tax assets for certain net operating losses that are available to be used in the amount of $7.5 million and $6.3 million, respectively.</w:t>
      </w:r>
    </w:p>
    <w:p>
      <w:pPr>
        <w:spacing w:after="0" w:line="1" w:lineRule="exact"/>
        <w:rPr>
          <w:sz w:val="20"/>
          <w:szCs w:val="20"/>
          <w:color w:val="auto"/>
        </w:rPr>
      </w:pPr>
    </w:p>
    <w:p>
      <w:pPr>
        <w:ind w:right="20" w:firstLine="432"/>
        <w:spacing w:after="0" w:line="273" w:lineRule="auto"/>
        <w:rPr>
          <w:sz w:val="20"/>
          <w:szCs w:val="20"/>
          <w:color w:val="auto"/>
        </w:rPr>
      </w:pPr>
      <w:r>
        <w:rPr>
          <w:rFonts w:ascii="Arial" w:cs="Arial" w:eastAsia="Arial" w:hAnsi="Arial"/>
          <w:sz w:val="17"/>
          <w:szCs w:val="17"/>
          <w:color w:val="auto"/>
        </w:rPr>
        <w:t>At the end of fiscal 2017, the Company recorded a valuation allowance of $456.5 million which is an increase of $31.6 million from fiscal 2016. The Company provided a full valuation allowance against its federal and various state research credits which it earns in excess of its current year tax liabilities, as well as a portion against its net operating loss carryforwards in the U.S. federal and California jurisdictions. Based on the objectively verifiable positive and negative evidence, the Company determined that it is more likely than not that these research credits and net operating losses will not be realized in the future. The Company also provided a valuation allowance against the deferred tax assets of a portion of its operations in Israel, which has cumulative losses in recent years and is not projecting sufficient future taxable income to realize the benefit of its deferred tax assets.</w:t>
      </w:r>
    </w:p>
    <w:p>
      <w:pPr>
        <w:spacing w:after="0" w:line="70" w:lineRule="exact"/>
        <w:rPr>
          <w:sz w:val="20"/>
          <w:szCs w:val="20"/>
          <w:color w:val="auto"/>
        </w:rPr>
      </w:pPr>
    </w:p>
    <w:p>
      <w:pPr>
        <w:ind w:right="100" w:firstLine="432"/>
        <w:spacing w:after="0" w:line="270" w:lineRule="auto"/>
        <w:rPr>
          <w:sz w:val="20"/>
          <w:szCs w:val="20"/>
          <w:color w:val="auto"/>
        </w:rPr>
      </w:pPr>
      <w:r>
        <w:rPr>
          <w:rFonts w:ascii="Arial" w:cs="Arial" w:eastAsia="Arial" w:hAnsi="Arial"/>
          <w:sz w:val="17"/>
          <w:szCs w:val="17"/>
          <w:color w:val="auto"/>
        </w:rPr>
        <w:t>As of January 28, 2017, the Company had net operating loss carryforwards available to offset future taxable income of approximately $82.7 million, $1.4 million and $6.3 million for foreign, U.S. federal and state of California purposes, respectively. The federal carryforwards will expire in various fiscal years between 2022 and 2028, and the California carryforwards will expire at various fiscal years between 2018 and 2033, if not utilized before these years. The majority of the Company’s non-U.S. losses carry forward indefinitely. For U.S. federal income tax return purposes, the Company had research tax credit carryforwards of approximately $268.5 million that expire through fiscal 2037. As of January 28, 2017, the Company had unused California research and tax credit carryforwards of approximately $279.4 million, which can be carried forward indefinitely. Included in the U.S. federal and California carryforward amounts are $63.0 million and $60.0 million, respectively, that are attributable to excess tax benefits from stock options. Upon realization, the benefit associated with these credits will increase additional paid-in capital. The Company also has research and investment tax credit carryforwards of approximately $24.3 million in other U.S. states that expire through fiscal 2032 due to the statutes of limitation.</w:t>
      </w:r>
    </w:p>
    <w:p>
      <w:pPr>
        <w:sectPr>
          <w:pgSz w:w="11900" w:h="16838" w:orient="portrait"/>
          <w:cols w:equalWidth="0" w:num="1">
            <w:col w:w="11420"/>
          </w:cols>
          <w:pgMar w:left="240" w:top="391" w:right="239" w:bottom="1440" w:gutter="0" w:footer="0" w:header="0"/>
        </w:sect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74</w:t>
      </w:r>
    </w:p>
    <w:p>
      <w:pPr>
        <w:sectPr>
          <w:pgSz w:w="11900" w:h="16838" w:orient="portrait"/>
          <w:cols w:equalWidth="0" w:num="1">
            <w:col w:w="11420"/>
          </w:cols>
          <w:pgMar w:left="240" w:top="391" w:right="239" w:bottom="1440" w:gutter="0" w:footer="0" w:header="0"/>
          <w:type w:val="continuous"/>
        </w:sectPr>
      </w:pPr>
    </w:p>
    <w:bookmarkStart w:id="77" w:name="page78"/>
    <w:bookmarkEnd w:id="7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The Company consists of a Bermuda parent holding company with various foreign and U.S. subsidiaries. The applicable statutory rate in Bermuda is zero for the Company for fiscal 2017, 2016, and 2015. For purposes of the reconciliation between the provision (benefit) for income taxes at the statutory rate and the effective tax rate, a notional U.S. 35% rate is applied as follows:</w:t>
      </w: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gridSpan w:val="2"/>
          </w:tcPr>
          <w:p>
            <w:pPr>
              <w:jc w:val="right"/>
              <w:ind w:right="520"/>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r>
      <w:tr>
        <w:trPr>
          <w:trHeight w:val="152"/>
        </w:trPr>
        <w:tc>
          <w:tcPr>
            <w:tcW w:w="64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80" w:type="dxa"/>
            <w:vAlign w:val="bottom"/>
            <w:gridSpan w:val="4"/>
          </w:tcPr>
          <w:p>
            <w:pPr>
              <w:spacing w:after="0" w:line="153" w:lineRule="exact"/>
              <w:rPr>
                <w:sz w:val="20"/>
                <w:szCs w:val="20"/>
                <w:color w:val="auto"/>
              </w:rPr>
            </w:pPr>
            <w:r>
              <w:rPr>
                <w:rFonts w:ascii="Arial" w:cs="Arial" w:eastAsia="Arial" w:hAnsi="Arial"/>
                <w:sz w:val="14"/>
                <w:szCs w:val="14"/>
                <w:b w:val="1"/>
                <w:bCs w:val="1"/>
                <w:color w:val="auto"/>
              </w:rPr>
              <w:t>January 28,</w:t>
            </w:r>
          </w:p>
        </w:tc>
        <w:tc>
          <w:tcPr>
            <w:tcW w:w="160" w:type="dxa"/>
            <w:vAlign w:val="bottom"/>
          </w:tcPr>
          <w:p>
            <w:pPr>
              <w:spacing w:after="0"/>
              <w:rPr>
                <w:sz w:val="13"/>
                <w:szCs w:val="13"/>
                <w:color w:val="auto"/>
              </w:rPr>
            </w:pPr>
          </w:p>
        </w:tc>
        <w:tc>
          <w:tcPr>
            <w:tcW w:w="1320" w:type="dxa"/>
            <w:vAlign w:val="bottom"/>
            <w:gridSpan w:val="2"/>
          </w:tcPr>
          <w:p>
            <w:pPr>
              <w:jc w:val="right"/>
              <w:ind w:right="560"/>
              <w:spacing w:after="0" w:line="153" w:lineRule="exact"/>
              <w:rPr>
                <w:sz w:val="20"/>
                <w:szCs w:val="20"/>
                <w:color w:val="auto"/>
              </w:rPr>
            </w:pPr>
            <w:r>
              <w:rPr>
                <w:rFonts w:ascii="Arial" w:cs="Arial" w:eastAsia="Arial" w:hAnsi="Arial"/>
                <w:sz w:val="14"/>
                <w:szCs w:val="14"/>
                <w:b w:val="1"/>
                <w:bCs w:val="1"/>
                <w:color w:val="auto"/>
                <w:w w:val="95"/>
              </w:rPr>
              <w:t>January 30,</w:t>
            </w:r>
          </w:p>
        </w:tc>
        <w:tc>
          <w:tcPr>
            <w:tcW w:w="1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60" w:type="dxa"/>
            <w:vAlign w:val="bottom"/>
          </w:tcPr>
          <w:p>
            <w:pPr>
              <w:jc w:val="right"/>
              <w:ind w:right="354"/>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4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ind w:left="240"/>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75"/>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54"/>
              <w:spacing w:after="0"/>
              <w:rPr>
                <w:sz w:val="20"/>
                <w:szCs w:val="20"/>
                <w:color w:val="auto"/>
              </w:rPr>
            </w:pPr>
            <w:r>
              <w:rPr>
                <w:rFonts w:ascii="Arial" w:cs="Arial" w:eastAsia="Arial" w:hAnsi="Arial"/>
                <w:sz w:val="14"/>
                <w:szCs w:val="14"/>
                <w:b w:val="1"/>
                <w:bCs w:val="1"/>
                <w:color w:val="auto"/>
              </w:rPr>
              <w:t>2015</w:t>
            </w:r>
          </w:p>
        </w:tc>
      </w:tr>
      <w:tr>
        <w:trPr>
          <w:trHeight w:val="243"/>
        </w:trPr>
        <w:tc>
          <w:tcPr>
            <w:tcW w:w="648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at U.S. notional statutory rate</w:t>
            </w:r>
          </w:p>
        </w:tc>
        <w:tc>
          <w:tcPr>
            <w:tcW w:w="26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35.0 %</w:t>
            </w:r>
          </w:p>
        </w:tc>
        <w:tc>
          <w:tcPr>
            <w:tcW w:w="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35.0 %</w:t>
            </w:r>
          </w:p>
        </w:tc>
        <w:tc>
          <w:tcPr>
            <w:tcW w:w="10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35.0 %</w:t>
            </w:r>
          </w:p>
        </w:tc>
      </w:tr>
      <w:tr>
        <w:trPr>
          <w:trHeight w:val="277"/>
        </w:trPr>
        <w:tc>
          <w:tcPr>
            <w:tcW w:w="6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Difference in U.S. and non-U.S. tax rates</w:t>
            </w:r>
          </w:p>
        </w:tc>
        <w:tc>
          <w:tcPr>
            <w:tcW w:w="260" w:type="dxa"/>
            <w:vAlign w:val="bottom"/>
            <w:tcBorders>
              <w:bottom w:val="single" w:sz="8" w:color="CCEEFF"/>
            </w:tcBorders>
            <w:shd w:val="clear" w:color="auto" w:fill="CCEEFF"/>
          </w:tcPr>
          <w:p>
            <w:pPr>
              <w:spacing w:after="0"/>
              <w:rPr>
                <w:sz w:val="24"/>
                <w:szCs w:val="24"/>
                <w:color w:val="auto"/>
              </w:rPr>
            </w:pPr>
          </w:p>
        </w:tc>
        <w:tc>
          <w:tcPr>
            <w:tcW w:w="140" w:type="dxa"/>
            <w:vAlign w:val="bottom"/>
            <w:tcBorders>
              <w:bottom w:val="single" w:sz="8" w:color="CCEEFF"/>
            </w:tcBorders>
            <w:shd w:val="clear" w:color="auto" w:fill="CCEEFF"/>
          </w:tcPr>
          <w:p>
            <w:pPr>
              <w:spacing w:after="0"/>
              <w:rPr>
                <w:sz w:val="24"/>
                <w:szCs w:val="24"/>
                <w:color w:val="auto"/>
              </w:rPr>
            </w:pPr>
          </w:p>
        </w:tc>
        <w:tc>
          <w:tcPr>
            <w:tcW w:w="11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(23.7)</w:t>
            </w:r>
          </w:p>
        </w:tc>
        <w:tc>
          <w:tcPr>
            <w:tcW w:w="120" w:type="dxa"/>
            <w:vAlign w:val="bottom"/>
            <w:tcBorders>
              <w:bottom w:val="single" w:sz="8" w:color="CCEEFF"/>
            </w:tcBorders>
            <w:shd w:val="clear" w:color="auto" w:fill="CCEEFF"/>
          </w:tcPr>
          <w:p>
            <w:pPr>
              <w:spacing w:after="0"/>
              <w:rPr>
                <w:sz w:val="24"/>
                <w:szCs w:val="24"/>
                <w:color w:val="auto"/>
              </w:rPr>
            </w:pPr>
          </w:p>
        </w:tc>
        <w:tc>
          <w:tcPr>
            <w:tcW w:w="100" w:type="dxa"/>
            <w:vAlign w:val="bottom"/>
            <w:tcBorders>
              <w:bottom w:val="single" w:sz="8" w:color="CCEEFF"/>
            </w:tcBorders>
            <w:shd w:val="clear" w:color="auto" w:fill="CCEEFF"/>
          </w:tcPr>
          <w:p>
            <w:pPr>
              <w:spacing w:after="0"/>
              <w:rPr>
                <w:sz w:val="24"/>
                <w:szCs w:val="24"/>
                <w:color w:val="auto"/>
              </w:rPr>
            </w:pPr>
          </w:p>
        </w:tc>
        <w:tc>
          <w:tcPr>
            <w:tcW w:w="100" w:type="dxa"/>
            <w:vAlign w:val="bottom"/>
            <w:tcBorders>
              <w:bottom w:val="single" w:sz="8" w:color="CCEEFF"/>
            </w:tcBorders>
            <w:shd w:val="clear" w:color="auto" w:fill="CCEEFF"/>
          </w:tcPr>
          <w:p>
            <w:pPr>
              <w:spacing w:after="0"/>
              <w:rPr>
                <w:sz w:val="24"/>
                <w:szCs w:val="24"/>
                <w:color w:val="auto"/>
              </w:rPr>
            </w:pPr>
          </w:p>
        </w:tc>
        <w:tc>
          <w:tcPr>
            <w:tcW w:w="160" w:type="dxa"/>
            <w:vAlign w:val="bottom"/>
            <w:tcBorders>
              <w:bottom w:val="single" w:sz="8" w:color="CCEEFF"/>
            </w:tcBorders>
            <w:shd w:val="clear" w:color="auto" w:fill="CCEEFF"/>
          </w:tcPr>
          <w:p>
            <w:pPr>
              <w:spacing w:after="0"/>
              <w:rPr>
                <w:sz w:val="24"/>
                <w:szCs w:val="24"/>
                <w:color w:val="auto"/>
              </w:rPr>
            </w:pPr>
          </w:p>
        </w:tc>
        <w:tc>
          <w:tcPr>
            <w:tcW w:w="122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(37.1)</w:t>
            </w:r>
          </w:p>
        </w:tc>
        <w:tc>
          <w:tcPr>
            <w:tcW w:w="100" w:type="dxa"/>
            <w:vAlign w:val="bottom"/>
            <w:tcBorders>
              <w:bottom w:val="single" w:sz="8" w:color="CCEEFF"/>
            </w:tcBorders>
            <w:shd w:val="clear" w:color="auto" w:fill="CCEEFF"/>
          </w:tcPr>
          <w:p>
            <w:pPr>
              <w:spacing w:after="0"/>
              <w:rPr>
                <w:sz w:val="24"/>
                <w:szCs w:val="24"/>
                <w:color w:val="auto"/>
              </w:rPr>
            </w:pPr>
          </w:p>
        </w:tc>
        <w:tc>
          <w:tcPr>
            <w:tcW w:w="100" w:type="dxa"/>
            <w:vAlign w:val="bottom"/>
            <w:tcBorders>
              <w:bottom w:val="single" w:sz="8" w:color="CCEEFF"/>
            </w:tcBorders>
            <w:shd w:val="clear" w:color="auto" w:fill="CCEEFF"/>
          </w:tcPr>
          <w:p>
            <w:pPr>
              <w:spacing w:after="0"/>
              <w:rPr>
                <w:sz w:val="24"/>
                <w:szCs w:val="24"/>
                <w:color w:val="auto"/>
              </w:rPr>
            </w:pPr>
          </w:p>
        </w:tc>
        <w:tc>
          <w:tcPr>
            <w:tcW w:w="220" w:type="dxa"/>
            <w:vAlign w:val="bottom"/>
            <w:tcBorders>
              <w:bottom w:val="single" w:sz="8" w:color="CCEEFF"/>
            </w:tcBorders>
            <w:shd w:val="clear" w:color="auto" w:fill="CCEEFF"/>
          </w:tcPr>
          <w:p>
            <w:pPr>
              <w:spacing w:after="0"/>
              <w:rPr>
                <w:sz w:val="24"/>
                <w:szCs w:val="24"/>
                <w:color w:val="auto"/>
              </w:rPr>
            </w:pPr>
          </w:p>
        </w:tc>
        <w:tc>
          <w:tcPr>
            <w:tcW w:w="12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(35.1)</w:t>
            </w:r>
          </w:p>
        </w:tc>
      </w:tr>
      <w:tr>
        <w:trPr>
          <w:trHeight w:val="243"/>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Benefits from utilization of general business credits</w:t>
            </w:r>
          </w:p>
        </w:tc>
        <w:tc>
          <w:tcPr>
            <w:tcW w:w="140" w:type="dxa"/>
            <w:vAlign w:val="bottom"/>
          </w:tcPr>
          <w:p>
            <w:pPr>
              <w:spacing w:after="0"/>
              <w:rPr>
                <w:sz w:val="21"/>
                <w:szCs w:val="21"/>
                <w:color w:val="auto"/>
              </w:rPr>
            </w:pPr>
          </w:p>
        </w:tc>
        <w:tc>
          <w:tcPr>
            <w:tcW w:w="1160" w:type="dxa"/>
            <w:vAlign w:val="bottom"/>
          </w:tcPr>
          <w:p>
            <w:pPr>
              <w:jc w:val="right"/>
              <w:ind w:right="74"/>
              <w:spacing w:after="0"/>
              <w:rPr>
                <w:sz w:val="20"/>
                <w:szCs w:val="20"/>
                <w:color w:val="auto"/>
              </w:rPr>
            </w:pPr>
            <w:r>
              <w:rPr>
                <w:rFonts w:ascii="Arial" w:cs="Arial" w:eastAsia="Arial" w:hAnsi="Arial"/>
                <w:sz w:val="18"/>
                <w:szCs w:val="18"/>
                <w:color w:val="auto"/>
              </w:rPr>
              <w:t>(35.8)</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20" w:type="dxa"/>
            <w:vAlign w:val="bottom"/>
          </w:tcPr>
          <w:p>
            <w:pPr>
              <w:jc w:val="right"/>
              <w:ind w:right="175"/>
              <w:spacing w:after="0"/>
              <w:rPr>
                <w:sz w:val="20"/>
                <w:szCs w:val="20"/>
                <w:color w:val="auto"/>
              </w:rPr>
            </w:pPr>
            <w:r>
              <w:rPr>
                <w:rFonts w:ascii="Arial" w:cs="Arial" w:eastAsia="Arial" w:hAnsi="Arial"/>
                <w:sz w:val="18"/>
                <w:szCs w:val="18"/>
                <w:color w:val="auto"/>
              </w:rPr>
              <w:t>5.2</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94"/>
              <w:spacing w:after="0"/>
              <w:rPr>
                <w:sz w:val="20"/>
                <w:szCs w:val="20"/>
                <w:color w:val="auto"/>
              </w:rPr>
            </w:pPr>
            <w:r>
              <w:rPr>
                <w:rFonts w:ascii="Arial" w:cs="Arial" w:eastAsia="Arial" w:hAnsi="Arial"/>
                <w:sz w:val="18"/>
                <w:szCs w:val="18"/>
                <w:color w:val="auto"/>
              </w:rPr>
              <w:t>(10.8)</w:t>
            </w:r>
          </w:p>
        </w:tc>
      </w:tr>
      <w:tr>
        <w:trPr>
          <w:trHeight w:val="27"/>
        </w:trPr>
        <w:tc>
          <w:tcPr>
            <w:tcW w:w="674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7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Change in valuation allowance</w:t>
            </w: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30.6</w:t>
            </w:r>
          </w:p>
        </w:tc>
        <w:tc>
          <w:tcPr>
            <w:tcW w:w="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(4.3)</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9.5</w:t>
            </w:r>
          </w:p>
        </w:tc>
      </w:tr>
      <w:tr>
        <w:trPr>
          <w:trHeight w:val="243"/>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Withholding taxes</w:t>
            </w:r>
          </w:p>
        </w:tc>
        <w:tc>
          <w:tcPr>
            <w:tcW w:w="140" w:type="dxa"/>
            <w:vAlign w:val="bottom"/>
          </w:tcPr>
          <w:p>
            <w:pPr>
              <w:spacing w:after="0"/>
              <w:rPr>
                <w:sz w:val="21"/>
                <w:szCs w:val="21"/>
                <w:color w:val="auto"/>
              </w:rPr>
            </w:pPr>
          </w:p>
        </w:tc>
        <w:tc>
          <w:tcPr>
            <w:tcW w:w="1160" w:type="dxa"/>
            <w:vAlign w:val="bottom"/>
          </w:tcPr>
          <w:p>
            <w:pPr>
              <w:jc w:val="right"/>
              <w:ind w:right="134"/>
              <w:spacing w:after="0"/>
              <w:rPr>
                <w:sz w:val="20"/>
                <w:szCs w:val="20"/>
                <w:color w:val="auto"/>
              </w:rPr>
            </w:pPr>
            <w:r>
              <w:rPr>
                <w:rFonts w:ascii="Arial" w:cs="Arial" w:eastAsia="Arial" w:hAnsi="Arial"/>
                <w:sz w:val="18"/>
                <w:szCs w:val="18"/>
                <w:color w:val="auto"/>
              </w:rPr>
              <w:t>42.8</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154"/>
              <w:spacing w:after="0"/>
              <w:rPr>
                <w:sz w:val="20"/>
                <w:szCs w:val="20"/>
                <w:color w:val="auto"/>
              </w:rPr>
            </w:pPr>
            <w:r>
              <w:rPr>
                <w:rFonts w:ascii="Arial" w:cs="Arial" w:eastAsia="Arial" w:hAnsi="Arial"/>
                <w:sz w:val="18"/>
                <w:szCs w:val="18"/>
                <w:color w:val="auto"/>
              </w:rPr>
              <w:t>—</w:t>
            </w:r>
          </w:p>
        </w:tc>
      </w:tr>
      <w:tr>
        <w:trPr>
          <w:trHeight w:val="27"/>
        </w:trPr>
        <w:tc>
          <w:tcPr>
            <w:tcW w:w="674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7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Tax effects of global restructuring</w:t>
            </w: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14.3</w:t>
            </w:r>
          </w:p>
        </w:tc>
        <w:tc>
          <w:tcPr>
            <w:tcW w:w="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Other</w:t>
            </w:r>
          </w:p>
        </w:tc>
        <w:tc>
          <w:tcPr>
            <w:tcW w:w="140" w:type="dxa"/>
            <w:vAlign w:val="bottom"/>
          </w:tcPr>
          <w:p>
            <w:pPr>
              <w:spacing w:after="0"/>
              <w:rPr>
                <w:sz w:val="21"/>
                <w:szCs w:val="21"/>
                <w:color w:val="auto"/>
              </w:rPr>
            </w:pPr>
          </w:p>
        </w:tc>
        <w:tc>
          <w:tcPr>
            <w:tcW w:w="1160" w:type="dxa"/>
            <w:vAlign w:val="bottom"/>
          </w:tcPr>
          <w:p>
            <w:pPr>
              <w:jc w:val="right"/>
              <w:ind w:right="74"/>
              <w:spacing w:after="0"/>
              <w:rPr>
                <w:sz w:val="20"/>
                <w:szCs w:val="20"/>
                <w:color w:val="auto"/>
              </w:rPr>
            </w:pPr>
            <w:r>
              <w:rPr>
                <w:rFonts w:ascii="Arial" w:cs="Arial" w:eastAsia="Arial" w:hAnsi="Arial"/>
                <w:sz w:val="18"/>
                <w:szCs w:val="18"/>
                <w:color w:val="auto"/>
              </w:rPr>
              <w:t>(0.8)</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20" w:type="dxa"/>
            <w:vAlign w:val="bottom"/>
          </w:tcPr>
          <w:p>
            <w:pPr>
              <w:jc w:val="right"/>
              <w:ind w:right="115"/>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154"/>
              <w:spacing w:after="0"/>
              <w:rPr>
                <w:sz w:val="20"/>
                <w:szCs w:val="20"/>
                <w:color w:val="auto"/>
              </w:rPr>
            </w:pPr>
            <w:r>
              <w:rPr>
                <w:rFonts w:ascii="Arial" w:cs="Arial" w:eastAsia="Arial" w:hAnsi="Arial"/>
                <w:sz w:val="18"/>
                <w:szCs w:val="18"/>
                <w:color w:val="auto"/>
              </w:rPr>
              <w:t>0.5</w:t>
            </w:r>
          </w:p>
        </w:tc>
      </w:tr>
      <w:tr>
        <w:trPr>
          <w:trHeight w:val="27"/>
        </w:trPr>
        <w:tc>
          <w:tcPr>
            <w:tcW w:w="674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69"/>
        </w:trPr>
        <w:tc>
          <w:tcPr>
            <w:tcW w:w="64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Effective tax rate</w:t>
            </w:r>
          </w:p>
        </w:tc>
        <w:tc>
          <w:tcPr>
            <w:tcW w:w="260" w:type="dxa"/>
            <w:vAlign w:val="bottom"/>
            <w:tcBorders>
              <w:top w:val="single" w:sz="8" w:color="auto"/>
              <w:bottom w:val="single" w:sz="8" w:color="CCEEFF"/>
            </w:tcBorders>
            <w:shd w:val="clear" w:color="auto" w:fill="CCEEFF"/>
          </w:tcPr>
          <w:p>
            <w:pPr>
              <w:spacing w:after="0"/>
              <w:rPr>
                <w:sz w:val="22"/>
                <w:szCs w:val="22"/>
                <w:color w:val="auto"/>
              </w:rPr>
            </w:pPr>
          </w:p>
        </w:tc>
        <w:tc>
          <w:tcPr>
            <w:tcW w:w="140" w:type="dxa"/>
            <w:vAlign w:val="bottom"/>
            <w:tcBorders>
              <w:top w:val="single" w:sz="8" w:color="auto"/>
              <w:bottom w:val="single" w:sz="8" w:color="CCEEFF"/>
            </w:tcBorders>
            <w:shd w:val="clear" w:color="auto" w:fill="CCEEFF"/>
          </w:tcPr>
          <w:p>
            <w:pPr>
              <w:spacing w:after="0"/>
              <w:rPr>
                <w:sz w:val="22"/>
                <w:szCs w:val="22"/>
                <w:color w:val="auto"/>
              </w:rPr>
            </w:pPr>
          </w:p>
        </w:tc>
        <w:tc>
          <w:tcPr>
            <w:tcW w:w="1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62.4 %</w:t>
            </w: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100" w:type="dxa"/>
            <w:vAlign w:val="bottom"/>
            <w:tcBorders>
              <w:top w:val="single" w:sz="8" w:color="auto"/>
              <w:bottom w:val="single" w:sz="8" w:color="CCEEFF"/>
            </w:tcBorders>
            <w:shd w:val="clear" w:color="auto" w:fill="CCEEFF"/>
          </w:tcPr>
          <w:p>
            <w:pPr>
              <w:spacing w:after="0"/>
              <w:rPr>
                <w:sz w:val="22"/>
                <w:szCs w:val="22"/>
                <w:color w:val="auto"/>
              </w:rPr>
            </w:pPr>
          </w:p>
        </w:tc>
        <w:tc>
          <w:tcPr>
            <w:tcW w:w="100" w:type="dxa"/>
            <w:vAlign w:val="bottom"/>
            <w:tcBorders>
              <w:top w:val="single" w:sz="8" w:color="auto"/>
              <w:bottom w:val="single" w:sz="8" w:color="CCEEFF"/>
            </w:tcBorders>
            <w:shd w:val="clear" w:color="auto" w:fill="CCEEFF"/>
          </w:tcPr>
          <w:p>
            <w:pPr>
              <w:spacing w:after="0"/>
              <w:rPr>
                <w:sz w:val="22"/>
                <w:szCs w:val="22"/>
                <w:color w:val="auto"/>
              </w:rPr>
            </w:pPr>
          </w:p>
        </w:tc>
        <w:tc>
          <w:tcPr>
            <w:tcW w:w="160" w:type="dxa"/>
            <w:vAlign w:val="bottom"/>
            <w:tcBorders>
              <w:top w:val="single" w:sz="8" w:color="auto"/>
              <w:bottom w:val="single" w:sz="8" w:color="CCEEFF"/>
            </w:tcBorders>
            <w:shd w:val="clear" w:color="auto" w:fill="CCEEFF"/>
          </w:tcPr>
          <w:p>
            <w:pPr>
              <w:spacing w:after="0"/>
              <w:rPr>
                <w:sz w:val="22"/>
                <w:szCs w:val="22"/>
                <w:color w:val="auto"/>
              </w:rPr>
            </w:pPr>
          </w:p>
        </w:tc>
        <w:tc>
          <w:tcPr>
            <w:tcW w:w="12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100" w:type="dxa"/>
            <w:vAlign w:val="bottom"/>
            <w:tcBorders>
              <w:top w:val="single" w:sz="8" w:color="auto"/>
              <w:bottom w:val="single" w:sz="8" w:color="CCEEFF"/>
            </w:tcBorders>
            <w:shd w:val="clear" w:color="auto" w:fill="CCEEFF"/>
          </w:tcPr>
          <w:p>
            <w:pPr>
              <w:spacing w:after="0"/>
              <w:rPr>
                <w:sz w:val="22"/>
                <w:szCs w:val="22"/>
                <w:color w:val="auto"/>
              </w:rPr>
            </w:pPr>
          </w:p>
        </w:tc>
        <w:tc>
          <w:tcPr>
            <w:tcW w:w="220" w:type="dxa"/>
            <w:vAlign w:val="bottom"/>
            <w:tcBorders>
              <w:top w:val="single" w:sz="8" w:color="auto"/>
              <w:bottom w:val="single" w:sz="8" w:color="CCEEFF"/>
            </w:tcBorders>
            <w:shd w:val="clear" w:color="auto" w:fill="CCEEFF"/>
          </w:tcPr>
          <w:p>
            <w:pPr>
              <w:spacing w:after="0"/>
              <w:rPr>
                <w:sz w:val="22"/>
                <w:szCs w:val="22"/>
                <w:color w:val="auto"/>
              </w:rPr>
            </w:pPr>
          </w:p>
        </w:tc>
        <w:tc>
          <w:tcPr>
            <w:tcW w:w="12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(0.9)%</w:t>
            </w:r>
          </w:p>
        </w:tc>
      </w:tr>
      <w:tr>
        <w:trPr>
          <w:trHeight w:val="20"/>
        </w:trPr>
        <w:tc>
          <w:tcPr>
            <w:tcW w:w="64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6740" w:type="dxa"/>
            <w:vAlign w:val="bottom"/>
            <w:gridSpan w:val="2"/>
          </w:tcPr>
          <w:p>
            <w:pPr>
              <w:ind w:left="440"/>
              <w:spacing w:after="0"/>
              <w:rPr>
                <w:sz w:val="20"/>
                <w:szCs w:val="20"/>
                <w:color w:val="auto"/>
              </w:rPr>
            </w:pPr>
            <w:r>
              <w:rPr>
                <w:rFonts w:ascii="Arial" w:cs="Arial" w:eastAsia="Arial" w:hAnsi="Arial"/>
                <w:sz w:val="18"/>
                <w:szCs w:val="18"/>
                <w:color w:val="auto"/>
                <w:w w:val="93"/>
              </w:rPr>
              <w:t>The following table reflects changes in the unrecognized tax benefits (in thousands):</w:t>
            </w:r>
          </w:p>
        </w:tc>
        <w:tc>
          <w:tcPr>
            <w:tcW w:w="1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507"/>
        </w:trPr>
        <w:tc>
          <w:tcPr>
            <w:tcW w:w="6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32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Year Ended</w:t>
            </w: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52"/>
        </w:trPr>
        <w:tc>
          <w:tcPr>
            <w:tcW w:w="64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80" w:type="dxa"/>
            <w:vAlign w:val="bottom"/>
            <w:gridSpan w:val="4"/>
          </w:tcPr>
          <w:p>
            <w:pPr>
              <w:ind w:left="240"/>
              <w:spacing w:after="0" w:line="153" w:lineRule="exact"/>
              <w:rPr>
                <w:sz w:val="20"/>
                <w:szCs w:val="20"/>
                <w:color w:val="auto"/>
              </w:rPr>
            </w:pPr>
            <w:r>
              <w:rPr>
                <w:rFonts w:ascii="Arial" w:cs="Arial" w:eastAsia="Arial" w:hAnsi="Arial"/>
                <w:sz w:val="14"/>
                <w:szCs w:val="14"/>
                <w:b w:val="1"/>
                <w:bCs w:val="1"/>
                <w:color w:val="auto"/>
              </w:rPr>
              <w:t>January 28,</w:t>
            </w:r>
          </w:p>
        </w:tc>
        <w:tc>
          <w:tcPr>
            <w:tcW w:w="160" w:type="dxa"/>
            <w:vAlign w:val="bottom"/>
          </w:tcPr>
          <w:p>
            <w:pPr>
              <w:spacing w:after="0"/>
              <w:rPr>
                <w:sz w:val="13"/>
                <w:szCs w:val="13"/>
                <w:color w:val="auto"/>
              </w:rPr>
            </w:pPr>
          </w:p>
        </w:tc>
        <w:tc>
          <w:tcPr>
            <w:tcW w:w="1320" w:type="dxa"/>
            <w:vAlign w:val="bottom"/>
            <w:gridSpan w:val="2"/>
          </w:tcPr>
          <w:p>
            <w:pPr>
              <w:jc w:val="center"/>
              <w:ind w:right="200"/>
              <w:spacing w:after="0" w:line="153" w:lineRule="exact"/>
              <w:rPr>
                <w:sz w:val="20"/>
                <w:szCs w:val="20"/>
                <w:color w:val="auto"/>
              </w:rPr>
            </w:pPr>
            <w:r>
              <w:rPr>
                <w:rFonts w:ascii="Arial" w:cs="Arial" w:eastAsia="Arial" w:hAnsi="Arial"/>
                <w:sz w:val="14"/>
                <w:szCs w:val="14"/>
                <w:b w:val="1"/>
                <w:bCs w:val="1"/>
                <w:color w:val="auto"/>
                <w:w w:val="93"/>
              </w:rPr>
              <w:t>January 30,</w:t>
            </w:r>
          </w:p>
        </w:tc>
        <w:tc>
          <w:tcPr>
            <w:tcW w:w="1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60" w:type="dxa"/>
            <w:vAlign w:val="bottom"/>
          </w:tcPr>
          <w:p>
            <w:pPr>
              <w:jc w:val="right"/>
              <w:ind w:right="314"/>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480" w:type="dxa"/>
            <w:vAlign w:val="bottom"/>
            <w:tcBorders>
              <w:bottom w:val="single" w:sz="8" w:color="CCEEFF"/>
            </w:tcBorders>
          </w:tcPr>
          <w:p>
            <w:pPr>
              <w:spacing w:after="0"/>
              <w:rPr>
                <w:sz w:val="16"/>
                <w:szCs w:val="16"/>
                <w:color w:val="auto"/>
              </w:rPr>
            </w:pPr>
          </w:p>
        </w:tc>
        <w:tc>
          <w:tcPr>
            <w:tcW w:w="26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Unrecognized tax benefits as of the beginning of the period</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29,139</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45,197</w:t>
            </w:r>
          </w:p>
        </w:tc>
        <w:tc>
          <w:tcPr>
            <w:tcW w:w="320" w:type="dxa"/>
            <w:vAlign w:val="bottom"/>
            <w:tcBorders>
              <w:bottom w:val="single" w:sz="8" w:color="CCEEFF"/>
            </w:tcBorders>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51,682</w:t>
            </w:r>
          </w:p>
        </w:tc>
      </w:tr>
      <w:tr>
        <w:trPr>
          <w:trHeight w:val="243"/>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Increases related to prior year tax positions</w:t>
            </w:r>
          </w:p>
        </w:tc>
        <w:tc>
          <w:tcPr>
            <w:tcW w:w="140" w:type="dxa"/>
            <w:vAlign w:val="bottom"/>
          </w:tcPr>
          <w:p>
            <w:pPr>
              <w:spacing w:after="0"/>
              <w:rPr>
                <w:sz w:val="21"/>
                <w:szCs w:val="21"/>
                <w:color w:val="auto"/>
              </w:rPr>
            </w:pPr>
          </w:p>
        </w:tc>
        <w:tc>
          <w:tcPr>
            <w:tcW w:w="1280" w:type="dxa"/>
            <w:vAlign w:val="bottom"/>
            <w:gridSpan w:val="2"/>
          </w:tcPr>
          <w:p>
            <w:pPr>
              <w:jc w:val="right"/>
              <w:ind w:right="20"/>
              <w:spacing w:after="0"/>
              <w:rPr>
                <w:sz w:val="20"/>
                <w:szCs w:val="20"/>
                <w:color w:val="auto"/>
              </w:rPr>
            </w:pPr>
            <w:r>
              <w:rPr>
                <w:rFonts w:ascii="Arial" w:cs="Arial" w:eastAsia="Arial" w:hAnsi="Arial"/>
                <w:sz w:val="18"/>
                <w:szCs w:val="18"/>
                <w:color w:val="auto"/>
              </w:rPr>
              <w:t>2,080</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304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976</w:t>
            </w:r>
          </w:p>
        </w:tc>
      </w:tr>
      <w:tr>
        <w:trPr>
          <w:trHeight w:val="27"/>
        </w:trPr>
        <w:tc>
          <w:tcPr>
            <w:tcW w:w="674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380" w:type="dxa"/>
            <w:vAlign w:val="bottom"/>
            <w:gridSpan w:val="3"/>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7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Decreases related to prior year tax positions</w:t>
            </w:r>
          </w:p>
        </w:tc>
        <w:tc>
          <w:tcPr>
            <w:tcW w:w="14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(4,334)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(386)</w:t>
            </w:r>
          </w:p>
        </w:tc>
      </w:tr>
      <w:tr>
        <w:trPr>
          <w:trHeight w:val="243"/>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Increases related to current year tax positions</w:t>
            </w:r>
          </w:p>
        </w:tc>
        <w:tc>
          <w:tcPr>
            <w:tcW w:w="140" w:type="dxa"/>
            <w:vAlign w:val="bottom"/>
          </w:tcPr>
          <w:p>
            <w:pPr>
              <w:spacing w:after="0"/>
              <w:rPr>
                <w:sz w:val="21"/>
                <w:szCs w:val="21"/>
                <w:color w:val="auto"/>
              </w:rPr>
            </w:pPr>
          </w:p>
        </w:tc>
        <w:tc>
          <w:tcPr>
            <w:tcW w:w="1280" w:type="dxa"/>
            <w:vAlign w:val="bottom"/>
            <w:gridSpan w:val="2"/>
          </w:tcPr>
          <w:p>
            <w:pPr>
              <w:jc w:val="right"/>
              <w:ind w:right="20"/>
              <w:spacing w:after="0"/>
              <w:rPr>
                <w:sz w:val="20"/>
                <w:szCs w:val="20"/>
                <w:color w:val="auto"/>
              </w:rPr>
            </w:pPr>
            <w:r>
              <w:rPr>
                <w:rFonts w:ascii="Arial" w:cs="Arial" w:eastAsia="Arial" w:hAnsi="Arial"/>
                <w:sz w:val="18"/>
                <w:szCs w:val="18"/>
                <w:color w:val="auto"/>
              </w:rPr>
              <w:t>2,363</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4,237</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5,356</w:t>
            </w:r>
          </w:p>
        </w:tc>
      </w:tr>
      <w:tr>
        <w:trPr>
          <w:trHeight w:val="27"/>
        </w:trPr>
        <w:tc>
          <w:tcPr>
            <w:tcW w:w="674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380" w:type="dxa"/>
            <w:vAlign w:val="bottom"/>
            <w:gridSpan w:val="3"/>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7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Settlements</w:t>
            </w:r>
          </w:p>
        </w:tc>
        <w:tc>
          <w:tcPr>
            <w:tcW w:w="14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(704)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Lapse in the statute of limitations</w:t>
            </w:r>
          </w:p>
        </w:tc>
        <w:tc>
          <w:tcPr>
            <w:tcW w:w="140" w:type="dxa"/>
            <w:vAlign w:val="bottom"/>
          </w:tcPr>
          <w:p>
            <w:pPr>
              <w:spacing w:after="0"/>
              <w:rPr>
                <w:sz w:val="21"/>
                <w:szCs w:val="21"/>
                <w:color w:val="auto"/>
              </w:rPr>
            </w:pPr>
          </w:p>
        </w:tc>
        <w:tc>
          <w:tcPr>
            <w:tcW w:w="1380" w:type="dxa"/>
            <w:vAlign w:val="bottom"/>
            <w:gridSpan w:val="3"/>
          </w:tcPr>
          <w:p>
            <w:pPr>
              <w:jc w:val="right"/>
              <w:ind w:right="60"/>
              <w:spacing w:after="0"/>
              <w:rPr>
                <w:sz w:val="20"/>
                <w:szCs w:val="20"/>
                <w:color w:val="auto"/>
              </w:rPr>
            </w:pPr>
            <w:r>
              <w:rPr>
                <w:rFonts w:ascii="Arial" w:cs="Arial" w:eastAsia="Arial" w:hAnsi="Arial"/>
                <w:sz w:val="18"/>
                <w:szCs w:val="18"/>
                <w:color w:val="auto"/>
              </w:rPr>
              <w:t>(6,576)</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40"/>
              <w:spacing w:after="0"/>
              <w:rPr>
                <w:sz w:val="20"/>
                <w:szCs w:val="20"/>
                <w:color w:val="auto"/>
              </w:rPr>
            </w:pPr>
            <w:r>
              <w:rPr>
                <w:rFonts w:ascii="Arial" w:cs="Arial" w:eastAsia="Arial" w:hAnsi="Arial"/>
                <w:sz w:val="18"/>
                <w:szCs w:val="18"/>
                <w:color w:val="auto"/>
              </w:rPr>
              <w:t>(9,739)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(10,691)</w:t>
            </w:r>
          </w:p>
        </w:tc>
      </w:tr>
      <w:tr>
        <w:trPr>
          <w:trHeight w:val="27"/>
        </w:trPr>
        <w:tc>
          <w:tcPr>
            <w:tcW w:w="674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380" w:type="dxa"/>
            <w:vAlign w:val="bottom"/>
            <w:gridSpan w:val="3"/>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70"/>
        </w:trPr>
        <w:tc>
          <w:tcPr>
            <w:tcW w:w="67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Foreign exchange gain</w:t>
            </w:r>
          </w:p>
        </w:tc>
        <w:tc>
          <w:tcPr>
            <w:tcW w:w="14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(3,213)</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(5,822)</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(1,740)</w:t>
            </w:r>
          </w:p>
        </w:tc>
      </w:tr>
      <w:tr>
        <w:trPr>
          <w:trHeight w:val="237"/>
        </w:trPr>
        <w:tc>
          <w:tcPr>
            <w:tcW w:w="6740" w:type="dxa"/>
            <w:vAlign w:val="bottom"/>
            <w:gridSpan w:val="2"/>
          </w:tcPr>
          <w:p>
            <w:pPr>
              <w:ind w:left="40"/>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23,793</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top w:val="single" w:sz="8" w:color="auto"/>
            </w:tcBorders>
            <w:gridSpan w:val="2"/>
          </w:tcPr>
          <w:p>
            <w:pPr>
              <w:jc w:val="right"/>
              <w:ind w:right="100"/>
              <w:spacing w:after="0"/>
              <w:rPr>
                <w:sz w:val="20"/>
                <w:szCs w:val="20"/>
                <w:color w:val="auto"/>
              </w:rPr>
            </w:pPr>
            <w:r>
              <w:rPr>
                <w:rFonts w:ascii="Arial" w:cs="Arial" w:eastAsia="Arial" w:hAnsi="Arial"/>
                <w:sz w:val="18"/>
                <w:szCs w:val="18"/>
                <w:color w:val="auto"/>
              </w:rPr>
              <w:t>29,139</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45,197</w:t>
            </w:r>
          </w:p>
        </w:tc>
      </w:tr>
      <w:tr>
        <w:trPr>
          <w:trHeight w:val="27"/>
        </w:trPr>
        <w:tc>
          <w:tcPr>
            <w:tcW w:w="64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r>
      <w:tr>
        <w:trPr>
          <w:trHeight w:val="20"/>
        </w:trPr>
        <w:tc>
          <w:tcPr>
            <w:tcW w:w="6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60" w:firstLine="432"/>
        <w:spacing w:after="0" w:line="264" w:lineRule="auto"/>
        <w:rPr>
          <w:sz w:val="20"/>
          <w:szCs w:val="20"/>
          <w:color w:val="auto"/>
        </w:rPr>
      </w:pPr>
      <w:r>
        <w:rPr>
          <w:rFonts w:ascii="Arial" w:cs="Arial" w:eastAsia="Arial" w:hAnsi="Arial"/>
          <w:sz w:val="18"/>
          <w:szCs w:val="18"/>
          <w:color w:val="auto"/>
        </w:rPr>
        <w:t>Included in the balances as of January 28, 2017 is $23.4 million of unrecognized tax benefit that would affect the effective income tax rate if recognized. Also, $7.5 million and $6.3 million of the gross unrecognized tax benefits presented in the table above are offset against deferred tax assets in the consolidated balance sheets as of January 28, 2017 and January 30, 2016, respectively.</w:t>
      </w:r>
    </w:p>
    <w:p>
      <w:pPr>
        <w:spacing w:after="0" w:line="73" w:lineRule="exact"/>
        <w:rPr>
          <w:sz w:val="20"/>
          <w:szCs w:val="20"/>
          <w:color w:val="auto"/>
        </w:rPr>
      </w:pPr>
    </w:p>
    <w:p>
      <w:pPr>
        <w:ind w:right="20" w:firstLine="432"/>
        <w:spacing w:after="0" w:line="279" w:lineRule="auto"/>
        <w:rPr>
          <w:sz w:val="20"/>
          <w:szCs w:val="20"/>
          <w:color w:val="auto"/>
        </w:rPr>
      </w:pPr>
      <w:r>
        <w:rPr>
          <w:rFonts w:ascii="Arial" w:cs="Arial" w:eastAsia="Arial" w:hAnsi="Arial"/>
          <w:sz w:val="17"/>
          <w:szCs w:val="17"/>
          <w:color w:val="auto"/>
        </w:rPr>
        <w:t>The amounts in the table above do not include the related interest and penalties. The amount of interest and penalties accrued was approximately $21.6 million as of January 28, 2017, $26.4 million as of January 30, 2016, and $27.7 million as of January 31, 2015. The Company’s policy is to recognize these interest and penalties as a component of income tax expense. The consolidated statements of operations for fiscal 2017, 2016, and 2015 included $2.7 million, $4.6 million, and $3.8 million, respectively, of interest and penalties related to the unrecognized tax benefits.</w:t>
      </w:r>
    </w:p>
    <w:p>
      <w:pPr>
        <w:spacing w:after="0" w:line="63" w:lineRule="exact"/>
        <w:rPr>
          <w:sz w:val="20"/>
          <w:szCs w:val="20"/>
          <w:color w:val="auto"/>
        </w:rPr>
      </w:pPr>
    </w:p>
    <w:p>
      <w:pPr>
        <w:ind w:right="20" w:firstLine="432"/>
        <w:spacing w:after="0" w:line="276" w:lineRule="auto"/>
        <w:rPr>
          <w:sz w:val="20"/>
          <w:szCs w:val="20"/>
          <w:color w:val="auto"/>
        </w:rPr>
      </w:pPr>
      <w:r>
        <w:rPr>
          <w:rFonts w:ascii="Arial" w:cs="Arial" w:eastAsia="Arial" w:hAnsi="Arial"/>
          <w:sz w:val="17"/>
          <w:szCs w:val="17"/>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28, 2017, the material jurisdictions that are subject to examination include China, Israel, Singapore, Switzerland and the United States for the Company’s fiscal years 2006 through 2016. As of January 28, 2017, several of the Company’s non-U.S. entities are under examination for fiscal years encompassing 2006 through 2016. The Company is also under examination by the State of California for fiscal year 2013 and 2014.</w:t>
      </w:r>
    </w:p>
    <w:p>
      <w:pPr>
        <w:spacing w:after="0" w:line="64" w:lineRule="exact"/>
        <w:rPr>
          <w:sz w:val="20"/>
          <w:szCs w:val="20"/>
          <w:color w:val="auto"/>
        </w:rPr>
      </w:pPr>
    </w:p>
    <w:p>
      <w:pPr>
        <w:ind w:right="40" w:firstLine="432"/>
        <w:spacing w:after="0" w:line="302" w:lineRule="auto"/>
        <w:rPr>
          <w:sz w:val="20"/>
          <w:szCs w:val="20"/>
          <w:color w:val="auto"/>
        </w:rPr>
      </w:pPr>
      <w:r>
        <w:rPr>
          <w:rFonts w:ascii="Arial" w:cs="Arial" w:eastAsia="Arial" w:hAnsi="Arial"/>
          <w:sz w:val="16"/>
          <w:szCs w:val="16"/>
          <w:color w:val="auto"/>
        </w:rPr>
        <w:t>For fiscal 2018, 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$9.5 million from the lapse of the statutes of limitation in various jurisdictions during the next 12 months.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420"/>
          </w:cols>
          <w:pgMar w:left="240" w:top="391" w:right="239" w:bottom="1440" w:gutter="0" w:footer="0" w:header="0"/>
        </w:sectPr>
      </w:pPr>
    </w:p>
    <w:bookmarkStart w:id="78" w:name="page79"/>
    <w:bookmarkEnd w:id="78"/>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 w:firstLine="432"/>
        <w:spacing w:after="0" w:line="291" w:lineRule="auto"/>
        <w:rPr>
          <w:sz w:val="20"/>
          <w:szCs w:val="20"/>
          <w:color w:val="auto"/>
        </w:rPr>
      </w:pPr>
      <w:r>
        <w:rPr>
          <w:rFonts w:ascii="Arial" w:cs="Arial" w:eastAsia="Arial" w:hAnsi="Arial"/>
          <w:sz w:val="16"/>
          <w:szCs w:val="16"/>
          <w:color w:val="auto"/>
        </w:rPr>
        <w:t>The Singapore Economic Development Board (“EDB”) initially granted a 10-year Pioneer Status in July 1999 to the Company’s Singapore subsidiary. In October 2004, the Company’s subsidiary in Singapore was granted a second incentive known as the Develop and Expansion Incentive (“DEI”), and in June 2006, the EDB agreed to extend the Pioneer status for 15 years to June 2014. The Company re-negotiated with the Singapore government and in fiscal 2015, they extended the DEI tax credits to the Company until June 2019. In order to retain these tax benefits in Singapore, the Company must meet certain operating conditions relating to, among other things, maintenance of a regional headquarters function, and research and development activities in Singapore. In fiscal 2017, 2016 and 2015 tax savings associated with these tax holidays were approximately $0.9 million, $5.3 million and $0.1 million, respectively, which if paid would impact the Company’s earnings per share by $0.01 per share in fiscal 2016, and less than $0.01 per share in fiscal 2017 and 2015.</w:t>
      </w:r>
    </w:p>
    <w:p>
      <w:pPr>
        <w:spacing w:after="0" w:line="59"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Under the Israeli Encouragement law of “approved or benefited enterprise,” two branches of Marvell Israel (M.I.S.L) Ltd., the GTL branch and the cellular branch (formerly Marvell DSPC), are entitled to approved and benefited tax programs that include reduced tax rates and exemption of certain income, subject to various operating and other conditions. Income from the approved or benefited enterprises, with the exception of capital gains, is eligible up to fiscal 2027. There was no such benefit in fiscal 2017, 2016 and 2015.</w:t>
      </w:r>
    </w:p>
    <w:p>
      <w:pPr>
        <w:spacing w:after="0" w:line="79"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During fiscal 2007, each of the Swiss Federal Department of Economy and the Vaud Cantonal Tax Administration granted the Company’s subsidiary in Switzerland a 10 year tax holiday on revenues from research and design wafer supply trading activities, which commenced in February 2007 and expired at the end of fiscal 2016. The fiscal 2016, and 2015 tax savings associated with this tax holiday was approximately $3.7 million and $4.5 million, respectively, which provided earnings per share of $0.01 per share in fiscal 2016 and 2015. No tax savings was recognized in fiscal 2017 due to expiration of the tax holiday.</w:t>
      </w:r>
    </w:p>
    <w:p>
      <w:pPr>
        <w:spacing w:after="0" w:line="80" w:lineRule="exact"/>
        <w:rPr>
          <w:sz w:val="20"/>
          <w:szCs w:val="20"/>
          <w:color w:val="auto"/>
        </w:rPr>
      </w:pPr>
    </w:p>
    <w:p>
      <w:pPr>
        <w:ind w:right="300" w:firstLine="432"/>
        <w:spacing w:after="0" w:line="264" w:lineRule="auto"/>
        <w:rPr>
          <w:sz w:val="20"/>
          <w:szCs w:val="20"/>
          <w:color w:val="auto"/>
        </w:rPr>
      </w:pPr>
      <w:r>
        <w:rPr>
          <w:rFonts w:ascii="Arial" w:cs="Arial" w:eastAsia="Arial" w:hAnsi="Arial"/>
          <w:sz w:val="18"/>
          <w:szCs w:val="18"/>
          <w:color w:val="auto"/>
        </w:rPr>
        <w:t>As a result of restructuring actions taken in the fourth quarter of fiscal 2017, the Company recognized tax expense of $66.9 million, $50.1 million of this amount was attributable to foreign withholding taxes on undistributed earnings of certain subsidiaries that are no longer considered to be indefinitely reinvested. $16.8 million is attributable to foreign taxes associated with such restructuring actions.</w:t>
      </w:r>
    </w:p>
    <w:p>
      <w:pPr>
        <w:spacing w:after="0" w:line="73" w:lineRule="exact"/>
        <w:rPr>
          <w:sz w:val="20"/>
          <w:szCs w:val="20"/>
          <w:color w:val="auto"/>
        </w:rPr>
      </w:pPr>
    </w:p>
    <w:p>
      <w:pPr>
        <w:ind w:firstLine="432"/>
        <w:spacing w:after="0" w:line="293" w:lineRule="auto"/>
        <w:rPr>
          <w:sz w:val="20"/>
          <w:szCs w:val="20"/>
          <w:color w:val="auto"/>
        </w:rPr>
      </w:pPr>
      <w:r>
        <w:rPr>
          <w:rFonts w:ascii="Arial" w:cs="Arial" w:eastAsia="Arial" w:hAnsi="Arial"/>
          <w:sz w:val="16"/>
          <w:szCs w:val="16"/>
          <w:color w:val="auto"/>
        </w:rPr>
        <w:t>The Company’s principal source of liquidity as of January 28, 2017 consisted of approximately $1.7 billion of cash, cash equivalents and short-term investments, of which approximately $970 million was held by foreign subsidiaries (outside Bermuda). Approximately $620 million of this amount held by foreign subsidiaries is related to undistributed earnings which have been indefinitely reinvested outside of Bermuda. These funds are primarily held in China, Israel and the United States.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$190 million.</w:t>
      </w: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Commitments and Contingencies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117" w:lineRule="exact"/>
        <w:rPr>
          <w:sz w:val="20"/>
          <w:szCs w:val="20"/>
          <w:color w:val="auto"/>
        </w:rPr>
      </w:pPr>
    </w:p>
    <w:p>
      <w:pPr>
        <w:ind w:right="20" w:firstLine="432"/>
        <w:spacing w:after="0" w:line="277" w:lineRule="auto"/>
        <w:rPr>
          <w:sz w:val="20"/>
          <w:szCs w:val="20"/>
          <w:color w:val="auto"/>
        </w:rPr>
      </w:pPr>
      <w:r>
        <w:rPr>
          <w:rFonts w:ascii="Arial" w:cs="Arial" w:eastAsia="Arial" w:hAnsi="Arial"/>
          <w:sz w:val="18"/>
          <w:szCs w:val="18"/>
          <w:color w:val="auto"/>
        </w:rPr>
        <w:t>The Company’s products carry a standard 90-day warranty with certain exceptions in which the warranty period can extend to more than one year based on contractual agreements. The Company’s warranty expense has not been significant in the periods presented.</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117" w:lineRule="exact"/>
        <w:rPr>
          <w:sz w:val="20"/>
          <w:szCs w:val="20"/>
          <w:color w:val="auto"/>
        </w:rPr>
      </w:pPr>
    </w:p>
    <w:p>
      <w:pPr>
        <w:ind w:right="140" w:firstLine="432"/>
        <w:spacing w:after="0" w:line="279" w:lineRule="auto"/>
        <w:rPr>
          <w:sz w:val="20"/>
          <w:szCs w:val="20"/>
          <w:color w:val="auto"/>
        </w:rPr>
      </w:pPr>
      <w:r>
        <w:rPr>
          <w:rFonts w:ascii="Arial" w:cs="Arial" w:eastAsia="Arial" w:hAnsi="Arial"/>
          <w:sz w:val="17"/>
          <w:szCs w:val="17"/>
          <w:color w:val="auto"/>
        </w:rPr>
        <w:t>The Company leases some of its facilities, equipment and computer aided design software under non-cancelable operating leases. Rent expense, net of sublease income for fiscal 2017, 2016, and 2015 was approximately $23.7 million, $23.8 million and $26.1 million, respectively. The Company also purchases certain intellectual property under technology license obligations. Future minimum lease payments, net of estimated sublease income, and payments under technology license obligations as of January 28, 2017, are presented in the following tables (in thousands):</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20"/>
          </w:cols>
          <w:pgMar w:left="240" w:top="391" w:right="239" w:bottom="1440" w:gutter="0" w:footer="0" w:header="0"/>
        </w:sectPr>
      </w:pPr>
    </w:p>
    <w:bookmarkStart w:id="79" w:name="page80"/>
    <w:bookmarkEnd w:id="79"/>
    <w:tbl>
      <w:tblPr>
        <w:tblLayout w:type="fixed"/>
        <w:tblInd w:w="0" w:type="dxa"/>
        <w:tblCellMar>
          <w:top w:w="0" w:type="dxa"/>
          <w:left w:w="0" w:type="dxa"/>
          <w:bottom w:w="0" w:type="dxa"/>
          <w:right w:w="0" w:type="dxa"/>
        </w:tblCellMar>
      </w:tblPr>
      <w:tr>
        <w:trPr>
          <w:trHeight w:val="234"/>
        </w:trPr>
        <w:tc>
          <w:tcPr>
            <w:tcW w:w="9360" w:type="dxa"/>
            <w:vAlign w:val="bottom"/>
          </w:tcPr>
          <w:p>
            <w:pPr>
              <w:ind w:left="4020"/>
              <w:spacing w:after="0"/>
              <w:rPr>
                <w:sz w:val="20"/>
                <w:szCs w:val="20"/>
                <w:color w:val="auto"/>
              </w:rPr>
            </w:pPr>
            <w:r>
              <w:rPr>
                <w:rFonts w:ascii="Arial" w:cs="Arial" w:eastAsia="Arial" w:hAnsi="Arial"/>
                <w:sz w:val="18"/>
                <w:szCs w:val="18"/>
                <w:b w:val="1"/>
                <w:bCs w:val="1"/>
                <w:color w:val="auto"/>
              </w:rPr>
              <w:t>MARVELL TECHNOLOGY GROUP LTD.</w:t>
            </w:r>
          </w:p>
        </w:tc>
        <w:tc>
          <w:tcPr>
            <w:tcW w:w="5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9360" w:type="dxa"/>
            <w:vAlign w:val="bottom"/>
          </w:tcPr>
          <w:p>
            <w:pPr>
              <w:ind w:left="2760"/>
              <w:spacing w:after="0"/>
              <w:rPr>
                <w:sz w:val="20"/>
                <w:szCs w:val="20"/>
                <w:color w:val="auto"/>
              </w:rPr>
            </w:pPr>
            <w:r>
              <w:rPr>
                <w:rFonts w:ascii="Arial" w:cs="Arial" w:eastAsia="Arial" w:hAnsi="Arial"/>
                <w:sz w:val="18"/>
                <w:szCs w:val="18"/>
                <w:b w:val="1"/>
                <w:bCs w:val="1"/>
                <w:color w:val="auto"/>
              </w:rPr>
              <w:t>NOTES TO CONSOLIDATED FINANCIAL STATEMENTS — (Continued)</w:t>
            </w: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39"/>
        </w:trPr>
        <w:tc>
          <w:tcPr>
            <w:tcW w:w="9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rPr>
              <w:t>Minimum</w:t>
            </w:r>
          </w:p>
        </w:tc>
        <w:tc>
          <w:tcPr>
            <w:tcW w:w="0" w:type="dxa"/>
            <w:vAlign w:val="bottom"/>
          </w:tcPr>
          <w:p>
            <w:pPr>
              <w:spacing w:after="0"/>
              <w:rPr>
                <w:sz w:val="1"/>
                <w:szCs w:val="1"/>
                <w:color w:val="auto"/>
              </w:rPr>
            </w:pPr>
          </w:p>
        </w:tc>
      </w:tr>
      <w:tr>
        <w:trPr>
          <w:trHeight w:val="149"/>
        </w:trPr>
        <w:tc>
          <w:tcPr>
            <w:tcW w:w="9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6"/>
              </w:rPr>
              <w:t>Operating</w:t>
            </w:r>
          </w:p>
        </w:tc>
        <w:tc>
          <w:tcPr>
            <w:tcW w:w="0" w:type="dxa"/>
            <w:vAlign w:val="bottom"/>
          </w:tcPr>
          <w:p>
            <w:pPr>
              <w:spacing w:after="0"/>
              <w:rPr>
                <w:sz w:val="1"/>
                <w:szCs w:val="1"/>
                <w:color w:val="auto"/>
              </w:rPr>
            </w:pPr>
          </w:p>
        </w:tc>
      </w:tr>
      <w:tr>
        <w:trPr>
          <w:trHeight w:val="149"/>
        </w:trPr>
        <w:tc>
          <w:tcPr>
            <w:tcW w:w="936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Fiscal Year</w:t>
            </w: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4"/>
              </w:rPr>
              <w:t>Leases</w:t>
            </w:r>
          </w:p>
        </w:tc>
        <w:tc>
          <w:tcPr>
            <w:tcW w:w="0" w:type="dxa"/>
            <w:vAlign w:val="bottom"/>
          </w:tcPr>
          <w:p>
            <w:pPr>
              <w:spacing w:after="0"/>
              <w:rPr>
                <w:sz w:val="1"/>
                <w:szCs w:val="1"/>
                <w:color w:val="auto"/>
              </w:rPr>
            </w:pPr>
          </w:p>
        </w:tc>
      </w:tr>
      <w:tr>
        <w:trPr>
          <w:trHeight w:val="192"/>
        </w:trPr>
        <w:tc>
          <w:tcPr>
            <w:tcW w:w="9360" w:type="dxa"/>
            <w:vAlign w:val="bottom"/>
            <w:tcBorders>
              <w:bottom w:val="single" w:sz="8" w:color="CCEEFF"/>
            </w:tcBorders>
            <w:vMerge w:val="continue"/>
          </w:tcPr>
          <w:p>
            <w:pPr>
              <w:spacing w:after="0"/>
              <w:rPr>
                <w:sz w:val="16"/>
                <w:szCs w:val="16"/>
                <w:color w:val="auto"/>
              </w:rPr>
            </w:pPr>
          </w:p>
        </w:tc>
        <w:tc>
          <w:tcPr>
            <w:tcW w:w="5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0"/>
              </w:rPr>
              <w:t>Payments</w:t>
            </w:r>
          </w:p>
        </w:tc>
        <w:tc>
          <w:tcPr>
            <w:tcW w:w="0" w:type="dxa"/>
            <w:vAlign w:val="bottom"/>
          </w:tcPr>
          <w:p>
            <w:pPr>
              <w:spacing w:after="0"/>
              <w:rPr>
                <w:sz w:val="1"/>
                <w:szCs w:val="1"/>
                <w:color w:val="auto"/>
              </w:rPr>
            </w:pPr>
          </w:p>
        </w:tc>
      </w:tr>
      <w:tr>
        <w:trPr>
          <w:trHeight w:val="250"/>
        </w:trPr>
        <w:tc>
          <w:tcPr>
            <w:tcW w:w="9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2018</w:t>
            </w: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37,167</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9360" w:type="dxa"/>
            <w:vAlign w:val="bottom"/>
          </w:tcPr>
          <w:p>
            <w:pPr>
              <w:ind w:left="40"/>
              <w:spacing w:after="0"/>
              <w:rPr>
                <w:sz w:val="20"/>
                <w:szCs w:val="20"/>
                <w:color w:val="auto"/>
              </w:rPr>
            </w:pPr>
            <w:r>
              <w:rPr>
                <w:rFonts w:ascii="Arial" w:cs="Arial" w:eastAsia="Arial" w:hAnsi="Arial"/>
                <w:sz w:val="18"/>
                <w:szCs w:val="18"/>
                <w:color w:val="auto"/>
              </w:rPr>
              <w:t>2019</w:t>
            </w:r>
          </w:p>
        </w:tc>
        <w:tc>
          <w:tcPr>
            <w:tcW w:w="5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27,004</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93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9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2020</w:t>
            </w:r>
          </w:p>
        </w:tc>
        <w:tc>
          <w:tcPr>
            <w:tcW w:w="5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16,708</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9360" w:type="dxa"/>
            <w:vAlign w:val="bottom"/>
          </w:tcPr>
          <w:p>
            <w:pPr>
              <w:ind w:left="40"/>
              <w:spacing w:after="0"/>
              <w:rPr>
                <w:sz w:val="20"/>
                <w:szCs w:val="20"/>
                <w:color w:val="auto"/>
              </w:rPr>
            </w:pPr>
            <w:r>
              <w:rPr>
                <w:rFonts w:ascii="Arial" w:cs="Arial" w:eastAsia="Arial" w:hAnsi="Arial"/>
                <w:sz w:val="18"/>
                <w:szCs w:val="18"/>
                <w:color w:val="auto"/>
              </w:rPr>
              <w:t>2021</w:t>
            </w:r>
          </w:p>
        </w:tc>
        <w:tc>
          <w:tcPr>
            <w:tcW w:w="5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3,767</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93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9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2022</w:t>
            </w:r>
          </w:p>
        </w:tc>
        <w:tc>
          <w:tcPr>
            <w:tcW w:w="5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610</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9360" w:type="dxa"/>
            <w:vAlign w:val="bottom"/>
          </w:tcPr>
          <w:p>
            <w:pPr>
              <w:ind w:left="40"/>
              <w:spacing w:after="0"/>
              <w:rPr>
                <w:sz w:val="20"/>
                <w:szCs w:val="20"/>
                <w:color w:val="auto"/>
              </w:rPr>
            </w:pPr>
            <w:r>
              <w:rPr>
                <w:rFonts w:ascii="Arial" w:cs="Arial" w:eastAsia="Arial" w:hAnsi="Arial"/>
                <w:sz w:val="18"/>
                <w:szCs w:val="18"/>
                <w:color w:val="auto"/>
              </w:rPr>
              <w:t>Thereafter</w:t>
            </w:r>
          </w:p>
        </w:tc>
        <w:tc>
          <w:tcPr>
            <w:tcW w:w="5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2,147</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9360" w:type="dxa"/>
            <w:vAlign w:val="bottom"/>
            <w:tcBorders>
              <w:bottom w:val="single" w:sz="8" w:color="CCEEFF"/>
            </w:tcBorders>
          </w:tcPr>
          <w:p>
            <w:pPr>
              <w:spacing w:after="0"/>
              <w:rPr>
                <w:sz w:val="2"/>
                <w:szCs w:val="2"/>
                <w:color w:val="auto"/>
              </w:rPr>
            </w:pPr>
          </w:p>
        </w:tc>
        <w:tc>
          <w:tcPr>
            <w:tcW w:w="5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9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future minimum lease payments</w:t>
            </w: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87,403</w:t>
            </w:r>
          </w:p>
        </w:tc>
        <w:tc>
          <w:tcPr>
            <w:tcW w:w="20" w:type="dxa"/>
            <w:vAlign w:val="bottom"/>
            <w:tcBorders>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936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tcBorders>
          </w:tcPr>
          <w:p>
            <w:pPr>
              <w:spacing w:after="0" w:line="20" w:lineRule="exact"/>
              <w:rPr>
                <w:sz w:val="1"/>
                <w:szCs w:val="1"/>
                <w:color w:val="auto"/>
              </w:rPr>
            </w:pPr>
          </w:p>
        </w:tc>
        <w:tc>
          <w:tcPr>
            <w:tcW w:w="14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6"/>
        </w:trPr>
        <w:tc>
          <w:tcPr>
            <w:tcW w:w="9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8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89"/>
              </w:rPr>
              <w:t>Technology</w:t>
            </w:r>
          </w:p>
        </w:tc>
        <w:tc>
          <w:tcPr>
            <w:tcW w:w="0" w:type="dxa"/>
            <w:vAlign w:val="bottom"/>
          </w:tcPr>
          <w:p>
            <w:pPr>
              <w:spacing w:after="0"/>
              <w:rPr>
                <w:sz w:val="1"/>
                <w:szCs w:val="1"/>
                <w:color w:val="auto"/>
              </w:rPr>
            </w:pPr>
          </w:p>
        </w:tc>
      </w:tr>
      <w:tr>
        <w:trPr>
          <w:trHeight w:val="149"/>
        </w:trPr>
        <w:tc>
          <w:tcPr>
            <w:tcW w:w="936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Fiscal Year</w:t>
            </w: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2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8"/>
              </w:rPr>
              <w:t>License</w:t>
            </w:r>
          </w:p>
        </w:tc>
        <w:tc>
          <w:tcPr>
            <w:tcW w:w="0" w:type="dxa"/>
            <w:vAlign w:val="bottom"/>
          </w:tcPr>
          <w:p>
            <w:pPr>
              <w:spacing w:after="0"/>
              <w:rPr>
                <w:sz w:val="1"/>
                <w:szCs w:val="1"/>
                <w:color w:val="auto"/>
              </w:rPr>
            </w:pPr>
          </w:p>
        </w:tc>
      </w:tr>
      <w:tr>
        <w:trPr>
          <w:trHeight w:val="192"/>
        </w:trPr>
        <w:tc>
          <w:tcPr>
            <w:tcW w:w="9360" w:type="dxa"/>
            <w:vAlign w:val="bottom"/>
            <w:vMerge w:val="continue"/>
          </w:tcPr>
          <w:p>
            <w:pPr>
              <w:spacing w:after="0"/>
              <w:rPr>
                <w:sz w:val="16"/>
                <w:szCs w:val="16"/>
                <w:color w:val="auto"/>
              </w:rPr>
            </w:pPr>
          </w:p>
        </w:tc>
        <w:tc>
          <w:tcPr>
            <w:tcW w:w="580" w:type="dxa"/>
            <w:vAlign w:val="bottom"/>
          </w:tcPr>
          <w:p>
            <w:pPr>
              <w:spacing w:after="0"/>
              <w:rPr>
                <w:sz w:val="16"/>
                <w:szCs w:val="16"/>
                <w:color w:val="auto"/>
              </w:rPr>
            </w:pPr>
          </w:p>
        </w:tc>
        <w:tc>
          <w:tcPr>
            <w:tcW w:w="148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90"/>
              </w:rPr>
              <w:t>Obligations</w:t>
            </w:r>
          </w:p>
        </w:tc>
        <w:tc>
          <w:tcPr>
            <w:tcW w:w="0" w:type="dxa"/>
            <w:vAlign w:val="bottom"/>
          </w:tcPr>
          <w:p>
            <w:pPr>
              <w:spacing w:after="0"/>
              <w:rPr>
                <w:sz w:val="1"/>
                <w:szCs w:val="1"/>
                <w:color w:val="auto"/>
              </w:rPr>
            </w:pPr>
          </w:p>
        </w:tc>
      </w:tr>
      <w:tr>
        <w:trPr>
          <w:trHeight w:val="250"/>
        </w:trPr>
        <w:tc>
          <w:tcPr>
            <w:tcW w:w="93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2018</w:t>
            </w:r>
          </w:p>
        </w:tc>
        <w:tc>
          <w:tcPr>
            <w:tcW w:w="580" w:type="dxa"/>
            <w:vAlign w:val="bottom"/>
            <w:tcBorders>
              <w:top w:val="single" w:sz="8" w:color="auto"/>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99"/>
              </w:rPr>
              <w:t>$</w:t>
            </w: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1300" w:type="dxa"/>
            <w:vAlign w:val="bottom"/>
            <w:tcBorders>
              <w:top w:val="single" w:sz="8" w:color="auto"/>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23,180</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9360" w:type="dxa"/>
            <w:vAlign w:val="bottom"/>
          </w:tcPr>
          <w:p>
            <w:pPr>
              <w:ind w:left="40"/>
              <w:spacing w:after="0"/>
              <w:rPr>
                <w:sz w:val="20"/>
                <w:szCs w:val="20"/>
                <w:color w:val="auto"/>
              </w:rPr>
            </w:pPr>
            <w:r>
              <w:rPr>
                <w:rFonts w:ascii="Arial" w:cs="Arial" w:eastAsia="Arial" w:hAnsi="Arial"/>
                <w:sz w:val="18"/>
                <w:szCs w:val="18"/>
                <w:color w:val="auto"/>
              </w:rPr>
              <w:t>2019</w:t>
            </w:r>
          </w:p>
        </w:tc>
        <w:tc>
          <w:tcPr>
            <w:tcW w:w="5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ind w:right="34"/>
              <w:spacing w:after="0"/>
              <w:rPr>
                <w:sz w:val="20"/>
                <w:szCs w:val="20"/>
                <w:color w:val="auto"/>
              </w:rPr>
            </w:pPr>
            <w:r>
              <w:rPr>
                <w:rFonts w:ascii="Arial" w:cs="Arial" w:eastAsia="Arial" w:hAnsi="Arial"/>
                <w:sz w:val="18"/>
                <w:szCs w:val="18"/>
                <w:color w:val="auto"/>
              </w:rPr>
              <w:t>7,025</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93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9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2020 and thereafter</w:t>
            </w:r>
          </w:p>
        </w:tc>
        <w:tc>
          <w:tcPr>
            <w:tcW w:w="5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7,025</w:t>
            </w: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9360" w:type="dxa"/>
            <w:vAlign w:val="bottom"/>
          </w:tcPr>
          <w:p>
            <w:pPr>
              <w:ind w:left="40"/>
              <w:spacing w:after="0"/>
              <w:rPr>
                <w:sz w:val="20"/>
                <w:szCs w:val="20"/>
                <w:color w:val="auto"/>
              </w:rPr>
            </w:pPr>
            <w:r>
              <w:rPr>
                <w:rFonts w:ascii="Arial" w:cs="Arial" w:eastAsia="Arial" w:hAnsi="Arial"/>
                <w:sz w:val="18"/>
                <w:szCs w:val="18"/>
                <w:color w:val="auto"/>
              </w:rPr>
              <w:t>Total future minimum lease payments</w:t>
            </w:r>
          </w:p>
        </w:tc>
        <w:tc>
          <w:tcPr>
            <w:tcW w:w="580" w:type="dxa"/>
            <w:vAlign w:val="bottom"/>
            <w:tcBorders>
              <w:top w:val="single" w:sz="8" w:color="auto"/>
            </w:tcBorders>
          </w:tcPr>
          <w:p>
            <w:pPr>
              <w:jc w:val="right"/>
              <w:ind w:right="370"/>
              <w:spacing w:after="0"/>
              <w:rPr>
                <w:sz w:val="20"/>
                <w:szCs w:val="20"/>
                <w:color w:val="auto"/>
              </w:rPr>
            </w:pPr>
            <w:r>
              <w:rPr>
                <w:rFonts w:ascii="Arial" w:cs="Arial" w:eastAsia="Arial" w:hAnsi="Arial"/>
                <w:sz w:val="18"/>
                <w:szCs w:val="18"/>
                <w:color w:val="auto"/>
                <w:w w:val="99"/>
              </w:rPr>
              <w:t>$</w:t>
            </w: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37,230</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93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936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Less: amount representing interest</w:t>
            </w:r>
          </w:p>
        </w:tc>
        <w:tc>
          <w:tcPr>
            <w:tcW w:w="5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w:t>
            </w: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9360" w:type="dxa"/>
            <w:vAlign w:val="bottom"/>
          </w:tcPr>
          <w:p>
            <w:pPr>
              <w:ind w:left="380"/>
              <w:spacing w:after="0"/>
              <w:rPr>
                <w:sz w:val="20"/>
                <w:szCs w:val="20"/>
                <w:color w:val="auto"/>
              </w:rPr>
            </w:pPr>
            <w:r>
              <w:rPr>
                <w:rFonts w:ascii="Arial" w:cs="Arial" w:eastAsia="Arial" w:hAnsi="Arial"/>
                <w:sz w:val="18"/>
                <w:szCs w:val="18"/>
                <w:color w:val="auto"/>
              </w:rPr>
              <w:t>Present value of future minimum payments</w:t>
            </w:r>
          </w:p>
        </w:tc>
        <w:tc>
          <w:tcPr>
            <w:tcW w:w="580" w:type="dxa"/>
            <w:vAlign w:val="bottom"/>
            <w:tcBorders>
              <w:top w:val="single" w:sz="8" w:color="auto"/>
            </w:tcBorders>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37,060</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93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936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Less: current portion</w:t>
            </w:r>
          </w:p>
        </w:tc>
        <w:tc>
          <w:tcPr>
            <w:tcW w:w="5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(22,111)</w:t>
            </w: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9360" w:type="dxa"/>
            <w:vAlign w:val="bottom"/>
          </w:tcPr>
          <w:p>
            <w:pPr>
              <w:ind w:left="1140"/>
              <w:spacing w:after="0"/>
              <w:rPr>
                <w:sz w:val="20"/>
                <w:szCs w:val="20"/>
                <w:color w:val="auto"/>
              </w:rPr>
            </w:pPr>
            <w:r>
              <w:rPr>
                <w:rFonts w:ascii="Arial" w:cs="Arial" w:eastAsia="Arial" w:hAnsi="Arial"/>
                <w:sz w:val="18"/>
                <w:szCs w:val="18"/>
                <w:color w:val="auto"/>
              </w:rPr>
              <w:t>Non-current portion</w:t>
            </w:r>
          </w:p>
        </w:tc>
        <w:tc>
          <w:tcPr>
            <w:tcW w:w="580" w:type="dxa"/>
            <w:vAlign w:val="bottom"/>
            <w:tcBorders>
              <w:top w:val="single" w:sz="8" w:color="auto"/>
            </w:tcBorders>
          </w:tcPr>
          <w:p>
            <w:pPr>
              <w:jc w:val="right"/>
              <w:ind w:right="370"/>
              <w:spacing w:after="0"/>
              <w:rPr>
                <w:sz w:val="20"/>
                <w:szCs w:val="20"/>
                <w:color w:val="auto"/>
              </w:rPr>
            </w:pPr>
            <w:r>
              <w:rPr>
                <w:rFonts w:ascii="Arial" w:cs="Arial" w:eastAsia="Arial" w:hAnsi="Arial"/>
                <w:sz w:val="18"/>
                <w:szCs w:val="18"/>
                <w:color w:val="auto"/>
                <w:w w:val="99"/>
              </w:rPr>
              <w:t>$</w:t>
            </w: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14,949</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9360" w:type="dxa"/>
            <w:vAlign w:val="bottom"/>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93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440" w:right="960"/>
        <w:spacing w:after="0" w:line="375" w:lineRule="auto"/>
        <w:rPr>
          <w:sz w:val="20"/>
          <w:szCs w:val="20"/>
          <w:color w:val="auto"/>
        </w:rPr>
      </w:pPr>
      <w:r>
        <w:rPr>
          <w:rFonts w:ascii="Arial" w:cs="Arial" w:eastAsia="Arial" w:hAnsi="Arial"/>
          <w:sz w:val="18"/>
          <w:szCs w:val="18"/>
          <w:color w:val="auto"/>
        </w:rPr>
        <w:t xml:space="preserve">Technology license obligations include the liabilities under agreements for technology licenses between the Company and various vendors. </w:t>
      </w:r>
      <w:r>
        <w:rPr>
          <w:rFonts w:ascii="Arial" w:cs="Arial" w:eastAsia="Arial" w:hAnsi="Arial"/>
          <w:sz w:val="18"/>
          <w:szCs w:val="18"/>
          <w:b w:val="1"/>
          <w:bCs w:val="1"/>
          <w:i w:val="1"/>
          <w:iCs w:val="1"/>
          <w:color w:val="auto"/>
        </w:rPr>
        <w:t>Purchase Commitments</w:t>
      </w:r>
    </w:p>
    <w:p>
      <w:pPr>
        <w:spacing w:after="0" w:line="1" w:lineRule="exact"/>
        <w:rPr>
          <w:sz w:val="20"/>
          <w:szCs w:val="20"/>
          <w:color w:val="auto"/>
        </w:rPr>
      </w:pPr>
    </w:p>
    <w:p>
      <w:pPr>
        <w:jc w:val="both"/>
        <w:ind w:right="400" w:firstLine="432"/>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is allowed but requires payment of all costs and expenses incurred through the date of cancellation. As of January 28, 2017, these foundries had incurred approximately $208.8 million of manufacturing costs and expenses relating to the Company’s outstanding purchase orders.</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117" w:lineRule="exact"/>
        <w:rPr>
          <w:sz w:val="20"/>
          <w:szCs w:val="20"/>
          <w:color w:val="auto"/>
        </w:rPr>
      </w:pPr>
    </w:p>
    <w:p>
      <w:pPr>
        <w:ind w:right="100" w:firstLine="432"/>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5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Contingencies</w:t>
      </w:r>
    </w:p>
    <w:p>
      <w:pPr>
        <w:spacing w:after="0" w:line="117" w:lineRule="exact"/>
        <w:rPr>
          <w:sz w:val="20"/>
          <w:szCs w:val="20"/>
          <w:color w:val="auto"/>
        </w:rPr>
      </w:pPr>
    </w:p>
    <w:p>
      <w:pPr>
        <w:ind w:right="180" w:firstLine="432"/>
        <w:spacing w:after="0" w:line="253" w:lineRule="auto"/>
        <w:rPr>
          <w:sz w:val="20"/>
          <w:szCs w:val="20"/>
          <w:color w:val="auto"/>
        </w:rPr>
      </w:pPr>
      <w:r>
        <w:rPr>
          <w:rFonts w:ascii="Arial" w:cs="Arial" w:eastAsia="Arial" w:hAnsi="Arial"/>
          <w:sz w:val="18"/>
          <w:szCs w:val="18"/>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The Company is currently unable to predict the final outcome of these lawsuits and therefore cannot determine the likelihood of loss or estimate a range of possible loss, except with respect to amounts where it has determined a loss is both probable and estimable and has made an accrual.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w:t>
      </w: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20"/>
          </w:cols>
          <w:pgMar w:left="240" w:top="391" w:right="239" w:bottom="1440" w:gutter="0" w:footer="0" w:header="0"/>
        </w:sectPr>
      </w:pPr>
    </w:p>
    <w:bookmarkStart w:id="80" w:name="page81"/>
    <w:bookmarkEnd w:id="8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be no assurance that these matters will be resolved in a manner that is not adverse to the Company’s business, financial condition, results of operations or cash flows.</w:t>
      </w:r>
    </w:p>
    <w:p>
      <w:pPr>
        <w:spacing w:after="0" w:line="170" w:lineRule="exact"/>
        <w:rPr>
          <w:sz w:val="20"/>
          <w:szCs w:val="20"/>
          <w:color w:val="auto"/>
        </w:rPr>
      </w:pPr>
    </w:p>
    <w:p>
      <w:pPr>
        <w:ind w:firstLine="432"/>
        <w:spacing w:after="0" w:line="286"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(“W.D. of Pennsylvania”).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Federal Circuit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15 — Carnegie Mellon University Settlement” for additional information on the effect of the settlement in the Company’s consolidated financial statements for fiscal 2017. In connection with the settlement, the primary supersedeas bond that the Company entered into in connection with this litigation was reduced to $439 million and the secondary bond, which is secured, was adjusted to $311 million. All of the Company’s obligations under both bonds were discharged pursuant to an order releasing supersedeas bonds on April 21, 2016. On October 18, 2016, the case was dismissed with prejudice.</w:t>
      </w:r>
    </w:p>
    <w:p>
      <w:pPr>
        <w:spacing w:after="0" w:line="172" w:lineRule="exact"/>
        <w:rPr>
          <w:sz w:val="20"/>
          <w:szCs w:val="20"/>
          <w:color w:val="auto"/>
        </w:rPr>
      </w:pPr>
    </w:p>
    <w:p>
      <w:pPr>
        <w:ind w:right="160" w:firstLine="378"/>
        <w:spacing w:after="0" w:line="259" w:lineRule="auto"/>
        <w:rPr>
          <w:sz w:val="20"/>
          <w:szCs w:val="20"/>
          <w:color w:val="auto"/>
        </w:rPr>
      </w:pPr>
      <w:r>
        <w:rPr>
          <w:rFonts w:ascii="Arial" w:cs="Arial" w:eastAsia="Arial" w:hAnsi="Arial"/>
          <w:sz w:val="18"/>
          <w:szCs w:val="18"/>
          <w:i w:val="1"/>
          <w:iCs w:val="1"/>
          <w:color w:val="auto"/>
        </w:rPr>
        <w:t xml:space="preserve">Innovatio Litigation. </w:t>
      </w:r>
      <w:r>
        <w:rPr>
          <w:rFonts w:ascii="Arial" w:cs="Arial" w:eastAsia="Arial" w:hAnsi="Arial"/>
          <w:sz w:val="18"/>
          <w:szCs w:val="18"/>
          <w:color w:val="auto"/>
        </w:rPr>
        <w:t>On March 16, 2015, Innovatio IP Ventures, LLC filed suit against MSI in the U.S. District Court for the Northern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Illinois, alleging infringement of U.S. Patent Nos. 6,697,415; 5,844,893; 5,740,366; 7,916,747; 6,665,536; 7,013,138; 7,107,052; 5,546,397; 7,710,907; 7,710,935; 6,714,559; 7,457,646; and 6,374,311, purportedly related to certain wireless technology. The complaint sought unspecified damages. On October 11, 2016, the case was dismissed with prejudice.</w:t>
      </w:r>
    </w:p>
    <w:p>
      <w:pPr>
        <w:spacing w:after="0" w:line="187"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i w:val="1"/>
          <w:iCs w:val="1"/>
          <w:color w:val="auto"/>
        </w:rPr>
        <w:t xml:space="preserve">Luna Litigation and Consolidated Cases. </w:t>
      </w:r>
      <w:r>
        <w:rPr>
          <w:rFonts w:ascii="Arial" w:cs="Arial" w:eastAsia="Arial" w:hAnsi="Arial"/>
          <w:sz w:val="17"/>
          <w:szCs w:val="17"/>
          <w:color w:val="auto"/>
        </w:rPr>
        <w:t>On September 11, 2015, Daniel Luna filed an action asserting putative class action claims on behalf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78" w:lineRule="exact"/>
        <w:rPr>
          <w:sz w:val="20"/>
          <w:szCs w:val="20"/>
          <w:color w:val="auto"/>
        </w:rPr>
      </w:pPr>
    </w:p>
    <w:p>
      <w:pPr>
        <w:ind w:firstLine="378"/>
        <w:spacing w:after="0" w:line="289" w:lineRule="auto"/>
        <w:rPr>
          <w:sz w:val="20"/>
          <w:szCs w:val="20"/>
          <w:color w:val="auto"/>
        </w:rPr>
      </w:pPr>
      <w:r>
        <w:rPr>
          <w:rFonts w:ascii="Arial" w:cs="Arial" w:eastAsia="Arial" w:hAnsi="Arial"/>
          <w:sz w:val="16"/>
          <w:szCs w:val="16"/>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 On October 12, 2016, the Court granted Defendants’ motions to dismiss with leave to amend and granted lead plaintiff 30 days to file an amended complaint. The parties agreed that the plaintiffs shall file and serve an amended complaint by November 28, 2016. Plaintiffs filed and served the amended complaint on November 28, 2016. The Initial Case Management Conference took place on January 12, 2017. Marvell and co-defendants filed separate Motions to Dismiss on January 17, 2017. A further Case Management Conference and a hearing on defendants' Motions to Dismiss are both set for May 4, 2017. Trial is set for March 5, 2018.</w:t>
      </w:r>
    </w:p>
    <w:p>
      <w:pPr>
        <w:spacing w:after="0" w:line="167" w:lineRule="exact"/>
        <w:rPr>
          <w:sz w:val="20"/>
          <w:szCs w:val="20"/>
          <w:color w:val="auto"/>
        </w:rPr>
      </w:pPr>
    </w:p>
    <w:p>
      <w:pPr>
        <w:ind w:right="60" w:firstLine="392"/>
        <w:spacing w:after="0" w:line="272" w:lineRule="auto"/>
        <w:rPr>
          <w:sz w:val="20"/>
          <w:szCs w:val="20"/>
          <w:color w:val="auto"/>
        </w:rPr>
      </w:pPr>
      <w:r>
        <w:rPr>
          <w:rFonts w:ascii="Arial" w:cs="Arial" w:eastAsia="Arial" w:hAnsi="Arial"/>
          <w:sz w:val="17"/>
          <w:szCs w:val="17"/>
          <w:i w:val="1"/>
          <w:iCs w:val="1"/>
          <w:color w:val="auto"/>
        </w:rPr>
        <w:t xml:space="preserve">Saratoga Litigation. </w:t>
      </w:r>
      <w:r>
        <w:rPr>
          <w:rFonts w:ascii="Arial" w:cs="Arial" w:eastAsia="Arial" w:hAnsi="Arial"/>
          <w:sz w:val="17"/>
          <w:szCs w:val="17"/>
          <w:color w:val="auto"/>
        </w:rPr>
        <w:t>On October 16, 2015, Saratoga Advantage Trust Technology &amp; Communications Portfolio (“Saratoga”) filed an action asserting</w:t>
      </w:r>
      <w:r>
        <w:rPr>
          <w:rFonts w:ascii="Arial" w:cs="Arial" w:eastAsia="Arial" w:hAnsi="Arial"/>
          <w:sz w:val="17"/>
          <w:szCs w:val="17"/>
          <w:i w:val="1"/>
          <w:iCs w:val="1"/>
          <w:color w:val="auto"/>
        </w:rPr>
        <w:t xml:space="preserve"> </w:t>
      </w:r>
      <w:r>
        <w:rPr>
          <w:rFonts w:ascii="Arial" w:cs="Arial" w:eastAsia="Arial" w:hAnsi="Arial"/>
          <w:sz w:val="17"/>
          <w:szCs w:val="17"/>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 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requested damages and restitution in unspecified amounts, equitable and/or</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20"/>
          </w:cols>
          <w:pgMar w:left="240" w:top="391" w:right="239" w:bottom="1440" w:gutter="0" w:footer="0" w:header="0"/>
        </w:sectPr>
      </w:pPr>
    </w:p>
    <w:bookmarkStart w:id="81" w:name="page82"/>
    <w:bookmarkEnd w:id="8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rPr>
          <w:sz w:val="20"/>
          <w:szCs w:val="20"/>
          <w:color w:val="auto"/>
        </w:rPr>
      </w:pPr>
      <w:r>
        <w:rPr>
          <w:rFonts w:ascii="Arial" w:cs="Arial" w:eastAsia="Arial" w:hAnsi="Arial"/>
          <w:sz w:val="17"/>
          <w:szCs w:val="17"/>
          <w:color w:val="auto"/>
        </w:rPr>
        <w:t>injunctive relief, costs and fees of bringing the action, and other unspecified relief. On September 15, 2016, the case was dismissed with prejudice.</w:t>
      </w:r>
    </w:p>
    <w:p>
      <w:pPr>
        <w:spacing w:after="0" w:line="12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Surety Bonds</w:t>
      </w:r>
    </w:p>
    <w:p>
      <w:pPr>
        <w:spacing w:after="0" w:line="117" w:lineRule="exact"/>
        <w:rPr>
          <w:sz w:val="20"/>
          <w:szCs w:val="20"/>
          <w:color w:val="auto"/>
        </w:rPr>
      </w:pPr>
    </w:p>
    <w:p>
      <w:pPr>
        <w:ind w:right="80" w:firstLine="432"/>
        <w:spacing w:after="0" w:line="255" w:lineRule="auto"/>
        <w:rPr>
          <w:sz w:val="20"/>
          <w:szCs w:val="20"/>
          <w:color w:val="auto"/>
        </w:rPr>
      </w:pPr>
      <w:r>
        <w:rPr>
          <w:rFonts w:ascii="Arial" w:cs="Arial" w:eastAsia="Arial" w:hAnsi="Arial"/>
          <w:sz w:val="18"/>
          <w:szCs w:val="18"/>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However, the indemnity agreements provided that each of the sureties had the right to demand to be placed in funds or call for collateral under pre-defined events.</w:t>
      </w:r>
    </w:p>
    <w:p>
      <w:pPr>
        <w:spacing w:after="0" w:line="81"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were secured by the Company’s campus located in Santa Clara, California with a carrying value of $126.7 million at January 28, 2017.</w:t>
      </w:r>
    </w:p>
    <w:p>
      <w:pPr>
        <w:spacing w:after="0" w:line="73" w:lineRule="exact"/>
        <w:rPr>
          <w:sz w:val="20"/>
          <w:szCs w:val="20"/>
          <w:color w:val="auto"/>
        </w:rPr>
      </w:pPr>
    </w:p>
    <w:p>
      <w:pPr>
        <w:ind w:right="200" w:firstLine="432"/>
        <w:spacing w:after="0" w:line="264" w:lineRule="auto"/>
        <w:rPr>
          <w:sz w:val="20"/>
          <w:szCs w:val="20"/>
          <w:color w:val="auto"/>
        </w:rPr>
      </w:pPr>
      <w:r>
        <w:rPr>
          <w:rFonts w:ascii="Arial" w:cs="Arial" w:eastAsia="Arial" w:hAnsi="Arial"/>
          <w:sz w:val="18"/>
          <w:szCs w:val="18"/>
          <w:color w:val="auto"/>
        </w:rPr>
        <w:t>In connection with the settlement that was reached with CMU, the primary supersedeas bond that the Company entered into was reduced to $439 million and the secondary bond was adjusted to $311 million and both were discharged pursuant to an order releasing supersedeas bonds on April 21, 2016. For additional information, see CMU litigation under “Contingencies” above.</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firstLine="432"/>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4" w:lineRule="exact"/>
        <w:rPr>
          <w:sz w:val="20"/>
          <w:szCs w:val="20"/>
          <w:color w:val="auto"/>
        </w:rPr>
      </w:pPr>
    </w:p>
    <w:p>
      <w:pPr>
        <w:ind w:right="160" w:firstLine="432"/>
        <w:spacing w:after="0" w:line="276" w:lineRule="auto"/>
        <w:rPr>
          <w:sz w:val="20"/>
          <w:szCs w:val="20"/>
          <w:color w:val="auto"/>
        </w:rPr>
      </w:pPr>
      <w:r>
        <w:rPr>
          <w:rFonts w:ascii="Arial" w:cs="Arial" w:eastAsia="Arial" w:hAnsi="Arial"/>
          <w:sz w:val="17"/>
          <w:szCs w:val="17"/>
          <w:color w:val="auto"/>
        </w:rPr>
        <w:t>The Company sponsors a 401(k) savings and investment plan that allows eligible U.S. employees to participate by making pre-tax contributions to the 401(k) plan ranging from 1% to 50% of eligible earnings subject to a required annual limit. The Company matches 100% of the first 4% of the employee’s contribution and 50% of the next 2%, up to a $3,000 maximum contribution. The Company made matching contributions to employees of $4.5 million in fiscal 2017, $4.9 million in fiscal 2016 and $5.1 million in fiscal 2015. As of January 28, 2017, the 401(k) plan offers a variety of investment alternatives, representing different asset classes. Employees may not invest in the Company’s common shares through the 401(k) plan.</w:t>
      </w:r>
    </w:p>
    <w:p>
      <w:pPr>
        <w:spacing w:after="0" w:line="119" w:lineRule="exact"/>
        <w:rPr>
          <w:sz w:val="20"/>
          <w:szCs w:val="20"/>
          <w:color w:val="auto"/>
        </w:rPr>
      </w:pPr>
    </w:p>
    <w:p>
      <w:pPr>
        <w:ind w:right="60" w:firstLine="432"/>
        <w:spacing w:after="0" w:line="259" w:lineRule="auto"/>
        <w:rPr>
          <w:sz w:val="20"/>
          <w:szCs w:val="20"/>
          <w:color w:val="auto"/>
        </w:rPr>
      </w:pPr>
      <w:r>
        <w:rPr>
          <w:rFonts w:ascii="Arial" w:cs="Arial" w:eastAsia="Arial" w:hAnsi="Arial"/>
          <w:sz w:val="18"/>
          <w:szCs w:val="18"/>
          <w:color w:val="auto"/>
        </w:rPr>
        <w:t>The Company also has voluntary defined contribution plans in various non-U.S. locations. In connection with these plans, the Company made contributions on behalf of employees totaling $11.8 million, $14.5 million and $18.5 million during fiscal 2017, 2016 and 2015, respectively. The Company also maintains a limited number of defined benefit plans for certain non-U.S. locations. Total costs under these plans were $0.1 million, $1.5 million and $0.1 million in fiscal 2017, 2016 and 2015, respectively.</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Shareholders’ Equity</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420"/>
          </w:cols>
          <w:pgMar w:left="240" w:top="391" w:right="239" w:bottom="1440" w:gutter="0" w:footer="0" w:header="0"/>
        </w:sectPr>
      </w:pPr>
    </w:p>
    <w:bookmarkStart w:id="82" w:name="page83"/>
    <w:bookmarkEnd w:id="82"/>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00" w:firstLine="432"/>
        <w:spacing w:after="0" w:line="277" w:lineRule="auto"/>
        <w:rPr>
          <w:sz w:val="20"/>
          <w:szCs w:val="20"/>
          <w:color w:val="auto"/>
        </w:rPr>
      </w:pPr>
      <w:r>
        <w:rPr>
          <w:rFonts w:ascii="Arial" w:cs="Arial" w:eastAsia="Arial" w:hAnsi="Arial"/>
          <w:sz w:val="18"/>
          <w:szCs w:val="18"/>
          <w:color w:val="auto"/>
        </w:rPr>
        <w:t>As of January 28, 2017, the Company is authorized to issue 992.0 million shares of $0.002 par value common stock and 8 million shares of $0.002 par value preferred stock. As of January 28, 2017 and January 30, 2016, no shares of preferred stock were outstanding.</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225" w:lineRule="exact"/>
        <w:rPr>
          <w:sz w:val="20"/>
          <w:szCs w:val="20"/>
          <w:color w:val="auto"/>
        </w:rPr>
      </w:pPr>
    </w:p>
    <w:p>
      <w:pPr>
        <w:ind w:right="40" w:firstLine="432"/>
        <w:spacing w:after="0" w:line="291"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from time to time, had 383.4 million common shares reserved for issuance thereunder as of January 28, 2017. Options granted under the Option Plan generally have a term of 10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 The Company can also grant stock awards, which may be subject to vesting. Further, the Company can grant restricted stock unit (“RSU”) awards. RSU awards are denominated in shares of stock, but may be settled in cash or shares upon vesting, as determined by the Company at the time of grant. Awards under the Option Plan generally vest over 2 to 5 years.</w:t>
      </w:r>
    </w:p>
    <w:p>
      <w:pPr>
        <w:spacing w:after="0" w:line="16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of January 28, 2017, approximately 98.6 million shares remained available for future issuance under the Option Plan.</w:t>
      </w:r>
    </w:p>
    <w:p>
      <w:pPr>
        <w:spacing w:after="0" w:line="225" w:lineRule="exact"/>
        <w:rPr>
          <w:sz w:val="20"/>
          <w:szCs w:val="20"/>
          <w:color w:val="auto"/>
        </w:rPr>
      </w:pPr>
    </w:p>
    <w:p>
      <w:pPr>
        <w:ind w:firstLine="432"/>
        <w:spacing w:after="0" w:line="288" w:lineRule="auto"/>
        <w:rPr>
          <w:sz w:val="20"/>
          <w:szCs w:val="20"/>
          <w:color w:val="auto"/>
        </w:rPr>
      </w:pPr>
      <w:r>
        <w:rPr>
          <w:rFonts w:ascii="Arial" w:cs="Arial" w:eastAsia="Arial" w:hAnsi="Arial"/>
          <w:sz w:val="16"/>
          <w:szCs w:val="16"/>
          <w:i w:val="1"/>
          <w:iCs w:val="1"/>
          <w:color w:val="auto"/>
        </w:rPr>
        <w:t xml:space="preserve">Fiscal 2017. </w:t>
      </w:r>
      <w:r>
        <w:rPr>
          <w:rFonts w:ascii="Arial" w:cs="Arial" w:eastAsia="Arial" w:hAnsi="Arial"/>
          <w:sz w:val="16"/>
          <w:szCs w:val="16"/>
          <w:color w:val="auto"/>
        </w:rPr>
        <w:t>In August 2016, the Company granted performance-based equity awards to each of its executive officers who then joined the Company.</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 also granted performance-based equity awards to an additional four executive officers who later joined the Company in September, November and December of 2016. These equity awards include RSU’s which vest based on the achievement of certain financial goals (“Financial Performance RSU”). The Financial Performance RSUs will be earned on the achievement of certain financial operating metrics to be measured as of the end of fiscal 2018 and will vest on the third anniversary of the respective vesting commencement dates. Shares granted under these Financial Performance RSUs (based on 100% expected achievement) are reported in the table presented below as “Performance-Based.” The executive officers were also granted equity awards which shall vest based on total shareholder return (each a “Total Shareholder Return Award”). The Total Shareholder Return Awards will vest on the third anniversary of the respective vesting commencement dates based on the achievement of performance objectives relating to relative total shareholder return of the Company’s common shares as compared to that of comparable companies of the Philadelphia Semiconductor Sector Index over a performance period defined in the award. These Total Shareholder Return Awards are reported in the table presented below as “Market-Based.”</w:t>
      </w:r>
    </w:p>
    <w:p>
      <w:pPr>
        <w:spacing w:after="0" w:line="61" w:lineRule="exact"/>
        <w:rPr>
          <w:sz w:val="20"/>
          <w:szCs w:val="20"/>
          <w:color w:val="auto"/>
        </w:rPr>
      </w:pPr>
    </w:p>
    <w:p>
      <w:pPr>
        <w:ind w:firstLine="432"/>
        <w:spacing w:after="0" w:line="287" w:lineRule="auto"/>
        <w:rPr>
          <w:sz w:val="20"/>
          <w:szCs w:val="20"/>
          <w:color w:val="auto"/>
        </w:rPr>
      </w:pPr>
      <w:r>
        <w:rPr>
          <w:rFonts w:ascii="Arial" w:cs="Arial" w:eastAsia="Arial" w:hAnsi="Arial"/>
          <w:sz w:val="16"/>
          <w:szCs w:val="16"/>
          <w:i w:val="1"/>
          <w:iCs w:val="1"/>
          <w:color w:val="auto"/>
        </w:rPr>
        <w:t xml:space="preserve">Fiscal 2016. </w:t>
      </w:r>
      <w:r>
        <w:rPr>
          <w:rFonts w:ascii="Arial" w:cs="Arial" w:eastAsia="Arial" w:hAnsi="Arial"/>
          <w:sz w:val="16"/>
          <w:szCs w:val="16"/>
          <w:color w:val="auto"/>
        </w:rPr>
        <w:t>In April 2015, the Company granted performance-based equity awards to each of its executive officers, which were based on their</w:t>
      </w:r>
      <w:r>
        <w:rPr>
          <w:rFonts w:ascii="Arial" w:cs="Arial" w:eastAsia="Arial" w:hAnsi="Arial"/>
          <w:sz w:val="16"/>
          <w:szCs w:val="16"/>
          <w:i w:val="1"/>
          <w:iCs w:val="1"/>
          <w:color w:val="auto"/>
        </w:rPr>
        <w:t xml:space="preserve"> </w:t>
      </w:r>
      <w:r>
        <w:rPr>
          <w:rFonts w:ascii="Arial" w:cs="Arial" w:eastAsia="Arial" w:hAnsi="Arial"/>
          <w:sz w:val="16"/>
          <w:szCs w:val="16"/>
          <w:color w:val="auto"/>
        </w:rPr>
        <w:t>achievement of certain performance goals for a performance period beginning in fiscal 2016. These equity awards included RSUs which would vest based on the achievement of certain financial goals (each a “Financial Performance RSU”), and performance awards for which a portion would vest based on the achievement of individual strategic objectives (each a “Strategic Objective Award”) and a portion would vest based on total shareholder return (each a “Total Shareholder Return Award”). These awards are reported as “Performance-Based,” except for the Total Shareholder Return Award which is reported as “Market-Based.” The Financial Performance RSUs would be earned based on the achievement of revenue and modified non-GAAP operating income that have been established at “threshold,” “target” and “maximum” levels that would vest on the first anniversary of the vest commencement date. The Strategic Objective Awards would also vest on the first anniversary of the commencement date at the target level based on the achievement of individual strategic goals and, with respect to a portion of each Strategic Objective Award, the further achievement of either the revenue or modified non-GAAP operating income objective established for the Financial Performance RSU. The Total Shareholder Return Awards would vest on the second anniversary of the commencement date based on the Company’s stock price performance in comparison to the Philadelphia Semiconductor Sector Index.</w:t>
      </w:r>
    </w:p>
    <w:p>
      <w:pPr>
        <w:spacing w:after="0" w:line="65" w:lineRule="exact"/>
        <w:rPr>
          <w:sz w:val="20"/>
          <w:szCs w:val="20"/>
          <w:color w:val="auto"/>
        </w:rPr>
      </w:pPr>
    </w:p>
    <w:p>
      <w:pPr>
        <w:ind w:right="80" w:firstLine="432"/>
        <w:spacing w:after="0" w:line="289" w:lineRule="auto"/>
        <w:rPr>
          <w:sz w:val="20"/>
          <w:szCs w:val="20"/>
          <w:color w:val="auto"/>
        </w:rPr>
      </w:pPr>
      <w:r>
        <w:rPr>
          <w:rFonts w:ascii="Arial" w:cs="Arial" w:eastAsia="Arial" w:hAnsi="Arial"/>
          <w:sz w:val="16"/>
          <w:szCs w:val="16"/>
          <w:i w:val="1"/>
          <w:iCs w:val="1"/>
          <w:color w:val="auto"/>
        </w:rPr>
        <w:t>Fiscal 2015</w:t>
      </w:r>
      <w:r>
        <w:rPr>
          <w:rFonts w:ascii="Arial" w:cs="Arial" w:eastAsia="Arial" w:hAnsi="Arial"/>
          <w:sz w:val="16"/>
          <w:szCs w:val="16"/>
          <w:color w:val="auto"/>
        </w:rPr>
        <w:t>. In April 2014, the Company granted performance-based equity awards to each of its executive officers which were based on their</w:t>
      </w:r>
      <w:r>
        <w:rPr>
          <w:rFonts w:ascii="Arial" w:cs="Arial" w:eastAsia="Arial" w:hAnsi="Arial"/>
          <w:sz w:val="16"/>
          <w:szCs w:val="16"/>
          <w:i w:val="1"/>
          <w:iCs w:val="1"/>
          <w:color w:val="auto"/>
        </w:rPr>
        <w:t xml:space="preserve"> </w:t>
      </w:r>
      <w:r>
        <w:rPr>
          <w:rFonts w:ascii="Arial" w:cs="Arial" w:eastAsia="Arial" w:hAnsi="Arial"/>
          <w:sz w:val="16"/>
          <w:szCs w:val="16"/>
          <w:color w:val="auto"/>
        </w:rPr>
        <w:t>achievement of certain performance goals in fiscal 2015 and 2016. These equity awards included RSUs which would vest based on financial performance criteria (“Financial Performance RSU”) and restricted stock units which vest based on both financial performance criteria and individual strategic goals (“Strategic Performance Award”). The Financial Performance RSUs would be earned based on the achievement of revenue and modified non-GAAP operating income that have been established at “threshold,” “target” and “maximum” levels. Each Financial Performance RSU would vest 50% on the first anniversary of the commencement date based on achievement of fiscal 2015 financial performance criteria and 50% on the second anniversary of the vesting commencement date based on the achievement of fiscal 2016 financial performance criteria. The Strategic Performance Awards would vest based on achievement at the threshold level of either the revenue or modified non-GAAP operating income objective established for the Financial Performance RSU, in addition to the achievement of additional individual strategic goals. Each Strategic Performance Award would vest 50% on the first anniversary of the</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00"/>
          </w:cols>
          <w:pgMar w:left="240" w:top="391" w:right="259" w:bottom="1440" w:gutter="0" w:footer="0" w:header="0"/>
        </w:sectPr>
      </w:pPr>
    </w:p>
    <w:bookmarkStart w:id="83" w:name="page84"/>
    <w:bookmarkEnd w:id="8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commencement date based on achievement of fiscal 2015 individual strategic goals and 50% on second anniversary date based on the achievement of the fiscal 2016 individual strategic goals.</w:t>
      </w:r>
    </w:p>
    <w:p>
      <w:pPr>
        <w:spacing w:after="0" w:line="62" w:lineRule="exact"/>
        <w:rPr>
          <w:sz w:val="20"/>
          <w:szCs w:val="20"/>
          <w:color w:val="auto"/>
        </w:rPr>
      </w:pPr>
    </w:p>
    <w:p>
      <w:pPr>
        <w:ind w:right="20" w:firstLine="432"/>
        <w:spacing w:after="0" w:line="276" w:lineRule="auto"/>
        <w:rPr>
          <w:sz w:val="20"/>
          <w:szCs w:val="20"/>
          <w:color w:val="auto"/>
        </w:rPr>
      </w:pPr>
      <w:r>
        <w:rPr>
          <w:rFonts w:ascii="Arial" w:cs="Arial" w:eastAsia="Arial" w:hAnsi="Arial"/>
          <w:sz w:val="17"/>
          <w:szCs w:val="17"/>
          <w:color w:val="auto"/>
        </w:rPr>
        <w:t>In June 2014, the Company granted performance-based RSU (“PSUs”) to certain members of senior management. Pursuant to the PSUs, each eligible employee was entitled to vest in a certain number of shares based on such employee’s achievement of individual financial and strategic performance goals for fiscal 2015, including, for example, net revenue and operating expense targets, and other individual strategic milestones. The actual number of shares that would vest for each eligible employee was based on the achievement of such performance goals determined at the end of fiscal 2015 and would vest over two years, with 50% vesting on April 1, 2015 and 50% vesting on April 1, 2016.</w:t>
      </w:r>
    </w:p>
    <w:p>
      <w:pPr>
        <w:spacing w:after="0" w:line="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Outside Director Equity Compensation Policy</w:t>
      </w:r>
    </w:p>
    <w:p>
      <w:pPr>
        <w:spacing w:after="0" w:line="117" w:lineRule="exact"/>
        <w:rPr>
          <w:sz w:val="20"/>
          <w:szCs w:val="20"/>
          <w:color w:val="auto"/>
        </w:rPr>
      </w:pPr>
    </w:p>
    <w:p>
      <w:pPr>
        <w:ind w:right="60" w:firstLine="432"/>
        <w:spacing w:after="0" w:line="271" w:lineRule="auto"/>
        <w:rPr>
          <w:sz w:val="20"/>
          <w:szCs w:val="20"/>
          <w:color w:val="auto"/>
        </w:rPr>
      </w:pPr>
      <w:r>
        <w:rPr>
          <w:rFonts w:ascii="Arial" w:cs="Arial" w:eastAsia="Arial" w:hAnsi="Arial"/>
          <w:sz w:val="17"/>
          <w:szCs w:val="17"/>
          <w:color w:val="auto"/>
        </w:rPr>
        <w:t>In September 2016, the Company’s Board of Directors approved the termination of the 2007 Directors’ Stock Incentive Plan, (“2007 Director Plan”) that was initially adopted in October 2007 and it approved a new Outside Director Equity Compensation Policy, which governs the granting of equity awards to non-employee directors under the Option Plan. At the annual general meeting of shareholders held in June 2015, the shareholders approved an amendment to the Option Plan to enable a full range of awards to be granted to non-employee directors. Under the newly adopted Outside Director Compensation Policy, each outside director upon election or appointment at an annual meeting of shareholders will be granted an RSU award under the 1995 Stock Option Plan for a number of shares with an aggregate fair market value equal to $220,000 on the grant date. In no event shall an outside director be awarded an annual RSU award for more than 20,000 shares. The RSU award vests 100% on the earlier of the date of the next annual general meeting of shareholders or the one-year anniversary of the date of grant.</w:t>
      </w:r>
    </w:p>
    <w:p>
      <w:pPr>
        <w:spacing w:after="0" w:line="7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117" w:lineRule="exact"/>
        <w:rPr>
          <w:sz w:val="20"/>
          <w:szCs w:val="20"/>
          <w:color w:val="auto"/>
        </w:rPr>
      </w:pPr>
    </w:p>
    <w:p>
      <w:pPr>
        <w:ind w:right="20" w:firstLine="432"/>
        <w:spacing w:after="0" w:line="291"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59" w:lineRule="exact"/>
        <w:rPr>
          <w:sz w:val="20"/>
          <w:szCs w:val="20"/>
          <w:color w:val="auto"/>
        </w:rPr>
      </w:pPr>
    </w:p>
    <w:p>
      <w:pPr>
        <w:jc w:val="both"/>
        <w:ind w:firstLine="432"/>
        <w:spacing w:after="0" w:line="286" w:lineRule="auto"/>
        <w:rPr>
          <w:sz w:val="20"/>
          <w:szCs w:val="20"/>
          <w:color w:val="auto"/>
        </w:rPr>
      </w:pPr>
      <w:r>
        <w:rPr>
          <w:rFonts w:ascii="Arial" w:cs="Arial" w:eastAsia="Arial" w:hAnsi="Arial"/>
          <w:sz w:val="17"/>
          <w:szCs w:val="17"/>
          <w:color w:val="auto"/>
        </w:rPr>
        <w:t>Under the ESPP, a total of 2.3 million shares were issued in fiscal 2017 at a weighted-average price of $7.33 per share, a total of 5.9 million shares were issued in fiscal 2016 at a weighted-average price of $10.00 per share and a total of 9.7 million shares were issued in fiscal 2015 at a weighted-average price of $7.67 per share. As of January 28, 2017, there was $16.2 million of unamortized compensation cost related to the ESPP.</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of January 28, 2017, approximately 29.5 million shares remained available for future issuance under the ESPP.</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117" w:lineRule="exact"/>
        <w:rPr>
          <w:sz w:val="20"/>
          <w:szCs w:val="20"/>
          <w:color w:val="auto"/>
        </w:rPr>
      </w:pPr>
    </w:p>
    <w:p>
      <w:pPr>
        <w:ind w:right="140" w:firstLine="432"/>
        <w:spacing w:after="0" w:line="277"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for per share amounts):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00"/>
          </w:cols>
          <w:pgMar w:left="240" w:top="391" w:right="259" w:bottom="1440" w:gutter="0" w:footer="0" w:header="0"/>
        </w:sectPr>
      </w:pPr>
    </w:p>
    <w:bookmarkStart w:id="84" w:name="page85"/>
    <w:bookmarkEnd w:id="8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00" w:type="dxa"/>
            <w:vAlign w:val="bottom"/>
          </w:tcPr>
          <w:p>
            <w:pPr>
              <w:spacing w:after="0"/>
              <w:rPr>
                <w:sz w:val="16"/>
                <w:szCs w:val="16"/>
                <w:color w:val="auto"/>
              </w:rPr>
            </w:pPr>
          </w:p>
        </w:tc>
        <w:tc>
          <w:tcPr>
            <w:tcW w:w="2460" w:type="dxa"/>
            <w:vAlign w:val="bottom"/>
            <w:tcBorders>
              <w:bottom w:val="single" w:sz="8" w:color="auto"/>
            </w:tcBorders>
            <w:gridSpan w:val="4"/>
          </w:tcPr>
          <w:p>
            <w:pPr>
              <w:jc w:val="right"/>
              <w:ind w:right="514"/>
              <w:spacing w:after="0"/>
              <w:rPr>
                <w:sz w:val="20"/>
                <w:szCs w:val="20"/>
                <w:color w:val="auto"/>
              </w:rPr>
            </w:pPr>
            <w:r>
              <w:rPr>
                <w:rFonts w:ascii="Arial" w:cs="Arial" w:eastAsia="Arial" w:hAnsi="Arial"/>
                <w:sz w:val="14"/>
                <w:szCs w:val="14"/>
                <w:b w:val="1"/>
                <w:bCs w:val="1"/>
                <w:color w:val="auto"/>
              </w:rPr>
              <w:t>Time-Based Options</w:t>
            </w:r>
          </w:p>
        </w:tc>
        <w:tc>
          <w:tcPr>
            <w:tcW w:w="100" w:type="dxa"/>
            <w:vAlign w:val="bottom"/>
          </w:tcPr>
          <w:p>
            <w:pPr>
              <w:spacing w:after="0"/>
              <w:rPr>
                <w:sz w:val="16"/>
                <w:szCs w:val="16"/>
                <w:color w:val="auto"/>
              </w:rPr>
            </w:pPr>
          </w:p>
        </w:tc>
        <w:tc>
          <w:tcPr>
            <w:tcW w:w="2380" w:type="dxa"/>
            <w:vAlign w:val="bottom"/>
            <w:tcBorders>
              <w:bottom w:val="single" w:sz="8" w:color="auto"/>
            </w:tcBorders>
            <w:gridSpan w:val="4"/>
          </w:tcPr>
          <w:p>
            <w:pPr>
              <w:jc w:val="right"/>
              <w:ind w:right="394"/>
              <w:spacing w:after="0"/>
              <w:rPr>
                <w:sz w:val="20"/>
                <w:szCs w:val="20"/>
                <w:color w:val="auto"/>
              </w:rPr>
            </w:pPr>
            <w:r>
              <w:rPr>
                <w:rFonts w:ascii="Arial" w:cs="Arial" w:eastAsia="Arial" w:hAnsi="Arial"/>
                <w:sz w:val="14"/>
                <w:szCs w:val="14"/>
                <w:b w:val="1"/>
                <w:bCs w:val="1"/>
                <w:color w:val="auto"/>
              </w:rPr>
              <w:t>Market-Based Options</w:t>
            </w:r>
          </w:p>
        </w:tc>
        <w:tc>
          <w:tcPr>
            <w:tcW w:w="100" w:type="dxa"/>
            <w:vAlign w:val="bottom"/>
          </w:tcPr>
          <w:p>
            <w:pPr>
              <w:spacing w:after="0"/>
              <w:rPr>
                <w:sz w:val="16"/>
                <w:szCs w:val="16"/>
                <w:color w:val="auto"/>
              </w:rPr>
            </w:pPr>
          </w:p>
        </w:tc>
        <w:tc>
          <w:tcPr>
            <w:tcW w:w="1440" w:type="dxa"/>
            <w:vAlign w:val="bottom"/>
            <w:tcBorders>
              <w:bottom w:val="single" w:sz="8" w:color="auto"/>
            </w:tcBorders>
            <w:gridSpan w:val="3"/>
          </w:tcPr>
          <w:p>
            <w:pPr>
              <w:jc w:val="right"/>
              <w:ind w:right="80"/>
              <w:spacing w:after="0"/>
              <w:rPr>
                <w:sz w:val="20"/>
                <w:szCs w:val="20"/>
                <w:color w:val="auto"/>
              </w:rPr>
            </w:pPr>
            <w:r>
              <w:rPr>
                <w:rFonts w:ascii="Arial" w:cs="Arial" w:eastAsia="Arial" w:hAnsi="Arial"/>
                <w:sz w:val="14"/>
                <w:szCs w:val="14"/>
                <w:b w:val="1"/>
                <w:bCs w:val="1"/>
                <w:color w:val="auto"/>
              </w:rPr>
              <w:t>Total</w:t>
            </w:r>
          </w:p>
        </w:tc>
        <w:tc>
          <w:tcPr>
            <w:tcW w:w="9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400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1"/>
              </w:rPr>
              <w:t>Weighted</w:t>
            </w: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gridSpan w:val="2"/>
          </w:tcPr>
          <w:p>
            <w:pPr>
              <w:jc w:val="center"/>
              <w:ind w:right="300"/>
              <w:spacing w:after="0" w:line="153" w:lineRule="exact"/>
              <w:rPr>
                <w:sz w:val="20"/>
                <w:szCs w:val="20"/>
                <w:color w:val="auto"/>
              </w:rPr>
            </w:pPr>
            <w:r>
              <w:rPr>
                <w:rFonts w:ascii="Arial" w:cs="Arial" w:eastAsia="Arial" w:hAnsi="Arial"/>
                <w:sz w:val="14"/>
                <w:szCs w:val="14"/>
                <w:b w:val="1"/>
                <w:bCs w:val="1"/>
                <w:color w:val="auto"/>
                <w:w w:val="91"/>
              </w:rPr>
              <w:t>Weighted</w:t>
            </w: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4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4000" w:type="dxa"/>
            <w:vAlign w:val="bottom"/>
          </w:tcPr>
          <w:p>
            <w:pPr>
              <w:spacing w:after="0"/>
              <w:rPr>
                <w:sz w:val="12"/>
                <w:szCs w:val="12"/>
                <w:color w:val="auto"/>
              </w:rPr>
            </w:pPr>
          </w:p>
        </w:tc>
        <w:tc>
          <w:tcPr>
            <w:tcW w:w="1160" w:type="dxa"/>
            <w:vAlign w:val="bottom"/>
            <w:vMerge w:val="restart"/>
          </w:tcPr>
          <w:p>
            <w:pPr>
              <w:jc w:val="right"/>
              <w:ind w:right="153"/>
              <w:spacing w:after="0"/>
              <w:rPr>
                <w:sz w:val="20"/>
                <w:szCs w:val="20"/>
                <w:color w:val="auto"/>
              </w:rPr>
            </w:pPr>
            <w:r>
              <w:rPr>
                <w:rFonts w:ascii="Arial" w:cs="Arial" w:eastAsia="Arial" w:hAnsi="Arial"/>
                <w:sz w:val="14"/>
                <w:szCs w:val="14"/>
                <w:b w:val="1"/>
                <w:bCs w:val="1"/>
                <w:color w:val="auto"/>
              </w:rPr>
              <w:t>Number of</w:t>
            </w: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w:t>
            </w:r>
          </w:p>
        </w:tc>
        <w:tc>
          <w:tcPr>
            <w:tcW w:w="1140" w:type="dxa"/>
            <w:vAlign w:val="bottom"/>
            <w:vMerge w:val="restart"/>
          </w:tcPr>
          <w:p>
            <w:pPr>
              <w:jc w:val="right"/>
              <w:ind w:right="153"/>
              <w:spacing w:after="0"/>
              <w:rPr>
                <w:sz w:val="20"/>
                <w:szCs w:val="20"/>
                <w:color w:val="auto"/>
              </w:rPr>
            </w:pPr>
            <w:r>
              <w:rPr>
                <w:rFonts w:ascii="Arial" w:cs="Arial" w:eastAsia="Arial" w:hAnsi="Arial"/>
                <w:sz w:val="14"/>
                <w:szCs w:val="14"/>
                <w:b w:val="1"/>
                <w:bCs w:val="1"/>
                <w:color w:val="auto"/>
              </w:rPr>
              <w:t>Number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Average</w:t>
            </w:r>
          </w:p>
        </w:tc>
        <w:tc>
          <w:tcPr>
            <w:tcW w:w="1140" w:type="dxa"/>
            <w:vAlign w:val="bottom"/>
            <w:vMerge w:val="restart"/>
          </w:tcPr>
          <w:p>
            <w:pPr>
              <w:jc w:val="right"/>
              <w:ind w:right="153"/>
              <w:spacing w:after="0"/>
              <w:rPr>
                <w:sz w:val="20"/>
                <w:szCs w:val="20"/>
                <w:color w:val="auto"/>
              </w:rPr>
            </w:pPr>
            <w:r>
              <w:rPr>
                <w:rFonts w:ascii="Arial" w:cs="Arial" w:eastAsia="Arial" w:hAnsi="Arial"/>
                <w:sz w:val="14"/>
                <w:szCs w:val="14"/>
                <w:b w:val="1"/>
                <w:bCs w:val="1"/>
                <w:color w:val="auto"/>
              </w:rPr>
              <w:t>Number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center"/>
              <w:ind w:right="11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400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Exercise</w:t>
            </w: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Exercise</w:t>
            </w: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center"/>
              <w:ind w:right="94"/>
              <w:spacing w:after="0" w:line="149" w:lineRule="exact"/>
              <w:rPr>
                <w:sz w:val="20"/>
                <w:szCs w:val="20"/>
                <w:color w:val="auto"/>
              </w:rPr>
            </w:pPr>
            <w:r>
              <w:rPr>
                <w:rFonts w:ascii="Arial" w:cs="Arial" w:eastAsia="Arial" w:hAnsi="Arial"/>
                <w:sz w:val="14"/>
                <w:szCs w:val="14"/>
                <w:b w:val="1"/>
                <w:bCs w:val="1"/>
                <w:color w:val="auto"/>
                <w:w w:val="90"/>
              </w:rPr>
              <w:t>Exercise</w:t>
            </w:r>
          </w:p>
        </w:tc>
        <w:tc>
          <w:tcPr>
            <w:tcW w:w="0" w:type="dxa"/>
            <w:vAlign w:val="bottom"/>
          </w:tcPr>
          <w:p>
            <w:pPr>
              <w:spacing w:after="0"/>
              <w:rPr>
                <w:sz w:val="1"/>
                <w:szCs w:val="1"/>
                <w:color w:val="auto"/>
              </w:rPr>
            </w:pPr>
          </w:p>
        </w:tc>
      </w:tr>
      <w:tr>
        <w:trPr>
          <w:trHeight w:val="192"/>
        </w:trPr>
        <w:tc>
          <w:tcPr>
            <w:tcW w:w="4000" w:type="dxa"/>
            <w:vAlign w:val="bottom"/>
            <w:tcBorders>
              <w:bottom w:val="single" w:sz="8" w:color="CCEEFF"/>
            </w:tcBorders>
          </w:tcPr>
          <w:p>
            <w:pPr>
              <w:spacing w:after="0"/>
              <w:rPr>
                <w:sz w:val="16"/>
                <w:szCs w:val="16"/>
                <w:color w:val="auto"/>
              </w:rPr>
            </w:pPr>
          </w:p>
        </w:tc>
        <w:tc>
          <w:tcPr>
            <w:tcW w:w="1160" w:type="dxa"/>
            <w:vAlign w:val="bottom"/>
            <w:tcBorders>
              <w:bottom w:val="single" w:sz="8" w:color="auto"/>
            </w:tcBorders>
          </w:tcPr>
          <w:p>
            <w:pPr>
              <w:jc w:val="right"/>
              <w:ind w:right="273"/>
              <w:spacing w:after="0"/>
              <w:rPr>
                <w:sz w:val="20"/>
                <w:szCs w:val="20"/>
                <w:color w:val="auto"/>
              </w:rPr>
            </w:pPr>
            <w:r>
              <w:rPr>
                <w:rFonts w:ascii="Arial" w:cs="Arial" w:eastAsia="Arial" w:hAnsi="Arial"/>
                <w:sz w:val="14"/>
                <w:szCs w:val="14"/>
                <w:b w:val="1"/>
                <w:bCs w:val="1"/>
                <w:color w:val="auto"/>
              </w:rPr>
              <w:t>Shares</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93"/>
              </w:rPr>
              <w:t>Price</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73"/>
              <w:spacing w:after="0"/>
              <w:rPr>
                <w:sz w:val="20"/>
                <w:szCs w:val="20"/>
                <w:color w:val="auto"/>
              </w:rPr>
            </w:pPr>
            <w:r>
              <w:rPr>
                <w:rFonts w:ascii="Arial" w:cs="Arial" w:eastAsia="Arial" w:hAnsi="Arial"/>
                <w:sz w:val="14"/>
                <w:szCs w:val="14"/>
                <w:b w:val="1"/>
                <w:bCs w:val="1"/>
                <w:color w:val="auto"/>
              </w:rPr>
              <w:t>Shares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3"/>
              </w:rPr>
              <w:t>Price</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73"/>
              <w:spacing w:after="0"/>
              <w:rPr>
                <w:sz w:val="20"/>
                <w:szCs w:val="20"/>
                <w:color w:val="auto"/>
              </w:rPr>
            </w:pPr>
            <w:r>
              <w:rPr>
                <w:rFonts w:ascii="Arial" w:cs="Arial" w:eastAsia="Arial" w:hAnsi="Arial"/>
                <w:sz w:val="14"/>
                <w:szCs w:val="14"/>
                <w:b w:val="1"/>
                <w:bCs w:val="1"/>
                <w:color w:val="auto"/>
              </w:rPr>
              <w:t>Shares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250"/>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1, 2014</w:t>
            </w: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49,156</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13.40</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2,623</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51,779</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13.51</w:t>
            </w: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Granted</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6,365</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15.33</w:t>
            </w:r>
          </w:p>
        </w:tc>
        <w:tc>
          <w:tcPr>
            <w:tcW w:w="10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6,365</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4"/>
              <w:spacing w:after="0"/>
              <w:rPr>
                <w:sz w:val="20"/>
                <w:szCs w:val="20"/>
                <w:color w:val="auto"/>
              </w:rPr>
            </w:pPr>
            <w:r>
              <w:rPr>
                <w:rFonts w:ascii="Arial" w:cs="Arial" w:eastAsia="Arial" w:hAnsi="Arial"/>
                <w:sz w:val="18"/>
                <w:szCs w:val="18"/>
                <w:color w:val="auto"/>
              </w:rPr>
              <w:t>15.33</w:t>
            </w:r>
          </w:p>
        </w:tc>
        <w:tc>
          <w:tcPr>
            <w:tcW w:w="0" w:type="dxa"/>
            <w:vAlign w:val="bottom"/>
          </w:tcPr>
          <w:p>
            <w:pPr>
              <w:spacing w:after="0"/>
              <w:rPr>
                <w:sz w:val="1"/>
                <w:szCs w:val="1"/>
                <w:color w:val="auto"/>
              </w:rPr>
            </w:pPr>
          </w:p>
        </w:tc>
      </w:tr>
      <w:tr>
        <w:trPr>
          <w:trHeight w:val="27"/>
        </w:trPr>
        <w:tc>
          <w:tcPr>
            <w:tcW w:w="40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Exercised</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(3,732)</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10.19</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(3,732)</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10.19</w:t>
            </w: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1160" w:type="dxa"/>
            <w:vAlign w:val="bottom"/>
          </w:tcPr>
          <w:p>
            <w:pPr>
              <w:jc w:val="right"/>
              <w:spacing w:after="0"/>
              <w:rPr>
                <w:sz w:val="20"/>
                <w:szCs w:val="20"/>
                <w:color w:val="auto"/>
              </w:rPr>
            </w:pPr>
            <w:r>
              <w:rPr>
                <w:rFonts w:ascii="Arial" w:cs="Arial" w:eastAsia="Arial" w:hAnsi="Arial"/>
                <w:sz w:val="18"/>
                <w:szCs w:val="18"/>
                <w:color w:val="auto"/>
              </w:rPr>
              <w:t>(4,649)</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14.66</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(391)</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(5,040)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4"/>
              <w:spacing w:after="0"/>
              <w:rPr>
                <w:sz w:val="20"/>
                <w:szCs w:val="20"/>
                <w:color w:val="auto"/>
              </w:rPr>
            </w:pPr>
            <w:r>
              <w:rPr>
                <w:rFonts w:ascii="Arial" w:cs="Arial" w:eastAsia="Arial" w:hAnsi="Arial"/>
                <w:sz w:val="18"/>
                <w:szCs w:val="18"/>
                <w:color w:val="auto"/>
              </w:rPr>
              <w:t>14.72</w:t>
            </w:r>
          </w:p>
        </w:tc>
        <w:tc>
          <w:tcPr>
            <w:tcW w:w="0" w:type="dxa"/>
            <w:vAlign w:val="bottom"/>
          </w:tcPr>
          <w:p>
            <w:pPr>
              <w:spacing w:after="0"/>
              <w:rPr>
                <w:sz w:val="1"/>
                <w:szCs w:val="1"/>
                <w:color w:val="auto"/>
              </w:rPr>
            </w:pPr>
          </w:p>
        </w:tc>
      </w:tr>
      <w:tr>
        <w:trPr>
          <w:trHeight w:val="27"/>
        </w:trPr>
        <w:tc>
          <w:tcPr>
            <w:tcW w:w="4000" w:type="dxa"/>
            <w:vAlign w:val="bottom"/>
            <w:tcBorders>
              <w:bottom w:val="single" w:sz="8" w:color="CCEEFF"/>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9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31, 2015</w:t>
            </w: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47,140</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13.79</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2,232</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49,372</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13.88</w:t>
            </w: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Granted</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6,170</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14.13</w:t>
            </w:r>
          </w:p>
        </w:tc>
        <w:tc>
          <w:tcPr>
            <w:tcW w:w="10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6,170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4"/>
              <w:spacing w:after="0"/>
              <w:rPr>
                <w:sz w:val="20"/>
                <w:szCs w:val="20"/>
                <w:color w:val="auto"/>
              </w:rPr>
            </w:pPr>
            <w:r>
              <w:rPr>
                <w:rFonts w:ascii="Arial" w:cs="Arial" w:eastAsia="Arial" w:hAnsi="Arial"/>
                <w:sz w:val="18"/>
                <w:szCs w:val="18"/>
                <w:color w:val="auto"/>
              </w:rPr>
              <w:t>14.13</w:t>
            </w:r>
          </w:p>
        </w:tc>
        <w:tc>
          <w:tcPr>
            <w:tcW w:w="0" w:type="dxa"/>
            <w:vAlign w:val="bottom"/>
          </w:tcPr>
          <w:p>
            <w:pPr>
              <w:spacing w:after="0"/>
              <w:rPr>
                <w:sz w:val="1"/>
                <w:szCs w:val="1"/>
                <w:color w:val="auto"/>
              </w:rPr>
            </w:pPr>
          </w:p>
        </w:tc>
      </w:tr>
      <w:tr>
        <w:trPr>
          <w:trHeight w:val="27"/>
        </w:trPr>
        <w:tc>
          <w:tcPr>
            <w:tcW w:w="40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Exercised</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(2,225)</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9.79</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(2,225)</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9.79</w:t>
            </w: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1160" w:type="dxa"/>
            <w:vAlign w:val="bottom"/>
          </w:tcPr>
          <w:p>
            <w:pPr>
              <w:jc w:val="right"/>
              <w:spacing w:after="0"/>
              <w:rPr>
                <w:sz w:val="20"/>
                <w:szCs w:val="20"/>
                <w:color w:val="auto"/>
              </w:rPr>
            </w:pPr>
            <w:r>
              <w:rPr>
                <w:rFonts w:ascii="Arial" w:cs="Arial" w:eastAsia="Arial" w:hAnsi="Arial"/>
                <w:sz w:val="18"/>
                <w:szCs w:val="18"/>
                <w:color w:val="auto"/>
              </w:rPr>
              <w:t>(10,211)</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15.68</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(10,287)</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4"/>
              <w:spacing w:after="0"/>
              <w:rPr>
                <w:sz w:val="20"/>
                <w:szCs w:val="20"/>
                <w:color w:val="auto"/>
              </w:rPr>
            </w:pPr>
            <w:r>
              <w:rPr>
                <w:rFonts w:ascii="Arial" w:cs="Arial" w:eastAsia="Arial" w:hAnsi="Arial"/>
                <w:sz w:val="18"/>
                <w:szCs w:val="18"/>
                <w:color w:val="auto"/>
              </w:rPr>
              <w:t>15.68</w:t>
            </w:r>
          </w:p>
        </w:tc>
        <w:tc>
          <w:tcPr>
            <w:tcW w:w="0" w:type="dxa"/>
            <w:vAlign w:val="bottom"/>
          </w:tcPr>
          <w:p>
            <w:pPr>
              <w:spacing w:after="0"/>
              <w:rPr>
                <w:sz w:val="1"/>
                <w:szCs w:val="1"/>
                <w:color w:val="auto"/>
              </w:rPr>
            </w:pPr>
          </w:p>
        </w:tc>
      </w:tr>
      <w:tr>
        <w:trPr>
          <w:trHeight w:val="27"/>
        </w:trPr>
        <w:tc>
          <w:tcPr>
            <w:tcW w:w="4000" w:type="dxa"/>
            <w:vAlign w:val="bottom"/>
            <w:tcBorders>
              <w:bottom w:val="single" w:sz="8" w:color="CCEEFF"/>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9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30, 2016</w:t>
            </w: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40,874</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13.59</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2,156</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43,030</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13.68</w:t>
            </w: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Granted</w:t>
            </w:r>
          </w:p>
        </w:tc>
        <w:tc>
          <w:tcPr>
            <w:tcW w:w="1160" w:type="dxa"/>
            <w:vAlign w:val="bottom"/>
          </w:tcPr>
          <w:p>
            <w:pPr>
              <w:jc w:val="right"/>
              <w:ind w:right="33"/>
              <w:spacing w:after="0"/>
              <w:rPr>
                <w:sz w:val="20"/>
                <w:szCs w:val="20"/>
                <w:color w:val="auto"/>
              </w:rPr>
            </w:pPr>
            <w:r>
              <w:rPr>
                <w:rFonts w:ascii="Arial" w:cs="Arial" w:eastAsia="Arial" w:hAnsi="Arial"/>
                <w:sz w:val="18"/>
                <w:szCs w:val="18"/>
                <w:color w:val="auto"/>
              </w:rPr>
              <w:t>2,104</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9.99</w:t>
            </w:r>
          </w:p>
        </w:tc>
        <w:tc>
          <w:tcPr>
            <w:tcW w:w="10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2,104</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4"/>
              <w:spacing w:after="0"/>
              <w:rPr>
                <w:sz w:val="20"/>
                <w:szCs w:val="20"/>
                <w:color w:val="auto"/>
              </w:rPr>
            </w:pPr>
            <w:r>
              <w:rPr>
                <w:rFonts w:ascii="Arial" w:cs="Arial" w:eastAsia="Arial" w:hAnsi="Arial"/>
                <w:sz w:val="18"/>
                <w:szCs w:val="18"/>
                <w:color w:val="auto"/>
              </w:rPr>
              <w:t>9.99</w:t>
            </w:r>
          </w:p>
        </w:tc>
        <w:tc>
          <w:tcPr>
            <w:tcW w:w="0" w:type="dxa"/>
            <w:vAlign w:val="bottom"/>
          </w:tcPr>
          <w:p>
            <w:pPr>
              <w:spacing w:after="0"/>
              <w:rPr>
                <w:sz w:val="1"/>
                <w:szCs w:val="1"/>
                <w:color w:val="auto"/>
              </w:rPr>
            </w:pPr>
          </w:p>
        </w:tc>
      </w:tr>
      <w:tr>
        <w:trPr>
          <w:trHeight w:val="27"/>
        </w:trPr>
        <w:tc>
          <w:tcPr>
            <w:tcW w:w="40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Exercised</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(5,558)</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10.35</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(5,558)</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10.35</w:t>
            </w: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1160" w:type="dxa"/>
            <w:vAlign w:val="bottom"/>
          </w:tcPr>
          <w:p>
            <w:pPr>
              <w:jc w:val="right"/>
              <w:spacing w:after="0"/>
              <w:rPr>
                <w:sz w:val="20"/>
                <w:szCs w:val="20"/>
                <w:color w:val="auto"/>
              </w:rPr>
            </w:pPr>
            <w:r>
              <w:rPr>
                <w:rFonts w:ascii="Arial" w:cs="Arial" w:eastAsia="Arial" w:hAnsi="Arial"/>
                <w:sz w:val="18"/>
                <w:szCs w:val="18"/>
                <w:color w:val="auto"/>
              </w:rPr>
              <w:t>(12,324)</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16.44</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(2,156)</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(14,480)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14"/>
              <w:spacing w:after="0"/>
              <w:rPr>
                <w:sz w:val="20"/>
                <w:szCs w:val="20"/>
                <w:color w:val="auto"/>
              </w:rPr>
            </w:pPr>
            <w:r>
              <w:rPr>
                <w:rFonts w:ascii="Arial" w:cs="Arial" w:eastAsia="Arial" w:hAnsi="Arial"/>
                <w:sz w:val="18"/>
                <w:szCs w:val="18"/>
                <w:color w:val="auto"/>
              </w:rPr>
              <w:t>16.29</w:t>
            </w:r>
          </w:p>
        </w:tc>
        <w:tc>
          <w:tcPr>
            <w:tcW w:w="0" w:type="dxa"/>
            <w:vAlign w:val="bottom"/>
          </w:tcPr>
          <w:p>
            <w:pPr>
              <w:spacing w:after="0"/>
              <w:rPr>
                <w:sz w:val="1"/>
                <w:szCs w:val="1"/>
                <w:color w:val="auto"/>
              </w:rPr>
            </w:pPr>
          </w:p>
        </w:tc>
      </w:tr>
      <w:tr>
        <w:trPr>
          <w:trHeight w:val="27"/>
        </w:trPr>
        <w:tc>
          <w:tcPr>
            <w:tcW w:w="4000" w:type="dxa"/>
            <w:vAlign w:val="bottom"/>
            <w:tcBorders>
              <w:bottom w:val="single" w:sz="8" w:color="CCEEFF"/>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9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116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25,096</w:t>
            </w:r>
          </w:p>
        </w:tc>
        <w:tc>
          <w:tcPr>
            <w:tcW w:w="34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12.61</w:t>
            </w:r>
          </w:p>
        </w:tc>
        <w:tc>
          <w:tcPr>
            <w:tcW w:w="1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9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25,096</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12.61</w:t>
            </w:r>
          </w:p>
        </w:tc>
        <w:tc>
          <w:tcPr>
            <w:tcW w:w="0" w:type="dxa"/>
            <w:vAlign w:val="bottom"/>
          </w:tcPr>
          <w:p>
            <w:pPr>
              <w:spacing w:after="0"/>
              <w:rPr>
                <w:sz w:val="1"/>
                <w:szCs w:val="1"/>
                <w:color w:val="auto"/>
              </w:rPr>
            </w:pPr>
          </w:p>
        </w:tc>
      </w:tr>
      <w:tr>
        <w:trPr>
          <w:trHeight w:val="20"/>
        </w:trPr>
        <w:tc>
          <w:tcPr>
            <w:tcW w:w="4000" w:type="dxa"/>
            <w:vAlign w:val="bottom"/>
            <w:vMerge w:val="restart"/>
          </w:tcPr>
          <w:p>
            <w:pPr>
              <w:ind w:left="40"/>
              <w:spacing w:after="0"/>
              <w:rPr>
                <w:sz w:val="20"/>
                <w:szCs w:val="20"/>
                <w:color w:val="auto"/>
              </w:rPr>
            </w:pPr>
            <w:r>
              <w:rPr>
                <w:rFonts w:ascii="Arial" w:cs="Arial" w:eastAsia="Arial" w:hAnsi="Arial"/>
                <w:sz w:val="18"/>
                <w:szCs w:val="18"/>
                <w:color w:val="auto"/>
              </w:rPr>
              <w:t>Vested or expected to vest at January 28, 2017</w:t>
            </w: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000" w:type="dxa"/>
            <w:vAlign w:val="bottom"/>
            <w:vMerge w:val="continue"/>
          </w:tcPr>
          <w:p>
            <w:pPr>
              <w:spacing w:after="0"/>
              <w:rPr>
                <w:sz w:val="21"/>
                <w:szCs w:val="21"/>
                <w:color w:val="auto"/>
              </w:rPr>
            </w:pPr>
          </w:p>
        </w:tc>
        <w:tc>
          <w:tcPr>
            <w:tcW w:w="1160" w:type="dxa"/>
            <w:vAlign w:val="bottom"/>
            <w:tcBorders>
              <w:bottom w:val="single" w:sz="8" w:color="auto"/>
            </w:tcBorders>
          </w:tcPr>
          <w:p>
            <w:pPr>
              <w:jc w:val="right"/>
              <w:ind w:right="33"/>
              <w:spacing w:after="0"/>
              <w:rPr>
                <w:sz w:val="20"/>
                <w:szCs w:val="20"/>
                <w:color w:val="auto"/>
              </w:rPr>
            </w:pPr>
            <w:r>
              <w:rPr>
                <w:rFonts w:ascii="Arial" w:cs="Arial" w:eastAsia="Arial" w:hAnsi="Arial"/>
                <w:sz w:val="18"/>
                <w:szCs w:val="18"/>
                <w:color w:val="auto"/>
              </w:rPr>
              <w:t>24,253</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12.57</w:t>
            </w:r>
          </w:p>
        </w:tc>
        <w:tc>
          <w:tcPr>
            <w:tcW w:w="1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4000" w:type="dxa"/>
            <w:vAlign w:val="bottom"/>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60" w:firstLine="432"/>
        <w:spacing w:after="0" w:line="297" w:lineRule="auto"/>
        <w:rPr>
          <w:sz w:val="20"/>
          <w:szCs w:val="20"/>
          <w:color w:val="auto"/>
        </w:rPr>
      </w:pPr>
      <w:r>
        <w:rPr>
          <w:rFonts w:ascii="Arial" w:cs="Arial" w:eastAsia="Arial" w:hAnsi="Arial"/>
          <w:sz w:val="16"/>
          <w:szCs w:val="16"/>
          <w:color w:val="auto"/>
        </w:rPr>
        <w:t>For time-based stock options vested and expected to vest at January 28, 2017, the aggregate intrinsic value was $68.0 million. For time-based stock options exercisable at January 28, 2017, the aggregate intrinsic value was $45.7 million. The aggregate intrinsic value of stock options exercised during fiscal 2017, 2016 and 2015 was $19.8 million, $9.7 million and $19.3 million, respectively. The market-based stock options automatically expired in April 2016 since the market price conditions were not met within the required five years from date of grant. The Company’s closing stock price of $15.09 as reported on the NASDAQ Global Select Market as of January 27, 2017 was used to calculate the aggregate intrinsic value for all in-the-money options.</w:t>
      </w:r>
    </w:p>
    <w:p>
      <w:pPr>
        <w:spacing w:after="0" w:line="5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Outstanding options and exercisable options information by range of exercise prices as of January 28, 2017 was as follows: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5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2"/>
          </w:tcPr>
          <w:p>
            <w:pPr>
              <w:jc w:val="center"/>
              <w:ind w:right="40"/>
              <w:spacing w:after="0"/>
              <w:rPr>
                <w:sz w:val="20"/>
                <w:szCs w:val="20"/>
                <w:color w:val="auto"/>
              </w:rPr>
            </w:pPr>
            <w:r>
              <w:rPr>
                <w:rFonts w:ascii="Arial" w:cs="Arial" w:eastAsia="Arial" w:hAnsi="Arial"/>
                <w:sz w:val="14"/>
                <w:szCs w:val="14"/>
                <w:b w:val="1"/>
                <w:bCs w:val="1"/>
                <w:color w:val="auto"/>
                <w:w w:val="93"/>
              </w:rPr>
              <w:t>Outstanding Options</w:t>
            </w: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280" w:type="dxa"/>
            <w:vAlign w:val="bottom"/>
            <w:tcBorders>
              <w:bottom w:val="single" w:sz="8" w:color="auto"/>
            </w:tcBorders>
            <w:gridSpan w:val="4"/>
          </w:tcPr>
          <w:p>
            <w:pPr>
              <w:jc w:val="right"/>
              <w:ind w:right="936"/>
              <w:spacing w:after="0"/>
              <w:rPr>
                <w:sz w:val="20"/>
                <w:szCs w:val="20"/>
                <w:color w:val="auto"/>
              </w:rPr>
            </w:pPr>
            <w:r>
              <w:rPr>
                <w:rFonts w:ascii="Arial" w:cs="Arial" w:eastAsia="Arial" w:hAnsi="Arial"/>
                <w:sz w:val="14"/>
                <w:szCs w:val="14"/>
                <w:b w:val="1"/>
                <w:bCs w:val="1"/>
                <w:color w:val="auto"/>
              </w:rPr>
              <w:t>Exercisable Options</w:t>
            </w:r>
          </w:p>
        </w:tc>
        <w:tc>
          <w:tcPr>
            <w:tcW w:w="0" w:type="dxa"/>
            <w:vAlign w:val="bottom"/>
          </w:tcPr>
          <w:p>
            <w:pPr>
              <w:spacing w:after="0"/>
              <w:rPr>
                <w:sz w:val="1"/>
                <w:szCs w:val="1"/>
                <w:color w:val="auto"/>
              </w:rPr>
            </w:pPr>
          </w:p>
        </w:tc>
      </w:tr>
      <w:tr>
        <w:trPr>
          <w:trHeight w:val="152"/>
        </w:trPr>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5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700" w:type="dxa"/>
            <w:vAlign w:val="bottom"/>
            <w:gridSpan w:val="2"/>
          </w:tcPr>
          <w:p>
            <w:pPr>
              <w:jc w:val="center"/>
              <w:ind w:right="80"/>
              <w:spacing w:after="0" w:line="153" w:lineRule="exact"/>
              <w:rPr>
                <w:sz w:val="20"/>
                <w:szCs w:val="20"/>
                <w:color w:val="auto"/>
              </w:rPr>
            </w:pPr>
            <w:r>
              <w:rPr>
                <w:rFonts w:ascii="Arial" w:cs="Arial" w:eastAsia="Arial" w:hAnsi="Arial"/>
                <w:sz w:val="14"/>
                <w:szCs w:val="14"/>
                <w:b w:val="1"/>
                <w:bCs w:val="1"/>
                <w:color w:val="auto"/>
                <w:w w:val="91"/>
              </w:rPr>
              <w:t>Weighted</w:t>
            </w:r>
          </w:p>
        </w:tc>
        <w:tc>
          <w:tcPr>
            <w:tcW w:w="2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100" w:type="dxa"/>
            <w:vAlign w:val="bottom"/>
          </w:tcPr>
          <w:p>
            <w:pPr>
              <w:spacing w:after="0"/>
              <w:rPr>
                <w:sz w:val="12"/>
                <w:szCs w:val="12"/>
                <w:color w:val="auto"/>
              </w:rPr>
            </w:pPr>
          </w:p>
        </w:tc>
        <w:tc>
          <w:tcPr>
            <w:tcW w:w="17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Average</w:t>
            </w:r>
          </w:p>
        </w:tc>
        <w:tc>
          <w:tcPr>
            <w:tcW w:w="240" w:type="dxa"/>
            <w:vAlign w:val="bottom"/>
          </w:tcPr>
          <w:p>
            <w:pPr>
              <w:spacing w:after="0"/>
              <w:rPr>
                <w:sz w:val="12"/>
                <w:szCs w:val="12"/>
                <w:color w:val="auto"/>
              </w:rPr>
            </w:pPr>
          </w:p>
        </w:tc>
        <w:tc>
          <w:tcPr>
            <w:tcW w:w="148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91"/>
              </w:rPr>
              <w:t>Weighted</w:t>
            </w:r>
          </w:p>
        </w:tc>
        <w:tc>
          <w:tcPr>
            <w:tcW w:w="15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Number of</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vMerge w:val="restart"/>
          </w:tcPr>
          <w:p>
            <w:pPr>
              <w:jc w:val="center"/>
              <w:ind w:right="176"/>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980" w:type="dxa"/>
            <w:vAlign w:val="bottom"/>
            <w:vMerge w:val="restart"/>
          </w:tcPr>
          <w:p>
            <w:pPr>
              <w:jc w:val="center"/>
              <w:ind w:right="313"/>
              <w:spacing w:after="0"/>
              <w:rPr>
                <w:sz w:val="20"/>
                <w:szCs w:val="20"/>
                <w:color w:val="auto"/>
              </w:rPr>
            </w:pPr>
            <w:r>
              <w:rPr>
                <w:rFonts w:ascii="Arial" w:cs="Arial" w:eastAsia="Arial" w:hAnsi="Arial"/>
                <w:sz w:val="14"/>
                <w:szCs w:val="14"/>
                <w:b w:val="1"/>
                <w:bCs w:val="1"/>
                <w:color w:val="auto"/>
                <w:w w:val="90"/>
              </w:rPr>
              <w:t>Range of</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4"/>
              </w:rPr>
              <w:t>Remaining</w:t>
            </w:r>
          </w:p>
        </w:tc>
        <w:tc>
          <w:tcPr>
            <w:tcW w:w="240" w:type="dxa"/>
            <w:vAlign w:val="bottom"/>
          </w:tcPr>
          <w:p>
            <w:pPr>
              <w:spacing w:after="0"/>
              <w:rPr>
                <w:sz w:val="12"/>
                <w:szCs w:val="12"/>
                <w:color w:val="auto"/>
              </w:rPr>
            </w:pPr>
          </w:p>
        </w:tc>
        <w:tc>
          <w:tcPr>
            <w:tcW w:w="1480" w:type="dxa"/>
            <w:vAlign w:val="bottom"/>
            <w:gridSpan w:val="2"/>
            <w:vMerge w:val="continue"/>
          </w:tcPr>
          <w:p>
            <w:pPr>
              <w:spacing w:after="0"/>
              <w:rPr>
                <w:sz w:val="12"/>
                <w:szCs w:val="12"/>
                <w:color w:val="auto"/>
              </w:rPr>
            </w:pPr>
          </w:p>
        </w:tc>
        <w:tc>
          <w:tcPr>
            <w:tcW w:w="15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980" w:type="dxa"/>
            <w:vAlign w:val="bottom"/>
            <w:vMerge w:val="continue"/>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Shares</w:t>
            </w:r>
          </w:p>
        </w:tc>
        <w:tc>
          <w:tcPr>
            <w:tcW w:w="100" w:type="dxa"/>
            <w:vAlign w:val="bottom"/>
          </w:tcPr>
          <w:p>
            <w:pPr>
              <w:spacing w:after="0"/>
              <w:rPr>
                <w:sz w:val="12"/>
                <w:szCs w:val="12"/>
                <w:color w:val="auto"/>
              </w:rPr>
            </w:pPr>
          </w:p>
        </w:tc>
        <w:tc>
          <w:tcPr>
            <w:tcW w:w="17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4"/>
              </w:rPr>
              <w:t>Contractual Term</w:t>
            </w:r>
          </w:p>
        </w:tc>
        <w:tc>
          <w:tcPr>
            <w:tcW w:w="240" w:type="dxa"/>
            <w:vAlign w:val="bottom"/>
          </w:tcPr>
          <w:p>
            <w:pPr>
              <w:spacing w:after="0"/>
              <w:rPr>
                <w:sz w:val="12"/>
                <w:szCs w:val="12"/>
                <w:color w:val="auto"/>
              </w:rPr>
            </w:pPr>
          </w:p>
        </w:tc>
        <w:tc>
          <w:tcPr>
            <w:tcW w:w="14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Average</w:t>
            </w:r>
          </w:p>
        </w:tc>
        <w:tc>
          <w:tcPr>
            <w:tcW w:w="1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Shares</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tcPr>
          <w:p>
            <w:pPr>
              <w:jc w:val="center"/>
              <w:ind w:right="176"/>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92"/>
        </w:trPr>
        <w:tc>
          <w:tcPr>
            <w:tcW w:w="58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2"/>
          </w:tcPr>
          <w:p>
            <w:pPr>
              <w:jc w:val="center"/>
              <w:ind w:left="113"/>
              <w:spacing w:after="0"/>
              <w:rPr>
                <w:sz w:val="20"/>
                <w:szCs w:val="20"/>
                <w:color w:val="auto"/>
              </w:rPr>
            </w:pPr>
            <w:r>
              <w:rPr>
                <w:rFonts w:ascii="Arial" w:cs="Arial" w:eastAsia="Arial" w:hAnsi="Arial"/>
                <w:sz w:val="14"/>
                <w:szCs w:val="14"/>
                <w:b w:val="1"/>
                <w:bCs w:val="1"/>
                <w:color w:val="auto"/>
                <w:w w:val="90"/>
              </w:rPr>
              <w:t>Exercise Prices</w:t>
            </w:r>
          </w:p>
        </w:tc>
        <w:tc>
          <w:tcPr>
            <w:tcW w:w="76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Thousands)</w:t>
            </w:r>
          </w:p>
        </w:tc>
        <w:tc>
          <w:tcPr>
            <w:tcW w:w="100" w:type="dxa"/>
            <w:vAlign w:val="bottom"/>
            <w:tcBorders>
              <w:bottom w:val="single" w:sz="8" w:color="CCEEFF"/>
            </w:tcBorders>
          </w:tcPr>
          <w:p>
            <w:pPr>
              <w:spacing w:after="0"/>
              <w:rPr>
                <w:sz w:val="16"/>
                <w:szCs w:val="16"/>
                <w:color w:val="auto"/>
              </w:rPr>
            </w:pPr>
          </w:p>
        </w:tc>
        <w:tc>
          <w:tcPr>
            <w:tcW w:w="1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Years)</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center"/>
              <w:ind w:right="136"/>
              <w:spacing w:after="0"/>
              <w:rPr>
                <w:sz w:val="20"/>
                <w:szCs w:val="20"/>
                <w:color w:val="auto"/>
              </w:rPr>
            </w:pPr>
            <w:r>
              <w:rPr>
                <w:rFonts w:ascii="Arial" w:cs="Arial" w:eastAsia="Arial" w:hAnsi="Arial"/>
                <w:sz w:val="14"/>
                <w:szCs w:val="14"/>
                <w:b w:val="1"/>
                <w:bCs w:val="1"/>
                <w:color w:val="auto"/>
                <w:w w:val="89"/>
              </w:rPr>
              <w:t>Exercise Price</w:t>
            </w:r>
          </w:p>
        </w:tc>
        <w:tc>
          <w:tcPr>
            <w:tcW w:w="120" w:type="dxa"/>
            <w:vAlign w:val="bottom"/>
            <w:tcBorders>
              <w:bottom w:val="single" w:sz="8" w:color="CCEEFF"/>
            </w:tcBorders>
          </w:tcPr>
          <w:p>
            <w:pPr>
              <w:spacing w:after="0"/>
              <w:rPr>
                <w:sz w:val="16"/>
                <w:szCs w:val="16"/>
                <w:color w:val="auto"/>
              </w:rPr>
            </w:pPr>
          </w:p>
        </w:tc>
        <w:tc>
          <w:tcPr>
            <w:tcW w:w="1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(in Thousands)</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91"/>
              </w:rPr>
              <w:t>Exercise Price</w:t>
            </w:r>
          </w:p>
        </w:tc>
        <w:tc>
          <w:tcPr>
            <w:tcW w:w="0" w:type="dxa"/>
            <w:vAlign w:val="bottom"/>
          </w:tcPr>
          <w:p>
            <w:pPr>
              <w:spacing w:after="0"/>
              <w:rPr>
                <w:sz w:val="1"/>
                <w:szCs w:val="1"/>
                <w:color w:val="auto"/>
              </w:rPr>
            </w:pPr>
          </w:p>
        </w:tc>
      </w:tr>
      <w:tr>
        <w:trPr>
          <w:trHeight w:val="250"/>
        </w:trPr>
        <w:tc>
          <w:tcPr>
            <w:tcW w:w="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5.70</w:t>
            </w:r>
          </w:p>
        </w:tc>
        <w:tc>
          <w:tcPr>
            <w:tcW w:w="980" w:type="dxa"/>
            <w:vAlign w:val="bottom"/>
            <w:tcBorders>
              <w:bottom w:val="single" w:sz="8" w:color="CCEEFF"/>
            </w:tcBorders>
            <w:shd w:val="clear" w:color="auto" w:fill="CCEEFF"/>
          </w:tcPr>
          <w:p>
            <w:pPr>
              <w:jc w:val="center"/>
              <w:ind w:right="293"/>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10.47</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3,842</w:t>
            </w:r>
          </w:p>
        </w:tc>
        <w:tc>
          <w:tcPr>
            <w:tcW w:w="17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4.84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8.11</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2,214</w:t>
            </w:r>
          </w:p>
        </w:tc>
        <w:tc>
          <w:tcPr>
            <w:tcW w:w="34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6.94</w:t>
            </w:r>
          </w:p>
        </w:tc>
        <w:tc>
          <w:tcPr>
            <w:tcW w:w="0" w:type="dxa"/>
            <w:vAlign w:val="bottom"/>
          </w:tcPr>
          <w:p>
            <w:pPr>
              <w:spacing w:after="0"/>
              <w:rPr>
                <w:sz w:val="1"/>
                <w:szCs w:val="1"/>
                <w:color w:val="auto"/>
              </w:rPr>
            </w:pPr>
          </w:p>
        </w:tc>
      </w:tr>
      <w:tr>
        <w:trPr>
          <w:trHeight w:val="243"/>
        </w:trPr>
        <w:tc>
          <w:tcPr>
            <w:tcW w:w="580" w:type="dxa"/>
            <w:vAlign w:val="bottom"/>
          </w:tcPr>
          <w:p>
            <w:pPr>
              <w:ind w:left="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10.76</w:t>
            </w:r>
          </w:p>
        </w:tc>
        <w:tc>
          <w:tcPr>
            <w:tcW w:w="980" w:type="dxa"/>
            <w:vAlign w:val="bottom"/>
          </w:tcPr>
          <w:p>
            <w:pPr>
              <w:jc w:val="center"/>
              <w:ind w:right="293"/>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ind w:right="30"/>
              <w:spacing w:after="0"/>
              <w:rPr>
                <w:sz w:val="20"/>
                <w:szCs w:val="20"/>
                <w:color w:val="auto"/>
              </w:rPr>
            </w:pPr>
            <w:r>
              <w:rPr>
                <w:rFonts w:ascii="Arial" w:cs="Arial" w:eastAsia="Arial" w:hAnsi="Arial"/>
                <w:sz w:val="18"/>
                <w:szCs w:val="18"/>
                <w:color w:val="auto"/>
              </w:rPr>
              <w:t>10.76</w:t>
            </w:r>
          </w:p>
        </w:tc>
        <w:tc>
          <w:tcPr>
            <w:tcW w:w="100" w:type="dxa"/>
            <w:vAlign w:val="bottom"/>
          </w:tcPr>
          <w:p>
            <w:pPr>
              <w:spacing w:after="0"/>
              <w:rPr>
                <w:sz w:val="21"/>
                <w:szCs w:val="21"/>
                <w:color w:val="auto"/>
              </w:rPr>
            </w:pPr>
          </w:p>
        </w:tc>
        <w:tc>
          <w:tcPr>
            <w:tcW w:w="1580" w:type="dxa"/>
            <w:vAlign w:val="bottom"/>
          </w:tcPr>
          <w:p>
            <w:pPr>
              <w:jc w:val="right"/>
              <w:ind w:right="16"/>
              <w:spacing w:after="0"/>
              <w:rPr>
                <w:sz w:val="20"/>
                <w:szCs w:val="20"/>
                <w:color w:val="auto"/>
              </w:rPr>
            </w:pPr>
            <w:r>
              <w:rPr>
                <w:rFonts w:ascii="Arial" w:cs="Arial" w:eastAsia="Arial" w:hAnsi="Arial"/>
                <w:sz w:val="18"/>
                <w:szCs w:val="18"/>
                <w:color w:val="auto"/>
              </w:rPr>
              <w:t>7,004</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6.16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10.76</w:t>
            </w:r>
          </w:p>
        </w:tc>
        <w:tc>
          <w:tcPr>
            <w:tcW w:w="120" w:type="dxa"/>
            <w:vAlign w:val="bottom"/>
          </w:tcPr>
          <w:p>
            <w:pPr>
              <w:spacing w:after="0"/>
              <w:rPr>
                <w:sz w:val="21"/>
                <w:szCs w:val="21"/>
                <w:color w:val="auto"/>
              </w:rPr>
            </w:pPr>
          </w:p>
        </w:tc>
        <w:tc>
          <w:tcPr>
            <w:tcW w:w="1580" w:type="dxa"/>
            <w:vAlign w:val="bottom"/>
          </w:tcPr>
          <w:p>
            <w:pPr>
              <w:jc w:val="right"/>
              <w:ind w:right="37"/>
              <w:spacing w:after="0"/>
              <w:rPr>
                <w:sz w:val="20"/>
                <w:szCs w:val="20"/>
                <w:color w:val="auto"/>
              </w:rPr>
            </w:pPr>
            <w:r>
              <w:rPr>
                <w:rFonts w:ascii="Arial" w:cs="Arial" w:eastAsia="Arial" w:hAnsi="Arial"/>
                <w:sz w:val="18"/>
                <w:szCs w:val="18"/>
                <w:color w:val="auto"/>
              </w:rPr>
              <w:t>4,344</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36"/>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7"/>
        </w:trPr>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9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10.80</w:t>
            </w:r>
          </w:p>
        </w:tc>
        <w:tc>
          <w:tcPr>
            <w:tcW w:w="980" w:type="dxa"/>
            <w:vAlign w:val="bottom"/>
            <w:tcBorders>
              <w:bottom w:val="single" w:sz="8" w:color="CCEEFF"/>
            </w:tcBorders>
            <w:shd w:val="clear" w:color="auto" w:fill="CCEEFF"/>
          </w:tcPr>
          <w:p>
            <w:pPr>
              <w:jc w:val="center"/>
              <w:ind w:right="293"/>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14.35</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6,047</w:t>
            </w:r>
          </w:p>
        </w:tc>
        <w:tc>
          <w:tcPr>
            <w:tcW w:w="17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5.79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13.13</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2,630</w:t>
            </w:r>
          </w:p>
        </w:tc>
        <w:tc>
          <w:tcPr>
            <w:tcW w:w="34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11.72</w:t>
            </w:r>
          </w:p>
        </w:tc>
        <w:tc>
          <w:tcPr>
            <w:tcW w:w="0" w:type="dxa"/>
            <w:vAlign w:val="bottom"/>
          </w:tcPr>
          <w:p>
            <w:pPr>
              <w:spacing w:after="0"/>
              <w:rPr>
                <w:sz w:val="1"/>
                <w:szCs w:val="1"/>
                <w:color w:val="auto"/>
              </w:rPr>
            </w:pPr>
          </w:p>
        </w:tc>
      </w:tr>
      <w:tr>
        <w:trPr>
          <w:trHeight w:val="243"/>
        </w:trPr>
        <w:tc>
          <w:tcPr>
            <w:tcW w:w="580" w:type="dxa"/>
            <w:vAlign w:val="bottom"/>
          </w:tcPr>
          <w:p>
            <w:pPr>
              <w:ind w:left="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14.45</w:t>
            </w:r>
          </w:p>
        </w:tc>
        <w:tc>
          <w:tcPr>
            <w:tcW w:w="980" w:type="dxa"/>
            <w:vAlign w:val="bottom"/>
          </w:tcPr>
          <w:p>
            <w:pPr>
              <w:jc w:val="center"/>
              <w:ind w:right="293"/>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ind w:right="30"/>
              <w:spacing w:after="0"/>
              <w:rPr>
                <w:sz w:val="20"/>
                <w:szCs w:val="20"/>
                <w:color w:val="auto"/>
              </w:rPr>
            </w:pPr>
            <w:r>
              <w:rPr>
                <w:rFonts w:ascii="Arial" w:cs="Arial" w:eastAsia="Arial" w:hAnsi="Arial"/>
                <w:sz w:val="18"/>
                <w:szCs w:val="18"/>
                <w:color w:val="auto"/>
              </w:rPr>
              <w:t>15.87</w:t>
            </w:r>
          </w:p>
        </w:tc>
        <w:tc>
          <w:tcPr>
            <w:tcW w:w="100" w:type="dxa"/>
            <w:vAlign w:val="bottom"/>
          </w:tcPr>
          <w:p>
            <w:pPr>
              <w:spacing w:after="0"/>
              <w:rPr>
                <w:sz w:val="21"/>
                <w:szCs w:val="21"/>
                <w:color w:val="auto"/>
              </w:rPr>
            </w:pPr>
          </w:p>
        </w:tc>
        <w:tc>
          <w:tcPr>
            <w:tcW w:w="1580" w:type="dxa"/>
            <w:vAlign w:val="bottom"/>
          </w:tcPr>
          <w:p>
            <w:pPr>
              <w:jc w:val="right"/>
              <w:ind w:right="16"/>
              <w:spacing w:after="0"/>
              <w:rPr>
                <w:sz w:val="20"/>
                <w:szCs w:val="20"/>
                <w:color w:val="auto"/>
              </w:rPr>
            </w:pPr>
            <w:r>
              <w:rPr>
                <w:rFonts w:ascii="Arial" w:cs="Arial" w:eastAsia="Arial" w:hAnsi="Arial"/>
                <w:sz w:val="18"/>
                <w:szCs w:val="18"/>
                <w:color w:val="auto"/>
              </w:rPr>
              <w:t>5,540</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5.82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15.40</w:t>
            </w:r>
          </w:p>
        </w:tc>
        <w:tc>
          <w:tcPr>
            <w:tcW w:w="120" w:type="dxa"/>
            <w:vAlign w:val="bottom"/>
          </w:tcPr>
          <w:p>
            <w:pPr>
              <w:spacing w:after="0"/>
              <w:rPr>
                <w:sz w:val="21"/>
                <w:szCs w:val="21"/>
                <w:color w:val="auto"/>
              </w:rPr>
            </w:pPr>
          </w:p>
        </w:tc>
        <w:tc>
          <w:tcPr>
            <w:tcW w:w="1580" w:type="dxa"/>
            <w:vAlign w:val="bottom"/>
          </w:tcPr>
          <w:p>
            <w:pPr>
              <w:jc w:val="right"/>
              <w:ind w:right="37"/>
              <w:spacing w:after="0"/>
              <w:rPr>
                <w:sz w:val="20"/>
                <w:szCs w:val="20"/>
                <w:color w:val="auto"/>
              </w:rPr>
            </w:pPr>
            <w:r>
              <w:rPr>
                <w:rFonts w:ascii="Arial" w:cs="Arial" w:eastAsia="Arial" w:hAnsi="Arial"/>
                <w:sz w:val="18"/>
                <w:szCs w:val="18"/>
                <w:color w:val="auto"/>
              </w:rPr>
              <w:t>2,385</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36"/>
              <w:spacing w:after="0"/>
              <w:rPr>
                <w:sz w:val="20"/>
                <w:szCs w:val="20"/>
                <w:color w:val="auto"/>
              </w:rPr>
            </w:pPr>
            <w:r>
              <w:rPr>
                <w:rFonts w:ascii="Arial" w:cs="Arial" w:eastAsia="Arial" w:hAnsi="Arial"/>
                <w:sz w:val="18"/>
                <w:szCs w:val="18"/>
                <w:color w:val="auto"/>
              </w:rPr>
              <w:t>15.24</w:t>
            </w:r>
          </w:p>
        </w:tc>
        <w:tc>
          <w:tcPr>
            <w:tcW w:w="0" w:type="dxa"/>
            <w:vAlign w:val="bottom"/>
          </w:tcPr>
          <w:p>
            <w:pPr>
              <w:spacing w:after="0"/>
              <w:rPr>
                <w:sz w:val="1"/>
                <w:szCs w:val="1"/>
                <w:color w:val="auto"/>
              </w:rPr>
            </w:pPr>
          </w:p>
        </w:tc>
      </w:tr>
      <w:tr>
        <w:trPr>
          <w:trHeight w:val="27"/>
        </w:trPr>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98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15.91</w:t>
            </w:r>
          </w:p>
        </w:tc>
        <w:tc>
          <w:tcPr>
            <w:tcW w:w="980" w:type="dxa"/>
            <w:vAlign w:val="bottom"/>
            <w:tcBorders>
              <w:bottom w:val="single" w:sz="8" w:color="CCEEFF"/>
            </w:tcBorders>
            <w:shd w:val="clear" w:color="auto" w:fill="CCEEFF"/>
          </w:tcPr>
          <w:p>
            <w:pPr>
              <w:jc w:val="center"/>
              <w:ind w:right="293"/>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21.62</w:t>
            </w:r>
          </w:p>
        </w:tc>
        <w:tc>
          <w:tcPr>
            <w:tcW w:w="10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2,663</w:t>
            </w:r>
          </w:p>
        </w:tc>
        <w:tc>
          <w:tcPr>
            <w:tcW w:w="17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1.19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16.95</w:t>
            </w:r>
          </w:p>
        </w:tc>
        <w:tc>
          <w:tcPr>
            <w:tcW w:w="12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2,599</w:t>
            </w:r>
          </w:p>
        </w:tc>
        <w:tc>
          <w:tcPr>
            <w:tcW w:w="34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16.96</w:t>
            </w:r>
          </w:p>
        </w:tc>
        <w:tc>
          <w:tcPr>
            <w:tcW w:w="0" w:type="dxa"/>
            <w:vAlign w:val="bottom"/>
          </w:tcPr>
          <w:p>
            <w:pPr>
              <w:spacing w:after="0"/>
              <w:rPr>
                <w:sz w:val="1"/>
                <w:szCs w:val="1"/>
                <w:color w:val="auto"/>
              </w:rPr>
            </w:pPr>
          </w:p>
        </w:tc>
      </w:tr>
      <w:tr>
        <w:trPr>
          <w:trHeight w:val="257"/>
        </w:trPr>
        <w:tc>
          <w:tcPr>
            <w:tcW w:w="580" w:type="dxa"/>
            <w:vAlign w:val="bottom"/>
          </w:tcPr>
          <w:p>
            <w:pPr>
              <w:ind w:left="40"/>
              <w:spacing w:after="0"/>
              <w:rPr>
                <w:sz w:val="20"/>
                <w:szCs w:val="20"/>
                <w:color w:val="auto"/>
              </w:rPr>
            </w:pPr>
            <w:r>
              <w:rPr>
                <w:rFonts w:ascii="Arial" w:cs="Arial" w:eastAsia="Arial" w:hAnsi="Arial"/>
                <w:sz w:val="18"/>
                <w:szCs w:val="18"/>
                <w:color w:val="auto"/>
              </w:rPr>
              <w:t>Total</w:t>
            </w:r>
          </w:p>
        </w:tc>
        <w:tc>
          <w:tcPr>
            <w:tcW w:w="60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58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8"/>
                <w:szCs w:val="18"/>
                <w:color w:val="auto"/>
              </w:rPr>
              <w:t>25,096</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5.27</w:t>
            </w:r>
          </w:p>
        </w:tc>
        <w:tc>
          <w:tcPr>
            <w:tcW w:w="100" w:type="dxa"/>
            <w:vAlign w:val="bottom"/>
          </w:tcPr>
          <w:p>
            <w:pPr>
              <w:spacing w:after="0"/>
              <w:rPr>
                <w:sz w:val="22"/>
                <w:szCs w:val="22"/>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12.61</w:t>
            </w:r>
          </w:p>
        </w:tc>
        <w:tc>
          <w:tcPr>
            <w:tcW w:w="120" w:type="dxa"/>
            <w:vAlign w:val="bottom"/>
          </w:tcPr>
          <w:p>
            <w:pPr>
              <w:spacing w:after="0"/>
              <w:rPr>
                <w:sz w:val="22"/>
                <w:szCs w:val="22"/>
                <w:color w:val="auto"/>
              </w:rPr>
            </w:pPr>
          </w:p>
        </w:tc>
        <w:tc>
          <w:tcPr>
            <w:tcW w:w="1580" w:type="dxa"/>
            <w:vAlign w:val="bottom"/>
            <w:tcBorders>
              <w:top w:val="single" w:sz="8" w:color="auto"/>
              <w:bottom w:val="single" w:sz="8" w:color="auto"/>
            </w:tcBorders>
          </w:tcPr>
          <w:p>
            <w:pPr>
              <w:jc w:val="right"/>
              <w:ind w:right="37"/>
              <w:spacing w:after="0"/>
              <w:rPr>
                <w:sz w:val="20"/>
                <w:szCs w:val="20"/>
                <w:color w:val="auto"/>
              </w:rPr>
            </w:pPr>
            <w:r>
              <w:rPr>
                <w:rFonts w:ascii="Arial" w:cs="Arial" w:eastAsia="Arial" w:hAnsi="Arial"/>
                <w:sz w:val="18"/>
                <w:szCs w:val="18"/>
                <w:color w:val="auto"/>
              </w:rPr>
              <w:t>14,172</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36"/>
              <w:spacing w:after="0"/>
              <w:rPr>
                <w:sz w:val="20"/>
                <w:szCs w:val="20"/>
                <w:color w:val="auto"/>
              </w:rPr>
            </w:pPr>
            <w:r>
              <w:rPr>
                <w:rFonts w:ascii="Arial" w:cs="Arial" w:eastAsia="Arial" w:hAnsi="Arial"/>
                <w:sz w:val="18"/>
                <w:szCs w:val="18"/>
                <w:color w:val="auto"/>
              </w:rPr>
              <w:t>12.23</w:t>
            </w:r>
          </w:p>
        </w:tc>
        <w:tc>
          <w:tcPr>
            <w:tcW w:w="0" w:type="dxa"/>
            <w:vAlign w:val="bottom"/>
          </w:tcPr>
          <w:p>
            <w:pPr>
              <w:spacing w:after="0"/>
              <w:rPr>
                <w:sz w:val="1"/>
                <w:szCs w:val="1"/>
                <w:color w:val="auto"/>
              </w:rPr>
            </w:pPr>
          </w:p>
        </w:tc>
      </w:tr>
      <w:tr>
        <w:trPr>
          <w:trHeight w:val="20"/>
        </w:trPr>
        <w:tc>
          <w:tcPr>
            <w:tcW w:w="5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jc w:val="both"/>
        <w:ind w:right="560" w:firstLine="432"/>
        <w:spacing w:after="0" w:line="342" w:lineRule="auto"/>
        <w:rPr>
          <w:sz w:val="20"/>
          <w:szCs w:val="20"/>
          <w:color w:val="auto"/>
        </w:rPr>
      </w:pPr>
      <w:r>
        <w:rPr>
          <w:rFonts w:ascii="Arial" w:cs="Arial" w:eastAsia="Arial" w:hAnsi="Arial"/>
          <w:sz w:val="16"/>
          <w:szCs w:val="16"/>
          <w:color w:val="auto"/>
        </w:rPr>
        <w:t>As of January 28, 2017, the unamortized compensation expense for time-based stock options was $15.5 million. The unamortized compensation expense for time-based options will be amortized on a straight-line basis and is expected to be recognized over a weighted-average period of 1.4 years.</w:t>
      </w:r>
    </w:p>
    <w:p>
      <w:pPr>
        <w:spacing w:after="0" w:line="16" w:lineRule="exact"/>
        <w:rPr>
          <w:sz w:val="20"/>
          <w:szCs w:val="20"/>
          <w:color w:val="auto"/>
        </w:rPr>
      </w:pPr>
    </w:p>
    <w:p>
      <w:pPr>
        <w:jc w:val="center"/>
        <w:ind w:right="320"/>
        <w:spacing w:after="0"/>
        <w:rPr>
          <w:sz w:val="20"/>
          <w:szCs w:val="20"/>
          <w:color w:val="auto"/>
        </w:rPr>
      </w:pPr>
      <w:r>
        <w:rPr>
          <w:rFonts w:ascii="Arial" w:cs="Arial" w:eastAsia="Arial" w:hAnsi="Arial"/>
          <w:sz w:val="17"/>
          <w:szCs w:val="17"/>
          <w:color w:val="auto"/>
        </w:rPr>
        <w:t>Activity related to the non-vested portion of the restricted stock units is included in the following table (in thousands, except for share prices):</w:t>
      </w: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420"/>
          </w:cols>
          <w:pgMar w:left="240" w:top="391" w:right="239" w:bottom="1440" w:gutter="0" w:footer="0" w:header="0"/>
        </w:sectPr>
      </w:pPr>
    </w:p>
    <w:bookmarkStart w:id="85" w:name="page86"/>
    <w:bookmarkEnd w:id="8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880" w:type="dxa"/>
            <w:vAlign w:val="bottom"/>
          </w:tcPr>
          <w:p>
            <w:pPr>
              <w:spacing w:after="0"/>
              <w:rPr>
                <w:sz w:val="16"/>
                <w:szCs w:val="16"/>
                <w:color w:val="auto"/>
              </w:rPr>
            </w:pPr>
          </w:p>
        </w:tc>
        <w:tc>
          <w:tcPr>
            <w:tcW w:w="19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3"/>
              </w:rPr>
              <w:t>Time-Based</w:t>
            </w:r>
          </w:p>
        </w:tc>
        <w:tc>
          <w:tcPr>
            <w:tcW w:w="140" w:type="dxa"/>
            <w:vAlign w:val="bottom"/>
          </w:tcPr>
          <w:p>
            <w:pPr>
              <w:spacing w:after="0"/>
              <w:rPr>
                <w:sz w:val="16"/>
                <w:szCs w:val="16"/>
                <w:color w:val="auto"/>
              </w:rPr>
            </w:pPr>
          </w:p>
        </w:tc>
        <w:tc>
          <w:tcPr>
            <w:tcW w:w="2260" w:type="dxa"/>
            <w:vAlign w:val="bottom"/>
            <w:tcBorders>
              <w:bottom w:val="single" w:sz="8" w:color="auto"/>
            </w:tcBorders>
            <w:gridSpan w:val="4"/>
          </w:tcPr>
          <w:p>
            <w:pPr>
              <w:jc w:val="right"/>
              <w:ind w:right="434"/>
              <w:spacing w:after="0"/>
              <w:rPr>
                <w:sz w:val="20"/>
                <w:szCs w:val="20"/>
                <w:color w:val="auto"/>
              </w:rPr>
            </w:pPr>
            <w:r>
              <w:rPr>
                <w:rFonts w:ascii="Arial" w:cs="Arial" w:eastAsia="Arial" w:hAnsi="Arial"/>
                <w:sz w:val="14"/>
                <w:szCs w:val="14"/>
                <w:b w:val="1"/>
                <w:bCs w:val="1"/>
                <w:color w:val="auto"/>
              </w:rPr>
              <w:t>Performance-Based</w:t>
            </w:r>
          </w:p>
        </w:tc>
        <w:tc>
          <w:tcPr>
            <w:tcW w:w="100" w:type="dxa"/>
            <w:vAlign w:val="bottom"/>
          </w:tcPr>
          <w:p>
            <w:pPr>
              <w:spacing w:after="0"/>
              <w:rPr>
                <w:sz w:val="16"/>
                <w:szCs w:val="16"/>
                <w:color w:val="auto"/>
              </w:rPr>
            </w:pPr>
          </w:p>
        </w:tc>
        <w:tc>
          <w:tcPr>
            <w:tcW w:w="2040" w:type="dxa"/>
            <w:vAlign w:val="bottom"/>
            <w:tcBorders>
              <w:bottom w:val="single" w:sz="8" w:color="auto"/>
            </w:tcBorders>
            <w:gridSpan w:val="4"/>
          </w:tcPr>
          <w:p>
            <w:pPr>
              <w:jc w:val="right"/>
              <w:ind w:right="476"/>
              <w:spacing w:after="0"/>
              <w:rPr>
                <w:sz w:val="20"/>
                <w:szCs w:val="20"/>
                <w:color w:val="auto"/>
              </w:rPr>
            </w:pPr>
            <w:r>
              <w:rPr>
                <w:rFonts w:ascii="Arial" w:cs="Arial" w:eastAsia="Arial" w:hAnsi="Arial"/>
                <w:sz w:val="14"/>
                <w:szCs w:val="14"/>
                <w:b w:val="1"/>
                <w:bCs w:val="1"/>
                <w:color w:val="auto"/>
              </w:rPr>
              <w:t>Market-Based</w:t>
            </w:r>
          </w:p>
        </w:tc>
        <w:tc>
          <w:tcPr>
            <w:tcW w:w="100" w:type="dxa"/>
            <w:vAlign w:val="bottom"/>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gridSpan w:val="3"/>
          </w:tcPr>
          <w:p>
            <w:pPr>
              <w:jc w:val="center"/>
              <w:ind w:right="654"/>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52"/>
        </w:trPr>
        <w:tc>
          <w:tcPr>
            <w:tcW w:w="28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40" w:type="dxa"/>
            <w:vAlign w:val="bottom"/>
            <w:gridSpan w:val="2"/>
          </w:tcPr>
          <w:p>
            <w:pPr>
              <w:jc w:val="center"/>
              <w:ind w:right="300"/>
              <w:spacing w:after="0" w:line="153" w:lineRule="exact"/>
              <w:rPr>
                <w:sz w:val="20"/>
                <w:szCs w:val="20"/>
                <w:color w:val="auto"/>
              </w:rPr>
            </w:pPr>
            <w:r>
              <w:rPr>
                <w:rFonts w:ascii="Arial" w:cs="Arial" w:eastAsia="Arial" w:hAnsi="Arial"/>
                <w:sz w:val="14"/>
                <w:szCs w:val="14"/>
                <w:b w:val="1"/>
                <w:bCs w:val="1"/>
                <w:color w:val="auto"/>
                <w:w w:val="91"/>
              </w:rPr>
              <w:t>Weighted</w:t>
            </w:r>
          </w:p>
        </w:tc>
        <w:tc>
          <w:tcPr>
            <w:tcW w:w="9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8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1"/>
              </w:rPr>
              <w:t>Weighted</w:t>
            </w:r>
          </w:p>
        </w:tc>
        <w:tc>
          <w:tcPr>
            <w:tcW w:w="8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5"/>
              </w:rPr>
              <w:t>Weighted</w:t>
            </w:r>
          </w:p>
        </w:tc>
        <w:tc>
          <w:tcPr>
            <w:tcW w:w="7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80" w:type="dxa"/>
            <w:vAlign w:val="bottom"/>
          </w:tcPr>
          <w:p>
            <w:pPr>
              <w:jc w:val="center"/>
              <w:ind w:right="54"/>
              <w:spacing w:after="0" w:line="153"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2880" w:type="dxa"/>
            <w:vAlign w:val="bottom"/>
          </w:tcPr>
          <w:p>
            <w:pPr>
              <w:spacing w:after="0"/>
              <w:rPr>
                <w:sz w:val="12"/>
                <w:szCs w:val="12"/>
                <w:color w:val="auto"/>
              </w:rPr>
            </w:pPr>
          </w:p>
        </w:tc>
        <w:tc>
          <w:tcPr>
            <w:tcW w:w="80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Number of</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Average</w:t>
            </w:r>
          </w:p>
        </w:tc>
        <w:tc>
          <w:tcPr>
            <w:tcW w:w="900" w:type="dxa"/>
            <w:vAlign w:val="bottom"/>
            <w:vMerge w:val="restart"/>
          </w:tcPr>
          <w:p>
            <w:pPr>
              <w:jc w:val="right"/>
              <w:ind w:right="13"/>
              <w:spacing w:after="0"/>
              <w:rPr>
                <w:sz w:val="20"/>
                <w:szCs w:val="20"/>
                <w:color w:val="auto"/>
              </w:rPr>
            </w:pPr>
            <w:r>
              <w:rPr>
                <w:rFonts w:ascii="Arial" w:cs="Arial" w:eastAsia="Arial" w:hAnsi="Arial"/>
                <w:sz w:val="14"/>
                <w:szCs w:val="14"/>
                <w:b w:val="1"/>
                <w:bCs w:val="1"/>
                <w:color w:val="auto"/>
              </w:rPr>
              <w:t>Number of</w:t>
            </w: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Average</w:t>
            </w:r>
          </w:p>
        </w:tc>
        <w:tc>
          <w:tcPr>
            <w:tcW w:w="8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Average</w:t>
            </w:r>
          </w:p>
        </w:tc>
        <w:tc>
          <w:tcPr>
            <w:tcW w:w="78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Number of</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tcPr>
          <w:p>
            <w:pPr>
              <w:jc w:val="center"/>
              <w:ind w:right="5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88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Grant Date</w:t>
            </w:r>
          </w:p>
        </w:tc>
        <w:tc>
          <w:tcPr>
            <w:tcW w:w="900" w:type="dxa"/>
            <w:vAlign w:val="bottom"/>
            <w:vMerge w:val="continue"/>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Grant Date</w:t>
            </w:r>
          </w:p>
        </w:tc>
        <w:tc>
          <w:tcPr>
            <w:tcW w:w="80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7"/>
              </w:rPr>
              <w:t>Grant Date</w:t>
            </w:r>
          </w:p>
        </w:tc>
        <w:tc>
          <w:tcPr>
            <w:tcW w:w="78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tcPr>
          <w:p>
            <w:pPr>
              <w:jc w:val="center"/>
              <w:ind w:right="54"/>
              <w:spacing w:after="0" w:line="149"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92"/>
        </w:trPr>
        <w:tc>
          <w:tcPr>
            <w:tcW w:w="2880" w:type="dxa"/>
            <w:vAlign w:val="bottom"/>
            <w:tcBorders>
              <w:bottom w:val="single" w:sz="8" w:color="CCEEFF"/>
            </w:tcBorders>
          </w:tcPr>
          <w:p>
            <w:pPr>
              <w:spacing w:after="0"/>
              <w:rPr>
                <w:sz w:val="16"/>
                <w:szCs w:val="16"/>
                <w:color w:val="auto"/>
              </w:rPr>
            </w:pPr>
          </w:p>
        </w:tc>
        <w:tc>
          <w:tcPr>
            <w:tcW w:w="80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Shares</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95"/>
              </w:rPr>
              <w:t>Fair Value</w:t>
            </w:r>
          </w:p>
        </w:tc>
        <w:tc>
          <w:tcPr>
            <w:tcW w:w="140" w:type="dxa"/>
            <w:vAlign w:val="bottom"/>
            <w:tcBorders>
              <w:bottom w:val="single" w:sz="8" w:color="CCEEFF"/>
            </w:tcBorders>
          </w:tcPr>
          <w:p>
            <w:pPr>
              <w:spacing w:after="0"/>
              <w:rPr>
                <w:sz w:val="16"/>
                <w:szCs w:val="16"/>
                <w:color w:val="auto"/>
              </w:rPr>
            </w:pPr>
          </w:p>
        </w:tc>
        <w:tc>
          <w:tcPr>
            <w:tcW w:w="9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Shares</w:t>
            </w:r>
          </w:p>
        </w:tc>
        <w:tc>
          <w:tcPr>
            <w:tcW w:w="34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98"/>
              </w:rPr>
              <w:t>Fair Value</w:t>
            </w:r>
          </w:p>
        </w:tc>
        <w:tc>
          <w:tcPr>
            <w:tcW w:w="100" w:type="dxa"/>
            <w:vAlign w:val="bottom"/>
            <w:tcBorders>
              <w:bottom w:val="single" w:sz="8" w:color="CCEEFF"/>
            </w:tcBorders>
          </w:tcPr>
          <w:p>
            <w:pPr>
              <w:spacing w:after="0"/>
              <w:rPr>
                <w:sz w:val="16"/>
                <w:szCs w:val="16"/>
                <w:color w:val="auto"/>
              </w:rPr>
            </w:pPr>
          </w:p>
        </w:tc>
        <w:tc>
          <w:tcPr>
            <w:tcW w:w="8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Shares</w:t>
            </w:r>
          </w:p>
        </w:tc>
        <w:tc>
          <w:tcPr>
            <w:tcW w:w="2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95"/>
              </w:rPr>
              <w:t>Fair Value</w:t>
            </w:r>
          </w:p>
        </w:tc>
        <w:tc>
          <w:tcPr>
            <w:tcW w:w="100" w:type="dxa"/>
            <w:vAlign w:val="bottom"/>
            <w:tcBorders>
              <w:bottom w:val="single" w:sz="8" w:color="CCEEFF"/>
            </w:tcBorders>
          </w:tcPr>
          <w:p>
            <w:pPr>
              <w:spacing w:after="0"/>
              <w:rPr>
                <w:sz w:val="16"/>
                <w:szCs w:val="16"/>
                <w:color w:val="auto"/>
              </w:rPr>
            </w:pPr>
          </w:p>
        </w:tc>
        <w:tc>
          <w:tcPr>
            <w:tcW w:w="780" w:type="dxa"/>
            <w:vAlign w:val="bottom"/>
            <w:tcBorders>
              <w:bottom w:val="single" w:sz="8" w:color="auto"/>
            </w:tcBorders>
          </w:tcPr>
          <w:p>
            <w:pPr>
              <w:jc w:val="right"/>
              <w:ind w:right="92"/>
              <w:spacing w:after="0"/>
              <w:rPr>
                <w:sz w:val="20"/>
                <w:szCs w:val="20"/>
                <w:color w:val="auto"/>
              </w:rPr>
            </w:pPr>
            <w:r>
              <w:rPr>
                <w:rFonts w:ascii="Arial" w:cs="Arial" w:eastAsia="Arial" w:hAnsi="Arial"/>
                <w:sz w:val="14"/>
                <w:szCs w:val="14"/>
                <w:b w:val="1"/>
                <w:bCs w:val="1"/>
                <w:color w:val="auto"/>
              </w:rPr>
              <w:t>Shares</w:t>
            </w:r>
          </w:p>
        </w:tc>
        <w:tc>
          <w:tcPr>
            <w:tcW w:w="1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98"/>
              </w:rPr>
              <w:t>Fair Value</w:t>
            </w:r>
          </w:p>
        </w:tc>
        <w:tc>
          <w:tcPr>
            <w:tcW w:w="0" w:type="dxa"/>
            <w:vAlign w:val="bottom"/>
          </w:tcPr>
          <w:p>
            <w:pPr>
              <w:spacing w:after="0"/>
              <w:rPr>
                <w:sz w:val="1"/>
                <w:szCs w:val="1"/>
                <w:color w:val="auto"/>
              </w:rPr>
            </w:pPr>
          </w:p>
        </w:tc>
      </w:tr>
      <w:tr>
        <w:trPr>
          <w:trHeight w:val="250"/>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1, 2014</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11,254</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14.14</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100</w:t>
            </w:r>
          </w:p>
        </w:tc>
        <w:tc>
          <w:tcPr>
            <w:tcW w:w="3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10.52</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11,354</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14.11</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Granted</w:t>
            </w: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5,534</w:t>
            </w:r>
          </w:p>
        </w:tc>
        <w:tc>
          <w:tcPr>
            <w:tcW w:w="280" w:type="dxa"/>
            <w:vAlign w:val="bottom"/>
            <w:gridSpan w:val="2"/>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15.20</w:t>
            </w:r>
          </w:p>
        </w:tc>
        <w:tc>
          <w:tcPr>
            <w:tcW w:w="140" w:type="dxa"/>
            <w:vAlign w:val="bottom"/>
          </w:tcPr>
          <w:p>
            <w:pPr>
              <w:spacing w:after="0"/>
              <w:rPr>
                <w:sz w:val="21"/>
                <w:szCs w:val="21"/>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1,277</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14.98</w:t>
            </w:r>
          </w:p>
        </w:tc>
        <w:tc>
          <w:tcPr>
            <w:tcW w:w="1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color w:val="auto"/>
              </w:rPr>
              <w:t>6,811</w:t>
            </w:r>
          </w:p>
        </w:tc>
        <w:tc>
          <w:tcPr>
            <w:tcW w:w="26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15.16</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Vested</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(5,938)</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13.96</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3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10.52</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(5,941)</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13.96</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800" w:type="dxa"/>
            <w:vAlign w:val="bottom"/>
          </w:tcPr>
          <w:p>
            <w:pPr>
              <w:jc w:val="right"/>
              <w:spacing w:after="0"/>
              <w:rPr>
                <w:sz w:val="20"/>
                <w:szCs w:val="20"/>
                <w:color w:val="auto"/>
              </w:rPr>
            </w:pPr>
            <w:r>
              <w:rPr>
                <w:rFonts w:ascii="Arial" w:cs="Arial" w:eastAsia="Arial" w:hAnsi="Arial"/>
                <w:sz w:val="18"/>
                <w:szCs w:val="18"/>
                <w:color w:val="auto"/>
              </w:rPr>
              <w:t>(1,102)</w:t>
            </w:r>
          </w:p>
        </w:tc>
        <w:tc>
          <w:tcPr>
            <w:tcW w:w="280" w:type="dxa"/>
            <w:vAlign w:val="bottom"/>
            <w:gridSpan w:val="2"/>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14.32</w:t>
            </w:r>
          </w:p>
        </w:tc>
        <w:tc>
          <w:tcPr>
            <w:tcW w:w="14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(120)</w:t>
            </w:r>
          </w:p>
        </w:tc>
        <w:tc>
          <w:tcPr>
            <w:tcW w:w="34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11.23</w:t>
            </w:r>
          </w:p>
        </w:tc>
        <w:tc>
          <w:tcPr>
            <w:tcW w:w="1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(1,222)</w:t>
            </w:r>
          </w:p>
        </w:tc>
        <w:tc>
          <w:tcPr>
            <w:tcW w:w="26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14.02</w:t>
            </w:r>
          </w:p>
        </w:tc>
        <w:tc>
          <w:tcPr>
            <w:tcW w:w="0" w:type="dxa"/>
            <w:vAlign w:val="bottom"/>
          </w:tcPr>
          <w:p>
            <w:pPr>
              <w:spacing w:after="0"/>
              <w:rPr>
                <w:sz w:val="1"/>
                <w:szCs w:val="1"/>
                <w:color w:val="auto"/>
              </w:rPr>
            </w:pPr>
          </w:p>
        </w:tc>
      </w:tr>
      <w:tr>
        <w:trPr>
          <w:trHeight w:val="27"/>
        </w:trPr>
        <w:tc>
          <w:tcPr>
            <w:tcW w:w="288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34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31, 2015</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9,748</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14.84</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1,254</w:t>
            </w:r>
          </w:p>
        </w:tc>
        <w:tc>
          <w:tcPr>
            <w:tcW w:w="3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14.99</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11,002</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14.85</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Granted</w:t>
            </w: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5,689</w:t>
            </w:r>
          </w:p>
        </w:tc>
        <w:tc>
          <w:tcPr>
            <w:tcW w:w="280" w:type="dxa"/>
            <w:vAlign w:val="bottom"/>
            <w:gridSpan w:val="2"/>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12.88</w:t>
            </w:r>
          </w:p>
        </w:tc>
        <w:tc>
          <w:tcPr>
            <w:tcW w:w="140" w:type="dxa"/>
            <w:vAlign w:val="bottom"/>
          </w:tcPr>
          <w:p>
            <w:pPr>
              <w:spacing w:after="0"/>
              <w:rPr>
                <w:sz w:val="21"/>
                <w:szCs w:val="21"/>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669</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14.08</w:t>
            </w:r>
          </w:p>
        </w:tc>
        <w:tc>
          <w:tcPr>
            <w:tcW w:w="100" w:type="dxa"/>
            <w:vAlign w:val="bottom"/>
          </w:tcPr>
          <w:p>
            <w:pPr>
              <w:spacing w:after="0"/>
              <w:rPr>
                <w:sz w:val="21"/>
                <w:szCs w:val="21"/>
                <w:color w:val="auto"/>
              </w:rPr>
            </w:pPr>
          </w:p>
        </w:tc>
        <w:tc>
          <w:tcPr>
            <w:tcW w:w="800" w:type="dxa"/>
            <w:vAlign w:val="bottom"/>
          </w:tcPr>
          <w:p>
            <w:pPr>
              <w:jc w:val="right"/>
              <w:ind w:right="35"/>
              <w:spacing w:after="0"/>
              <w:rPr>
                <w:sz w:val="20"/>
                <w:szCs w:val="20"/>
                <w:color w:val="auto"/>
              </w:rPr>
            </w:pPr>
            <w:r>
              <w:rPr>
                <w:rFonts w:ascii="Arial" w:cs="Arial" w:eastAsia="Arial" w:hAnsi="Arial"/>
                <w:sz w:val="18"/>
                <w:szCs w:val="18"/>
                <w:color w:val="auto"/>
              </w:rPr>
              <w:t>407</w:t>
            </w:r>
          </w:p>
        </w:tc>
        <w:tc>
          <w:tcPr>
            <w:tcW w:w="2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ind w:right="36"/>
              <w:spacing w:after="0"/>
              <w:rPr>
                <w:sz w:val="20"/>
                <w:szCs w:val="20"/>
                <w:color w:val="auto"/>
              </w:rPr>
            </w:pPr>
            <w:r>
              <w:rPr>
                <w:rFonts w:ascii="Arial" w:cs="Arial" w:eastAsia="Arial" w:hAnsi="Arial"/>
                <w:sz w:val="18"/>
                <w:szCs w:val="18"/>
                <w:color w:val="auto"/>
              </w:rPr>
              <w:t>12.24</w:t>
            </w:r>
          </w:p>
        </w:tc>
        <w:tc>
          <w:tcPr>
            <w:tcW w:w="100" w:type="dxa"/>
            <w:vAlign w:val="bottom"/>
          </w:tcPr>
          <w:p>
            <w:pPr>
              <w:spacing w:after="0"/>
              <w:rPr>
                <w:sz w:val="21"/>
                <w:szCs w:val="21"/>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color w:val="auto"/>
              </w:rPr>
              <w:t>6,765</w:t>
            </w:r>
          </w:p>
        </w:tc>
        <w:tc>
          <w:tcPr>
            <w:tcW w:w="26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12.96</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Vested</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(5,139)</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15.06</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(658)</w:t>
            </w:r>
          </w:p>
        </w:tc>
        <w:tc>
          <w:tcPr>
            <w:tcW w:w="3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15.15</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(5,797)</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15.07</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800" w:type="dxa"/>
            <w:vAlign w:val="bottom"/>
          </w:tcPr>
          <w:p>
            <w:pPr>
              <w:jc w:val="right"/>
              <w:spacing w:after="0"/>
              <w:rPr>
                <w:sz w:val="20"/>
                <w:szCs w:val="20"/>
                <w:color w:val="auto"/>
              </w:rPr>
            </w:pPr>
            <w:r>
              <w:rPr>
                <w:rFonts w:ascii="Arial" w:cs="Arial" w:eastAsia="Arial" w:hAnsi="Arial"/>
                <w:sz w:val="18"/>
                <w:szCs w:val="18"/>
                <w:color w:val="auto"/>
              </w:rPr>
              <w:t>(1,955)</w:t>
            </w:r>
          </w:p>
        </w:tc>
        <w:tc>
          <w:tcPr>
            <w:tcW w:w="280" w:type="dxa"/>
            <w:vAlign w:val="bottom"/>
            <w:gridSpan w:val="2"/>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13.99</w:t>
            </w:r>
          </w:p>
        </w:tc>
        <w:tc>
          <w:tcPr>
            <w:tcW w:w="14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(288)</w:t>
            </w:r>
          </w:p>
        </w:tc>
        <w:tc>
          <w:tcPr>
            <w:tcW w:w="34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14.39</w:t>
            </w: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(54)</w:t>
            </w:r>
          </w:p>
        </w:tc>
        <w:tc>
          <w:tcPr>
            <w:tcW w:w="2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ind w:right="36"/>
              <w:spacing w:after="0"/>
              <w:rPr>
                <w:sz w:val="20"/>
                <w:szCs w:val="20"/>
                <w:color w:val="auto"/>
              </w:rPr>
            </w:pPr>
            <w:r>
              <w:rPr>
                <w:rFonts w:ascii="Arial" w:cs="Arial" w:eastAsia="Arial" w:hAnsi="Arial"/>
                <w:sz w:val="18"/>
                <w:szCs w:val="18"/>
                <w:color w:val="auto"/>
              </w:rPr>
              <w:t>12.24</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(2,297)</w:t>
            </w:r>
          </w:p>
        </w:tc>
        <w:tc>
          <w:tcPr>
            <w:tcW w:w="26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14.00</w:t>
            </w:r>
          </w:p>
        </w:tc>
        <w:tc>
          <w:tcPr>
            <w:tcW w:w="0" w:type="dxa"/>
            <w:vAlign w:val="bottom"/>
          </w:tcPr>
          <w:p>
            <w:pPr>
              <w:spacing w:after="0"/>
              <w:rPr>
                <w:sz w:val="1"/>
                <w:szCs w:val="1"/>
                <w:color w:val="auto"/>
              </w:rPr>
            </w:pPr>
          </w:p>
        </w:tc>
      </w:tr>
      <w:tr>
        <w:trPr>
          <w:trHeight w:val="27"/>
        </w:trPr>
        <w:tc>
          <w:tcPr>
            <w:tcW w:w="288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34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30, 2016</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8,343</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13.57</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977</w:t>
            </w:r>
          </w:p>
        </w:tc>
        <w:tc>
          <w:tcPr>
            <w:tcW w:w="3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14.43</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353</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12.24</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9,673</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13.61</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Granted</w:t>
            </w: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9,139</w:t>
            </w:r>
          </w:p>
        </w:tc>
        <w:tc>
          <w:tcPr>
            <w:tcW w:w="280" w:type="dxa"/>
            <w:vAlign w:val="bottom"/>
            <w:gridSpan w:val="2"/>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9.83</w:t>
            </w:r>
          </w:p>
        </w:tc>
        <w:tc>
          <w:tcPr>
            <w:tcW w:w="140" w:type="dxa"/>
            <w:vAlign w:val="bottom"/>
          </w:tcPr>
          <w:p>
            <w:pPr>
              <w:spacing w:after="0"/>
              <w:rPr>
                <w:sz w:val="21"/>
                <w:szCs w:val="21"/>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366</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13.91</w:t>
            </w:r>
          </w:p>
        </w:tc>
        <w:tc>
          <w:tcPr>
            <w:tcW w:w="100" w:type="dxa"/>
            <w:vAlign w:val="bottom"/>
          </w:tcPr>
          <w:p>
            <w:pPr>
              <w:spacing w:after="0"/>
              <w:rPr>
                <w:sz w:val="21"/>
                <w:szCs w:val="21"/>
                <w:color w:val="auto"/>
              </w:rPr>
            </w:pPr>
          </w:p>
        </w:tc>
        <w:tc>
          <w:tcPr>
            <w:tcW w:w="800" w:type="dxa"/>
            <w:vAlign w:val="bottom"/>
          </w:tcPr>
          <w:p>
            <w:pPr>
              <w:jc w:val="right"/>
              <w:ind w:right="35"/>
              <w:spacing w:after="0"/>
              <w:rPr>
                <w:sz w:val="20"/>
                <w:szCs w:val="20"/>
                <w:color w:val="auto"/>
              </w:rPr>
            </w:pPr>
            <w:r>
              <w:rPr>
                <w:rFonts w:ascii="Arial" w:cs="Arial" w:eastAsia="Arial" w:hAnsi="Arial"/>
                <w:sz w:val="18"/>
                <w:szCs w:val="18"/>
                <w:color w:val="auto"/>
              </w:rPr>
              <w:t>612</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ind w:right="36"/>
              <w:spacing w:after="0"/>
              <w:rPr>
                <w:sz w:val="20"/>
                <w:szCs w:val="20"/>
                <w:color w:val="auto"/>
              </w:rPr>
            </w:pPr>
            <w:r>
              <w:rPr>
                <w:rFonts w:ascii="Arial" w:cs="Arial" w:eastAsia="Arial" w:hAnsi="Arial"/>
                <w:sz w:val="18"/>
                <w:szCs w:val="18"/>
                <w:color w:val="auto"/>
              </w:rPr>
              <w:t>11.94</w:t>
            </w:r>
          </w:p>
        </w:tc>
        <w:tc>
          <w:tcPr>
            <w:tcW w:w="100" w:type="dxa"/>
            <w:vAlign w:val="bottom"/>
          </w:tcPr>
          <w:p>
            <w:pPr>
              <w:spacing w:after="0"/>
              <w:rPr>
                <w:sz w:val="21"/>
                <w:szCs w:val="21"/>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color w:val="auto"/>
              </w:rPr>
              <w:t>10,117</w:t>
            </w:r>
          </w:p>
        </w:tc>
        <w:tc>
          <w:tcPr>
            <w:tcW w:w="26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10.11</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Vested</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(5,490)</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13.95</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(155)</w:t>
            </w:r>
          </w:p>
        </w:tc>
        <w:tc>
          <w:tcPr>
            <w:tcW w:w="3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14.15</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(5,645)</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13.95</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800" w:type="dxa"/>
            <w:vAlign w:val="bottom"/>
          </w:tcPr>
          <w:p>
            <w:pPr>
              <w:jc w:val="right"/>
              <w:spacing w:after="0"/>
              <w:rPr>
                <w:sz w:val="20"/>
                <w:szCs w:val="20"/>
                <w:color w:val="auto"/>
              </w:rPr>
            </w:pPr>
            <w:r>
              <w:rPr>
                <w:rFonts w:ascii="Arial" w:cs="Arial" w:eastAsia="Arial" w:hAnsi="Arial"/>
                <w:sz w:val="18"/>
                <w:szCs w:val="18"/>
                <w:color w:val="auto"/>
              </w:rPr>
              <w:t>(2,067)</w:t>
            </w:r>
          </w:p>
        </w:tc>
        <w:tc>
          <w:tcPr>
            <w:tcW w:w="280" w:type="dxa"/>
            <w:vAlign w:val="bottom"/>
            <w:gridSpan w:val="2"/>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10.69</w:t>
            </w:r>
          </w:p>
        </w:tc>
        <w:tc>
          <w:tcPr>
            <w:tcW w:w="14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(875)</w:t>
            </w:r>
          </w:p>
        </w:tc>
        <w:tc>
          <w:tcPr>
            <w:tcW w:w="34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14.45</w:t>
            </w: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(406)</w:t>
            </w:r>
          </w:p>
        </w:tc>
        <w:tc>
          <w:tcPr>
            <w:tcW w:w="2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ind w:right="36"/>
              <w:spacing w:after="0"/>
              <w:rPr>
                <w:sz w:val="20"/>
                <w:szCs w:val="20"/>
                <w:color w:val="auto"/>
              </w:rPr>
            </w:pPr>
            <w:r>
              <w:rPr>
                <w:rFonts w:ascii="Arial" w:cs="Arial" w:eastAsia="Arial" w:hAnsi="Arial"/>
                <w:sz w:val="18"/>
                <w:szCs w:val="18"/>
                <w:color w:val="auto"/>
              </w:rPr>
              <w:t>12.39</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(3,348)</w:t>
            </w:r>
          </w:p>
        </w:tc>
        <w:tc>
          <w:tcPr>
            <w:tcW w:w="26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11.88</w:t>
            </w:r>
          </w:p>
        </w:tc>
        <w:tc>
          <w:tcPr>
            <w:tcW w:w="0" w:type="dxa"/>
            <w:vAlign w:val="bottom"/>
          </w:tcPr>
          <w:p>
            <w:pPr>
              <w:spacing w:after="0"/>
              <w:rPr>
                <w:sz w:val="1"/>
                <w:szCs w:val="1"/>
                <w:color w:val="auto"/>
              </w:rPr>
            </w:pPr>
          </w:p>
        </w:tc>
      </w:tr>
      <w:tr>
        <w:trPr>
          <w:trHeight w:val="27"/>
        </w:trPr>
        <w:tc>
          <w:tcPr>
            <w:tcW w:w="288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34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80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9,925</w:t>
            </w:r>
          </w:p>
        </w:tc>
        <w:tc>
          <w:tcPr>
            <w:tcW w:w="280" w:type="dxa"/>
            <w:vAlign w:val="bottom"/>
            <w:tcBorders>
              <w:bottom w:val="single" w:sz="8" w:color="CCEEFF"/>
            </w:tcBorders>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10.52</w:t>
            </w:r>
          </w:p>
        </w:tc>
        <w:tc>
          <w:tcPr>
            <w:tcW w:w="14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313</w:t>
            </w:r>
          </w:p>
        </w:tc>
        <w:tc>
          <w:tcPr>
            <w:tcW w:w="34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13.91</w:t>
            </w:r>
          </w:p>
        </w:tc>
        <w:tc>
          <w:tcPr>
            <w:tcW w:w="10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auto"/>
            </w:tcBorders>
            <w:shd w:val="clear" w:color="auto" w:fill="CCEEFF"/>
          </w:tcPr>
          <w:p>
            <w:pPr>
              <w:jc w:val="right"/>
              <w:ind w:right="35"/>
              <w:spacing w:after="0"/>
              <w:rPr>
                <w:sz w:val="20"/>
                <w:szCs w:val="20"/>
                <w:color w:val="auto"/>
              </w:rPr>
            </w:pPr>
            <w:r>
              <w:rPr>
                <w:rFonts w:ascii="Arial" w:cs="Arial" w:eastAsia="Arial" w:hAnsi="Arial"/>
                <w:sz w:val="18"/>
                <w:szCs w:val="18"/>
                <w:color w:val="auto"/>
              </w:rPr>
              <w:t>559</w:t>
            </w:r>
          </w:p>
        </w:tc>
        <w:tc>
          <w:tcPr>
            <w:tcW w:w="2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11.80</w:t>
            </w:r>
          </w:p>
        </w:tc>
        <w:tc>
          <w:tcPr>
            <w:tcW w:w="10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10,797</w:t>
            </w:r>
          </w:p>
        </w:tc>
        <w:tc>
          <w:tcPr>
            <w:tcW w:w="26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10.69</w:t>
            </w:r>
          </w:p>
        </w:tc>
        <w:tc>
          <w:tcPr>
            <w:tcW w:w="0" w:type="dxa"/>
            <w:vAlign w:val="bottom"/>
          </w:tcPr>
          <w:p>
            <w:pPr>
              <w:spacing w:after="0"/>
              <w:rPr>
                <w:sz w:val="1"/>
                <w:szCs w:val="1"/>
                <w:color w:val="auto"/>
              </w:rPr>
            </w:pPr>
          </w:p>
        </w:tc>
      </w:tr>
      <w:tr>
        <w:trPr>
          <w:trHeight w:val="20"/>
        </w:trPr>
        <w:tc>
          <w:tcPr>
            <w:tcW w:w="28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660" w:right="320" w:hanging="652"/>
        <w:spacing w:after="0" w:line="277" w:lineRule="auto"/>
        <w:tabs>
          <w:tab w:leader="none" w:pos="6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performance goals is achieved.</w:t>
      </w:r>
    </w:p>
    <w:p>
      <w:pPr>
        <w:spacing w:after="0" w:line="62" w:lineRule="exact"/>
        <w:rPr>
          <w:sz w:val="20"/>
          <w:szCs w:val="20"/>
          <w:color w:val="auto"/>
        </w:rPr>
      </w:pPr>
    </w:p>
    <w:p>
      <w:pPr>
        <w:ind w:right="300" w:firstLine="432"/>
        <w:spacing w:after="0" w:line="279" w:lineRule="auto"/>
        <w:rPr>
          <w:sz w:val="20"/>
          <w:szCs w:val="20"/>
          <w:color w:val="auto"/>
        </w:rPr>
      </w:pPr>
      <w:r>
        <w:rPr>
          <w:rFonts w:ascii="Arial" w:cs="Arial" w:eastAsia="Arial" w:hAnsi="Arial"/>
          <w:sz w:val="17"/>
          <w:szCs w:val="17"/>
          <w:color w:val="auto"/>
        </w:rPr>
        <w:t>In connection with the performance-based equity awards granted in fiscal 2016 to each of the Company’s executive officers, a total of 33,616 shares vested on April 1, 2016 based on achieving certain individual strategic goals as evaluated by the Executive Compensation Committee of the Company’s Board of Directors.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63" w:lineRule="exact"/>
        <w:rPr>
          <w:sz w:val="20"/>
          <w:szCs w:val="20"/>
          <w:color w:val="auto"/>
        </w:rPr>
      </w:pPr>
    </w:p>
    <w:p>
      <w:pPr>
        <w:ind w:right="20" w:firstLine="432"/>
        <w:spacing w:after="0" w:line="273" w:lineRule="auto"/>
        <w:rPr>
          <w:sz w:val="20"/>
          <w:szCs w:val="20"/>
          <w:color w:val="auto"/>
        </w:rPr>
      </w:pPr>
      <w:r>
        <w:rPr>
          <w:rFonts w:ascii="Arial" w:cs="Arial" w:eastAsia="Arial" w:hAnsi="Arial"/>
          <w:sz w:val="17"/>
          <w:szCs w:val="17"/>
          <w:color w:val="auto"/>
        </w:rPr>
        <w:t>In connection with the performance-based equity awards granted in fiscal 2015 to each of the Company’s executive officers, a total of 478,001 shares vested on April 1, 2015 in connection with the first performance period completed at the end of fiscal 2015. Of this amount, an additional 107,954 shares are included as granted in the table above for fiscal 2015 since each executive officer achieved greater than their target shares for one of the financial performance goals. The amount of canceled shares reported in the table above includes the portion of unvested shares that were not earned since performance objectives for each executive officer’s other financial and strategic performance goals were not fully achieved. No shares will be issued in connection with the second performance period since the financial and strategic performance goals for fiscal 2016 were not achieved.</w:t>
      </w:r>
    </w:p>
    <w:p>
      <w:pPr>
        <w:spacing w:after="0" w:line="70" w:lineRule="exact"/>
        <w:rPr>
          <w:sz w:val="20"/>
          <w:szCs w:val="20"/>
          <w:color w:val="auto"/>
        </w:rPr>
      </w:pPr>
    </w:p>
    <w:p>
      <w:pPr>
        <w:ind w:right="80" w:firstLine="432"/>
        <w:spacing w:after="0" w:line="257" w:lineRule="auto"/>
        <w:rPr>
          <w:sz w:val="20"/>
          <w:szCs w:val="20"/>
          <w:color w:val="auto"/>
        </w:rPr>
      </w:pPr>
      <w:r>
        <w:rPr>
          <w:rFonts w:ascii="Arial" w:cs="Arial" w:eastAsia="Arial" w:hAnsi="Arial"/>
          <w:sz w:val="18"/>
          <w:szCs w:val="18"/>
          <w:color w:val="auto"/>
        </w:rPr>
        <w:t>In connection with the PSUs granted in fiscal 2015 to certain members of senior management, final evaluation for each individual’s achievement of their performance was measured in the first quarter of fiscal 2016. As a result, a total of 360,723 shares vested on April 1, 2015 and are included in the above table. There was no material adjustment to share-based compensation expense related to these performance-based restricted stock units in fiscal 2016. The amount of canceled shares reported in the table above includes the portion of unvested shares that were not earned since certain performance achievements were not fully achieved.</w:t>
      </w:r>
    </w:p>
    <w:p>
      <w:pPr>
        <w:spacing w:after="0" w:line="80" w:lineRule="exact"/>
        <w:rPr>
          <w:sz w:val="20"/>
          <w:szCs w:val="20"/>
          <w:color w:val="auto"/>
        </w:rPr>
      </w:pPr>
    </w:p>
    <w:p>
      <w:pPr>
        <w:ind w:right="160" w:firstLine="432"/>
        <w:spacing w:after="0" w:line="277" w:lineRule="auto"/>
        <w:rPr>
          <w:sz w:val="20"/>
          <w:szCs w:val="20"/>
          <w:color w:val="auto"/>
        </w:rPr>
      </w:pPr>
      <w:r>
        <w:rPr>
          <w:rFonts w:ascii="Arial" w:cs="Arial" w:eastAsia="Arial" w:hAnsi="Arial"/>
          <w:sz w:val="18"/>
          <w:szCs w:val="18"/>
          <w:color w:val="auto"/>
        </w:rPr>
        <w:t>The aggregate intrinsic value of restricted stock units expected to vest as of January 28, 2017 was $152.4 million. The number of restricted stock units that are expected to vest is 10.1 million shares.</w:t>
      </w:r>
    </w:p>
    <w:p>
      <w:pPr>
        <w:spacing w:after="0" w:line="62" w:lineRule="exact"/>
        <w:rPr>
          <w:sz w:val="20"/>
          <w:szCs w:val="20"/>
          <w:color w:val="auto"/>
        </w:rPr>
      </w:pPr>
    </w:p>
    <w:p>
      <w:pPr>
        <w:ind w:right="60" w:firstLine="432"/>
        <w:spacing w:after="0" w:line="342" w:lineRule="auto"/>
        <w:rPr>
          <w:sz w:val="20"/>
          <w:szCs w:val="20"/>
          <w:color w:val="auto"/>
        </w:rPr>
      </w:pPr>
      <w:r>
        <w:rPr>
          <w:rFonts w:ascii="Arial" w:cs="Arial" w:eastAsia="Arial" w:hAnsi="Arial"/>
          <w:sz w:val="16"/>
          <w:szCs w:val="16"/>
          <w:color w:val="auto"/>
        </w:rPr>
        <w:t>As of January 28, 2017, unamortized compensation expense related to restricted stock units was $64.2 million. The unamortized compensation expense for restricted stock units will be amortized on a straight-line basis and is expected to be recognized over a weighted-average period of 1.4 years.</w:t>
      </w:r>
    </w:p>
    <w:p>
      <w:pPr>
        <w:spacing w:after="0" w:line="16"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391" w:right="239" w:bottom="1440" w:gutter="0" w:footer="0" w:header="0"/>
        </w:sectPr>
      </w:pPr>
    </w:p>
    <w:bookmarkStart w:id="86" w:name="page87"/>
    <w:bookmarkEnd w:id="8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3"/>
              </w:rPr>
              <w:t>January 30,</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2015</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674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8,334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7,787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7,972</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78,136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92,054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89,131</w:t>
            </w:r>
          </w:p>
        </w:tc>
      </w:tr>
      <w:tr>
        <w:trPr>
          <w:trHeight w:val="243"/>
        </w:trPr>
        <w:tc>
          <w:tcPr>
            <w:tcW w:w="6740" w:type="dxa"/>
            <w:vAlign w:val="bottom"/>
          </w:tcPr>
          <w:p>
            <w:pPr>
              <w:ind w:left="26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10,243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10,242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10,623</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8,047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15,878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23,292</w:t>
            </w: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104,760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125,961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131,018</w:t>
            </w: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Discontinued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6740" w:type="dxa"/>
            <w:vAlign w:val="bottom"/>
          </w:tcPr>
          <w:p>
            <w:pPr>
              <w:ind w:left="300"/>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187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129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8,306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6,738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5,301</w:t>
            </w:r>
          </w:p>
        </w:tc>
      </w:tr>
      <w:tr>
        <w:trPr>
          <w:trHeight w:val="243"/>
        </w:trPr>
        <w:tc>
          <w:tcPr>
            <w:tcW w:w="6740" w:type="dxa"/>
            <w:vAlign w:val="bottom"/>
          </w:tcPr>
          <w:p>
            <w:pPr>
              <w:ind w:left="30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649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864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846</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General and administrative</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81</w:t>
            </w: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6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9,210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7,818</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6,228</w:t>
            </w: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113,970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133,779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137,246</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Share-based compensation capitalized in inventory was $0.9 million at January 28, 2017 and $1.5 million at both January 30, 2016 and January 31,</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2015.</w:t>
      </w:r>
    </w:p>
    <w:p>
      <w:pPr>
        <w:spacing w:after="0" w:line="103"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Upon the termination of certain members of our executive management in April 2016, it was determined that the vesting in certain of their unvested stock awards was no longer probable. As a result, the Company recorded a reversal of the previously recognized related share-based compensation expense in fiscal 2017.</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117" w:lineRule="exact"/>
        <w:rPr>
          <w:sz w:val="20"/>
          <w:szCs w:val="20"/>
          <w:color w:val="auto"/>
        </w:rPr>
      </w:pPr>
    </w:p>
    <w:p>
      <w:pPr>
        <w:ind w:right="220" w:firstLine="432"/>
        <w:spacing w:after="0" w:line="264" w:lineRule="auto"/>
        <w:rPr>
          <w:sz w:val="20"/>
          <w:szCs w:val="20"/>
          <w:color w:val="auto"/>
        </w:rPr>
      </w:pPr>
      <w:r>
        <w:rPr>
          <w:rFonts w:ascii="Arial" w:cs="Arial" w:eastAsia="Arial" w:hAnsi="Arial"/>
          <w:sz w:val="18"/>
          <w:szCs w:val="18"/>
          <w:color w:val="auto"/>
        </w:rPr>
        <w:t>The expected volatility for awards granted during fiscal 2017, 2016 and 2015 was based on an equally weighted combination of historical stock price volatility and implied volatility derived from traded options on the Company’s stock in the marketplace. The Company believes that the combination of historical volatility and implied volatility provides a better estimate of future stock price volatility.</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expected dividend yield is calculated by dividing the current annualized dividend by the closing stock price on the date of grant of the option.</w:t>
      </w:r>
    </w:p>
    <w:p>
      <w:pPr>
        <w:spacing w:after="0" w:line="129" w:lineRule="exact"/>
        <w:rPr>
          <w:sz w:val="20"/>
          <w:szCs w:val="20"/>
          <w:color w:val="auto"/>
        </w:rPr>
      </w:pPr>
    </w:p>
    <w:p>
      <w:pPr>
        <w:ind w:right="120" w:firstLine="432"/>
        <w:spacing w:after="0" w:line="277"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option pricing model:</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gridSpan w:val="2"/>
          </w:tcPr>
          <w:p>
            <w:pPr>
              <w:ind w:left="180"/>
              <w:spacing w:after="0"/>
              <w:rPr>
                <w:sz w:val="20"/>
                <w:szCs w:val="20"/>
                <w:color w:val="auto"/>
              </w:rPr>
            </w:pPr>
            <w:r>
              <w:rPr>
                <w:rFonts w:ascii="Arial" w:cs="Arial" w:eastAsia="Arial" w:hAnsi="Arial"/>
                <w:sz w:val="14"/>
                <w:szCs w:val="14"/>
                <w:b w:val="1"/>
                <w:bCs w:val="1"/>
                <w:color w:val="auto"/>
              </w:rPr>
              <w:t>Year Ended</w:t>
            </w: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r>
      <w:tr>
        <w:trPr>
          <w:trHeight w:val="152"/>
        </w:trPr>
        <w:tc>
          <w:tcPr>
            <w:tcW w:w="6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4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4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January 30,</w:t>
            </w:r>
          </w:p>
        </w:tc>
        <w:tc>
          <w:tcPr>
            <w:tcW w:w="260" w:type="dxa"/>
            <w:vAlign w:val="bottom"/>
          </w:tcPr>
          <w:p>
            <w:pPr>
              <w:spacing w:after="0"/>
              <w:rPr>
                <w:sz w:val="13"/>
                <w:szCs w:val="13"/>
                <w:color w:val="auto"/>
              </w:rPr>
            </w:pPr>
          </w:p>
        </w:tc>
        <w:tc>
          <w:tcPr>
            <w:tcW w:w="1280" w:type="dxa"/>
            <w:vAlign w:val="bottom"/>
          </w:tcPr>
          <w:p>
            <w:pPr>
              <w:jc w:val="right"/>
              <w:ind w:right="335"/>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5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7"/>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2015</w:t>
            </w: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Time-based Stock Options:</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Weighted average fair value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2.92</w:t>
            </w:r>
          </w:p>
        </w:tc>
        <w:tc>
          <w:tcPr>
            <w:tcW w:w="1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300" w:type="dxa"/>
            <w:vAlign w:val="bottom"/>
          </w:tcPr>
          <w:p>
            <w:pPr>
              <w:jc w:val="right"/>
              <w:ind w:right="117"/>
              <w:spacing w:after="0"/>
              <w:rPr>
                <w:sz w:val="20"/>
                <w:szCs w:val="20"/>
                <w:color w:val="auto"/>
              </w:rPr>
            </w:pPr>
            <w:r>
              <w:rPr>
                <w:rFonts w:ascii="Arial" w:cs="Arial" w:eastAsia="Arial" w:hAnsi="Arial"/>
                <w:sz w:val="18"/>
                <w:szCs w:val="18"/>
                <w:color w:val="auto"/>
              </w:rPr>
              <w:t>3.93</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4.35</w:t>
            </w:r>
          </w:p>
        </w:tc>
      </w:tr>
      <w:tr>
        <w:trPr>
          <w:trHeight w:val="27"/>
        </w:trPr>
        <w:tc>
          <w:tcPr>
            <w:tcW w:w="65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Expected volatility</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Expected term (in years)</w:t>
            </w:r>
          </w:p>
        </w:tc>
        <w:tc>
          <w:tcPr>
            <w:tcW w:w="260" w:type="dxa"/>
            <w:vAlign w:val="bottom"/>
          </w:tcPr>
          <w:p>
            <w:pPr>
              <w:spacing w:after="0"/>
              <w:rPr>
                <w:sz w:val="21"/>
                <w:szCs w:val="21"/>
                <w:color w:val="auto"/>
              </w:rPr>
            </w:pP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5.2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tcPr>
          <w:p>
            <w:pPr>
              <w:jc w:val="right"/>
              <w:ind w:right="117"/>
              <w:spacing w:after="0"/>
              <w:rPr>
                <w:sz w:val="20"/>
                <w:szCs w:val="20"/>
                <w:color w:val="auto"/>
              </w:rPr>
            </w:pPr>
            <w:r>
              <w:rPr>
                <w:rFonts w:ascii="Arial" w:cs="Arial" w:eastAsia="Arial" w:hAnsi="Arial"/>
                <w:sz w:val="18"/>
                <w:szCs w:val="18"/>
                <w:color w:val="auto"/>
              </w:rPr>
              <w:t>5.4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5.0</w:t>
            </w:r>
          </w:p>
        </w:tc>
      </w:tr>
      <w:tr>
        <w:trPr>
          <w:trHeight w:val="27"/>
        </w:trPr>
        <w:tc>
          <w:tcPr>
            <w:tcW w:w="65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Risk-free interest rate</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Expected dividend yield</w:t>
            </w:r>
          </w:p>
        </w:tc>
        <w:tc>
          <w:tcPr>
            <w:tcW w:w="26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1.8%</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1.6%</w:t>
            </w:r>
          </w:p>
        </w:tc>
      </w:tr>
    </w:tbl>
    <w:p>
      <w:pPr>
        <w:spacing w:after="0" w:line="121" w:lineRule="exact"/>
        <w:rPr>
          <w:sz w:val="20"/>
          <w:szCs w:val="20"/>
          <w:color w:val="auto"/>
        </w:rPr>
      </w:pPr>
    </w:p>
    <w:p>
      <w:pPr>
        <w:ind w:right="560" w:firstLine="432"/>
        <w:spacing w:after="0" w:line="264" w:lineRule="auto"/>
        <w:rPr>
          <w:sz w:val="20"/>
          <w:szCs w:val="20"/>
          <w:color w:val="auto"/>
        </w:rPr>
      </w:pPr>
      <w:r>
        <w:rPr>
          <w:rFonts w:ascii="Arial" w:cs="Arial" w:eastAsia="Arial" w:hAnsi="Arial"/>
          <w:sz w:val="18"/>
          <w:szCs w:val="18"/>
          <w:color w:val="auto"/>
        </w:rPr>
        <w:t>There have been no market-based stock option grants since fiscal 2012, when the Company issued 3.1 million stock options with a market-based condition for a group of senior employees. The market price conditions were not met within the five years from date of grant and these stock options automatically expired in April 2016.</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shares to be issued under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ESPP on the date of grant using the Black-Scholes option pricing model:</w:t>
      </w:r>
    </w:p>
    <w:p>
      <w:pPr>
        <w:spacing w:after="0" w:line="2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20"/>
          </w:cols>
          <w:pgMar w:left="240" w:top="391" w:right="239" w:bottom="1440" w:gutter="0" w:footer="0" w:header="0"/>
        </w:sectPr>
      </w:pPr>
    </w:p>
    <w:bookmarkStart w:id="87" w:name="page88"/>
    <w:bookmarkEnd w:id="8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gridSpan w:val="2"/>
          </w:tcPr>
          <w:p>
            <w:pPr>
              <w:ind w:left="180"/>
              <w:spacing w:after="0"/>
              <w:rPr>
                <w:sz w:val="20"/>
                <w:szCs w:val="20"/>
                <w:color w:val="auto"/>
              </w:rPr>
            </w:pPr>
            <w:r>
              <w:rPr>
                <w:rFonts w:ascii="Arial" w:cs="Arial" w:eastAsia="Arial" w:hAnsi="Arial"/>
                <w:sz w:val="14"/>
                <w:szCs w:val="14"/>
                <w:b w:val="1"/>
                <w:bCs w:val="1"/>
                <w:color w:val="auto"/>
              </w:rPr>
              <w:t>Year Ended</w:t>
            </w: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r>
      <w:tr>
        <w:trPr>
          <w:trHeight w:val="152"/>
        </w:trPr>
        <w:tc>
          <w:tcPr>
            <w:tcW w:w="6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4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4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January 30,</w:t>
            </w:r>
          </w:p>
        </w:tc>
        <w:tc>
          <w:tcPr>
            <w:tcW w:w="260" w:type="dxa"/>
            <w:vAlign w:val="bottom"/>
          </w:tcPr>
          <w:p>
            <w:pPr>
              <w:spacing w:after="0"/>
              <w:rPr>
                <w:sz w:val="13"/>
                <w:szCs w:val="13"/>
                <w:color w:val="auto"/>
              </w:rPr>
            </w:pPr>
          </w:p>
        </w:tc>
        <w:tc>
          <w:tcPr>
            <w:tcW w:w="1280" w:type="dxa"/>
            <w:vAlign w:val="bottom"/>
          </w:tcPr>
          <w:p>
            <w:pPr>
              <w:jc w:val="right"/>
              <w:ind w:right="335"/>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5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7"/>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2015</w:t>
            </w: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Employee Stock Purchase Plan:</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Estimated fair value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3.83</w:t>
            </w:r>
          </w:p>
        </w:tc>
        <w:tc>
          <w:tcPr>
            <w:tcW w:w="1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300" w:type="dxa"/>
            <w:vAlign w:val="bottom"/>
          </w:tcPr>
          <w:p>
            <w:pPr>
              <w:jc w:val="right"/>
              <w:ind w:right="117"/>
              <w:spacing w:after="0"/>
              <w:rPr>
                <w:sz w:val="20"/>
                <w:szCs w:val="20"/>
                <w:color w:val="auto"/>
              </w:rPr>
            </w:pPr>
            <w:r>
              <w:rPr>
                <w:rFonts w:ascii="Arial" w:cs="Arial" w:eastAsia="Arial" w:hAnsi="Arial"/>
                <w:sz w:val="18"/>
                <w:szCs w:val="18"/>
                <w:color w:val="auto"/>
              </w:rPr>
              <w:t>3.24</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4.10</w:t>
            </w:r>
          </w:p>
        </w:tc>
      </w:tr>
      <w:tr>
        <w:trPr>
          <w:trHeight w:val="27"/>
        </w:trPr>
        <w:tc>
          <w:tcPr>
            <w:tcW w:w="65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Expected volatility</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Expected term (in years)</w:t>
            </w:r>
          </w:p>
        </w:tc>
        <w:tc>
          <w:tcPr>
            <w:tcW w:w="260" w:type="dxa"/>
            <w:vAlign w:val="bottom"/>
          </w:tcPr>
          <w:p>
            <w:pPr>
              <w:spacing w:after="0"/>
              <w:rPr>
                <w:sz w:val="21"/>
                <w:szCs w:val="21"/>
                <w:color w:val="auto"/>
              </w:rPr>
            </w:pP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tcPr>
          <w:p>
            <w:pPr>
              <w:jc w:val="right"/>
              <w:ind w:right="117"/>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jc w:val="right"/>
              <w:ind w:right="95"/>
              <w:spacing w:after="0"/>
              <w:rPr>
                <w:sz w:val="20"/>
                <w:szCs w:val="20"/>
                <w:color w:val="auto"/>
              </w:rPr>
            </w:pPr>
            <w:r>
              <w:rPr>
                <w:rFonts w:ascii="Arial" w:cs="Arial" w:eastAsia="Arial" w:hAnsi="Arial"/>
                <w:sz w:val="18"/>
                <w:szCs w:val="18"/>
                <w:color w:val="auto"/>
              </w:rPr>
              <w:t>1.3</w:t>
            </w:r>
          </w:p>
        </w:tc>
      </w:tr>
      <w:tr>
        <w:trPr>
          <w:trHeight w:val="27"/>
        </w:trPr>
        <w:tc>
          <w:tcPr>
            <w:tcW w:w="65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Risk-free interest rate</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Expected dividend yield</w:t>
            </w:r>
          </w:p>
        </w:tc>
        <w:tc>
          <w:tcPr>
            <w:tcW w:w="26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1.6%</w:t>
            </w:r>
          </w:p>
        </w:tc>
      </w:tr>
    </w:tbl>
    <w:p>
      <w:pPr>
        <w:spacing w:after="0" w:line="121" w:lineRule="exact"/>
        <w:rPr>
          <w:sz w:val="20"/>
          <w:szCs w:val="20"/>
          <w:color w:val="auto"/>
        </w:rPr>
      </w:pPr>
    </w:p>
    <w:p>
      <w:pPr>
        <w:jc w:val="both"/>
        <w:ind w:right="20" w:firstLine="432"/>
        <w:spacing w:after="0" w:line="277" w:lineRule="auto"/>
        <w:rPr>
          <w:sz w:val="20"/>
          <w:szCs w:val="20"/>
          <w:color w:val="auto"/>
        </w:rPr>
      </w:pPr>
      <w:r>
        <w:rPr>
          <w:rFonts w:ascii="Arial" w:cs="Arial" w:eastAsia="Arial" w:hAnsi="Arial"/>
          <w:sz w:val="18"/>
          <w:szCs w:val="18"/>
          <w:color w:val="auto"/>
        </w:rPr>
        <w:t>The following weighted-average assumptions were used for each respective period to calculate the fair value of common shares to be issued under Total Shareholder Return performance awards on the date of grant using the Monte Carlo pricing model:</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780" w:type="dxa"/>
            <w:vAlign w:val="bottom"/>
          </w:tcPr>
          <w:p>
            <w:pPr>
              <w:spacing w:after="0"/>
              <w:rPr>
                <w:sz w:val="16"/>
                <w:szCs w:val="16"/>
                <w:color w:val="auto"/>
              </w:rPr>
            </w:pPr>
          </w:p>
        </w:tc>
        <w:tc>
          <w:tcPr>
            <w:tcW w:w="2640" w:type="dxa"/>
            <w:vAlign w:val="bottom"/>
            <w:tcBorders>
              <w:bottom w:val="single" w:sz="8" w:color="auto"/>
            </w:tcBorders>
            <w:gridSpan w:val="2"/>
          </w:tcPr>
          <w:p>
            <w:pPr>
              <w:jc w:val="right"/>
              <w:ind w:right="855"/>
              <w:spacing w:after="0"/>
              <w:rPr>
                <w:sz w:val="20"/>
                <w:szCs w:val="20"/>
                <w:color w:val="auto"/>
              </w:rPr>
            </w:pPr>
            <w:r>
              <w:rPr>
                <w:rFonts w:ascii="Arial" w:cs="Arial" w:eastAsia="Arial" w:hAnsi="Arial"/>
                <w:sz w:val="14"/>
                <w:szCs w:val="14"/>
                <w:b w:val="1"/>
                <w:bCs w:val="1"/>
                <w:color w:val="auto"/>
              </w:rPr>
              <w:t>Year Ended</w:t>
            </w:r>
          </w:p>
        </w:tc>
      </w:tr>
      <w:tr>
        <w:trPr>
          <w:trHeight w:val="152"/>
        </w:trPr>
        <w:tc>
          <w:tcPr>
            <w:tcW w:w="8780" w:type="dxa"/>
            <w:vAlign w:val="bottom"/>
          </w:tcPr>
          <w:p>
            <w:pPr>
              <w:spacing w:after="0"/>
              <w:rPr>
                <w:sz w:val="13"/>
                <w:szCs w:val="13"/>
                <w:color w:val="auto"/>
              </w:rPr>
            </w:pPr>
          </w:p>
        </w:tc>
        <w:tc>
          <w:tcPr>
            <w:tcW w:w="1440" w:type="dxa"/>
            <w:vAlign w:val="bottom"/>
          </w:tcPr>
          <w:p>
            <w:pPr>
              <w:jc w:val="right"/>
              <w:ind w:right="357"/>
              <w:spacing w:after="0" w:line="153" w:lineRule="exact"/>
              <w:rPr>
                <w:sz w:val="20"/>
                <w:szCs w:val="20"/>
                <w:color w:val="auto"/>
              </w:rPr>
            </w:pPr>
            <w:r>
              <w:rPr>
                <w:rFonts w:ascii="Arial" w:cs="Arial" w:eastAsia="Arial" w:hAnsi="Arial"/>
                <w:sz w:val="14"/>
                <w:szCs w:val="14"/>
                <w:b w:val="1"/>
                <w:bCs w:val="1"/>
                <w:color w:val="auto"/>
              </w:rPr>
              <w:t>January 28,</w:t>
            </w:r>
          </w:p>
        </w:tc>
        <w:tc>
          <w:tcPr>
            <w:tcW w:w="1200" w:type="dxa"/>
            <w:vAlign w:val="bottom"/>
          </w:tcPr>
          <w:p>
            <w:pPr>
              <w:jc w:val="right"/>
              <w:ind w:right="235"/>
              <w:spacing w:after="0" w:line="15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878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57"/>
              <w:spacing w:after="0"/>
              <w:rPr>
                <w:sz w:val="20"/>
                <w:szCs w:val="20"/>
                <w:color w:val="auto"/>
              </w:rPr>
            </w:pPr>
            <w:r>
              <w:rPr>
                <w:rFonts w:ascii="Arial" w:cs="Arial" w:eastAsia="Arial" w:hAnsi="Arial"/>
                <w:sz w:val="14"/>
                <w:szCs w:val="14"/>
                <w:b w:val="1"/>
                <w:bCs w:val="1"/>
                <w:color w:val="auto"/>
              </w:rPr>
              <w:t>2017</w:t>
            </w:r>
          </w:p>
        </w:tc>
        <w:tc>
          <w:tcPr>
            <w:tcW w:w="120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2016</w:t>
            </w:r>
          </w:p>
        </w:tc>
      </w:tr>
      <w:tr>
        <w:trPr>
          <w:trHeight w:val="250"/>
        </w:trPr>
        <w:tc>
          <w:tcPr>
            <w:tcW w:w="8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Shareholder Return Awards:</w:t>
            </w:r>
          </w:p>
        </w:tc>
        <w:tc>
          <w:tcPr>
            <w:tcW w:w="14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780" w:type="dxa"/>
            <w:vAlign w:val="bottom"/>
          </w:tcPr>
          <w:p>
            <w:pPr>
              <w:ind w:left="40"/>
              <w:spacing w:after="0"/>
              <w:rPr>
                <w:sz w:val="20"/>
                <w:szCs w:val="20"/>
                <w:color w:val="auto"/>
              </w:rPr>
            </w:pPr>
            <w:r>
              <w:rPr>
                <w:rFonts w:ascii="Arial" w:cs="Arial" w:eastAsia="Arial" w:hAnsi="Arial"/>
                <w:sz w:val="18"/>
                <w:szCs w:val="18"/>
                <w:color w:val="auto"/>
              </w:rPr>
              <w:t>Expected term (in years)</w:t>
            </w:r>
          </w:p>
        </w:tc>
        <w:tc>
          <w:tcPr>
            <w:tcW w:w="1440" w:type="dxa"/>
            <w:vAlign w:val="bottom"/>
          </w:tcPr>
          <w:p>
            <w:pPr>
              <w:jc w:val="right"/>
              <w:ind w:right="237"/>
              <w:spacing w:after="0"/>
              <w:rPr>
                <w:sz w:val="20"/>
                <w:szCs w:val="20"/>
                <w:color w:val="auto"/>
              </w:rPr>
            </w:pPr>
            <w:r>
              <w:rPr>
                <w:rFonts w:ascii="Arial" w:cs="Arial" w:eastAsia="Arial" w:hAnsi="Arial"/>
                <w:sz w:val="18"/>
                <w:szCs w:val="18"/>
                <w:color w:val="auto"/>
              </w:rPr>
              <w:t>2.9</w:t>
            </w:r>
          </w:p>
        </w:tc>
        <w:tc>
          <w:tcPr>
            <w:tcW w:w="1200" w:type="dxa"/>
            <w:vAlign w:val="bottom"/>
          </w:tcPr>
          <w:p>
            <w:pPr>
              <w:jc w:val="right"/>
              <w:ind w:right="95"/>
              <w:spacing w:after="0"/>
              <w:rPr>
                <w:sz w:val="20"/>
                <w:szCs w:val="20"/>
                <w:color w:val="auto"/>
              </w:rPr>
            </w:pPr>
            <w:r>
              <w:rPr>
                <w:rFonts w:ascii="Arial" w:cs="Arial" w:eastAsia="Arial" w:hAnsi="Arial"/>
                <w:sz w:val="18"/>
                <w:szCs w:val="18"/>
                <w:color w:val="auto"/>
              </w:rPr>
              <w:t>2.0</w:t>
            </w:r>
          </w:p>
        </w:tc>
      </w:tr>
      <w:tr>
        <w:trPr>
          <w:trHeight w:val="27"/>
        </w:trPr>
        <w:tc>
          <w:tcPr>
            <w:tcW w:w="878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Expected volatility</w:t>
            </w:r>
          </w:p>
        </w:tc>
        <w:tc>
          <w:tcPr>
            <w:tcW w:w="144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36%</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w:t>
            </w:r>
          </w:p>
        </w:tc>
      </w:tr>
      <w:tr>
        <w:trPr>
          <w:trHeight w:val="243"/>
        </w:trPr>
        <w:tc>
          <w:tcPr>
            <w:tcW w:w="8780" w:type="dxa"/>
            <w:vAlign w:val="bottom"/>
          </w:tcPr>
          <w:p>
            <w:pPr>
              <w:ind w:left="40"/>
              <w:spacing w:after="0"/>
              <w:rPr>
                <w:sz w:val="20"/>
                <w:szCs w:val="20"/>
                <w:color w:val="auto"/>
              </w:rPr>
            </w:pPr>
            <w:r>
              <w:rPr>
                <w:rFonts w:ascii="Arial" w:cs="Arial" w:eastAsia="Arial" w:hAnsi="Arial"/>
                <w:sz w:val="18"/>
                <w:szCs w:val="18"/>
                <w:color w:val="auto"/>
              </w:rPr>
              <w:t>Average correlation coefficient of peer companies</w:t>
            </w:r>
          </w:p>
        </w:tc>
        <w:tc>
          <w:tcPr>
            <w:tcW w:w="1440" w:type="dxa"/>
            <w:vAlign w:val="bottom"/>
          </w:tcPr>
          <w:p>
            <w:pPr>
              <w:jc w:val="right"/>
              <w:ind w:right="237"/>
              <w:spacing w:after="0"/>
              <w:rPr>
                <w:sz w:val="20"/>
                <w:szCs w:val="20"/>
                <w:color w:val="auto"/>
              </w:rPr>
            </w:pPr>
            <w:r>
              <w:rPr>
                <w:rFonts w:ascii="Arial" w:cs="Arial" w:eastAsia="Arial" w:hAnsi="Arial"/>
                <w:sz w:val="18"/>
                <w:szCs w:val="18"/>
                <w:color w:val="auto"/>
              </w:rPr>
              <w:t>0.5</w:t>
            </w:r>
          </w:p>
        </w:tc>
        <w:tc>
          <w:tcPr>
            <w:tcW w:w="1200" w:type="dxa"/>
            <w:vAlign w:val="bottom"/>
          </w:tcPr>
          <w:p>
            <w:pPr>
              <w:jc w:val="right"/>
              <w:ind w:right="95"/>
              <w:spacing w:after="0"/>
              <w:rPr>
                <w:sz w:val="20"/>
                <w:szCs w:val="20"/>
                <w:color w:val="auto"/>
              </w:rPr>
            </w:pPr>
            <w:r>
              <w:rPr>
                <w:rFonts w:ascii="Arial" w:cs="Arial" w:eastAsia="Arial" w:hAnsi="Arial"/>
                <w:sz w:val="18"/>
                <w:szCs w:val="18"/>
                <w:color w:val="auto"/>
              </w:rPr>
              <w:t>0.4</w:t>
            </w:r>
          </w:p>
        </w:tc>
      </w:tr>
      <w:tr>
        <w:trPr>
          <w:trHeight w:val="27"/>
        </w:trPr>
        <w:tc>
          <w:tcPr>
            <w:tcW w:w="878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Risk-free interest rate</w:t>
            </w:r>
          </w:p>
        </w:tc>
        <w:tc>
          <w:tcPr>
            <w:tcW w:w="144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0.9%</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r>
      <w:tr>
        <w:trPr>
          <w:trHeight w:val="243"/>
        </w:trPr>
        <w:tc>
          <w:tcPr>
            <w:tcW w:w="8780" w:type="dxa"/>
            <w:vAlign w:val="bottom"/>
          </w:tcPr>
          <w:p>
            <w:pPr>
              <w:ind w:left="40"/>
              <w:spacing w:after="0"/>
              <w:rPr>
                <w:sz w:val="20"/>
                <w:szCs w:val="20"/>
                <w:color w:val="auto"/>
              </w:rPr>
            </w:pPr>
            <w:r>
              <w:rPr>
                <w:rFonts w:ascii="Arial" w:cs="Arial" w:eastAsia="Arial" w:hAnsi="Arial"/>
                <w:sz w:val="18"/>
                <w:szCs w:val="18"/>
                <w:color w:val="auto"/>
              </w:rPr>
              <w:t>Expected dividend yield</w:t>
            </w:r>
          </w:p>
        </w:tc>
        <w:tc>
          <w:tcPr>
            <w:tcW w:w="1440" w:type="dxa"/>
            <w:vAlign w:val="bottom"/>
          </w:tcPr>
          <w:p>
            <w:pPr>
              <w:jc w:val="right"/>
              <w:ind w:right="77"/>
              <w:spacing w:after="0"/>
              <w:rPr>
                <w:sz w:val="20"/>
                <w:szCs w:val="20"/>
                <w:color w:val="auto"/>
              </w:rPr>
            </w:pPr>
            <w:r>
              <w:rPr>
                <w:rFonts w:ascii="Arial" w:cs="Arial" w:eastAsia="Arial" w:hAnsi="Arial"/>
                <w:sz w:val="18"/>
                <w:szCs w:val="18"/>
                <w:color w:val="auto"/>
              </w:rPr>
              <w:t>2.1%</w:t>
            </w:r>
          </w:p>
        </w:tc>
        <w:tc>
          <w:tcPr>
            <w:tcW w:w="1200" w:type="dxa"/>
            <w:vAlign w:val="bottom"/>
          </w:tcPr>
          <w:p>
            <w:pPr>
              <w:jc w:val="right"/>
              <w:spacing w:after="0"/>
              <w:rPr>
                <w:sz w:val="20"/>
                <w:szCs w:val="20"/>
                <w:color w:val="auto"/>
              </w:rPr>
            </w:pPr>
            <w:r>
              <w:rPr>
                <w:rFonts w:ascii="Arial" w:cs="Arial" w:eastAsia="Arial" w:hAnsi="Arial"/>
                <w:sz w:val="18"/>
                <w:szCs w:val="18"/>
                <w:color w:val="auto"/>
              </w:rPr>
              <w:t>1.7%</w:t>
            </w:r>
          </w:p>
        </w:tc>
      </w:tr>
    </w:tbl>
    <w:p>
      <w:pPr>
        <w:spacing w:after="0" w:line="121" w:lineRule="exact"/>
        <w:rPr>
          <w:sz w:val="20"/>
          <w:szCs w:val="20"/>
          <w:color w:val="auto"/>
        </w:rPr>
      </w:pPr>
    </w:p>
    <w:p>
      <w:pPr>
        <w:ind w:right="240" w:firstLine="432"/>
        <w:spacing w:after="0" w:line="277" w:lineRule="auto"/>
        <w:rPr>
          <w:sz w:val="20"/>
          <w:szCs w:val="20"/>
          <w:color w:val="auto"/>
        </w:rPr>
      </w:pPr>
      <w:r>
        <w:rPr>
          <w:rFonts w:ascii="Arial" w:cs="Arial" w:eastAsia="Arial" w:hAnsi="Arial"/>
          <w:sz w:val="18"/>
          <w:szCs w:val="18"/>
          <w:color w:val="auto"/>
        </w:rPr>
        <w:t>The correlation coefficients are calculated based upon the price data used to calculate the historical volatilities and is used to model the way in which each entity tends to move in relation to its peers.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117" w:lineRule="exact"/>
        <w:rPr>
          <w:sz w:val="20"/>
          <w:szCs w:val="20"/>
          <w:color w:val="auto"/>
        </w:rPr>
      </w:pPr>
    </w:p>
    <w:p>
      <w:pPr>
        <w:ind w:right="60" w:firstLine="432"/>
        <w:spacing w:after="0" w:line="273" w:lineRule="auto"/>
        <w:rPr>
          <w:sz w:val="20"/>
          <w:szCs w:val="20"/>
          <w:color w:val="auto"/>
        </w:rPr>
      </w:pPr>
      <w:r>
        <w:rPr>
          <w:rFonts w:ascii="Arial" w:cs="Arial" w:eastAsia="Arial" w:hAnsi="Arial"/>
          <w:sz w:val="17"/>
          <w:szCs w:val="17"/>
          <w:color w:val="auto"/>
        </w:rPr>
        <w:t>On November 17, 2016, the Company announced that its Board of Directors authorized a $1.0 billion share repurchase plan. The current stock repurchase program replaced in its entirety the prior $3.25 billion stock repurchase program, which had approximately $115.0 million of repurchase authority remaining as of November 27, 2016.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70" w:lineRule="exact"/>
        <w:rPr>
          <w:sz w:val="20"/>
          <w:szCs w:val="20"/>
          <w:color w:val="auto"/>
        </w:rPr>
      </w:pPr>
    </w:p>
    <w:p>
      <w:pPr>
        <w:ind w:right="100" w:firstLine="432"/>
        <w:spacing w:after="0" w:line="255" w:lineRule="auto"/>
        <w:rPr>
          <w:sz w:val="20"/>
          <w:szCs w:val="20"/>
          <w:color w:val="auto"/>
        </w:rPr>
      </w:pPr>
      <w:r>
        <w:rPr>
          <w:rFonts w:ascii="Arial" w:cs="Arial" w:eastAsia="Arial" w:hAnsi="Arial"/>
          <w:sz w:val="18"/>
          <w:szCs w:val="18"/>
          <w:color w:val="auto"/>
        </w:rPr>
        <w:t>The Company repurchased 13.3 million of its common shares for $183.1 million, 19.7 million of its common shares for $260.9 million and 5.1 million of its common shares for $65.0 million in cash during fiscal 2017, 2016 and 2015, respectively. All of the repurchased shares were retired immediately after the repurchases were completed. The Company records all repurchases, as well as investment purchases and sales, based on their trade date. From August 2010 when the Company’s Board of Directors initially authorized a share repurchase program through January 28, 2017, a total of 254.9 million shares have been repurchased to date under the Company’s share repurchase program for a total $3.3 billion in cash and there was $884.0 million remaining available for future share repurchases.</w:t>
      </w:r>
    </w:p>
    <w:p>
      <w:pPr>
        <w:spacing w:after="0" w:line="85" w:lineRule="exact"/>
        <w:rPr>
          <w:sz w:val="20"/>
          <w:szCs w:val="20"/>
          <w:color w:val="auto"/>
        </w:rPr>
      </w:pPr>
    </w:p>
    <w:p>
      <w:pPr>
        <w:ind w:right="180" w:firstLine="432"/>
        <w:spacing w:after="0" w:line="277" w:lineRule="auto"/>
        <w:rPr>
          <w:sz w:val="20"/>
          <w:szCs w:val="20"/>
          <w:color w:val="auto"/>
        </w:rPr>
      </w:pPr>
      <w:r>
        <w:rPr>
          <w:rFonts w:ascii="Arial" w:cs="Arial" w:eastAsia="Arial" w:hAnsi="Arial"/>
          <w:sz w:val="18"/>
          <w:szCs w:val="18"/>
          <w:color w:val="auto"/>
        </w:rPr>
        <w:t>Subsequent to the year ended January 28, 2017 through March 15, 2017, the Company repurchased an additional 2.7 million of its common shares for $43.7 million at an average price per share of $15.91.</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Dividends</w:t>
      </w:r>
    </w:p>
    <w:p>
      <w:pPr>
        <w:spacing w:after="0" w:line="117" w:lineRule="exact"/>
        <w:rPr>
          <w:sz w:val="20"/>
          <w:szCs w:val="20"/>
          <w:color w:val="auto"/>
        </w:rPr>
      </w:pPr>
    </w:p>
    <w:p>
      <w:pPr>
        <w:ind w:right="560" w:firstLine="432"/>
        <w:spacing w:after="0" w:line="277" w:lineRule="auto"/>
        <w:rPr>
          <w:sz w:val="20"/>
          <w:szCs w:val="20"/>
          <w:color w:val="auto"/>
        </w:rPr>
      </w:pPr>
      <w:r>
        <w:rPr>
          <w:rFonts w:ascii="Arial" w:cs="Arial" w:eastAsia="Arial" w:hAnsi="Arial"/>
          <w:sz w:val="18"/>
          <w:szCs w:val="18"/>
          <w:color w:val="auto"/>
        </w:rPr>
        <w:t>On March 16, 2017, the Company announced that its board of directors declared a cash dividend of $0.06 per share payable on April 20, 2017 to shareholders of record as of April 4, 2017.</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121" w:lineRule="exact"/>
        <w:rPr>
          <w:sz w:val="20"/>
          <w:szCs w:val="20"/>
          <w:color w:val="auto"/>
        </w:rPr>
      </w:pPr>
    </w:p>
    <w:p>
      <w:pPr>
        <w:ind w:right="120" w:firstLine="432"/>
        <w:spacing w:after="0" w:line="259"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was identified as the chief operating decision maker (“CODM”) for the years ended January 28, 2017, January 30, 2016 and January 31, 2015. The Company’s CODM is ultimately responsible and actively involved in the allocation of resources and the assessment of the Company’s performance. The fact that the Company operates in only one reportable segment is based on the following:</w:t>
      </w:r>
    </w:p>
    <w:p>
      <w:pPr>
        <w:sectPr>
          <w:pgSz w:w="11900" w:h="16838" w:orient="portrait"/>
          <w:cols w:equalWidth="0" w:num="1">
            <w:col w:w="11420"/>
          </w:cols>
          <w:pgMar w:left="240" w:top="391" w:right="239" w:bottom="1440" w:gutter="0" w:footer="0" w:header="0"/>
        </w:sect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85</w:t>
      </w:r>
    </w:p>
    <w:p>
      <w:pPr>
        <w:sectPr>
          <w:pgSz w:w="11900" w:h="16838" w:orient="portrait"/>
          <w:cols w:equalWidth="0" w:num="1">
            <w:col w:w="11420"/>
          </w:cols>
          <w:pgMar w:left="240" w:top="391" w:right="239" w:bottom="1440" w:gutter="0" w:footer="0" w:header="0"/>
          <w:type w:val="continuous"/>
        </w:sectPr>
      </w:pPr>
    </w:p>
    <w:bookmarkStart w:id="88" w:name="page89"/>
    <w:bookmarkEnd w:id="8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10" w:lineRule="exact"/>
        <w:rPr>
          <w:sz w:val="20"/>
          <w:szCs w:val="20"/>
          <w:color w:val="auto"/>
        </w:rPr>
      </w:pPr>
    </w:p>
    <w:p>
      <w:pPr>
        <w:ind w:left="660" w:right="240" w:hanging="328"/>
        <w:spacing w:after="0" w:line="264" w:lineRule="auto"/>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19" w:lineRule="exact"/>
        <w:rPr>
          <w:rFonts w:ascii="Arial" w:cs="Arial" w:eastAsia="Arial" w:hAnsi="Arial"/>
          <w:sz w:val="18"/>
          <w:szCs w:val="18"/>
          <w:color w:val="auto"/>
        </w:rPr>
      </w:pPr>
    </w:p>
    <w:p>
      <w:pPr>
        <w:ind w:left="660" w:right="440" w:hanging="328"/>
        <w:spacing w:after="0" w:line="277" w:lineRule="auto"/>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8" w:lineRule="exact"/>
        <w:rPr>
          <w:rFonts w:ascii="Arial" w:cs="Arial" w:eastAsia="Arial" w:hAnsi="Arial"/>
          <w:sz w:val="18"/>
          <w:szCs w:val="18"/>
          <w:color w:val="auto"/>
        </w:rPr>
      </w:pPr>
    </w:p>
    <w:p>
      <w:pPr>
        <w:ind w:left="660" w:right="360" w:hanging="328"/>
        <w:spacing w:after="0" w:line="277" w:lineRule="auto"/>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8" w:lineRule="exact"/>
        <w:rPr>
          <w:rFonts w:ascii="Arial" w:cs="Arial" w:eastAsia="Arial" w:hAnsi="Arial"/>
          <w:sz w:val="18"/>
          <w:szCs w:val="18"/>
          <w:color w:val="auto"/>
        </w:rPr>
      </w:pPr>
    </w:p>
    <w:p>
      <w:pPr>
        <w:ind w:left="660" w:right="840" w:hanging="328"/>
        <w:spacing w:after="0" w:line="277" w:lineRule="auto"/>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direct involvement with the Company’s operations and product development.</w:t>
      </w:r>
    </w:p>
    <w:p>
      <w:pPr>
        <w:spacing w:after="0" w:line="62" w:lineRule="exact"/>
        <w:rPr>
          <w:sz w:val="20"/>
          <w:szCs w:val="20"/>
          <w:color w:val="auto"/>
        </w:rPr>
      </w:pPr>
    </w:p>
    <w:p>
      <w:pPr>
        <w:ind w:right="260" w:firstLine="432"/>
        <w:spacing w:after="0" w:line="277"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2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2"/>
          </w:tcPr>
          <w:p>
            <w:pPr>
              <w:ind w:left="120"/>
              <w:spacing w:after="0"/>
              <w:rPr>
                <w:sz w:val="20"/>
                <w:szCs w:val="20"/>
                <w:color w:val="auto"/>
              </w:rPr>
            </w:pPr>
            <w:r>
              <w:rPr>
                <w:rFonts w:ascii="Arial" w:cs="Arial" w:eastAsia="Arial" w:hAnsi="Arial"/>
                <w:sz w:val="14"/>
                <w:szCs w:val="14"/>
                <w:b w:val="1"/>
                <w:bCs w:val="1"/>
                <w:color w:val="auto"/>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2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54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3"/>
                <w:szCs w:val="13"/>
                <w:color w:val="auto"/>
              </w:rPr>
            </w:pPr>
          </w:p>
        </w:tc>
        <w:tc>
          <w:tcPr>
            <w:tcW w:w="1560" w:type="dxa"/>
            <w:vAlign w:val="bottom"/>
            <w:gridSpan w:val="2"/>
          </w:tcPr>
          <w:p>
            <w:pPr>
              <w:ind w:left="220"/>
              <w:spacing w:after="0" w:line="153" w:lineRule="exact"/>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3"/>
                <w:szCs w:val="13"/>
                <w:color w:val="auto"/>
              </w:rPr>
            </w:pPr>
          </w:p>
        </w:tc>
        <w:tc>
          <w:tcPr>
            <w:tcW w:w="1240" w:type="dxa"/>
            <w:vAlign w:val="bottom"/>
          </w:tcPr>
          <w:p>
            <w:pPr>
              <w:jc w:val="right"/>
              <w:ind w:right="314"/>
              <w:spacing w:after="0" w:line="153" w:lineRule="exact"/>
              <w:rPr>
                <w:sz w:val="20"/>
                <w:szCs w:val="20"/>
                <w:color w:val="auto"/>
              </w:rPr>
            </w:pPr>
            <w:r>
              <w:rPr>
                <w:rFonts w:ascii="Arial" w:cs="Arial" w:eastAsia="Arial" w:hAnsi="Arial"/>
                <w:sz w:val="14"/>
                <w:szCs w:val="14"/>
                <w:b w:val="1"/>
                <w:bCs w:val="1"/>
                <w:color w:val="auto"/>
              </w:rPr>
              <w:t>January 31,</w:t>
            </w:r>
          </w:p>
        </w:tc>
      </w:tr>
      <w:tr>
        <w:trPr>
          <w:trHeight w:val="192"/>
        </w:trPr>
        <w:tc>
          <w:tcPr>
            <w:tcW w:w="628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jc w:val="right"/>
              <w:ind w:right="65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tcPr>
          <w:p>
            <w:pPr>
              <w:jc w:val="right"/>
              <w:ind w:right="615"/>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2015</w:t>
            </w:r>
          </w:p>
        </w:tc>
      </w:tr>
      <w:tr>
        <w:trPr>
          <w:trHeight w:val="250"/>
        </w:trPr>
        <w:tc>
          <w:tcPr>
            <w:tcW w:w="6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Net Revenue:</w:t>
            </w:r>
          </w:p>
        </w:tc>
        <w:tc>
          <w:tcPr>
            <w:tcW w:w="3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6280" w:type="dxa"/>
            <w:vAlign w:val="bottom"/>
          </w:tcPr>
          <w:p>
            <w:pPr>
              <w:ind w:left="380"/>
              <w:spacing w:after="0"/>
              <w:rPr>
                <w:sz w:val="20"/>
                <w:szCs w:val="20"/>
                <w:color w:val="auto"/>
              </w:rPr>
            </w:pPr>
            <w:r>
              <w:rPr>
                <w:rFonts w:ascii="Arial" w:cs="Arial" w:eastAsia="Arial" w:hAnsi="Arial"/>
                <w:sz w:val="18"/>
                <w:szCs w:val="18"/>
                <w:color w:val="auto"/>
              </w:rPr>
              <w:t>United States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440" w:type="dxa"/>
            <w:vAlign w:val="bottom"/>
          </w:tcPr>
          <w:p>
            <w:pPr>
              <w:jc w:val="right"/>
              <w:ind w:right="54"/>
              <w:spacing w:after="0"/>
              <w:rPr>
                <w:sz w:val="20"/>
                <w:szCs w:val="20"/>
                <w:color w:val="auto"/>
              </w:rPr>
            </w:pPr>
            <w:r>
              <w:rPr>
                <w:rFonts w:ascii="Arial" w:cs="Arial" w:eastAsia="Arial" w:hAnsi="Arial"/>
                <w:sz w:val="18"/>
                <w:szCs w:val="18"/>
                <w:color w:val="auto"/>
              </w:rPr>
              <w:t>51,416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460" w:type="dxa"/>
            <w:vAlign w:val="bottom"/>
          </w:tcPr>
          <w:p>
            <w:pPr>
              <w:jc w:val="right"/>
              <w:ind w:right="15"/>
              <w:spacing w:after="0"/>
              <w:rPr>
                <w:sz w:val="20"/>
                <w:szCs w:val="20"/>
                <w:color w:val="auto"/>
              </w:rPr>
            </w:pPr>
            <w:r>
              <w:rPr>
                <w:rFonts w:ascii="Arial" w:cs="Arial" w:eastAsia="Arial" w:hAnsi="Arial"/>
                <w:sz w:val="18"/>
                <w:szCs w:val="18"/>
                <w:color w:val="auto"/>
              </w:rPr>
              <w:t>60,119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61,470</w:t>
            </w:r>
          </w:p>
        </w:tc>
      </w:tr>
      <w:tr>
        <w:trPr>
          <w:trHeight w:val="27"/>
        </w:trPr>
        <w:tc>
          <w:tcPr>
            <w:tcW w:w="62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2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China</w:t>
            </w:r>
          </w:p>
        </w:tc>
        <w:tc>
          <w:tcPr>
            <w:tcW w:w="3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1,239,931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1,509,244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2,171,299</w:t>
            </w:r>
          </w:p>
        </w:tc>
      </w:tr>
      <w:tr>
        <w:trPr>
          <w:trHeight w:val="243"/>
        </w:trPr>
        <w:tc>
          <w:tcPr>
            <w:tcW w:w="6280" w:type="dxa"/>
            <w:vAlign w:val="bottom"/>
          </w:tcPr>
          <w:p>
            <w:pPr>
              <w:ind w:left="380"/>
              <w:spacing w:after="0"/>
              <w:rPr>
                <w:sz w:val="20"/>
                <w:szCs w:val="20"/>
                <w:color w:val="auto"/>
              </w:rPr>
            </w:pPr>
            <w:r>
              <w:rPr>
                <w:rFonts w:ascii="Arial" w:cs="Arial" w:eastAsia="Arial" w:hAnsi="Arial"/>
                <w:sz w:val="18"/>
                <w:szCs w:val="18"/>
                <w:color w:val="auto"/>
              </w:rPr>
              <w:t>Thailand</w:t>
            </w:r>
          </w:p>
        </w:tc>
        <w:tc>
          <w:tcPr>
            <w:tcW w:w="320" w:type="dxa"/>
            <w:vAlign w:val="bottom"/>
          </w:tcPr>
          <w:p>
            <w:pPr>
              <w:spacing w:after="0"/>
              <w:rPr>
                <w:sz w:val="21"/>
                <w:szCs w:val="21"/>
                <w:color w:val="auto"/>
              </w:rPr>
            </w:pPr>
          </w:p>
        </w:tc>
        <w:tc>
          <w:tcPr>
            <w:tcW w:w="1440" w:type="dxa"/>
            <w:vAlign w:val="bottom"/>
          </w:tcPr>
          <w:p>
            <w:pPr>
              <w:jc w:val="right"/>
              <w:ind w:right="54"/>
              <w:spacing w:after="0"/>
              <w:rPr>
                <w:sz w:val="20"/>
                <w:szCs w:val="20"/>
                <w:color w:val="auto"/>
              </w:rPr>
            </w:pPr>
            <w:r>
              <w:rPr>
                <w:rFonts w:ascii="Arial" w:cs="Arial" w:eastAsia="Arial" w:hAnsi="Arial"/>
                <w:sz w:val="18"/>
                <w:szCs w:val="18"/>
                <w:color w:val="auto"/>
              </w:rPr>
              <w:t>113,778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460" w:type="dxa"/>
            <w:vAlign w:val="bottom"/>
          </w:tcPr>
          <w:p>
            <w:pPr>
              <w:jc w:val="right"/>
              <w:ind w:right="15"/>
              <w:spacing w:after="0"/>
              <w:rPr>
                <w:sz w:val="20"/>
                <w:szCs w:val="20"/>
                <w:color w:val="auto"/>
              </w:rPr>
            </w:pPr>
            <w:r>
              <w:rPr>
                <w:rFonts w:ascii="Arial" w:cs="Arial" w:eastAsia="Arial" w:hAnsi="Arial"/>
                <w:sz w:val="18"/>
                <w:szCs w:val="18"/>
                <w:color w:val="auto"/>
              </w:rPr>
              <w:t>189,299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294,706</w:t>
            </w:r>
          </w:p>
        </w:tc>
      </w:tr>
      <w:tr>
        <w:trPr>
          <w:trHeight w:val="27"/>
        </w:trPr>
        <w:tc>
          <w:tcPr>
            <w:tcW w:w="62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2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Malaysia</w:t>
            </w:r>
          </w:p>
        </w:tc>
        <w:tc>
          <w:tcPr>
            <w:tcW w:w="3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286,267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302,953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377,903</w:t>
            </w:r>
          </w:p>
        </w:tc>
      </w:tr>
      <w:tr>
        <w:trPr>
          <w:trHeight w:val="243"/>
        </w:trPr>
        <w:tc>
          <w:tcPr>
            <w:tcW w:w="6280" w:type="dxa"/>
            <w:vAlign w:val="bottom"/>
          </w:tcPr>
          <w:p>
            <w:pPr>
              <w:ind w:left="380"/>
              <w:spacing w:after="0"/>
              <w:rPr>
                <w:sz w:val="20"/>
                <w:szCs w:val="20"/>
                <w:color w:val="auto"/>
              </w:rPr>
            </w:pPr>
            <w:r>
              <w:rPr>
                <w:rFonts w:ascii="Arial" w:cs="Arial" w:eastAsia="Arial" w:hAnsi="Arial"/>
                <w:sz w:val="18"/>
                <w:szCs w:val="18"/>
                <w:color w:val="auto"/>
              </w:rPr>
              <w:t>Philippines</w:t>
            </w:r>
          </w:p>
        </w:tc>
        <w:tc>
          <w:tcPr>
            <w:tcW w:w="320" w:type="dxa"/>
            <w:vAlign w:val="bottom"/>
          </w:tcPr>
          <w:p>
            <w:pPr>
              <w:spacing w:after="0"/>
              <w:rPr>
                <w:sz w:val="21"/>
                <w:szCs w:val="21"/>
                <w:color w:val="auto"/>
              </w:rPr>
            </w:pPr>
          </w:p>
        </w:tc>
        <w:tc>
          <w:tcPr>
            <w:tcW w:w="1440" w:type="dxa"/>
            <w:vAlign w:val="bottom"/>
          </w:tcPr>
          <w:p>
            <w:pPr>
              <w:jc w:val="right"/>
              <w:ind w:right="54"/>
              <w:spacing w:after="0"/>
              <w:rPr>
                <w:sz w:val="20"/>
                <w:szCs w:val="20"/>
                <w:color w:val="auto"/>
              </w:rPr>
            </w:pPr>
            <w:r>
              <w:rPr>
                <w:rFonts w:ascii="Arial" w:cs="Arial" w:eastAsia="Arial" w:hAnsi="Arial"/>
                <w:sz w:val="18"/>
                <w:szCs w:val="18"/>
                <w:color w:val="auto"/>
              </w:rPr>
              <w:t>283,345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460" w:type="dxa"/>
            <w:vAlign w:val="bottom"/>
          </w:tcPr>
          <w:p>
            <w:pPr>
              <w:jc w:val="right"/>
              <w:ind w:right="15"/>
              <w:spacing w:after="0"/>
              <w:rPr>
                <w:sz w:val="20"/>
                <w:szCs w:val="20"/>
                <w:color w:val="auto"/>
              </w:rPr>
            </w:pPr>
            <w:r>
              <w:rPr>
                <w:rFonts w:ascii="Arial" w:cs="Arial" w:eastAsia="Arial" w:hAnsi="Arial"/>
                <w:sz w:val="18"/>
                <w:szCs w:val="18"/>
                <w:color w:val="auto"/>
              </w:rPr>
              <w:t>211,602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254,381</w:t>
            </w:r>
          </w:p>
        </w:tc>
      </w:tr>
      <w:tr>
        <w:trPr>
          <w:trHeight w:val="27"/>
        </w:trPr>
        <w:tc>
          <w:tcPr>
            <w:tcW w:w="62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2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Others</w:t>
            </w:r>
          </w:p>
        </w:tc>
        <w:tc>
          <w:tcPr>
            <w:tcW w:w="320" w:type="dxa"/>
            <w:vAlign w:val="bottom"/>
            <w:tcBorders>
              <w:bottom w:val="single" w:sz="8" w:color="CCEEFF"/>
            </w:tcBorders>
            <w:shd w:val="clear" w:color="auto" w:fill="CCEEFF"/>
          </w:tcPr>
          <w:p>
            <w:pPr>
              <w:spacing w:after="0"/>
              <w:rPr>
                <w:sz w:val="23"/>
                <w:szCs w:val="23"/>
                <w:color w:val="auto"/>
              </w:rPr>
            </w:pPr>
          </w:p>
        </w:tc>
        <w:tc>
          <w:tcPr>
            <w:tcW w:w="144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342,937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4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375,999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477,447</w:t>
            </w:r>
          </w:p>
        </w:tc>
      </w:tr>
      <w:tr>
        <w:trPr>
          <w:trHeight w:val="237"/>
        </w:trPr>
        <w:tc>
          <w:tcPr>
            <w:tcW w:w="628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440" w:type="dxa"/>
            <w:vAlign w:val="bottom"/>
            <w:tcBorders>
              <w:top w:val="single" w:sz="8" w:color="auto"/>
            </w:tcBorders>
          </w:tcPr>
          <w:p>
            <w:pPr>
              <w:jc w:val="right"/>
              <w:ind w:right="54"/>
              <w:spacing w:after="0"/>
              <w:rPr>
                <w:sz w:val="20"/>
                <w:szCs w:val="20"/>
                <w:color w:val="auto"/>
              </w:rPr>
            </w:pPr>
            <w:r>
              <w:rPr>
                <w:rFonts w:ascii="Arial" w:cs="Arial" w:eastAsia="Arial" w:hAnsi="Arial"/>
                <w:sz w:val="18"/>
                <w:szCs w:val="18"/>
                <w:color w:val="auto"/>
              </w:rPr>
              <w:t>2,317,674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46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2,649,216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3,637,206</w:t>
            </w:r>
          </w:p>
        </w:tc>
      </w:tr>
      <w:tr>
        <w:trPr>
          <w:trHeight w:val="27"/>
        </w:trPr>
        <w:tc>
          <w:tcPr>
            <w:tcW w:w="628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628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391" w:right="239" w:bottom="1440" w:gutter="0" w:footer="0" w:header="0"/>
        </w:sectPr>
      </w:pPr>
    </w:p>
    <w:p>
      <w:pPr>
        <w:spacing w:after="0" w:line="47" w:lineRule="exact"/>
        <w:rPr>
          <w:sz w:val="20"/>
          <w:szCs w:val="20"/>
          <w:color w:val="auto"/>
        </w:rPr>
      </w:pPr>
    </w:p>
    <w:p>
      <w:pPr>
        <w:ind w:left="8700"/>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ind w:left="8940"/>
        <w:spacing w:after="0"/>
        <w:rPr>
          <w:sz w:val="20"/>
          <w:szCs w:val="20"/>
          <w:color w:val="auto"/>
        </w:rPr>
      </w:pPr>
      <w:r>
        <w:rPr>
          <w:rFonts w:ascii="Arial" w:cs="Arial" w:eastAsia="Arial" w:hAnsi="Arial"/>
          <w:sz w:val="14"/>
          <w:szCs w:val="14"/>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7"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January 30,</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2016</w:t>
      </w:r>
    </w:p>
    <w:p>
      <w:pPr>
        <w:spacing w:after="0" w:line="30" w:lineRule="exact"/>
        <w:rPr>
          <w:sz w:val="20"/>
          <w:szCs w:val="20"/>
          <w:color w:val="auto"/>
        </w:rPr>
      </w:pPr>
    </w:p>
    <w:p>
      <w:pPr>
        <w:sectPr>
          <w:pgSz w:w="11900" w:h="16838" w:orient="portrait"/>
          <w:cols w:equalWidth="0" w:num="2">
            <w:col w:w="9580" w:space="720"/>
            <w:col w:w="1120"/>
          </w:cols>
          <w:pgMar w:left="240" w:top="391" w:right="23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Property and equipment, net:</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40" w:type="dxa"/>
            <w:vAlign w:val="bottom"/>
          </w:tcPr>
          <w:p>
            <w:pPr>
              <w:ind w:left="40"/>
              <w:spacing w:after="0"/>
              <w:rPr>
                <w:sz w:val="20"/>
                <w:szCs w:val="20"/>
                <w:color w:val="auto"/>
              </w:rPr>
            </w:pPr>
            <w:r>
              <w:rPr>
                <w:rFonts w:ascii="Arial" w:cs="Arial" w:eastAsia="Arial" w:hAnsi="Arial"/>
                <w:sz w:val="18"/>
                <w:szCs w:val="18"/>
                <w:color w:val="auto"/>
              </w:rPr>
              <w:t>China</w:t>
            </w: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10"/>
              <w:spacing w:after="0"/>
              <w:rPr>
                <w:sz w:val="20"/>
                <w:szCs w:val="20"/>
                <w:color w:val="auto"/>
              </w:rPr>
            </w:pPr>
            <w:r>
              <w:rPr>
                <w:rFonts w:ascii="Arial" w:cs="Arial" w:eastAsia="Arial" w:hAnsi="Arial"/>
                <w:sz w:val="18"/>
                <w:szCs w:val="18"/>
                <w:color w:val="auto"/>
              </w:rPr>
              <w:t>16,484</w:t>
            </w:r>
          </w:p>
        </w:tc>
        <w:tc>
          <w:tcPr>
            <w:tcW w:w="100" w:type="dxa"/>
            <w:vAlign w:val="bottom"/>
          </w:tcPr>
          <w:p>
            <w:pPr>
              <w:spacing w:after="0"/>
              <w:rPr>
                <w:sz w:val="20"/>
                <w:szCs w:val="20"/>
                <w:color w:val="auto"/>
              </w:rPr>
            </w:pP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22,294</w:t>
            </w:r>
          </w:p>
        </w:tc>
      </w:tr>
      <w:tr>
        <w:trPr>
          <w:trHeight w:val="27"/>
        </w:trPr>
        <w:tc>
          <w:tcPr>
            <w:tcW w:w="834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2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Israel</w:t>
            </w:r>
          </w:p>
        </w:tc>
        <w:tc>
          <w:tcPr>
            <w:tcW w:w="4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12,133</w:t>
            </w:r>
          </w:p>
        </w:tc>
        <w:tc>
          <w:tcPr>
            <w:tcW w:w="10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15,069</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Singapore</w:t>
            </w:r>
          </w:p>
        </w:tc>
        <w:tc>
          <w:tcPr>
            <w:tcW w:w="460" w:type="dxa"/>
            <w:vAlign w:val="bottom"/>
          </w:tcPr>
          <w:p>
            <w:pPr>
              <w:spacing w:after="0"/>
              <w:rPr>
                <w:sz w:val="21"/>
                <w:szCs w:val="21"/>
                <w:color w:val="auto"/>
              </w:rPr>
            </w:pPr>
          </w:p>
        </w:tc>
        <w:tc>
          <w:tcPr>
            <w:tcW w:w="1040" w:type="dxa"/>
            <w:vAlign w:val="bottom"/>
          </w:tcPr>
          <w:p>
            <w:pPr>
              <w:jc w:val="right"/>
              <w:ind w:right="10"/>
              <w:spacing w:after="0"/>
              <w:rPr>
                <w:sz w:val="20"/>
                <w:szCs w:val="20"/>
                <w:color w:val="auto"/>
              </w:rPr>
            </w:pPr>
            <w:r>
              <w:rPr>
                <w:rFonts w:ascii="Arial" w:cs="Arial" w:eastAsia="Arial" w:hAnsi="Arial"/>
                <w:sz w:val="18"/>
                <w:szCs w:val="18"/>
                <w:color w:val="auto"/>
              </w:rPr>
              <w:t>54,054</w:t>
            </w:r>
          </w:p>
        </w:tc>
        <w:tc>
          <w:tcPr>
            <w:tcW w:w="1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68,212</w:t>
            </w:r>
          </w:p>
        </w:tc>
      </w:tr>
      <w:tr>
        <w:trPr>
          <w:trHeight w:val="27"/>
        </w:trPr>
        <w:tc>
          <w:tcPr>
            <w:tcW w:w="834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2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United States</w:t>
            </w:r>
          </w:p>
        </w:tc>
        <w:tc>
          <w:tcPr>
            <w:tcW w:w="4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147,552</w:t>
            </w:r>
          </w:p>
        </w:tc>
        <w:tc>
          <w:tcPr>
            <w:tcW w:w="10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173,158</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Others</w:t>
            </w:r>
          </w:p>
        </w:tc>
        <w:tc>
          <w:tcPr>
            <w:tcW w:w="460" w:type="dxa"/>
            <w:vAlign w:val="bottom"/>
          </w:tcPr>
          <w:p>
            <w:pPr>
              <w:spacing w:after="0"/>
              <w:rPr>
                <w:sz w:val="21"/>
                <w:szCs w:val="21"/>
                <w:color w:val="auto"/>
              </w:rPr>
            </w:pPr>
          </w:p>
        </w:tc>
        <w:tc>
          <w:tcPr>
            <w:tcW w:w="1040" w:type="dxa"/>
            <w:vAlign w:val="bottom"/>
          </w:tcPr>
          <w:p>
            <w:pPr>
              <w:jc w:val="right"/>
              <w:ind w:right="10"/>
              <w:spacing w:after="0"/>
              <w:rPr>
                <w:sz w:val="20"/>
                <w:szCs w:val="20"/>
                <w:color w:val="auto"/>
              </w:rPr>
            </w:pPr>
            <w:r>
              <w:rPr>
                <w:rFonts w:ascii="Arial" w:cs="Arial" w:eastAsia="Arial" w:hAnsi="Arial"/>
                <w:sz w:val="18"/>
                <w:szCs w:val="18"/>
                <w:color w:val="auto"/>
              </w:rPr>
              <w:t>13,174</w:t>
            </w:r>
          </w:p>
        </w:tc>
        <w:tc>
          <w:tcPr>
            <w:tcW w:w="1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18,045</w:t>
            </w:r>
          </w:p>
        </w:tc>
      </w:tr>
      <w:tr>
        <w:trPr>
          <w:trHeight w:val="27"/>
        </w:trPr>
        <w:tc>
          <w:tcPr>
            <w:tcW w:w="8340" w:type="dxa"/>
            <w:vAlign w:val="bottom"/>
            <w:tcBorders>
              <w:bottom w:val="single" w:sz="8" w:color="CCEEFF"/>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spacing w:after="0"/>
              <w:rPr>
                <w:sz w:val="22"/>
                <w:szCs w:val="22"/>
                <w:color w:val="auto"/>
              </w:rPr>
            </w:pPr>
          </w:p>
        </w:tc>
        <w:tc>
          <w:tcPr>
            <w:tcW w:w="46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243,397</w:t>
            </w:r>
          </w:p>
        </w:tc>
        <w:tc>
          <w:tcPr>
            <w:tcW w:w="100" w:type="dxa"/>
            <w:vAlign w:val="bottom"/>
            <w:tcBorders>
              <w:bottom w:val="single" w:sz="8" w:color="CCEEFF"/>
            </w:tcBorders>
            <w:shd w:val="clear" w:color="auto" w:fill="CCEEFF"/>
          </w:tcPr>
          <w:p>
            <w:pPr>
              <w:spacing w:after="0"/>
              <w:rPr>
                <w:sz w:val="22"/>
                <w:szCs w:val="22"/>
                <w:color w:val="auto"/>
              </w:rPr>
            </w:pPr>
          </w:p>
        </w:tc>
        <w:tc>
          <w:tcPr>
            <w:tcW w:w="46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296,778</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229" w:lineRule="exact"/>
        <w:rPr>
          <w:sz w:val="20"/>
          <w:szCs w:val="20"/>
          <w:color w:val="auto"/>
        </w:rPr>
      </w:pPr>
    </w:p>
    <w:p>
      <w:pPr>
        <w:ind w:right="80" w:firstLine="432"/>
        <w:spacing w:after="0" w:line="289" w:lineRule="auto"/>
        <w:rPr>
          <w:sz w:val="20"/>
          <w:szCs w:val="20"/>
          <w:color w:val="auto"/>
        </w:rPr>
      </w:pPr>
      <w:r>
        <w:rPr>
          <w:rFonts w:ascii="Arial" w:cs="Arial" w:eastAsia="Arial" w:hAnsi="Arial"/>
          <w:sz w:val="16"/>
          <w:szCs w:val="16"/>
          <w:color w:val="auto"/>
        </w:rPr>
        <w:t>The Company, through one of its subsidiaries, is a party to technology license agreements with each of VeriSilicon Holdings Co., Ltd. ("VeriSilicon") and Vivante Corporation (“Vivante”). Pursuant to its agreements with VeriSilicon, which has been amended from time to time, and a services agreement with VeriSilicon, the Company paid $1.5 million, $1.8 million and $3.7 million to VeriSilicon during fiscal 2017, 2016 and 2015, respectively. As of January 28, 2017, the Company had $0.1 million of liability to VeriSilicon. Pursuant to its agreements with Vivante, which has been amended from time to time, and a services agreement with Vivante, the Company paid $3.5 million, $4.0 million and $9.1 million to Vivante during fiscal 2017, 2016 and 2015, respectively. As of January 28, 2017, the Company had no liability to Vivante. VeriSilicon acquired Vivante in late 2016. Dr. Sehat Sutardja and Ms. Weili Dai, the Company’s former Chairman and Chief Executive Officer and President and a director of the Company, respectively, and currently greater than 10% shareholder of the Company, are husband and wife. Ms. Dai’s brothers (and Dr. Sutardja’s brothers-in-law) Wayne Dai and Weijin Dai are executive officers and board members of VeriSilicon. Dr. Sutardja and Ms. Dai are shareholders (directly and indirectly) in VeriSilicon.</w:t>
      </w:r>
    </w:p>
    <w:p>
      <w:pPr>
        <w:spacing w:after="0" w:line="167" w:lineRule="exact"/>
        <w:rPr>
          <w:sz w:val="20"/>
          <w:szCs w:val="20"/>
          <w:color w:val="auto"/>
        </w:rPr>
      </w:pPr>
    </w:p>
    <w:p>
      <w:pPr>
        <w:ind w:right="600" w:firstLine="432"/>
        <w:spacing w:after="0" w:line="264" w:lineRule="auto"/>
        <w:rPr>
          <w:sz w:val="20"/>
          <w:szCs w:val="20"/>
          <w:color w:val="auto"/>
        </w:rPr>
      </w:pPr>
      <w:r>
        <w:rPr>
          <w:rFonts w:ascii="Arial" w:cs="Arial" w:eastAsia="Arial" w:hAnsi="Arial"/>
          <w:sz w:val="18"/>
          <w:szCs w:val="18"/>
          <w:color w:val="auto"/>
        </w:rPr>
        <w:t>In February 2015, the Executive Compensation Committee (“Committee”) of the Company’s Board of Directors approved a cash payment of approximately $15.4 million to Dr. Sehat Sutardja. The U.S. Court of Federal Claims ruled against Dr. Sutardja in his legal challenge with the Internal Revenue Service and the California Franchise Tax Board related to the tax</w:t>
      </w:r>
    </w:p>
    <w:p>
      <w:pPr>
        <w:sectPr>
          <w:pgSz w:w="11900" w:h="16838" w:orient="portrait"/>
          <w:cols w:equalWidth="0" w:num="1">
            <w:col w:w="11420"/>
          </w:cols>
          <w:pgMar w:left="240" w:top="391" w:right="239" w:bottom="1440" w:gutter="0" w:footer="0" w:header="0"/>
          <w:type w:val="continuous"/>
        </w:sect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86</w:t>
      </w:r>
    </w:p>
    <w:p>
      <w:pPr>
        <w:sectPr>
          <w:pgSz w:w="11900" w:h="16838" w:orient="portrait"/>
          <w:cols w:equalWidth="0" w:num="1">
            <w:col w:w="11420"/>
          </w:cols>
          <w:pgMar w:left="240" w:top="391" w:right="239" w:bottom="1440" w:gutter="0" w:footer="0" w:header="0"/>
          <w:type w:val="continuous"/>
        </w:sectPr>
      </w:pPr>
    </w:p>
    <w:bookmarkStart w:id="89" w:name="page90"/>
    <w:bookmarkEnd w:id="89"/>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the Committee determined to provide Dr. Sutardja with relief from the financial effects of the penalty taxes. Accordingly, the Committee approved the cash payment to Dr. Sutardja equal to the amount of his penalty taxes owed under the Tax Codes, plus accrued interest owed with respect to such liabilities, all grossed-up for income taxes that will be owed by Dr. Sutardja on receipt of such cash payment. The Company recorded the payment in general and administrative expense in fiscal 2016. A payment of $8.4 million was made to Dr. Sutardja in fiscal 2016 representing reimbursement for the U.S. federal tax portion. As of January 28, 2017, the Company had a remaining $7.0 million liability to Dr. Sutardja with respect to the California tax portion.</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Carnegie Mellon University Settlement</w:t>
      </w:r>
    </w:p>
    <w:p>
      <w:pPr>
        <w:spacing w:after="0" w:line="121" w:lineRule="exact"/>
        <w:rPr>
          <w:sz w:val="20"/>
          <w:szCs w:val="20"/>
          <w:color w:val="auto"/>
        </w:rPr>
      </w:pPr>
    </w:p>
    <w:p>
      <w:pPr>
        <w:ind w:right="40" w:firstLine="432"/>
        <w:spacing w:after="0" w:line="259"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paid an aggregate of $750 million to CMU in fiscal 2017. See CMU litigation under “Note 10 - Commitments and Contingencies” for further information about the lawsuit.</w:t>
      </w:r>
    </w:p>
    <w:p>
      <w:pPr>
        <w:spacing w:after="0" w:line="79" w:lineRule="exact"/>
        <w:rPr>
          <w:sz w:val="20"/>
          <w:szCs w:val="20"/>
          <w:color w:val="auto"/>
        </w:rPr>
      </w:pPr>
    </w:p>
    <w:p>
      <w:pPr>
        <w:ind w:right="60" w:firstLine="405"/>
        <w:spacing w:after="0" w:line="312"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39" w:lineRule="exact"/>
        <w:rPr>
          <w:sz w:val="20"/>
          <w:szCs w:val="20"/>
          <w:color w:val="auto"/>
        </w:rPr>
      </w:pPr>
    </w:p>
    <w:p>
      <w:pPr>
        <w:ind w:right="160" w:firstLine="405"/>
        <w:spacing w:after="0" w:line="279" w:lineRule="auto"/>
        <w:rPr>
          <w:sz w:val="20"/>
          <w:szCs w:val="20"/>
          <w:color w:val="auto"/>
        </w:rPr>
      </w:pPr>
      <w:r>
        <w:rPr>
          <w:rFonts w:ascii="Arial" w:cs="Arial" w:eastAsia="Arial" w:hAnsi="Arial"/>
          <w:sz w:val="17"/>
          <w:szCs w:val="17"/>
          <w:color w:val="auto"/>
        </w:rPr>
        <w:t>The $654.7 million for the mutual release of claims and covenant not to sue was recorded in fiscal 2016 as a settlement charge in operating expenses since there is no future benefit. The $81.3 million license fee was recorded in fiscal 2016 as a charge in cost of goods sold for past use of the license. The $14.0 million representing the future use of the license, is to be recognized in cost of goods sold over the remaining term of the license from February 2016 through April 2018. Accordingly, the Company recorded $6.2 million to cost of goods sold in fiscal 2017.</w:t>
      </w:r>
    </w:p>
    <w:p>
      <w:pPr>
        <w:spacing w:after="0" w:line="200" w:lineRule="exact"/>
        <w:rPr>
          <w:sz w:val="20"/>
          <w:szCs w:val="20"/>
          <w:color w:val="auto"/>
        </w:rPr>
      </w:pPr>
    </w:p>
    <w:p>
      <w:pPr>
        <w:spacing w:after="0" w:line="32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360"/>
          </w:cols>
          <w:pgMar w:left="240" w:top="391" w:right="299" w:bottom="1440" w:gutter="0" w:footer="0" w:header="0"/>
        </w:sectPr>
      </w:pPr>
    </w:p>
    <w:bookmarkStart w:id="90" w:name="page91"/>
    <w:bookmarkEnd w:id="9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16 — Changes in the Company's Organization</w:t>
      </w:r>
    </w:p>
    <w:p>
      <w:pPr>
        <w:spacing w:after="0" w:line="22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April 2016, the employment of Dr. Sehat Sutardja as Chief Executive Officer and Ms. Weili Dai as President was terminated by the Company’s Board of Directors.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w:t>
      </w:r>
    </w:p>
    <w:p>
      <w:pPr>
        <w:spacing w:after="0" w:line="187"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The agreement specifies that the Board would recommend and the Company would support and solicit proxies only for the election at the 2016 annual general meeting of Messrs. Feld, Hill, Khaykin, Strachan and Switz, the four independent directors serving on the Board immediately prior to the execution of the agreement, Dr. Juergen Gromer, Dr. John G. Kassakian, Arturo Krueger and Dr. Randhir Thakur, and Matthew J. Murphy, who joined the Company in July 2016 after the Board of Directors appointed him to serve as the Company’s President and Chief Executive Officer in June 2016.</w:t>
      </w:r>
    </w:p>
    <w:p>
      <w:pPr>
        <w:spacing w:after="0" w:line="165"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Upon the commencement of Mr. Murphy’s employment, the Board subsequently appointed Richard S. Hill, the Chairman of the Board, as the Company’s Interim Principal Executive Officer, to serve in that capacity until the Company filed its Quarterly Report on Form 10-Q for the second quarter of fiscal 2017 (“Q217 Form 10-Q”). Mr. Murphy assumed the role of the Company’s principal executive officer immediately following the filing of the Q217 Form 10-Q.</w:t>
      </w:r>
    </w:p>
    <w:p>
      <w:pPr>
        <w:spacing w:after="0" w:line="187" w:lineRule="exact"/>
        <w:rPr>
          <w:sz w:val="20"/>
          <w:szCs w:val="20"/>
          <w:color w:val="auto"/>
        </w:rPr>
      </w:pPr>
    </w:p>
    <w:p>
      <w:pPr>
        <w:ind w:right="480" w:firstLine="392"/>
        <w:spacing w:after="0" w:line="279" w:lineRule="auto"/>
        <w:rPr>
          <w:sz w:val="20"/>
          <w:szCs w:val="20"/>
          <w:color w:val="auto"/>
        </w:rPr>
      </w:pPr>
      <w:r>
        <w:rPr>
          <w:rFonts w:ascii="Arial" w:cs="Arial" w:eastAsia="Arial" w:hAnsi="Arial"/>
          <w:sz w:val="17"/>
          <w:szCs w:val="17"/>
          <w:color w:val="auto"/>
        </w:rPr>
        <w:t>In August 2016, the Company announced the appointment of Jean Hu as Chief Financial Officer effective August 22, 2016. David P. Eichler, the Company’s Interim Chief Financial Officer and principal financial officer, ceased serving as the Company’s principal financial officer upon Ms. Hu’s appointment as Chief Financial Officer. In September 2016, the Company announced the departure of Dr. Zining Wu as the Company’s Chief Technical Officer. In October 2016, the Company announced the appointment of David Caron as Chief Accounting Officer and Controller.</w:t>
      </w:r>
    </w:p>
    <w:p>
      <w:pPr>
        <w:spacing w:after="0" w:line="185" w:lineRule="exact"/>
        <w:rPr>
          <w:sz w:val="20"/>
          <w:szCs w:val="20"/>
          <w:color w:val="auto"/>
        </w:rPr>
      </w:pPr>
    </w:p>
    <w:p>
      <w:pPr>
        <w:ind w:firstLine="392"/>
        <w:spacing w:after="0" w:line="286" w:lineRule="auto"/>
        <w:rPr>
          <w:sz w:val="20"/>
          <w:szCs w:val="20"/>
          <w:color w:val="auto"/>
        </w:rPr>
      </w:pPr>
      <w:r>
        <w:rPr>
          <w:rFonts w:ascii="Arial" w:cs="Arial" w:eastAsia="Arial" w:hAnsi="Arial"/>
          <w:sz w:val="17"/>
          <w:szCs w:val="17"/>
          <w:color w:val="auto"/>
        </w:rPr>
        <w:t>At the Company’s Annual General Meeting of Shareholders held on November 8, 2016 (the “Annual Meeting”), shareholders whose shares were present either in person or by proxy voted upon the election of directors to the Board of Directors. The shareholders elected the following directors to serve until the next annual general meeting of shareholders: Peter Feld; Richard Hill; Oleg Khaykin; Matthew Murphy; Michael Strachan; Robert Switz; and Randhir Thakur. Immediately following the Annual Meeting, the terms of directors Dr. Sehat Sutardja, Weili Dai, Dr. Juergen Groemer, Dr. John Kassakian and Arturo Krueger expired. On November 15, 2016, the Board of Directors appointed Dr. Thakur to serve on the Audit Committee of the Board of Directors, effective immediately</w:t>
      </w:r>
      <w:r>
        <w:rPr>
          <w:rFonts w:ascii="Arial" w:cs="Arial" w:eastAsia="Arial" w:hAnsi="Arial"/>
          <w:sz w:val="18"/>
          <w:szCs w:val="18"/>
          <w:color w:val="auto"/>
        </w:rPr>
        <w:t>.</w:t>
      </w:r>
      <w:r>
        <w:rPr>
          <w:rFonts w:ascii="Arial" w:cs="Arial" w:eastAsia="Arial" w:hAnsi="Arial"/>
          <w:sz w:val="17"/>
          <w:szCs w:val="17"/>
          <w:color w:val="auto"/>
        </w:rPr>
        <w:t xml:space="preserve"> In December 2016, the Board of Directors appointed Tudor Brown as a member of the Board of Directors and the Executive Compensation Committee. In January 2017, Ms. Strelar-Migotti left the Company.</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SUPPLEMENTARY DATA</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21" w:lineRule="exact"/>
        <w:rPr>
          <w:sz w:val="20"/>
          <w:szCs w:val="20"/>
          <w:color w:val="auto"/>
        </w:rPr>
      </w:pPr>
    </w:p>
    <w:p>
      <w:pPr>
        <w:ind w:right="260" w:firstLine="432"/>
        <w:spacing w:after="0" w:line="297"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28, 2017. In connection with the Company’s announcement in November 2016 to restructure its operations to refocus its research and development, increase operational efficiency and improve profitability, it also plans to divest certain businesses and it began an active program to locate buyers for several businesses. As of January 28, 2017, two of these businesses were classified as discontinued operations. As required, the Company retrospectively recast its consolidated statements of operations and balance sheets for all period presented to reflect these business as discontinued operations.</w:t>
      </w:r>
    </w:p>
    <w:p>
      <w:pPr>
        <w:spacing w:after="0" w:line="50" w:lineRule="exact"/>
        <w:rPr>
          <w:sz w:val="20"/>
          <w:szCs w:val="20"/>
          <w:color w:val="auto"/>
        </w:rPr>
      </w:pPr>
    </w:p>
    <w:p>
      <w:pPr>
        <w:ind w:right="120" w:firstLine="432"/>
        <w:spacing w:after="0" w:line="297" w:lineRule="auto"/>
        <w:rPr>
          <w:sz w:val="20"/>
          <w:szCs w:val="20"/>
          <w:color w:val="auto"/>
        </w:rPr>
      </w:pPr>
      <w:r>
        <w:rPr>
          <w:rFonts w:ascii="Arial" w:cs="Arial" w:eastAsia="Arial" w:hAnsi="Arial"/>
          <w:sz w:val="16"/>
          <w:szCs w:val="16"/>
          <w:color w:val="auto"/>
        </w:rPr>
        <w:t>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420"/>
          </w:cols>
          <w:pgMar w:left="240" w:top="391" w:right="239" w:bottom="1440" w:gutter="0" w:footer="0" w:header="0"/>
        </w:sectPr>
      </w:pPr>
    </w:p>
    <w:bookmarkStart w:id="91" w:name="page92"/>
    <w:bookmarkEnd w:id="91"/>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 w:type="dxa"/>
            <w:vAlign w:val="bottom"/>
          </w:tcPr>
          <w:p>
            <w:pPr>
              <w:spacing w:after="0"/>
              <w:rPr>
                <w:sz w:val="16"/>
                <w:szCs w:val="16"/>
                <w:color w:val="auto"/>
              </w:rPr>
            </w:pPr>
          </w:p>
        </w:tc>
        <w:tc>
          <w:tcPr>
            <w:tcW w:w="5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center"/>
              <w:ind w:left="875"/>
              <w:spacing w:after="0"/>
              <w:rPr>
                <w:sz w:val="20"/>
                <w:szCs w:val="20"/>
                <w:color w:val="auto"/>
              </w:rPr>
            </w:pPr>
            <w:r>
              <w:rPr>
                <w:rFonts w:ascii="Arial" w:cs="Arial" w:eastAsia="Arial" w:hAnsi="Arial"/>
                <w:sz w:val="14"/>
                <w:szCs w:val="14"/>
                <w:b w:val="1"/>
                <w:bCs w:val="1"/>
                <w:color w:val="auto"/>
                <w:w w:val="90"/>
              </w:rPr>
              <w:t>Fiscal 2017</w:t>
            </w:r>
          </w:p>
        </w:tc>
        <w:tc>
          <w:tcPr>
            <w:tcW w:w="118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r>
      <w:tr>
        <w:trPr>
          <w:trHeight w:val="152"/>
        </w:trPr>
        <w:tc>
          <w:tcPr>
            <w:tcW w:w="40" w:type="dxa"/>
            <w:vAlign w:val="bottom"/>
          </w:tcPr>
          <w:p>
            <w:pPr>
              <w:spacing w:after="0"/>
              <w:rPr>
                <w:sz w:val="13"/>
                <w:szCs w:val="13"/>
                <w:color w:val="auto"/>
              </w:rPr>
            </w:pPr>
          </w:p>
        </w:tc>
        <w:tc>
          <w:tcPr>
            <w:tcW w:w="5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tcPr>
          <w:p>
            <w:pPr>
              <w:jc w:val="center"/>
              <w:ind w:right="213"/>
              <w:spacing w:after="0" w:line="153" w:lineRule="exact"/>
              <w:rPr>
                <w:sz w:val="20"/>
                <w:szCs w:val="20"/>
                <w:color w:val="auto"/>
              </w:rPr>
            </w:pPr>
            <w:r>
              <w:rPr>
                <w:rFonts w:ascii="Arial" w:cs="Arial" w:eastAsia="Arial" w:hAnsi="Arial"/>
                <w:sz w:val="14"/>
                <w:szCs w:val="14"/>
                <w:b w:val="1"/>
                <w:bCs w:val="1"/>
                <w:color w:val="auto"/>
                <w:w w:val="98"/>
              </w:rPr>
              <w:t>First</w:t>
            </w:r>
          </w:p>
        </w:tc>
        <w:tc>
          <w:tcPr>
            <w:tcW w:w="260" w:type="dxa"/>
            <w:vAlign w:val="bottom"/>
          </w:tcPr>
          <w:p>
            <w:pPr>
              <w:spacing w:after="0"/>
              <w:rPr>
                <w:sz w:val="13"/>
                <w:szCs w:val="13"/>
                <w:color w:val="auto"/>
              </w:rPr>
            </w:pPr>
          </w:p>
        </w:tc>
        <w:tc>
          <w:tcPr>
            <w:tcW w:w="1320" w:type="dxa"/>
            <w:vAlign w:val="bottom"/>
          </w:tcPr>
          <w:p>
            <w:pPr>
              <w:jc w:val="right"/>
              <w:ind w:right="455"/>
              <w:spacing w:after="0" w:line="153" w:lineRule="exact"/>
              <w:rPr>
                <w:sz w:val="20"/>
                <w:szCs w:val="20"/>
                <w:color w:val="auto"/>
              </w:rPr>
            </w:pPr>
            <w:r>
              <w:rPr>
                <w:rFonts w:ascii="Arial" w:cs="Arial" w:eastAsia="Arial" w:hAnsi="Arial"/>
                <w:sz w:val="14"/>
                <w:szCs w:val="14"/>
                <w:b w:val="1"/>
                <w:bCs w:val="1"/>
                <w:color w:val="auto"/>
              </w:rPr>
              <w:t>Second</w:t>
            </w:r>
          </w:p>
        </w:tc>
        <w:tc>
          <w:tcPr>
            <w:tcW w:w="400" w:type="dxa"/>
            <w:vAlign w:val="bottom"/>
          </w:tcPr>
          <w:p>
            <w:pPr>
              <w:spacing w:after="0"/>
              <w:rPr>
                <w:sz w:val="13"/>
                <w:szCs w:val="13"/>
                <w:color w:val="auto"/>
              </w:rPr>
            </w:pPr>
          </w:p>
        </w:tc>
        <w:tc>
          <w:tcPr>
            <w:tcW w:w="1180" w:type="dxa"/>
            <w:vAlign w:val="bottom"/>
          </w:tcPr>
          <w:p>
            <w:pPr>
              <w:jc w:val="right"/>
              <w:ind w:right="493"/>
              <w:spacing w:after="0" w:line="153" w:lineRule="exact"/>
              <w:rPr>
                <w:sz w:val="20"/>
                <w:szCs w:val="20"/>
                <w:color w:val="auto"/>
              </w:rPr>
            </w:pPr>
            <w:r>
              <w:rPr>
                <w:rFonts w:ascii="Arial" w:cs="Arial" w:eastAsia="Arial" w:hAnsi="Arial"/>
                <w:sz w:val="14"/>
                <w:szCs w:val="14"/>
                <w:b w:val="1"/>
                <w:bCs w:val="1"/>
                <w:color w:val="auto"/>
              </w:rPr>
              <w:t>Third</w:t>
            </w:r>
          </w:p>
        </w:tc>
        <w:tc>
          <w:tcPr>
            <w:tcW w:w="340" w:type="dxa"/>
            <w:vAlign w:val="bottom"/>
          </w:tcPr>
          <w:p>
            <w:pPr>
              <w:spacing w:after="0"/>
              <w:rPr>
                <w:sz w:val="13"/>
                <w:szCs w:val="13"/>
                <w:color w:val="auto"/>
              </w:rPr>
            </w:pPr>
          </w:p>
        </w:tc>
        <w:tc>
          <w:tcPr>
            <w:tcW w:w="1220" w:type="dxa"/>
            <w:vAlign w:val="bottom"/>
            <w:gridSpan w:val="2"/>
          </w:tcPr>
          <w:p>
            <w:pPr>
              <w:jc w:val="right"/>
              <w:ind w:right="520"/>
              <w:spacing w:after="0" w:line="153" w:lineRule="exact"/>
              <w:rPr>
                <w:sz w:val="20"/>
                <w:szCs w:val="20"/>
                <w:color w:val="auto"/>
              </w:rPr>
            </w:pPr>
            <w:r>
              <w:rPr>
                <w:rFonts w:ascii="Arial" w:cs="Arial" w:eastAsia="Arial" w:hAnsi="Arial"/>
                <w:sz w:val="14"/>
                <w:szCs w:val="14"/>
                <w:b w:val="1"/>
                <w:bCs w:val="1"/>
                <w:color w:val="auto"/>
              </w:rPr>
              <w:t>Fourth</w:t>
            </w:r>
          </w:p>
        </w:tc>
      </w:tr>
      <w:tr>
        <w:trPr>
          <w:trHeight w:val="192"/>
        </w:trPr>
        <w:tc>
          <w:tcPr>
            <w:tcW w:w="40" w:type="dxa"/>
            <w:vAlign w:val="bottom"/>
          </w:tcPr>
          <w:p>
            <w:pPr>
              <w:spacing w:after="0"/>
              <w:rPr>
                <w:sz w:val="16"/>
                <w:szCs w:val="16"/>
                <w:color w:val="auto"/>
              </w:rPr>
            </w:pPr>
          </w:p>
        </w:tc>
        <w:tc>
          <w:tcPr>
            <w:tcW w:w="5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center"/>
              <w:ind w:right="253"/>
              <w:spacing w:after="0"/>
              <w:rPr>
                <w:sz w:val="20"/>
                <w:szCs w:val="20"/>
                <w:color w:val="auto"/>
              </w:rPr>
            </w:pPr>
            <w:r>
              <w:rPr>
                <w:rFonts w:ascii="Arial" w:cs="Arial" w:eastAsia="Arial" w:hAnsi="Arial"/>
                <w:sz w:val="14"/>
                <w:szCs w:val="14"/>
                <w:b w:val="1"/>
                <w:bCs w:val="1"/>
                <w:color w:val="auto"/>
                <w:w w:val="98"/>
              </w:rPr>
              <w:t>Quarter</w:t>
            </w:r>
          </w:p>
        </w:tc>
        <w:tc>
          <w:tcPr>
            <w:tcW w:w="2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ind w:left="320"/>
              <w:spacing w:after="0"/>
              <w:rPr>
                <w:sz w:val="20"/>
                <w:szCs w:val="20"/>
                <w:color w:val="auto"/>
              </w:rPr>
            </w:pPr>
            <w:r>
              <w:rPr>
                <w:rFonts w:ascii="Arial" w:cs="Arial" w:eastAsia="Arial" w:hAnsi="Arial"/>
                <w:sz w:val="14"/>
                <w:szCs w:val="14"/>
                <w:b w:val="1"/>
                <w:bCs w:val="1"/>
                <w:color w:val="auto"/>
              </w:rPr>
              <w:t>Quarter</w:t>
            </w:r>
          </w:p>
        </w:tc>
        <w:tc>
          <w:tcPr>
            <w:tcW w:w="4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73"/>
              <w:spacing w:after="0"/>
              <w:rPr>
                <w:sz w:val="20"/>
                <w:szCs w:val="20"/>
                <w:color w:val="auto"/>
              </w:rPr>
            </w:pPr>
            <w:r>
              <w:rPr>
                <w:rFonts w:ascii="Arial" w:cs="Arial" w:eastAsia="Arial" w:hAnsi="Arial"/>
                <w:sz w:val="14"/>
                <w:szCs w:val="14"/>
                <w:b w:val="1"/>
                <w:bCs w:val="1"/>
                <w:color w:val="auto"/>
                <w:w w:val="98"/>
              </w:rPr>
              <w:t>Quarter</w:t>
            </w:r>
          </w:p>
        </w:tc>
        <w:tc>
          <w:tcPr>
            <w:tcW w:w="3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gridSpan w:val="2"/>
          </w:tcPr>
          <w:p>
            <w:pPr>
              <w:ind w:left="140"/>
              <w:spacing w:after="0"/>
              <w:rPr>
                <w:sz w:val="20"/>
                <w:szCs w:val="20"/>
                <w:color w:val="auto"/>
              </w:rPr>
            </w:pPr>
            <w:r>
              <w:rPr>
                <w:rFonts w:ascii="Arial" w:cs="Arial" w:eastAsia="Arial" w:hAnsi="Arial"/>
                <w:sz w:val="14"/>
                <w:szCs w:val="14"/>
                <w:b w:val="1"/>
                <w:bCs w:val="1"/>
                <w:color w:val="auto"/>
              </w:rPr>
              <w:t>Quarter (2)</w:t>
            </w:r>
          </w:p>
        </w:tc>
      </w:tr>
      <w:tr>
        <w:trPr>
          <w:trHeight w:val="250"/>
        </w:trPr>
        <w:tc>
          <w:tcPr>
            <w:tcW w:w="40" w:type="dxa"/>
            <w:vAlign w:val="bottom"/>
          </w:tcPr>
          <w:p>
            <w:pPr>
              <w:spacing w:after="0"/>
              <w:rPr>
                <w:sz w:val="21"/>
                <w:szCs w:val="21"/>
                <w:color w:val="auto"/>
              </w:rPr>
            </w:pPr>
          </w:p>
        </w:tc>
        <w:tc>
          <w:tcPr>
            <w:tcW w:w="5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900" w:type="dxa"/>
            <w:vAlign w:val="bottom"/>
            <w:gridSpan w:val="3"/>
          </w:tcPr>
          <w:p>
            <w:pPr>
              <w:jc w:val="center"/>
              <w:ind w:right="133"/>
              <w:spacing w:after="0"/>
              <w:rPr>
                <w:sz w:val="20"/>
                <w:szCs w:val="20"/>
                <w:color w:val="auto"/>
              </w:rPr>
            </w:pPr>
            <w:r>
              <w:rPr>
                <w:rFonts w:ascii="Arial" w:cs="Arial" w:eastAsia="Arial" w:hAnsi="Arial"/>
                <w:sz w:val="14"/>
                <w:szCs w:val="14"/>
                <w:b w:val="1"/>
                <w:bCs w:val="1"/>
                <w:color w:val="auto"/>
                <w:w w:val="90"/>
              </w:rPr>
              <w:t>(In thousands, except per share amounts)</w:t>
            </w:r>
          </w:p>
        </w:tc>
        <w:tc>
          <w:tcPr>
            <w:tcW w:w="3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56"/>
        </w:trPr>
        <w:tc>
          <w:tcPr>
            <w:tcW w:w="51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519,383</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600,799</w:t>
            </w:r>
          </w:p>
        </w:tc>
        <w:tc>
          <w:tcPr>
            <w:tcW w:w="4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626,092</w:t>
            </w:r>
          </w:p>
        </w:tc>
        <w:tc>
          <w:tcPr>
            <w:tcW w:w="3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571,400</w:t>
            </w:r>
          </w:p>
        </w:tc>
        <w:tc>
          <w:tcPr>
            <w:tcW w:w="20" w:type="dxa"/>
            <w:vAlign w:val="bottom"/>
            <w:tcBorders>
              <w:bottom w:val="single" w:sz="8" w:color="CCEEFF"/>
            </w:tcBorders>
            <w:shd w:val="clear" w:color="auto" w:fill="CCEEFF"/>
          </w:tcPr>
          <w:p>
            <w:pPr>
              <w:spacing w:after="0"/>
              <w:rPr>
                <w:sz w:val="22"/>
                <w:szCs w:val="22"/>
                <w:color w:val="auto"/>
              </w:rPr>
            </w:pPr>
          </w:p>
        </w:tc>
      </w:tr>
      <w:tr>
        <w:trPr>
          <w:trHeight w:val="243"/>
        </w:trPr>
        <w:tc>
          <w:tcPr>
            <w:tcW w:w="5160" w:type="dxa"/>
            <w:vAlign w:val="bottom"/>
            <w:gridSpan w:val="2"/>
          </w:tcPr>
          <w:p>
            <w:pPr>
              <w:ind w:left="40"/>
              <w:spacing w:after="0"/>
              <w:rPr>
                <w:sz w:val="20"/>
                <w:szCs w:val="20"/>
                <w:color w:val="auto"/>
              </w:rPr>
            </w:pPr>
            <w:r>
              <w:rPr>
                <w:rFonts w:ascii="Arial" w:cs="Arial" w:eastAsia="Arial" w:hAnsi="Arial"/>
                <w:sz w:val="18"/>
                <w:szCs w:val="18"/>
                <w:color w:val="auto"/>
              </w:rPr>
              <w:t xml:space="preserve">Gross profit </w:t>
            </w:r>
            <w:r>
              <w:rPr>
                <w:rFonts w:ascii="Arial" w:cs="Arial" w:eastAsia="Arial" w:hAnsi="Arial"/>
                <w:sz w:val="16"/>
                <w:szCs w:val="16"/>
                <w:color w:val="auto"/>
              </w:rPr>
              <w:t>(1)</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73"/>
              <w:spacing w:after="0"/>
              <w:rPr>
                <w:sz w:val="20"/>
                <w:szCs w:val="20"/>
                <w:color w:val="auto"/>
              </w:rPr>
            </w:pPr>
            <w:r>
              <w:rPr>
                <w:rFonts w:ascii="Arial" w:cs="Arial" w:eastAsia="Arial" w:hAnsi="Arial"/>
                <w:sz w:val="18"/>
                <w:szCs w:val="18"/>
                <w:color w:val="auto"/>
              </w:rPr>
              <w:t>275,029</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327,822</w:t>
            </w:r>
          </w:p>
        </w:tc>
        <w:tc>
          <w:tcPr>
            <w:tcW w:w="400" w:type="dxa"/>
            <w:vAlign w:val="bottom"/>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357,779</w:t>
            </w:r>
          </w:p>
        </w:tc>
        <w:tc>
          <w:tcPr>
            <w:tcW w:w="3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327,517</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51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(13,271)</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56,688</w:t>
            </w:r>
          </w:p>
        </w:tc>
        <w:tc>
          <w:tcPr>
            <w:tcW w:w="4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77,454</w:t>
            </w:r>
          </w:p>
        </w:tc>
        <w:tc>
          <w:tcPr>
            <w:tcW w:w="3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(76,877)</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gridSpan w:val="2"/>
          </w:tcPr>
          <w:p>
            <w:pPr>
              <w:ind w:left="40"/>
              <w:spacing w:after="0"/>
              <w:rPr>
                <w:sz w:val="20"/>
                <w:szCs w:val="20"/>
                <w:color w:val="auto"/>
              </w:rPr>
            </w:pPr>
            <w:r>
              <w:rPr>
                <w:rFonts w:ascii="Arial" w:cs="Arial" w:eastAsia="Arial" w:hAnsi="Arial"/>
                <w:sz w:val="18"/>
                <w:szCs w:val="18"/>
                <w:color w:val="auto"/>
              </w:rPr>
              <w:t>Loss from discontinued operations</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(9,408)</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spacing w:after="0"/>
              <w:rPr>
                <w:sz w:val="20"/>
                <w:szCs w:val="20"/>
                <w:color w:val="auto"/>
              </w:rPr>
            </w:pPr>
            <w:r>
              <w:rPr>
                <w:rFonts w:ascii="Arial" w:cs="Arial" w:eastAsia="Arial" w:hAnsi="Arial"/>
                <w:sz w:val="18"/>
                <w:szCs w:val="18"/>
                <w:color w:val="auto"/>
              </w:rPr>
              <w:t>(5,383)</w:t>
            </w:r>
          </w:p>
        </w:tc>
        <w:tc>
          <w:tcPr>
            <w:tcW w:w="400" w:type="dxa"/>
            <w:vAlign w:val="bottom"/>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(4,838)</w:t>
            </w:r>
          </w:p>
        </w:tc>
        <w:tc>
          <w:tcPr>
            <w:tcW w:w="3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(3,214)</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51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(22,679)</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51,305</w:t>
            </w:r>
          </w:p>
        </w:tc>
        <w:tc>
          <w:tcPr>
            <w:tcW w:w="4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72,616</w:t>
            </w:r>
          </w:p>
        </w:tc>
        <w:tc>
          <w:tcPr>
            <w:tcW w:w="3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(80,091)</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gridSpan w:val="2"/>
          </w:tcPr>
          <w:p>
            <w:pPr>
              <w:ind w:left="40"/>
              <w:spacing w:after="0"/>
              <w:rPr>
                <w:sz w:val="20"/>
                <w:szCs w:val="20"/>
                <w:color w:val="auto"/>
              </w:rPr>
            </w:pPr>
            <w:r>
              <w:rPr>
                <w:rFonts w:ascii="Arial" w:cs="Arial" w:eastAsia="Arial" w:hAnsi="Arial"/>
                <w:sz w:val="18"/>
                <w:szCs w:val="18"/>
                <w:color w:val="auto"/>
              </w:rPr>
              <w:t>Income (loss) per share from continuing operations:</w:t>
            </w: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512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(0.03)</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0.11</w:t>
            </w:r>
          </w:p>
        </w:tc>
        <w:tc>
          <w:tcPr>
            <w:tcW w:w="4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0.15</w:t>
            </w:r>
          </w:p>
        </w:tc>
        <w:tc>
          <w:tcPr>
            <w:tcW w:w="3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32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(0.03)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0.11</w:t>
            </w:r>
          </w:p>
        </w:tc>
        <w:tc>
          <w:tcPr>
            <w:tcW w:w="400" w:type="dxa"/>
            <w:vAlign w:val="bottom"/>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0.15</w:t>
            </w:r>
          </w:p>
        </w:tc>
        <w:tc>
          <w:tcPr>
            <w:tcW w:w="3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(0.15)</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51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Loss per share from discontinued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320"/>
              <w:spacing w:after="0"/>
              <w:rPr>
                <w:sz w:val="20"/>
                <w:szCs w:val="20"/>
                <w:color w:val="auto"/>
              </w:rPr>
            </w:pPr>
            <w:r>
              <w:rPr>
                <w:rFonts w:ascii="Arial" w:cs="Arial" w:eastAsia="Arial" w:hAnsi="Arial"/>
                <w:sz w:val="18"/>
                <w:szCs w:val="18"/>
                <w:color w:val="auto"/>
              </w:rPr>
              <w:t>Basic</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(0.01)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spacing w:after="0"/>
              <w:rPr>
                <w:sz w:val="20"/>
                <w:szCs w:val="20"/>
                <w:color w:val="auto"/>
              </w:rPr>
            </w:pPr>
            <w:r>
              <w:rPr>
                <w:rFonts w:ascii="Arial" w:cs="Arial" w:eastAsia="Arial" w:hAnsi="Arial"/>
                <w:sz w:val="18"/>
                <w:szCs w:val="18"/>
                <w:color w:val="auto"/>
              </w:rPr>
              <w:t>(0.01)</w:t>
            </w:r>
          </w:p>
        </w:tc>
        <w:tc>
          <w:tcPr>
            <w:tcW w:w="400" w:type="dxa"/>
            <w:vAlign w:val="bottom"/>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(0.01)</w:t>
            </w:r>
          </w:p>
        </w:tc>
        <w:tc>
          <w:tcPr>
            <w:tcW w:w="3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(0.01)</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5120" w:type="dxa"/>
            <w:vAlign w:val="bottom"/>
            <w:tcBorders>
              <w:bottom w:val="single" w:sz="8" w:color="CCEEFF"/>
            </w:tcBorders>
            <w:shd w:val="clear" w:color="auto" w:fill="CCEEFF"/>
          </w:tcPr>
          <w:p>
            <w:pPr>
              <w:ind w:left="320"/>
              <w:spacing w:after="0"/>
              <w:rPr>
                <w:sz w:val="20"/>
                <w:szCs w:val="20"/>
                <w:color w:val="auto"/>
              </w:rPr>
            </w:pPr>
            <w:r>
              <w:rPr>
                <w:rFonts w:ascii="Arial" w:cs="Arial" w:eastAsia="Arial" w:hAnsi="Arial"/>
                <w:sz w:val="18"/>
                <w:szCs w:val="18"/>
                <w:color w:val="auto"/>
              </w:rPr>
              <w:t>Diluted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(0.01)</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4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3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gridSpan w:val="2"/>
          </w:tcPr>
          <w:p>
            <w:pPr>
              <w:ind w:left="40"/>
              <w:spacing w:after="0"/>
              <w:rPr>
                <w:sz w:val="20"/>
                <w:szCs w:val="20"/>
                <w:color w:val="auto"/>
              </w:rPr>
            </w:pPr>
            <w:r>
              <w:rPr>
                <w:rFonts w:ascii="Arial" w:cs="Arial" w:eastAsia="Arial" w:hAnsi="Arial"/>
                <w:sz w:val="18"/>
                <w:szCs w:val="18"/>
                <w:color w:val="auto"/>
              </w:rPr>
              <w:t>Net income (loss) per share:</w:t>
            </w: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(0.04)</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0.10</w:t>
            </w:r>
          </w:p>
        </w:tc>
        <w:tc>
          <w:tcPr>
            <w:tcW w:w="4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0.14</w:t>
            </w:r>
          </w:p>
        </w:tc>
        <w:tc>
          <w:tcPr>
            <w:tcW w:w="3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34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(0.04)</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0.10</w:t>
            </w:r>
          </w:p>
        </w:tc>
        <w:tc>
          <w:tcPr>
            <w:tcW w:w="400" w:type="dxa"/>
            <w:vAlign w:val="bottom"/>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0.14</w:t>
            </w:r>
          </w:p>
        </w:tc>
        <w:tc>
          <w:tcPr>
            <w:tcW w:w="3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(0.16)</w:t>
            </w:r>
          </w:p>
        </w:tc>
        <w:tc>
          <w:tcPr>
            <w:tcW w:w="20" w:type="dxa"/>
            <w:vAlign w:val="bottom"/>
          </w:tcPr>
          <w:p>
            <w:pPr>
              <w:spacing w:after="0"/>
              <w:rPr>
                <w:sz w:val="21"/>
                <w:szCs w:val="21"/>
                <w:color w:val="auto"/>
              </w:rPr>
            </w:pPr>
          </w:p>
        </w:tc>
      </w:tr>
      <w:tr>
        <w:trPr>
          <w:trHeight w:val="534"/>
        </w:trPr>
        <w:tc>
          <w:tcPr>
            <w:tcW w:w="40" w:type="dxa"/>
            <w:vAlign w:val="bottom"/>
          </w:tcPr>
          <w:p>
            <w:pPr>
              <w:spacing w:after="0"/>
              <w:rPr>
                <w:sz w:val="24"/>
                <w:szCs w:val="24"/>
                <w:color w:val="auto"/>
              </w:rPr>
            </w:pPr>
          </w:p>
        </w:tc>
        <w:tc>
          <w:tcPr>
            <w:tcW w:w="5120" w:type="dxa"/>
            <w:vAlign w:val="bottom"/>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2"/>
          </w:tcPr>
          <w:p>
            <w:pPr>
              <w:jc w:val="center"/>
              <w:ind w:left="835"/>
              <w:spacing w:after="0"/>
              <w:rPr>
                <w:sz w:val="20"/>
                <w:szCs w:val="20"/>
                <w:color w:val="auto"/>
              </w:rPr>
            </w:pPr>
            <w:r>
              <w:rPr>
                <w:rFonts w:ascii="Arial" w:cs="Arial" w:eastAsia="Arial" w:hAnsi="Arial"/>
                <w:sz w:val="14"/>
                <w:szCs w:val="14"/>
                <w:b w:val="1"/>
                <w:bCs w:val="1"/>
                <w:color w:val="auto"/>
                <w:w w:val="90"/>
              </w:rPr>
              <w:t>Fiscal 2016</w:t>
            </w:r>
          </w:p>
        </w:tc>
        <w:tc>
          <w:tcPr>
            <w:tcW w:w="118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r>
      <w:tr>
        <w:trPr>
          <w:trHeight w:val="152"/>
        </w:trPr>
        <w:tc>
          <w:tcPr>
            <w:tcW w:w="40" w:type="dxa"/>
            <w:vAlign w:val="bottom"/>
          </w:tcPr>
          <w:p>
            <w:pPr>
              <w:spacing w:after="0"/>
              <w:rPr>
                <w:sz w:val="13"/>
                <w:szCs w:val="13"/>
                <w:color w:val="auto"/>
              </w:rPr>
            </w:pPr>
          </w:p>
        </w:tc>
        <w:tc>
          <w:tcPr>
            <w:tcW w:w="5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tcPr>
          <w:p>
            <w:pPr>
              <w:jc w:val="center"/>
              <w:ind w:right="213"/>
              <w:spacing w:after="0" w:line="153" w:lineRule="exact"/>
              <w:rPr>
                <w:sz w:val="20"/>
                <w:szCs w:val="20"/>
                <w:color w:val="auto"/>
              </w:rPr>
            </w:pPr>
            <w:r>
              <w:rPr>
                <w:rFonts w:ascii="Arial" w:cs="Arial" w:eastAsia="Arial" w:hAnsi="Arial"/>
                <w:sz w:val="14"/>
                <w:szCs w:val="14"/>
                <w:b w:val="1"/>
                <w:bCs w:val="1"/>
                <w:color w:val="auto"/>
                <w:w w:val="98"/>
              </w:rPr>
              <w:t>First</w:t>
            </w:r>
          </w:p>
        </w:tc>
        <w:tc>
          <w:tcPr>
            <w:tcW w:w="260" w:type="dxa"/>
            <w:vAlign w:val="bottom"/>
          </w:tcPr>
          <w:p>
            <w:pPr>
              <w:spacing w:after="0"/>
              <w:rPr>
                <w:sz w:val="13"/>
                <w:szCs w:val="13"/>
                <w:color w:val="auto"/>
              </w:rPr>
            </w:pPr>
          </w:p>
        </w:tc>
        <w:tc>
          <w:tcPr>
            <w:tcW w:w="1320" w:type="dxa"/>
            <w:vAlign w:val="bottom"/>
          </w:tcPr>
          <w:p>
            <w:pPr>
              <w:ind w:left="320"/>
              <w:spacing w:after="0" w:line="153" w:lineRule="exact"/>
              <w:rPr>
                <w:sz w:val="20"/>
                <w:szCs w:val="20"/>
                <w:color w:val="auto"/>
              </w:rPr>
            </w:pPr>
            <w:r>
              <w:rPr>
                <w:rFonts w:ascii="Arial" w:cs="Arial" w:eastAsia="Arial" w:hAnsi="Arial"/>
                <w:sz w:val="14"/>
                <w:szCs w:val="14"/>
                <w:b w:val="1"/>
                <w:bCs w:val="1"/>
                <w:color w:val="auto"/>
              </w:rPr>
              <w:t>Second</w:t>
            </w:r>
          </w:p>
        </w:tc>
        <w:tc>
          <w:tcPr>
            <w:tcW w:w="400" w:type="dxa"/>
            <w:vAlign w:val="bottom"/>
          </w:tcPr>
          <w:p>
            <w:pPr>
              <w:spacing w:after="0"/>
              <w:rPr>
                <w:sz w:val="13"/>
                <w:szCs w:val="13"/>
                <w:color w:val="auto"/>
              </w:rPr>
            </w:pPr>
          </w:p>
        </w:tc>
        <w:tc>
          <w:tcPr>
            <w:tcW w:w="1180" w:type="dxa"/>
            <w:vAlign w:val="bottom"/>
          </w:tcPr>
          <w:p>
            <w:pPr>
              <w:jc w:val="center"/>
              <w:ind w:right="293"/>
              <w:spacing w:after="0" w:line="153" w:lineRule="exact"/>
              <w:rPr>
                <w:sz w:val="20"/>
                <w:szCs w:val="20"/>
                <w:color w:val="auto"/>
              </w:rPr>
            </w:pPr>
            <w:r>
              <w:rPr>
                <w:rFonts w:ascii="Arial" w:cs="Arial" w:eastAsia="Arial" w:hAnsi="Arial"/>
                <w:sz w:val="14"/>
                <w:szCs w:val="14"/>
                <w:b w:val="1"/>
                <w:bCs w:val="1"/>
                <w:color w:val="auto"/>
              </w:rPr>
              <w:t>Third</w:t>
            </w:r>
          </w:p>
        </w:tc>
        <w:tc>
          <w:tcPr>
            <w:tcW w:w="340" w:type="dxa"/>
            <w:vAlign w:val="bottom"/>
          </w:tcPr>
          <w:p>
            <w:pPr>
              <w:spacing w:after="0"/>
              <w:rPr>
                <w:sz w:val="13"/>
                <w:szCs w:val="13"/>
                <w:color w:val="auto"/>
              </w:rPr>
            </w:pPr>
          </w:p>
        </w:tc>
        <w:tc>
          <w:tcPr>
            <w:tcW w:w="1220" w:type="dxa"/>
            <w:vAlign w:val="bottom"/>
            <w:gridSpan w:val="2"/>
          </w:tcPr>
          <w:p>
            <w:pPr>
              <w:ind w:left="240"/>
              <w:spacing w:after="0" w:line="153" w:lineRule="exact"/>
              <w:rPr>
                <w:sz w:val="20"/>
                <w:szCs w:val="20"/>
                <w:color w:val="auto"/>
              </w:rPr>
            </w:pPr>
            <w:r>
              <w:rPr>
                <w:rFonts w:ascii="Arial" w:cs="Arial" w:eastAsia="Arial" w:hAnsi="Arial"/>
                <w:sz w:val="14"/>
                <w:szCs w:val="14"/>
                <w:b w:val="1"/>
                <w:bCs w:val="1"/>
                <w:color w:val="auto"/>
              </w:rPr>
              <w:t>Fourth</w:t>
            </w:r>
          </w:p>
        </w:tc>
      </w:tr>
      <w:tr>
        <w:trPr>
          <w:trHeight w:val="192"/>
        </w:trPr>
        <w:tc>
          <w:tcPr>
            <w:tcW w:w="40" w:type="dxa"/>
            <w:vAlign w:val="bottom"/>
          </w:tcPr>
          <w:p>
            <w:pPr>
              <w:spacing w:after="0"/>
              <w:rPr>
                <w:sz w:val="16"/>
                <w:szCs w:val="16"/>
                <w:color w:val="auto"/>
              </w:rPr>
            </w:pPr>
          </w:p>
        </w:tc>
        <w:tc>
          <w:tcPr>
            <w:tcW w:w="5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80" w:type="dxa"/>
            <w:vAlign w:val="bottom"/>
          </w:tcPr>
          <w:p>
            <w:pPr>
              <w:jc w:val="center"/>
              <w:ind w:right="233"/>
              <w:spacing w:after="0"/>
              <w:rPr>
                <w:sz w:val="20"/>
                <w:szCs w:val="20"/>
                <w:color w:val="auto"/>
              </w:rPr>
            </w:pPr>
            <w:r>
              <w:rPr>
                <w:rFonts w:ascii="Arial" w:cs="Arial" w:eastAsia="Arial" w:hAnsi="Arial"/>
                <w:sz w:val="14"/>
                <w:szCs w:val="14"/>
                <w:b w:val="1"/>
                <w:bCs w:val="1"/>
                <w:color w:val="auto"/>
              </w:rPr>
              <w:t>Quarter (3)</w:t>
            </w:r>
          </w:p>
        </w:tc>
        <w:tc>
          <w:tcPr>
            <w:tcW w:w="260" w:type="dxa"/>
            <w:vAlign w:val="bottom"/>
          </w:tcPr>
          <w:p>
            <w:pPr>
              <w:spacing w:after="0"/>
              <w:rPr>
                <w:sz w:val="16"/>
                <w:szCs w:val="16"/>
                <w:color w:val="auto"/>
              </w:rPr>
            </w:pPr>
          </w:p>
        </w:tc>
        <w:tc>
          <w:tcPr>
            <w:tcW w:w="1320" w:type="dxa"/>
            <w:vAlign w:val="bottom"/>
          </w:tcPr>
          <w:p>
            <w:pPr>
              <w:jc w:val="right"/>
              <w:ind w:right="355"/>
              <w:spacing w:after="0"/>
              <w:rPr>
                <w:sz w:val="20"/>
                <w:szCs w:val="20"/>
                <w:color w:val="auto"/>
              </w:rPr>
            </w:pPr>
            <w:r>
              <w:rPr>
                <w:rFonts w:ascii="Arial" w:cs="Arial" w:eastAsia="Arial" w:hAnsi="Arial"/>
                <w:sz w:val="14"/>
                <w:szCs w:val="14"/>
                <w:b w:val="1"/>
                <w:bCs w:val="1"/>
                <w:color w:val="auto"/>
              </w:rPr>
              <w:t>Quarter (4)</w:t>
            </w:r>
          </w:p>
        </w:tc>
        <w:tc>
          <w:tcPr>
            <w:tcW w:w="400" w:type="dxa"/>
            <w:vAlign w:val="bottom"/>
          </w:tcPr>
          <w:p>
            <w:pPr>
              <w:spacing w:after="0"/>
              <w:rPr>
                <w:sz w:val="16"/>
                <w:szCs w:val="16"/>
                <w:color w:val="auto"/>
              </w:rPr>
            </w:pPr>
          </w:p>
        </w:tc>
        <w:tc>
          <w:tcPr>
            <w:tcW w:w="1180" w:type="dxa"/>
            <w:vAlign w:val="bottom"/>
          </w:tcPr>
          <w:p>
            <w:pPr>
              <w:jc w:val="center"/>
              <w:ind w:right="313"/>
              <w:spacing w:after="0"/>
              <w:rPr>
                <w:sz w:val="20"/>
                <w:szCs w:val="20"/>
                <w:color w:val="auto"/>
              </w:rPr>
            </w:pPr>
            <w:r>
              <w:rPr>
                <w:rFonts w:ascii="Arial" w:cs="Arial" w:eastAsia="Arial" w:hAnsi="Arial"/>
                <w:sz w:val="14"/>
                <w:szCs w:val="14"/>
                <w:b w:val="1"/>
                <w:bCs w:val="1"/>
                <w:color w:val="auto"/>
                <w:w w:val="97"/>
              </w:rPr>
              <w:t>Quarter (5)</w:t>
            </w:r>
          </w:p>
        </w:tc>
        <w:tc>
          <w:tcPr>
            <w:tcW w:w="340" w:type="dxa"/>
            <w:vAlign w:val="bottom"/>
          </w:tcPr>
          <w:p>
            <w:pPr>
              <w:spacing w:after="0"/>
              <w:rPr>
                <w:sz w:val="16"/>
                <w:szCs w:val="16"/>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Quarter</w:t>
            </w:r>
          </w:p>
        </w:tc>
      </w:tr>
      <w:tr>
        <w:trPr>
          <w:trHeight w:val="250"/>
        </w:trPr>
        <w:tc>
          <w:tcPr>
            <w:tcW w:w="40" w:type="dxa"/>
            <w:vAlign w:val="bottom"/>
          </w:tcPr>
          <w:p>
            <w:pPr>
              <w:spacing w:after="0"/>
              <w:rPr>
                <w:sz w:val="21"/>
                <w:szCs w:val="21"/>
                <w:color w:val="auto"/>
              </w:rPr>
            </w:pPr>
          </w:p>
        </w:tc>
        <w:tc>
          <w:tcPr>
            <w:tcW w:w="5120" w:type="dxa"/>
            <w:vAlign w:val="bottom"/>
          </w:tcPr>
          <w:p>
            <w:pPr>
              <w:spacing w:after="0"/>
              <w:rPr>
                <w:sz w:val="21"/>
                <w:szCs w:val="21"/>
                <w:color w:val="auto"/>
              </w:rPr>
            </w:pPr>
          </w:p>
        </w:tc>
        <w:tc>
          <w:tcPr>
            <w:tcW w:w="260" w:type="dxa"/>
            <w:vAlign w:val="bottom"/>
            <w:tcBorders>
              <w:top w:val="single" w:sz="8" w:color="auto"/>
            </w:tcBorders>
          </w:tcPr>
          <w:p>
            <w:pPr>
              <w:spacing w:after="0"/>
              <w:rPr>
                <w:sz w:val="21"/>
                <w:szCs w:val="21"/>
                <w:color w:val="auto"/>
              </w:rPr>
            </w:pPr>
          </w:p>
        </w:tc>
        <w:tc>
          <w:tcPr>
            <w:tcW w:w="1280" w:type="dxa"/>
            <w:vAlign w:val="bottom"/>
            <w:tcBorders>
              <w:top w:val="single" w:sz="8" w:color="auto"/>
            </w:tcBorders>
          </w:tcPr>
          <w:p>
            <w:pPr>
              <w:spacing w:after="0"/>
              <w:rPr>
                <w:sz w:val="21"/>
                <w:szCs w:val="21"/>
                <w:color w:val="auto"/>
              </w:rPr>
            </w:pPr>
          </w:p>
        </w:tc>
        <w:tc>
          <w:tcPr>
            <w:tcW w:w="260" w:type="dxa"/>
            <w:vAlign w:val="bottom"/>
            <w:tcBorders>
              <w:top w:val="single" w:sz="8" w:color="auto"/>
            </w:tcBorders>
          </w:tcPr>
          <w:p>
            <w:pPr>
              <w:spacing w:after="0"/>
              <w:rPr>
                <w:sz w:val="21"/>
                <w:szCs w:val="21"/>
                <w:color w:val="auto"/>
              </w:rPr>
            </w:pPr>
          </w:p>
        </w:tc>
        <w:tc>
          <w:tcPr>
            <w:tcW w:w="2900" w:type="dxa"/>
            <w:vAlign w:val="bottom"/>
            <w:tcBorders>
              <w:top w:val="single" w:sz="8" w:color="auto"/>
            </w:tcBorders>
            <w:gridSpan w:val="3"/>
          </w:tcPr>
          <w:p>
            <w:pPr>
              <w:jc w:val="center"/>
              <w:ind w:right="153"/>
              <w:spacing w:after="0"/>
              <w:rPr>
                <w:sz w:val="20"/>
                <w:szCs w:val="20"/>
                <w:color w:val="auto"/>
              </w:rPr>
            </w:pPr>
            <w:r>
              <w:rPr>
                <w:rFonts w:ascii="Arial" w:cs="Arial" w:eastAsia="Arial" w:hAnsi="Arial"/>
                <w:sz w:val="14"/>
                <w:szCs w:val="14"/>
                <w:b w:val="1"/>
                <w:bCs w:val="1"/>
                <w:color w:val="auto"/>
                <w:w w:val="91"/>
              </w:rPr>
              <w:t>(In thousands, except per share amounts)</w:t>
            </w:r>
          </w:p>
        </w:tc>
        <w:tc>
          <w:tcPr>
            <w:tcW w:w="340" w:type="dxa"/>
            <w:vAlign w:val="bottom"/>
            <w:tcBorders>
              <w:top w:val="single" w:sz="8" w:color="auto"/>
            </w:tcBorders>
          </w:tcPr>
          <w:p>
            <w:pPr>
              <w:spacing w:after="0"/>
              <w:rPr>
                <w:sz w:val="21"/>
                <w:szCs w:val="21"/>
                <w:color w:val="auto"/>
              </w:rPr>
            </w:pPr>
          </w:p>
        </w:tc>
        <w:tc>
          <w:tcPr>
            <w:tcW w:w="1200" w:type="dxa"/>
            <w:vAlign w:val="bottom"/>
            <w:tcBorders>
              <w:top w:val="single" w:sz="8" w:color="auto"/>
            </w:tcBorders>
          </w:tcPr>
          <w:p>
            <w:pPr>
              <w:spacing w:after="0"/>
              <w:rPr>
                <w:sz w:val="21"/>
                <w:szCs w:val="21"/>
                <w:color w:val="auto"/>
              </w:rPr>
            </w:pPr>
          </w:p>
        </w:tc>
        <w:tc>
          <w:tcPr>
            <w:tcW w:w="20" w:type="dxa"/>
            <w:vAlign w:val="bottom"/>
          </w:tcPr>
          <w:p>
            <w:pPr>
              <w:spacing w:after="0"/>
              <w:rPr>
                <w:sz w:val="21"/>
                <w:szCs w:val="21"/>
                <w:color w:val="auto"/>
              </w:rPr>
            </w:pPr>
          </w:p>
        </w:tc>
      </w:tr>
      <w:tr>
        <w:trPr>
          <w:trHeight w:val="256"/>
        </w:trPr>
        <w:tc>
          <w:tcPr>
            <w:tcW w:w="40" w:type="dxa"/>
            <w:vAlign w:val="bottom"/>
          </w:tcPr>
          <w:p>
            <w:pPr>
              <w:spacing w:after="0"/>
              <w:rPr>
                <w:sz w:val="22"/>
                <w:szCs w:val="22"/>
                <w:color w:val="auto"/>
              </w:rPr>
            </w:pPr>
          </w:p>
        </w:tc>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709,563</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687,923</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649,217</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602,513</w:t>
            </w:r>
          </w:p>
        </w:tc>
        <w:tc>
          <w:tcPr>
            <w:tcW w:w="20" w:type="dxa"/>
            <w:vAlign w:val="bottom"/>
          </w:tcPr>
          <w:p>
            <w:pPr>
              <w:spacing w:after="0"/>
              <w:rPr>
                <w:sz w:val="22"/>
                <w:szCs w:val="22"/>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20"/>
              <w:spacing w:after="0"/>
              <w:rPr>
                <w:sz w:val="20"/>
                <w:szCs w:val="20"/>
                <w:color w:val="auto"/>
              </w:rPr>
            </w:pPr>
            <w:r>
              <w:rPr>
                <w:rFonts w:ascii="Arial" w:cs="Arial" w:eastAsia="Arial" w:hAnsi="Arial"/>
                <w:sz w:val="18"/>
                <w:szCs w:val="18"/>
                <w:color w:val="auto"/>
              </w:rPr>
              <w:t xml:space="preserve">Gross profit </w:t>
            </w:r>
            <w:r>
              <w:rPr>
                <w:rFonts w:ascii="Arial" w:cs="Arial" w:eastAsia="Arial" w:hAnsi="Arial"/>
                <w:sz w:val="16"/>
                <w:szCs w:val="16"/>
                <w:color w:val="auto"/>
              </w:rPr>
              <w:t>(1)</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73"/>
              <w:spacing w:after="0"/>
              <w:rPr>
                <w:sz w:val="20"/>
                <w:szCs w:val="20"/>
                <w:color w:val="auto"/>
              </w:rPr>
            </w:pPr>
            <w:r>
              <w:rPr>
                <w:rFonts w:ascii="Arial" w:cs="Arial" w:eastAsia="Arial" w:hAnsi="Arial"/>
                <w:sz w:val="18"/>
                <w:szCs w:val="18"/>
                <w:color w:val="auto"/>
              </w:rPr>
              <w:t>368,427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75"/>
              <w:spacing w:after="0"/>
              <w:rPr>
                <w:sz w:val="20"/>
                <w:szCs w:val="20"/>
                <w:color w:val="auto"/>
              </w:rPr>
            </w:pPr>
            <w:r>
              <w:rPr>
                <w:rFonts w:ascii="Arial" w:cs="Arial" w:eastAsia="Arial" w:hAnsi="Arial"/>
                <w:sz w:val="18"/>
                <w:szCs w:val="18"/>
                <w:color w:val="auto"/>
              </w:rPr>
              <w:t>241,920</w:t>
            </w:r>
          </w:p>
        </w:tc>
        <w:tc>
          <w:tcPr>
            <w:tcW w:w="40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73"/>
              <w:spacing w:after="0"/>
              <w:rPr>
                <w:sz w:val="20"/>
                <w:szCs w:val="20"/>
                <w:color w:val="auto"/>
              </w:rPr>
            </w:pPr>
            <w:r>
              <w:rPr>
                <w:rFonts w:ascii="Arial" w:cs="Arial" w:eastAsia="Arial" w:hAnsi="Arial"/>
                <w:sz w:val="18"/>
                <w:szCs w:val="18"/>
                <w:color w:val="auto"/>
              </w:rPr>
              <w:t>286,127</w:t>
            </w:r>
          </w:p>
        </w:tc>
        <w:tc>
          <w:tcPr>
            <w:tcW w:w="3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310,225</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continuing operations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27,112</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(761,484)</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(51,956)</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17,173</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20"/>
              <w:spacing w:after="0"/>
              <w:rPr>
                <w:sz w:val="20"/>
                <w:szCs w:val="20"/>
                <w:color w:val="auto"/>
              </w:rPr>
            </w:pPr>
            <w:r>
              <w:rPr>
                <w:rFonts w:ascii="Arial" w:cs="Arial" w:eastAsia="Arial" w:hAnsi="Arial"/>
                <w:sz w:val="18"/>
                <w:szCs w:val="18"/>
                <w:color w:val="auto"/>
              </w:rPr>
              <w:t>Loss from discontinued operations</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(13,022)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15"/>
              <w:spacing w:after="0"/>
              <w:rPr>
                <w:sz w:val="20"/>
                <w:szCs w:val="20"/>
                <w:color w:val="auto"/>
              </w:rPr>
            </w:pPr>
            <w:r>
              <w:rPr>
                <w:rFonts w:ascii="Arial" w:cs="Arial" w:eastAsia="Arial" w:hAnsi="Arial"/>
                <w:sz w:val="18"/>
                <w:szCs w:val="18"/>
                <w:color w:val="auto"/>
              </w:rPr>
              <w:t>(10,456)</w:t>
            </w:r>
          </w:p>
        </w:tc>
        <w:tc>
          <w:tcPr>
            <w:tcW w:w="40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(5,794)</w:t>
            </w:r>
          </w:p>
        </w:tc>
        <w:tc>
          <w:tcPr>
            <w:tcW w:w="3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(12,973)</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14,090</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(771,940)</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(57,750)</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4,200</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20"/>
              <w:spacing w:after="0"/>
              <w:rPr>
                <w:sz w:val="20"/>
                <w:szCs w:val="20"/>
                <w:color w:val="auto"/>
              </w:rPr>
            </w:pPr>
            <w:r>
              <w:rPr>
                <w:rFonts w:ascii="Arial" w:cs="Arial" w:eastAsia="Arial" w:hAnsi="Arial"/>
                <w:sz w:val="18"/>
                <w:szCs w:val="18"/>
                <w:color w:val="auto"/>
              </w:rPr>
              <w:t>Income (loss) per share from continuing operations:</w:t>
            </w: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0.06</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(1.47)</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(0.10)</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0.03</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34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73"/>
              <w:spacing w:after="0"/>
              <w:rPr>
                <w:sz w:val="20"/>
                <w:szCs w:val="20"/>
                <w:color w:val="auto"/>
              </w:rPr>
            </w:pPr>
            <w:r>
              <w:rPr>
                <w:rFonts w:ascii="Arial" w:cs="Arial" w:eastAsia="Arial" w:hAnsi="Arial"/>
                <w:sz w:val="18"/>
                <w:szCs w:val="18"/>
                <w:color w:val="auto"/>
              </w:rPr>
              <w:t>0.06</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15"/>
              <w:spacing w:after="0"/>
              <w:rPr>
                <w:sz w:val="20"/>
                <w:szCs w:val="20"/>
                <w:color w:val="auto"/>
              </w:rPr>
            </w:pPr>
            <w:r>
              <w:rPr>
                <w:rFonts w:ascii="Arial" w:cs="Arial" w:eastAsia="Arial" w:hAnsi="Arial"/>
                <w:sz w:val="18"/>
                <w:szCs w:val="18"/>
                <w:color w:val="auto"/>
              </w:rPr>
              <w:t>(1.47)</w:t>
            </w:r>
          </w:p>
        </w:tc>
        <w:tc>
          <w:tcPr>
            <w:tcW w:w="40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(0.10)</w:t>
            </w:r>
          </w:p>
        </w:tc>
        <w:tc>
          <w:tcPr>
            <w:tcW w:w="3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0.03</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Loss per share from discontinued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340"/>
              <w:spacing w:after="0"/>
              <w:rPr>
                <w:sz w:val="20"/>
                <w:szCs w:val="20"/>
                <w:color w:val="auto"/>
              </w:rPr>
            </w:pPr>
            <w:r>
              <w:rPr>
                <w:rFonts w:ascii="Arial" w:cs="Arial" w:eastAsia="Arial" w:hAnsi="Arial"/>
                <w:sz w:val="18"/>
                <w:szCs w:val="18"/>
                <w:color w:val="auto"/>
              </w:rPr>
              <w:t>Basic</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(0.03)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15"/>
              <w:spacing w:after="0"/>
              <w:rPr>
                <w:sz w:val="20"/>
                <w:szCs w:val="20"/>
                <w:color w:val="auto"/>
              </w:rPr>
            </w:pPr>
            <w:r>
              <w:rPr>
                <w:rFonts w:ascii="Arial" w:cs="Arial" w:eastAsia="Arial" w:hAnsi="Arial"/>
                <w:sz w:val="18"/>
                <w:szCs w:val="18"/>
                <w:color w:val="auto"/>
              </w:rPr>
              <w:t>(0.02)</w:t>
            </w:r>
          </w:p>
        </w:tc>
        <w:tc>
          <w:tcPr>
            <w:tcW w:w="40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(0.01)</w:t>
            </w:r>
          </w:p>
        </w:tc>
        <w:tc>
          <w:tcPr>
            <w:tcW w:w="3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(0.02)</w:t>
            </w: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(0.03)</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(0.02)</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(0.01)</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20"/>
              <w:spacing w:after="0"/>
              <w:rPr>
                <w:sz w:val="20"/>
                <w:szCs w:val="20"/>
                <w:color w:val="auto"/>
              </w:rPr>
            </w:pPr>
            <w:r>
              <w:rPr>
                <w:rFonts w:ascii="Arial" w:cs="Arial" w:eastAsia="Arial" w:hAnsi="Arial"/>
                <w:sz w:val="18"/>
                <w:szCs w:val="18"/>
                <w:color w:val="auto"/>
              </w:rPr>
              <w:t>Net income (loss) per share:</w:t>
            </w: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7"/>
        </w:trPr>
        <w:tc>
          <w:tcPr>
            <w:tcW w:w="40" w:type="dxa"/>
            <w:vAlign w:val="bottom"/>
          </w:tcPr>
          <w:p>
            <w:pPr>
              <w:spacing w:after="0"/>
              <w:rPr>
                <w:sz w:val="2"/>
                <w:szCs w:val="2"/>
                <w:color w:val="auto"/>
              </w:rPr>
            </w:pPr>
          </w:p>
        </w:tc>
        <w:tc>
          <w:tcPr>
            <w:tcW w:w="5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40" w:type="dxa"/>
            <w:vAlign w:val="bottom"/>
          </w:tcPr>
          <w:p>
            <w:pPr>
              <w:spacing w:after="0"/>
              <w:rPr>
                <w:sz w:val="21"/>
                <w:szCs w:val="21"/>
                <w:color w:val="auto"/>
              </w:rPr>
            </w:pPr>
          </w:p>
        </w:tc>
        <w:tc>
          <w:tcPr>
            <w:tcW w:w="51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0.03</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(1.49)</w:t>
            </w:r>
          </w:p>
        </w:tc>
        <w:tc>
          <w:tcPr>
            <w:tcW w:w="40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(0.11)</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0.01</w:t>
            </w:r>
          </w:p>
        </w:tc>
        <w:tc>
          <w:tcPr>
            <w:tcW w:w="20" w:type="dxa"/>
            <w:vAlign w:val="bottom"/>
          </w:tcPr>
          <w:p>
            <w:pPr>
              <w:spacing w:after="0"/>
              <w:rPr>
                <w:sz w:val="21"/>
                <w:szCs w:val="21"/>
                <w:color w:val="auto"/>
              </w:rPr>
            </w:pPr>
          </w:p>
        </w:tc>
      </w:tr>
      <w:tr>
        <w:trPr>
          <w:trHeight w:val="243"/>
        </w:trPr>
        <w:tc>
          <w:tcPr>
            <w:tcW w:w="40" w:type="dxa"/>
            <w:vAlign w:val="bottom"/>
          </w:tcPr>
          <w:p>
            <w:pPr>
              <w:spacing w:after="0"/>
              <w:rPr>
                <w:sz w:val="21"/>
                <w:szCs w:val="21"/>
                <w:color w:val="auto"/>
              </w:rPr>
            </w:pPr>
          </w:p>
        </w:tc>
        <w:tc>
          <w:tcPr>
            <w:tcW w:w="5120" w:type="dxa"/>
            <w:vAlign w:val="bottom"/>
          </w:tcPr>
          <w:p>
            <w:pPr>
              <w:ind w:left="38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73"/>
              <w:spacing w:after="0"/>
              <w:rPr>
                <w:sz w:val="20"/>
                <w:szCs w:val="20"/>
                <w:color w:val="auto"/>
              </w:rPr>
            </w:pPr>
            <w:r>
              <w:rPr>
                <w:rFonts w:ascii="Arial" w:cs="Arial" w:eastAsia="Arial" w:hAnsi="Arial"/>
                <w:sz w:val="18"/>
                <w:szCs w:val="18"/>
                <w:color w:val="auto"/>
              </w:rPr>
              <w:t>0.03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15"/>
              <w:spacing w:after="0"/>
              <w:rPr>
                <w:sz w:val="20"/>
                <w:szCs w:val="20"/>
                <w:color w:val="auto"/>
              </w:rPr>
            </w:pPr>
            <w:r>
              <w:rPr>
                <w:rFonts w:ascii="Arial" w:cs="Arial" w:eastAsia="Arial" w:hAnsi="Arial"/>
                <w:sz w:val="18"/>
                <w:szCs w:val="18"/>
                <w:color w:val="auto"/>
              </w:rPr>
              <w:t>(1.49)</w:t>
            </w:r>
          </w:p>
        </w:tc>
        <w:tc>
          <w:tcPr>
            <w:tcW w:w="40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(0.11)</w:t>
            </w:r>
          </w:p>
        </w:tc>
        <w:tc>
          <w:tcPr>
            <w:tcW w:w="3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0.01</w:t>
            </w:r>
          </w:p>
        </w:tc>
        <w:tc>
          <w:tcPr>
            <w:tcW w:w="20" w:type="dxa"/>
            <w:vAlign w:val="bottom"/>
          </w:tcPr>
          <w:p>
            <w:pPr>
              <w:spacing w:after="0"/>
              <w:rPr>
                <w:sz w:val="21"/>
                <w:szCs w:val="21"/>
                <w:color w:val="auto"/>
              </w:rPr>
            </w:pPr>
          </w:p>
        </w:tc>
      </w:tr>
    </w:tbl>
    <w:p>
      <w:pPr>
        <w:spacing w:after="0" w:line="337" w:lineRule="exact"/>
        <w:rPr>
          <w:sz w:val="20"/>
          <w:szCs w:val="20"/>
          <w:color w:val="auto"/>
        </w:rPr>
      </w:pPr>
    </w:p>
    <w:p>
      <w:pPr>
        <w:ind w:left="660" w:hanging="652"/>
        <w:spacing w:after="0"/>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Gross profit as presented in the tables above is calculated as net revenue less cost of goods sold.</w:t>
      </w:r>
    </w:p>
    <w:p>
      <w:pPr>
        <w:spacing w:after="0" w:line="63" w:lineRule="exact"/>
        <w:rPr>
          <w:rFonts w:ascii="Arial" w:cs="Arial" w:eastAsia="Arial" w:hAnsi="Arial"/>
          <w:sz w:val="18"/>
          <w:szCs w:val="18"/>
          <w:color w:val="auto"/>
        </w:rPr>
      </w:pPr>
    </w:p>
    <w:p>
      <w:pPr>
        <w:ind w:left="660" w:right="80" w:hanging="652"/>
        <w:spacing w:after="0" w:line="264"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fourth quarter of fiscal 2017 includes $98.9 million of restructuring and other related charges that include $50.5 million for impairment of certain equipment, technology licenses and to fully impair a nonrefundable deposit due to non-utilization of the related contract and $68.0 million of tax expense related to restructuring actions taken.</w:t>
      </w:r>
    </w:p>
    <w:p>
      <w:pPr>
        <w:spacing w:after="0" w:line="19" w:lineRule="exact"/>
        <w:rPr>
          <w:rFonts w:ascii="Arial" w:cs="Arial" w:eastAsia="Arial" w:hAnsi="Arial"/>
          <w:sz w:val="18"/>
          <w:szCs w:val="18"/>
          <w:color w:val="auto"/>
        </w:rPr>
      </w:pPr>
    </w:p>
    <w:p>
      <w:pPr>
        <w:ind w:left="660" w:right="100" w:hanging="652"/>
        <w:spacing w:after="0" w:line="277"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first quarter of fiscal 2016 includes a charge for a cash payment authorized by our Board of Directors of $15.4 million to Dr. Sehat Sutardja and $2.9 million of costs for the surety bonds related to the litigation with CMU.</w:t>
      </w:r>
    </w:p>
    <w:p>
      <w:pPr>
        <w:spacing w:after="0" w:line="8" w:lineRule="exact"/>
        <w:rPr>
          <w:rFonts w:ascii="Arial" w:cs="Arial" w:eastAsia="Arial" w:hAnsi="Arial"/>
          <w:sz w:val="18"/>
          <w:szCs w:val="18"/>
          <w:color w:val="auto"/>
        </w:rPr>
      </w:pPr>
    </w:p>
    <w:p>
      <w:pPr>
        <w:ind w:left="660" w:right="360" w:hanging="652"/>
        <w:spacing w:after="0" w:line="264"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second quarter of fiscal 2016 includes a $745.6 million charge for litigation matters recognized by the Company including the settlement reached with CMU and certain other pending litigation, $13.0 million of restructuring and other related charges, and $2.7 million of costs for the surety bonds related to the litigation with CMU.</w:t>
      </w:r>
    </w:p>
    <w:p>
      <w:pPr>
        <w:spacing w:after="0" w:line="19" w:lineRule="exact"/>
        <w:rPr>
          <w:rFonts w:ascii="Arial" w:cs="Arial" w:eastAsia="Arial" w:hAnsi="Arial"/>
          <w:sz w:val="18"/>
          <w:szCs w:val="18"/>
          <w:color w:val="auto"/>
        </w:rPr>
      </w:pPr>
    </w:p>
    <w:p>
      <w:pPr>
        <w:jc w:val="both"/>
        <w:ind w:left="660" w:right="460" w:hanging="652"/>
        <w:spacing w:after="0" w:line="264"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third quarter of fiscal 2016 includes $45.5 million of restructuring and other related charges that include $8.0 million for the write down of inventory and $6.2 million for the impairment of equipment and other assets due to the restructuring of the mobile platform business, and $2.9 million of costs for the surety bonds related to the litigation with CMU.</w:t>
      </w:r>
    </w:p>
    <w:p>
      <w:pPr>
        <w:sectPr>
          <w:pgSz w:w="11900" w:h="16838" w:orient="portrait"/>
          <w:cols w:equalWidth="0" w:num="1">
            <w:col w:w="11420"/>
          </w:cols>
          <w:pgMar w:left="240" w:top="225" w:right="239" w:bottom="1440" w:gutter="0" w:footer="0" w:header="0"/>
        </w:sect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89</w:t>
      </w:r>
    </w:p>
    <w:p>
      <w:pPr>
        <w:sectPr>
          <w:pgSz w:w="11900" w:h="16838" w:orient="portrait"/>
          <w:cols w:equalWidth="0" w:num="1">
            <w:col w:w="11420"/>
          </w:cols>
          <w:pgMar w:left="240" w:top="225" w:right="239" w:bottom="1440" w:gutter="0" w:footer="0" w:header="0"/>
          <w:type w:val="continuous"/>
        </w:sectPr>
      </w:pPr>
    </w:p>
    <w:bookmarkStart w:id="92" w:name="page93"/>
    <w:bookmarkEnd w:id="92"/>
    <w:p>
      <w:pPr>
        <w:spacing w:after="0"/>
        <w:tabs>
          <w:tab w:leader="none" w:pos="9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17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1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229"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As reported in the Current Report on Form 8-K filed by the Company with the SEC on March 1, 2016, and disclosed in our Quarterly Reports on Form 10-Q for the quarters ended August 1, 2015 and October 31, 2015, our Annual Report on Form 10-K for the fiscal year ended January 30, 2016 and our Quarterly Reports on Form 10-Q for the quarters ended April 30, 2016, July 30, 2016 and October 29, 2016, the Audit Committee (the “Audit Committee”) of the Company’s Board of Directors completed and made its findings with respect to an internal investigation (the “Audit Committee Investigation”).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Marvell’s former Chief Executive Officer and Chairman of ownership of certain patent rights related to the Final-Level 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69" w:lineRule="exact"/>
        <w:rPr>
          <w:sz w:val="20"/>
          <w:szCs w:val="20"/>
          <w:color w:val="auto"/>
        </w:rPr>
      </w:pPr>
    </w:p>
    <w:p>
      <w:pPr>
        <w:ind w:right="620" w:firstLine="405"/>
        <w:spacing w:after="0" w:line="277"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170" w:lineRule="exact"/>
        <w:rPr>
          <w:sz w:val="20"/>
          <w:szCs w:val="20"/>
          <w:color w:val="auto"/>
        </w:rPr>
      </w:pPr>
    </w:p>
    <w:p>
      <w:pPr>
        <w:ind w:left="660" w:right="260" w:hanging="328"/>
        <w:spacing w:after="0" w:line="259" w:lineRule="auto"/>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186" w:lineRule="exact"/>
        <w:rPr>
          <w:rFonts w:ascii="Arial" w:cs="Arial" w:eastAsia="Arial" w:hAnsi="Arial"/>
          <w:sz w:val="18"/>
          <w:szCs w:val="18"/>
          <w:color w:val="auto"/>
        </w:rPr>
      </w:pPr>
    </w:p>
    <w:p>
      <w:pPr>
        <w:ind w:left="660" w:hanging="328"/>
        <w:spacing w:after="0"/>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225" w:lineRule="exact"/>
        <w:rPr>
          <w:rFonts w:ascii="Arial" w:cs="Arial" w:eastAsia="Arial" w:hAnsi="Arial"/>
          <w:sz w:val="18"/>
          <w:szCs w:val="18"/>
          <w:color w:val="auto"/>
        </w:rPr>
      </w:pPr>
    </w:p>
    <w:p>
      <w:pPr>
        <w:ind w:left="660" w:right="80" w:hanging="328"/>
        <w:spacing w:after="0" w:line="259" w:lineRule="auto"/>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186" w:lineRule="exact"/>
        <w:rPr>
          <w:rFonts w:ascii="Arial" w:cs="Arial" w:eastAsia="Arial" w:hAnsi="Arial"/>
          <w:sz w:val="18"/>
          <w:szCs w:val="18"/>
          <w:color w:val="auto"/>
        </w:rPr>
      </w:pPr>
    </w:p>
    <w:p>
      <w:pPr>
        <w:ind w:left="660" w:right="120" w:hanging="328"/>
        <w:spacing w:after="0" w:line="264" w:lineRule="auto"/>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81" w:lineRule="exact"/>
        <w:rPr>
          <w:sz w:val="20"/>
          <w:szCs w:val="20"/>
          <w:color w:val="auto"/>
        </w:rPr>
      </w:pPr>
    </w:p>
    <w:p>
      <w:pPr>
        <w:ind w:right="220" w:firstLine="405"/>
        <w:spacing w:after="0" w:line="259"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rights for which he later assigned to Marvell.</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Review of Certain Transactions</w:t>
      </w:r>
    </w:p>
    <w:p>
      <w:pPr>
        <w:spacing w:after="0" w:line="229" w:lineRule="exact"/>
        <w:rPr>
          <w:sz w:val="20"/>
          <w:szCs w:val="20"/>
          <w:color w:val="auto"/>
        </w:rPr>
      </w:pPr>
    </w:p>
    <w:p>
      <w:pPr>
        <w:ind w:right="140" w:firstLine="405"/>
        <w:spacing w:after="0" w:line="302" w:lineRule="auto"/>
        <w:rPr>
          <w:sz w:val="20"/>
          <w:szCs w:val="20"/>
          <w:color w:val="auto"/>
        </w:rPr>
      </w:pPr>
      <w:r>
        <w:rPr>
          <w:rFonts w:ascii="Arial" w:cs="Arial" w:eastAsia="Arial" w:hAnsi="Arial"/>
          <w:sz w:val="16"/>
          <w:szCs w:val="16"/>
          <w:color w:val="auto"/>
        </w:rPr>
        <w:t>As noted above, the Audit Committee’s investigation included a review of pull-in transactions - transactions that would have, in the normal course of events and but for action by certain Marvell employees, been completed and recognized in a subsequent quarter (“Pull-In Transactions”). In the course of its investigation, the Audit Committee also identified certain transactions (the “Extended Payment Terms Transactions”) for which revenue was recognized prematurely based on certain provisions of the Company’s revenue recognition policy (the “Policy”) in effect at the time, namely, the provision of the Policy</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904" w:right="239" w:bottom="1440" w:gutter="0" w:footer="0" w:header="0"/>
        </w:sectPr>
      </w:pPr>
    </w:p>
    <w:bookmarkStart w:id="93" w:name="page94"/>
    <w:bookmarkEnd w:id="93"/>
    <w:p>
      <w:pPr>
        <w:ind w:right="220"/>
        <w:spacing w:after="0" w:line="277" w:lineRule="auto"/>
        <w:rPr>
          <w:sz w:val="20"/>
          <w:szCs w:val="20"/>
          <w:color w:val="auto"/>
        </w:rPr>
      </w:pPr>
      <w:r>
        <w:rPr>
          <w:rFonts w:ascii="Arial" w:cs="Arial" w:eastAsia="Arial" w:hAnsi="Arial"/>
          <w:sz w:val="18"/>
          <w:szCs w:val="18"/>
          <w:color w:val="auto"/>
        </w:rPr>
        <w:t>that called for deferral of revenues associated with transactions having payment terms of 90 days or more (the “Deferral Provision”). Some of the Extended Payment Terms Transactions were also Pull-In Transactions, and some were not.</w:t>
      </w:r>
    </w:p>
    <w:p>
      <w:pPr>
        <w:spacing w:after="0" w:line="170" w:lineRule="exact"/>
        <w:rPr>
          <w:sz w:val="20"/>
          <w:szCs w:val="20"/>
          <w:color w:val="auto"/>
        </w:rPr>
      </w:pPr>
    </w:p>
    <w:p>
      <w:pPr>
        <w:ind w:right="120" w:firstLine="405"/>
        <w:spacing w:after="0" w:line="255" w:lineRule="auto"/>
        <w:rPr>
          <w:sz w:val="20"/>
          <w:szCs w:val="20"/>
          <w:color w:val="auto"/>
        </w:rPr>
      </w:pPr>
      <w:r>
        <w:rPr>
          <w:rFonts w:ascii="Arial" w:cs="Arial" w:eastAsia="Arial" w:hAnsi="Arial"/>
          <w:sz w:val="18"/>
          <w:szCs w:val="18"/>
          <w:color w:val="auto"/>
        </w:rPr>
        <w:t>At the end of its investigation, the Audit Committee made certain conclusions described above regarding those Pull-In Transactions that the Audit Committee was able to confirm had been properly recognized as revenue in the periods originally recorded. With respect to the Extended Payment Terms Transactions, additional review was determined to be necessary. The additional review was then performed and the Company concluded that, as described below, application of the Deferral Provision to defer revenues on the Extended Payment Terms Transactions would have been inconsistent with U.S. Generally Accepted Accounting Principles (“GAAP”) and that the Extended Payment Terms Transactions were properly recognized in the periods originally recorded.</w:t>
      </w:r>
    </w:p>
    <w:p>
      <w:pPr>
        <w:spacing w:after="0" w:line="193"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When coming to that conclusion, the Company re-evaluated the Extended Payment Terms Transactions based on GAAP, as opposed to the Policy, and the applicable facts and a number of considerations including, but not limited to, the following:</w:t>
      </w:r>
    </w:p>
    <w:p>
      <w:pPr>
        <w:spacing w:after="0" w:line="170" w:lineRule="exact"/>
        <w:rPr>
          <w:sz w:val="20"/>
          <w:szCs w:val="20"/>
          <w:color w:val="auto"/>
        </w:rPr>
      </w:pPr>
    </w:p>
    <w:p>
      <w:pPr>
        <w:ind w:left="660" w:hanging="328"/>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Company’s policies establishing credit limits for each customer;</w:t>
      </w:r>
    </w:p>
    <w:p>
      <w:pPr>
        <w:spacing w:after="0" w:line="225" w:lineRule="exact"/>
        <w:rPr>
          <w:rFonts w:ascii="Arial" w:cs="Arial" w:eastAsia="Arial" w:hAnsi="Arial"/>
          <w:sz w:val="18"/>
          <w:szCs w:val="18"/>
          <w:color w:val="auto"/>
        </w:rPr>
      </w:pPr>
    </w:p>
    <w:p>
      <w:pPr>
        <w:ind w:left="660" w:right="140" w:hanging="328"/>
        <w:spacing w:after="0" w:line="277" w:lineRule="auto"/>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Company has a history of collecting under the original terms of customer agreements with similar payment terms (i.e., contract terms, including payment, are historically not renegotiated or modified subsequent to sale);</w:t>
      </w:r>
    </w:p>
    <w:p>
      <w:pPr>
        <w:spacing w:after="0" w:line="170" w:lineRule="exact"/>
        <w:rPr>
          <w:rFonts w:ascii="Arial" w:cs="Arial" w:eastAsia="Arial" w:hAnsi="Arial"/>
          <w:sz w:val="18"/>
          <w:szCs w:val="18"/>
          <w:color w:val="auto"/>
        </w:rPr>
      </w:pPr>
    </w:p>
    <w:p>
      <w:pPr>
        <w:ind w:left="660" w:hanging="328"/>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Company does not have a history of granting customer refunds;</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Company’s historical bad debt experience has been immaterial;</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Company’s end-customers have no return or exchange rights; and</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Company does not have a history of accepting product returns or exchanges from its end-customers.</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amount of revenue recognized from the Extended Payment Terms Transactions was:</w:t>
      </w:r>
    </w:p>
    <w:p>
      <w:pPr>
        <w:spacing w:after="0" w:line="225" w:lineRule="exact"/>
        <w:rPr>
          <w:sz w:val="20"/>
          <w:szCs w:val="20"/>
          <w:color w:val="auto"/>
        </w:rPr>
      </w:pPr>
    </w:p>
    <w:p>
      <w:pPr>
        <w:ind w:left="660" w:right="100" w:hanging="328"/>
        <w:spacing w:after="0" w:line="264" w:lineRule="auto"/>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approximately $46 million recorded and properly recognized in accordance with GAAP in the fourth quarter of fiscal 2015, representing approximately 5.4% and 1.3% of net revenues for the fourth quarter and fiscal year of 2015, respectively (which according to the Deferral Provision of the Policy would have been recognized in Q1 of 2016), and</w:t>
      </w:r>
    </w:p>
    <w:p>
      <w:pPr>
        <w:spacing w:after="0" w:line="181" w:lineRule="exact"/>
        <w:rPr>
          <w:rFonts w:ascii="Arial" w:cs="Arial" w:eastAsia="Arial" w:hAnsi="Arial"/>
          <w:sz w:val="18"/>
          <w:szCs w:val="18"/>
          <w:color w:val="auto"/>
        </w:rPr>
      </w:pPr>
    </w:p>
    <w:p>
      <w:pPr>
        <w:ind w:left="660" w:right="160" w:hanging="328"/>
        <w:spacing w:after="0" w:line="264" w:lineRule="auto"/>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approximately $17 million recorded and properly recognized in accordance with GAAP in the first quarter of fiscal 2016, representing approximately 2.4% and 0.63% of net revenues for the first quarter and fiscal year of 2016, respectively (which according to the Deferral Provision of the Policy would have been recognized in Q2 of fiscal 2016).</w:t>
      </w:r>
    </w:p>
    <w:p>
      <w:pPr>
        <w:spacing w:after="0" w:line="181" w:lineRule="exact"/>
        <w:rPr>
          <w:sz w:val="20"/>
          <w:szCs w:val="20"/>
          <w:color w:val="auto"/>
        </w:rPr>
      </w:pPr>
    </w:p>
    <w:p>
      <w:pPr>
        <w:ind w:right="200" w:firstLine="405"/>
        <w:spacing w:after="0" w:line="259" w:lineRule="auto"/>
        <w:rPr>
          <w:sz w:val="20"/>
          <w:szCs w:val="20"/>
          <w:color w:val="auto"/>
        </w:rPr>
      </w:pPr>
      <w:r>
        <w:rPr>
          <w:rFonts w:ascii="Arial" w:cs="Arial" w:eastAsia="Arial" w:hAnsi="Arial"/>
          <w:sz w:val="18"/>
          <w:szCs w:val="18"/>
          <w:color w:val="auto"/>
        </w:rPr>
        <w:t>With respect to the Deferral Provision not being consistent with GAAP, we took into account the deferral provision matter, including its specific application by finance and accounting personnel, together with other control deficiencies, as part of our determination that the Company had material weaknesses related to “</w:t>
      </w:r>
      <w:r>
        <w:rPr>
          <w:rFonts w:ascii="Arial" w:cs="Arial" w:eastAsia="Arial" w:hAnsi="Arial"/>
          <w:sz w:val="18"/>
          <w:szCs w:val="18"/>
          <w:i w:val="1"/>
          <w:iCs w:val="1"/>
          <w:color w:val="auto"/>
        </w:rPr>
        <w:t>Entity Level Controls</w:t>
      </w:r>
      <w:r>
        <w:rPr>
          <w:rFonts w:ascii="Arial" w:cs="Arial" w:eastAsia="Arial" w:hAnsi="Arial"/>
          <w:sz w:val="18"/>
          <w:szCs w:val="18"/>
          <w:color w:val="auto"/>
        </w:rPr>
        <w:t>,” “</w:t>
      </w:r>
      <w:r>
        <w:rPr>
          <w:rFonts w:ascii="Arial" w:cs="Arial" w:eastAsia="Arial" w:hAnsi="Arial"/>
          <w:sz w:val="18"/>
          <w:szCs w:val="18"/>
          <w:i w:val="1"/>
          <w:iCs w:val="1"/>
          <w:color w:val="auto"/>
        </w:rPr>
        <w:t>Sufficiency of Accounting and Finance Department Resources</w:t>
      </w:r>
      <w:r>
        <w:rPr>
          <w:rFonts w:ascii="Arial" w:cs="Arial" w:eastAsia="Arial" w:hAnsi="Arial"/>
          <w:sz w:val="18"/>
          <w:szCs w:val="18"/>
          <w:color w:val="auto"/>
        </w:rPr>
        <w:t>” and “</w:t>
      </w:r>
      <w:r>
        <w:rPr>
          <w:rFonts w:ascii="Arial" w:cs="Arial" w:eastAsia="Arial" w:hAnsi="Arial"/>
          <w:sz w:val="18"/>
          <w:szCs w:val="18"/>
          <w:i w:val="1"/>
          <w:iCs w:val="1"/>
          <w:color w:val="auto"/>
        </w:rPr>
        <w:t>Revenue Recognition</w:t>
      </w:r>
      <w:r>
        <w:rPr>
          <w:rFonts w:ascii="Arial" w:cs="Arial" w:eastAsia="Arial" w:hAnsi="Arial"/>
          <w:sz w:val="18"/>
          <w:szCs w:val="18"/>
          <w:color w:val="auto"/>
        </w:rPr>
        <w:t>” as described on page 112 of our Annual Report on Form 10-K for the fiscal year ended January 30, 2016.</w:t>
      </w:r>
    </w:p>
    <w:p>
      <w:pPr>
        <w:spacing w:after="0" w:line="183"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 13a-15(e) of the Exchange Act) as of January 28, 2017.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January 28, 2017 due to material weaknesses described below.</w:t>
      </w:r>
    </w:p>
    <w:p>
      <w:pPr>
        <w:spacing w:after="0" w:line="189" w:lineRule="exact"/>
        <w:rPr>
          <w:sz w:val="20"/>
          <w:szCs w:val="20"/>
          <w:color w:val="auto"/>
        </w:rPr>
      </w:pPr>
    </w:p>
    <w:p>
      <w:pPr>
        <w:ind w:right="260" w:firstLine="405"/>
        <w:spacing w:after="0" w:line="277" w:lineRule="auto"/>
        <w:rPr>
          <w:sz w:val="20"/>
          <w:szCs w:val="20"/>
          <w:color w:val="auto"/>
        </w:rPr>
      </w:pPr>
      <w:r>
        <w:rPr>
          <w:rFonts w:ascii="Arial" w:cs="Arial" w:eastAsia="Arial" w:hAnsi="Arial"/>
          <w:sz w:val="18"/>
          <w:szCs w:val="18"/>
          <w:color w:val="auto"/>
        </w:rPr>
        <w:t>Notwithstanding the material weaknesses in our internal controls over financial reporting as of January 28, 2017, management has concluded that the consolidated financial statements included in this Form 10-K present fairly, in all material</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20"/>
          </w:cols>
          <w:pgMar w:left="240" w:top="800" w:right="239" w:bottom="1440" w:gutter="0" w:footer="0" w:header="0"/>
        </w:sectPr>
      </w:pPr>
    </w:p>
    <w:bookmarkStart w:id="94" w:name="page95"/>
    <w:bookmarkEnd w:id="94"/>
    <w:p>
      <w:pPr>
        <w:ind w:right="160"/>
        <w:spacing w:after="0" w:line="277" w:lineRule="auto"/>
        <w:rPr>
          <w:sz w:val="20"/>
          <w:szCs w:val="20"/>
          <w:color w:val="auto"/>
        </w:rPr>
      </w:pPr>
      <w:r>
        <w:rPr>
          <w:rFonts w:ascii="Arial" w:cs="Arial" w:eastAsia="Arial" w:hAnsi="Arial"/>
          <w:sz w:val="18"/>
          <w:szCs w:val="18"/>
          <w:color w:val="auto"/>
        </w:rPr>
        <w:t>respects, our financial position, results of operations and cash flows for the periods presented in conformity with accounting principles generally accepted in the United States.</w:t>
      </w:r>
    </w:p>
    <w:p>
      <w:pPr>
        <w:spacing w:after="0" w:line="166"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229" w:lineRule="exact"/>
        <w:rPr>
          <w:sz w:val="20"/>
          <w:szCs w:val="20"/>
          <w:color w:val="auto"/>
        </w:rPr>
      </w:pPr>
    </w:p>
    <w:p>
      <w:pPr>
        <w:ind w:right="60" w:firstLine="405"/>
        <w:spacing w:after="0" w:line="272" w:lineRule="auto"/>
        <w:rPr>
          <w:sz w:val="20"/>
          <w:szCs w:val="20"/>
          <w:color w:val="auto"/>
        </w:rPr>
      </w:pPr>
      <w:r>
        <w:rPr>
          <w:rFonts w:ascii="Arial" w:cs="Arial" w:eastAsia="Arial" w:hAnsi="Arial"/>
          <w:sz w:val="17"/>
          <w:szCs w:val="17"/>
          <w:color w:val="auto"/>
        </w:rPr>
        <w:t>Management is responsible for establishing and maintaining adequate internal control over financial reporting as defined in Rule 13a-15(f) of the Exchange Act. Internal control over financial reporting consists of policies and procedures that: (1) pertain to the maintenance of records that, in reasonable detail, accurately and fairly reflect the transactions and dispositions of the assets of the Company; (2) are designed and operated to provide reasonable assurance regarding the reliability of our financial reporting and our process for the preparation of financial statements for external purposes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78"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Our internal control over financial reporting is designed by, and under the supervision of the principal executive officer and principal financial officer and effected by the Company’s Board of Directors, management, and others.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71"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 xml:space="preserve">Management has evaluated the effectiveness of our internal control over financial reporting as of January 28, 2017 using the criteria set forth in the </w:t>
      </w:r>
      <w:r>
        <w:rPr>
          <w:rFonts w:ascii="Arial" w:cs="Arial" w:eastAsia="Arial" w:hAnsi="Arial"/>
          <w:sz w:val="17"/>
          <w:szCs w:val="17"/>
          <w:i w:val="1"/>
          <w:iCs w:val="1"/>
          <w:color w:val="auto"/>
        </w:rPr>
        <w:t xml:space="preserve">Internal Control - Integrated Framework (2013) </w:t>
      </w:r>
      <w:r>
        <w:rPr>
          <w:rFonts w:ascii="Arial" w:cs="Arial" w:eastAsia="Arial" w:hAnsi="Arial"/>
          <w:sz w:val="17"/>
          <w:szCs w:val="17"/>
          <w:color w:val="auto"/>
        </w:rPr>
        <w:t>issued by the Committee of Sponsoring Organizations of the Treadway Commission (“COSO”). A material</w:t>
      </w:r>
      <w:r>
        <w:rPr>
          <w:rFonts w:ascii="Arial" w:cs="Arial" w:eastAsia="Arial" w:hAnsi="Arial"/>
          <w:sz w:val="17"/>
          <w:szCs w:val="17"/>
          <w:i w:val="1"/>
          <w:iCs w:val="1"/>
          <w:color w:val="auto"/>
        </w:rPr>
        <w:t xml:space="preserve"> </w:t>
      </w:r>
      <w:r>
        <w:rPr>
          <w:rFonts w:ascii="Arial" w:cs="Arial" w:eastAsia="Arial" w:hAnsi="Arial"/>
          <w:sz w:val="17"/>
          <w:szCs w:val="17"/>
          <w:color w:val="auto"/>
        </w:rPr>
        <w:t>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In connection with management’s assessment of our internal control over financial reporting described above, management identified the following deficiencies that constituted individually, or in the aggregate, material weaknesses in our internal control over financial reporting as of January 28, 2017.</w:t>
      </w:r>
    </w:p>
    <w:p>
      <w:pPr>
        <w:spacing w:after="0" w:line="178" w:lineRule="exact"/>
        <w:rPr>
          <w:sz w:val="20"/>
          <w:szCs w:val="20"/>
          <w:color w:val="auto"/>
        </w:rPr>
      </w:pPr>
    </w:p>
    <w:p>
      <w:pPr>
        <w:ind w:left="660" w:right="20" w:hanging="328"/>
        <w:spacing w:after="0" w:line="270" w:lineRule="auto"/>
        <w:tabs>
          <w:tab w:leader="none" w:pos="660" w:val="left"/>
        </w:tabs>
        <w:numPr>
          <w:ilvl w:val="0"/>
          <w:numId w:val="35"/>
        </w:numPr>
        <w:rPr>
          <w:rFonts w:ascii="Arial" w:cs="Arial" w:eastAsia="Arial" w:hAnsi="Arial"/>
          <w:sz w:val="17"/>
          <w:szCs w:val="17"/>
          <w:color w:val="auto"/>
        </w:rPr>
      </w:pPr>
      <w:r>
        <w:rPr>
          <w:rFonts w:ascii="Arial" w:cs="Arial" w:eastAsia="Arial" w:hAnsi="Arial"/>
          <w:sz w:val="17"/>
          <w:szCs w:val="17"/>
          <w:i w:val="1"/>
          <w:iCs w:val="1"/>
          <w:color w:val="auto"/>
        </w:rPr>
        <w:t xml:space="preserve">Sufficiency of Accounting and Finance Department Resources </w:t>
      </w:r>
      <w:r>
        <w:rPr>
          <w:rFonts w:ascii="Arial" w:cs="Arial" w:eastAsia="Arial" w:hAnsi="Arial"/>
          <w:sz w:val="17"/>
          <w:szCs w:val="17"/>
          <w:color w:val="auto"/>
        </w:rPr>
        <w:t>- The Company had insufficient finance and accounting department resources with</w:t>
      </w:r>
      <w:r>
        <w:rPr>
          <w:rFonts w:ascii="Arial" w:cs="Arial" w:eastAsia="Arial" w:hAnsi="Arial"/>
          <w:sz w:val="17"/>
          <w:szCs w:val="17"/>
          <w:i w:val="1"/>
          <w:iCs w:val="1"/>
          <w:color w:val="auto"/>
        </w:rPr>
        <w:t xml:space="preserve"> </w:t>
      </w:r>
      <w:r>
        <w:rPr>
          <w:rFonts w:ascii="Arial" w:cs="Arial" w:eastAsia="Arial" w:hAnsi="Arial"/>
          <w:sz w:val="17"/>
          <w:szCs w:val="17"/>
          <w:color w:val="auto"/>
        </w:rPr>
        <w:t>appropriate knowledge, expertise and training commensurate with the Company’s corporate structure and financial reporting requirements to effectively assess risk, design, operate and oversee internal controls over financial reporting. This lack of appropriate resources resulted in inconsistent expectations around the preparation, review and maintenance of documentation critical to the design and consistent execution of internal controls as well as a lack of segregation of duties in certain controls. Further, the lack of appropriate resources resulted in controls that relied upon information that did not have sufficiently precise controls around accuracy and completeness of that information and was therefore not reliable. These factors contributed to deficiencies in the Company’s financial reporting process due to a lack of precision in the review controls over certain information and assumptions impacting various financial reporting areas including those items that are nonrecurring in nature and therefore bear a greater degree of complexity given their infrequency. Additionally, they contributed to deficiencies in the Company’s ability to identify, assess and monitor the appropriate accounting treatment of certain contractual arrangements.</w:t>
      </w:r>
    </w:p>
    <w:p>
      <w:pPr>
        <w:spacing w:after="0" w:line="177" w:lineRule="exact"/>
        <w:rPr>
          <w:rFonts w:ascii="Arial" w:cs="Arial" w:eastAsia="Arial" w:hAnsi="Arial"/>
          <w:sz w:val="17"/>
          <w:szCs w:val="17"/>
          <w:color w:val="auto"/>
        </w:rPr>
      </w:pPr>
    </w:p>
    <w:p>
      <w:pPr>
        <w:ind w:left="660" w:right="180" w:hanging="328"/>
        <w:spacing w:after="0" w:line="276" w:lineRule="auto"/>
        <w:tabs>
          <w:tab w:leader="none" w:pos="660" w:val="left"/>
        </w:tabs>
        <w:numPr>
          <w:ilvl w:val="0"/>
          <w:numId w:val="35"/>
        </w:numPr>
        <w:rPr>
          <w:rFonts w:ascii="Arial" w:cs="Arial" w:eastAsia="Arial" w:hAnsi="Arial"/>
          <w:sz w:val="17"/>
          <w:szCs w:val="17"/>
          <w:color w:val="auto"/>
        </w:rPr>
      </w:pPr>
      <w:r>
        <w:rPr>
          <w:rFonts w:ascii="Arial" w:cs="Arial" w:eastAsia="Arial" w:hAnsi="Arial"/>
          <w:sz w:val="17"/>
          <w:szCs w:val="17"/>
          <w:i w:val="1"/>
          <w:iCs w:val="1"/>
          <w:color w:val="auto"/>
        </w:rPr>
        <w:t xml:space="preserve">Revenue Recognition </w:t>
      </w:r>
      <w:r>
        <w:rPr>
          <w:rFonts w:ascii="Arial" w:cs="Arial" w:eastAsia="Arial" w:hAnsi="Arial"/>
          <w:sz w:val="17"/>
          <w:szCs w:val="17"/>
          <w:color w:val="auto"/>
        </w:rPr>
        <w:t>- The Company’s internal controls to identify, accumulate and assess the accounting impact of certain concessions or side</w:t>
      </w:r>
      <w:r>
        <w:rPr>
          <w:rFonts w:ascii="Arial" w:cs="Arial" w:eastAsia="Arial" w:hAnsi="Arial"/>
          <w:sz w:val="17"/>
          <w:szCs w:val="17"/>
          <w:i w:val="1"/>
          <w:iCs w:val="1"/>
          <w:color w:val="auto"/>
        </w:rPr>
        <w:t xml:space="preserve"> </w:t>
      </w:r>
      <w:r>
        <w:rPr>
          <w:rFonts w:ascii="Arial" w:cs="Arial" w:eastAsia="Arial" w:hAnsi="Arial"/>
          <w:sz w:val="17"/>
          <w:szCs w:val="17"/>
          <w:color w:val="auto"/>
        </w:rPr>
        <w:t>agreements on whether the Company’s revenue recognition criteria had been met were in certain instances not fully followed or were not effective. The Company’s controls were not effective to ensure (i) consistent standards in the level of documentation of agreements required to support accurate recording of revenue transactions, and (ii) that such documentation is retained, complete, and independently reviewed to ensure certain terms impacting revenue recognition were accurately reflected in the Company’s books and records.</w:t>
      </w:r>
    </w:p>
    <w:p>
      <w:pPr>
        <w:spacing w:after="0" w:line="173"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Because of these material weaknesses, management has concluded that we did not maintain effective internal control over financial reporting as of January 28, 2017.</w:t>
      </w:r>
    </w:p>
    <w:p>
      <w:pPr>
        <w:spacing w:after="0" w:line="170" w:lineRule="exact"/>
        <w:rPr>
          <w:sz w:val="20"/>
          <w:szCs w:val="20"/>
          <w:color w:val="auto"/>
        </w:rPr>
      </w:pPr>
    </w:p>
    <w:p>
      <w:pPr>
        <w:ind w:right="260" w:firstLine="405"/>
        <w:spacing w:after="0" w:line="277" w:lineRule="auto"/>
        <w:rPr>
          <w:sz w:val="20"/>
          <w:szCs w:val="20"/>
          <w:color w:val="auto"/>
        </w:rPr>
      </w:pPr>
      <w:r>
        <w:rPr>
          <w:rFonts w:ascii="Arial" w:cs="Arial" w:eastAsia="Arial" w:hAnsi="Arial"/>
          <w:sz w:val="18"/>
          <w:szCs w:val="18"/>
          <w:color w:val="auto"/>
        </w:rPr>
        <w:t>The effectiveness of our internal control over financial reporting as of January 28, 2017 has been audited by Deloitte &amp; Touche LLP, our independent registered public accounting firm, as stated in its report which is included herein.</w:t>
      </w: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20"/>
          </w:cols>
          <w:pgMar w:left="240" w:top="800" w:right="239" w:bottom="1440" w:gutter="0" w:footer="0" w:header="0"/>
        </w:sectPr>
      </w:pPr>
    </w:p>
    <w:bookmarkStart w:id="95" w:name="page96"/>
    <w:bookmarkEnd w:id="95"/>
    <w:p>
      <w:pPr>
        <w:spacing w:after="0"/>
        <w:rPr>
          <w:sz w:val="20"/>
          <w:szCs w:val="20"/>
          <w:color w:val="auto"/>
        </w:rPr>
      </w:pPr>
      <w:r>
        <w:rPr>
          <w:rFonts w:ascii="Arial" w:cs="Arial" w:eastAsia="Arial" w:hAnsi="Arial"/>
          <w:sz w:val="18"/>
          <w:szCs w:val="18"/>
          <w:b w:val="1"/>
          <w:bCs w:val="1"/>
          <w:color w:val="auto"/>
        </w:rPr>
        <w:t>Changes to Internal Control over Financial Reporting</w:t>
      </w:r>
    </w:p>
    <w:p>
      <w:pPr>
        <w:spacing w:after="0" w:line="229" w:lineRule="exact"/>
        <w:rPr>
          <w:sz w:val="20"/>
          <w:szCs w:val="20"/>
          <w:color w:val="auto"/>
        </w:rPr>
      </w:pPr>
    </w:p>
    <w:p>
      <w:pPr>
        <w:ind w:right="520" w:firstLine="405"/>
        <w:spacing w:after="0" w:line="277" w:lineRule="auto"/>
        <w:rPr>
          <w:sz w:val="20"/>
          <w:szCs w:val="20"/>
          <w:color w:val="auto"/>
        </w:rPr>
      </w:pPr>
      <w:r>
        <w:rPr>
          <w:rFonts w:ascii="Arial" w:cs="Arial" w:eastAsia="Arial" w:hAnsi="Arial"/>
          <w:sz w:val="18"/>
          <w:szCs w:val="18"/>
          <w:color w:val="auto"/>
        </w:rPr>
        <w:t>During the fiscal year ended January 28, 2017, management developed and implemented plans to complete the following activities to remediate previously identified material weaknesses:</w:t>
      </w:r>
    </w:p>
    <w:p>
      <w:pPr>
        <w:spacing w:after="0" w:line="170" w:lineRule="exact"/>
        <w:rPr>
          <w:sz w:val="20"/>
          <w:szCs w:val="20"/>
          <w:color w:val="auto"/>
        </w:rPr>
      </w:pPr>
    </w:p>
    <w:p>
      <w:pPr>
        <w:ind w:left="660" w:right="300" w:hanging="328"/>
        <w:spacing w:after="0" w:line="277" w:lineRule="auto"/>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Made significant changes to our executive management team and Board of Directors that have improved our entity level controls, including our “tone at the top.”</w:t>
      </w:r>
    </w:p>
    <w:p>
      <w:pPr>
        <w:spacing w:after="0" w:line="170" w:lineRule="exact"/>
        <w:rPr>
          <w:rFonts w:ascii="Arial" w:cs="Arial" w:eastAsia="Arial" w:hAnsi="Arial"/>
          <w:sz w:val="18"/>
          <w:szCs w:val="18"/>
          <w:color w:val="auto"/>
        </w:rPr>
      </w:pPr>
    </w:p>
    <w:p>
      <w:pPr>
        <w:ind w:left="1300" w:hanging="320"/>
        <w:spacing w:after="0"/>
        <w:tabs>
          <w:tab w:leader="none" w:pos="1300" w:val="left"/>
        </w:tabs>
        <w:numPr>
          <w:ilvl w:val="1"/>
          <w:numId w:val="36"/>
        </w:numPr>
        <w:rPr>
          <w:rFonts w:ascii="Arial" w:cs="Arial" w:eastAsia="Arial" w:hAnsi="Arial"/>
          <w:sz w:val="18"/>
          <w:szCs w:val="18"/>
          <w:color w:val="auto"/>
        </w:rPr>
      </w:pPr>
      <w:r>
        <w:rPr>
          <w:rFonts w:ascii="Arial" w:cs="Arial" w:eastAsia="Arial" w:hAnsi="Arial"/>
          <w:sz w:val="18"/>
          <w:szCs w:val="18"/>
          <w:color w:val="auto"/>
        </w:rPr>
        <w:t>Replaced certain senior managers and executives, including the Company’s former CEO and former President.</w:t>
      </w:r>
    </w:p>
    <w:p>
      <w:pPr>
        <w:spacing w:after="0" w:line="225" w:lineRule="exact"/>
        <w:rPr>
          <w:rFonts w:ascii="Arial" w:cs="Arial" w:eastAsia="Arial" w:hAnsi="Arial"/>
          <w:sz w:val="18"/>
          <w:szCs w:val="18"/>
          <w:color w:val="auto"/>
        </w:rPr>
      </w:pPr>
    </w:p>
    <w:p>
      <w:pPr>
        <w:ind w:left="1300" w:hanging="320"/>
        <w:spacing w:after="0" w:line="264" w:lineRule="auto"/>
        <w:tabs>
          <w:tab w:leader="none" w:pos="1300" w:val="left"/>
        </w:tabs>
        <w:numPr>
          <w:ilvl w:val="1"/>
          <w:numId w:val="36"/>
        </w:numPr>
        <w:rPr>
          <w:rFonts w:ascii="Arial" w:cs="Arial" w:eastAsia="Arial" w:hAnsi="Arial"/>
          <w:sz w:val="18"/>
          <w:szCs w:val="18"/>
          <w:color w:val="auto"/>
        </w:rPr>
      </w:pPr>
      <w:r>
        <w:rPr>
          <w:rFonts w:ascii="Arial" w:cs="Arial" w:eastAsia="Arial" w:hAnsi="Arial"/>
          <w:sz w:val="18"/>
          <w:szCs w:val="18"/>
          <w:color w:val="auto"/>
        </w:rPr>
        <w:t>In May 2016, appointed five new independent directors to our Board of Directors, two of whom were appointed to the Audit Committee and have been determined by the Board of Directors to be “audit committee financial experts” as defined in rules promulgated by the SEC. Concurrently, we appointed a new Chairman of our Board of Directors.</w:t>
      </w:r>
    </w:p>
    <w:p>
      <w:pPr>
        <w:spacing w:after="0" w:line="181" w:lineRule="exact"/>
        <w:rPr>
          <w:rFonts w:ascii="Arial" w:cs="Arial" w:eastAsia="Arial" w:hAnsi="Arial"/>
          <w:sz w:val="18"/>
          <w:szCs w:val="18"/>
          <w:color w:val="auto"/>
        </w:rPr>
      </w:pPr>
    </w:p>
    <w:p>
      <w:pPr>
        <w:jc w:val="both"/>
        <w:ind w:left="1300" w:right="400" w:hanging="320"/>
        <w:spacing w:after="0" w:line="264" w:lineRule="auto"/>
        <w:tabs>
          <w:tab w:leader="none" w:pos="1300" w:val="left"/>
        </w:tabs>
        <w:numPr>
          <w:ilvl w:val="1"/>
          <w:numId w:val="36"/>
        </w:numPr>
        <w:rPr>
          <w:rFonts w:ascii="Arial" w:cs="Arial" w:eastAsia="Arial" w:hAnsi="Arial"/>
          <w:sz w:val="18"/>
          <w:szCs w:val="18"/>
          <w:color w:val="auto"/>
        </w:rPr>
      </w:pPr>
      <w:r>
        <w:rPr>
          <w:rFonts w:ascii="Arial" w:cs="Arial" w:eastAsia="Arial" w:hAnsi="Arial"/>
          <w:sz w:val="18"/>
          <w:szCs w:val="18"/>
          <w:color w:val="auto"/>
        </w:rPr>
        <w:t>In May 2016, appointed a new Executive Vice President and Chief Legal Officer and Secretary of the Company who is designated an executive officer of the Company and who communicates directly with the Company’s Board of Directors on matters of compliance, litigation and other relevant matters.</w:t>
      </w:r>
    </w:p>
    <w:p>
      <w:pPr>
        <w:spacing w:after="0" w:line="181" w:lineRule="exact"/>
        <w:rPr>
          <w:rFonts w:ascii="Arial" w:cs="Arial" w:eastAsia="Arial" w:hAnsi="Arial"/>
          <w:sz w:val="18"/>
          <w:szCs w:val="18"/>
          <w:color w:val="auto"/>
        </w:rPr>
      </w:pPr>
    </w:p>
    <w:p>
      <w:pPr>
        <w:ind w:left="1300" w:right="100" w:hanging="320"/>
        <w:spacing w:after="0" w:line="277" w:lineRule="auto"/>
        <w:tabs>
          <w:tab w:leader="none" w:pos="1300" w:val="left"/>
        </w:tabs>
        <w:numPr>
          <w:ilvl w:val="1"/>
          <w:numId w:val="36"/>
        </w:numPr>
        <w:rPr>
          <w:rFonts w:ascii="Arial" w:cs="Arial" w:eastAsia="Arial" w:hAnsi="Arial"/>
          <w:sz w:val="18"/>
          <w:szCs w:val="18"/>
          <w:color w:val="auto"/>
        </w:rPr>
      </w:pPr>
      <w:r>
        <w:rPr>
          <w:rFonts w:ascii="Arial" w:cs="Arial" w:eastAsia="Arial" w:hAnsi="Arial"/>
          <w:sz w:val="18"/>
          <w:szCs w:val="18"/>
          <w:color w:val="auto"/>
        </w:rPr>
        <w:t>In June 2016, appointed a new Chief Executive Officer who has provided strong leadership to the Company and established open lines of communication with his internal business unit leaders and external partners.</w:t>
      </w:r>
    </w:p>
    <w:p>
      <w:pPr>
        <w:spacing w:after="0" w:line="170" w:lineRule="exact"/>
        <w:rPr>
          <w:rFonts w:ascii="Arial" w:cs="Arial" w:eastAsia="Arial" w:hAnsi="Arial"/>
          <w:sz w:val="18"/>
          <w:szCs w:val="18"/>
          <w:color w:val="auto"/>
        </w:rPr>
      </w:pPr>
    </w:p>
    <w:p>
      <w:pPr>
        <w:ind w:left="1300" w:right="60" w:hanging="320"/>
        <w:spacing w:after="0" w:line="342" w:lineRule="auto"/>
        <w:tabs>
          <w:tab w:leader="none" w:pos="1300" w:val="left"/>
        </w:tabs>
        <w:numPr>
          <w:ilvl w:val="1"/>
          <w:numId w:val="36"/>
        </w:numPr>
        <w:rPr>
          <w:rFonts w:ascii="Arial" w:cs="Arial" w:eastAsia="Arial" w:hAnsi="Arial"/>
          <w:sz w:val="16"/>
          <w:szCs w:val="16"/>
          <w:color w:val="auto"/>
        </w:rPr>
      </w:pPr>
      <w:r>
        <w:rPr>
          <w:rFonts w:ascii="Arial" w:cs="Arial" w:eastAsia="Arial" w:hAnsi="Arial"/>
          <w:sz w:val="16"/>
          <w:szCs w:val="16"/>
          <w:color w:val="auto"/>
        </w:rPr>
        <w:t>In August 2016, appointed a new Chief Financial Officer who has brought expertise and leadership to the Company and our finance team, and has established open lines of communication with internal business unit leaders and the finance and accounting team world-wide.</w:t>
      </w:r>
    </w:p>
    <w:p>
      <w:pPr>
        <w:spacing w:after="0" w:line="123" w:lineRule="exact"/>
        <w:rPr>
          <w:rFonts w:ascii="Arial" w:cs="Arial" w:eastAsia="Arial" w:hAnsi="Arial"/>
          <w:sz w:val="16"/>
          <w:szCs w:val="16"/>
          <w:color w:val="auto"/>
        </w:rPr>
      </w:pPr>
    </w:p>
    <w:p>
      <w:pPr>
        <w:ind w:left="1300" w:right="120" w:hanging="320"/>
        <w:spacing w:after="0" w:line="286" w:lineRule="auto"/>
        <w:tabs>
          <w:tab w:leader="none" w:pos="1300" w:val="left"/>
        </w:tabs>
        <w:numPr>
          <w:ilvl w:val="1"/>
          <w:numId w:val="36"/>
        </w:numPr>
        <w:rPr>
          <w:rFonts w:ascii="Arial" w:cs="Arial" w:eastAsia="Arial" w:hAnsi="Arial"/>
          <w:sz w:val="17"/>
          <w:szCs w:val="17"/>
          <w:color w:val="auto"/>
        </w:rPr>
      </w:pPr>
      <w:r>
        <w:rPr>
          <w:rFonts w:ascii="Arial" w:cs="Arial" w:eastAsia="Arial" w:hAnsi="Arial"/>
          <w:sz w:val="17"/>
          <w:szCs w:val="17"/>
          <w:color w:val="auto"/>
        </w:rPr>
        <w:t>In October 2016, appointed a new Controller and Chief Accounting Officer who has brought additional technical expertise to our finance and accounting function and supports the Company’s substantial efforts to design, operate and oversee effective internal controls over financial reporting (including hiring of additional resources within our global accounting organization).</w:t>
      </w:r>
    </w:p>
    <w:p>
      <w:pPr>
        <w:spacing w:after="0" w:line="165" w:lineRule="exact"/>
        <w:rPr>
          <w:rFonts w:ascii="Arial" w:cs="Arial" w:eastAsia="Arial" w:hAnsi="Arial"/>
          <w:sz w:val="17"/>
          <w:szCs w:val="17"/>
          <w:color w:val="auto"/>
        </w:rPr>
      </w:pPr>
    </w:p>
    <w:p>
      <w:pPr>
        <w:ind w:left="660" w:right="340" w:hanging="328"/>
        <w:spacing w:after="0" w:line="277" w:lineRule="auto"/>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Hired a new Senior Vice President of Finance and Assistant Corporate Controller to increase the depth and breadth of knowledge and expertise commensurate with the Company’s corporate structure and financial reporting requirements.</w:t>
      </w:r>
    </w:p>
    <w:p>
      <w:pPr>
        <w:spacing w:after="0" w:line="170" w:lineRule="exact"/>
        <w:rPr>
          <w:rFonts w:ascii="Arial" w:cs="Arial" w:eastAsia="Arial" w:hAnsi="Arial"/>
          <w:sz w:val="18"/>
          <w:szCs w:val="18"/>
          <w:color w:val="auto"/>
        </w:rPr>
      </w:pPr>
    </w:p>
    <w:p>
      <w:pPr>
        <w:ind w:left="660" w:right="40" w:hanging="328"/>
        <w:spacing w:after="0" w:line="259" w:lineRule="auto"/>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Conducted a training program for our executives, vice presidents and associate vice presidents, led by our executive management team, to enhance awareness and understanding of the Company’s Code of Conduct and Ethics Policy and the importance of financial reporting integrity, and developed and implemented a similar program for finance, operations and sales personnel and others involved in the sales process. Training of new personnel is ongoing.</w:t>
      </w:r>
    </w:p>
    <w:p>
      <w:pPr>
        <w:spacing w:after="0" w:line="186" w:lineRule="exact"/>
        <w:rPr>
          <w:rFonts w:ascii="Arial" w:cs="Arial" w:eastAsia="Arial" w:hAnsi="Arial"/>
          <w:sz w:val="18"/>
          <w:szCs w:val="18"/>
          <w:color w:val="auto"/>
        </w:rPr>
      </w:pPr>
    </w:p>
    <w:p>
      <w:pPr>
        <w:ind w:left="660" w:right="300" w:hanging="328"/>
        <w:spacing w:after="0" w:line="277" w:lineRule="auto"/>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Redesigned our controls over obtaining background checks to include hiring of employees with a title of Vice President or higher in our foreign operations.</w:t>
      </w:r>
    </w:p>
    <w:p>
      <w:pPr>
        <w:spacing w:after="0" w:line="170" w:lineRule="exact"/>
        <w:rPr>
          <w:rFonts w:ascii="Arial" w:cs="Arial" w:eastAsia="Arial" w:hAnsi="Arial"/>
          <w:sz w:val="18"/>
          <w:szCs w:val="18"/>
          <w:color w:val="auto"/>
        </w:rPr>
      </w:pPr>
    </w:p>
    <w:p>
      <w:pPr>
        <w:ind w:left="660" w:hanging="328"/>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Redesigned our process for approving earnings guidance to incorporate approval from our Audit Committee.</w:t>
      </w:r>
    </w:p>
    <w:p>
      <w:pPr>
        <w:spacing w:after="0" w:line="225" w:lineRule="exact"/>
        <w:rPr>
          <w:rFonts w:ascii="Arial" w:cs="Arial" w:eastAsia="Arial" w:hAnsi="Arial"/>
          <w:sz w:val="18"/>
          <w:szCs w:val="18"/>
          <w:color w:val="auto"/>
        </w:rPr>
      </w:pPr>
    </w:p>
    <w:p>
      <w:pPr>
        <w:ind w:left="660" w:right="160" w:hanging="328"/>
        <w:spacing w:after="0" w:line="279" w:lineRule="auto"/>
        <w:tabs>
          <w:tab w:leader="none" w:pos="660" w:val="left"/>
        </w:tabs>
        <w:numPr>
          <w:ilvl w:val="0"/>
          <w:numId w:val="36"/>
        </w:numPr>
        <w:rPr>
          <w:rFonts w:ascii="Arial" w:cs="Arial" w:eastAsia="Arial" w:hAnsi="Arial"/>
          <w:sz w:val="17"/>
          <w:szCs w:val="17"/>
          <w:color w:val="auto"/>
        </w:rPr>
      </w:pPr>
      <w:r>
        <w:rPr>
          <w:rFonts w:ascii="Arial" w:cs="Arial" w:eastAsia="Arial" w:hAnsi="Arial"/>
          <w:sz w:val="17"/>
          <w:szCs w:val="17"/>
          <w:color w:val="auto"/>
        </w:rPr>
        <w:t>Redesigned our process for approving compensation arrangements for any employee with the title of Associate Vice President or higher reporting directly to the Chief Executive Officer, including, but not limited to, those designated as executive officers. As a result, we now require approval from the Executive Compensation Committee (a committee of our Board of Directors). We believe this provides more transparent monitoring of performance of, and incentives offered to, senior management that may influence “tone at the top.”</w:t>
      </w:r>
    </w:p>
    <w:p>
      <w:pPr>
        <w:spacing w:after="0" w:line="171" w:lineRule="exact"/>
        <w:rPr>
          <w:rFonts w:ascii="Arial" w:cs="Arial" w:eastAsia="Arial" w:hAnsi="Arial"/>
          <w:sz w:val="17"/>
          <w:szCs w:val="17"/>
          <w:color w:val="auto"/>
        </w:rPr>
      </w:pPr>
    </w:p>
    <w:p>
      <w:pPr>
        <w:ind w:left="660" w:right="80" w:hanging="328"/>
        <w:spacing w:after="0" w:line="277" w:lineRule="auto"/>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Adopted an updated patent disclosure and assignment policy that includes augmented procedures for review of claims of individual ownership and enhanced processes with respect to patent disclosure and assignment.</w:t>
      </w:r>
    </w:p>
    <w:p>
      <w:pPr>
        <w:spacing w:after="0" w:line="170" w:lineRule="exact"/>
        <w:rPr>
          <w:rFonts w:ascii="Arial" w:cs="Arial" w:eastAsia="Arial" w:hAnsi="Arial"/>
          <w:sz w:val="18"/>
          <w:szCs w:val="18"/>
          <w:color w:val="auto"/>
        </w:rPr>
      </w:pPr>
    </w:p>
    <w:p>
      <w:pPr>
        <w:ind w:left="660" w:right="100" w:hanging="328"/>
        <w:spacing w:after="0" w:line="277" w:lineRule="auto"/>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Management reports to the Audit Committee on the methodologies used and basis of estimates for the establishment of significant and judgmental reserves, including litigation and royalties.</w:t>
      </w:r>
    </w:p>
    <w:p>
      <w:pPr>
        <w:spacing w:after="0" w:line="200" w:lineRule="exact"/>
        <w:rPr>
          <w:sz w:val="20"/>
          <w:szCs w:val="20"/>
          <w:color w:val="auto"/>
        </w:rPr>
      </w:pPr>
    </w:p>
    <w:p>
      <w:pPr>
        <w:spacing w:after="0" w:line="2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300"/>
          </w:cols>
          <w:pgMar w:left="240" w:top="796" w:right="359" w:bottom="1440" w:gutter="0" w:footer="0" w:header="0"/>
        </w:sectPr>
      </w:pPr>
    </w:p>
    <w:bookmarkStart w:id="96" w:name="page97"/>
    <w:bookmarkEnd w:id="96"/>
    <w:p>
      <w:pPr>
        <w:ind w:left="660" w:right="80" w:hanging="328"/>
        <w:spacing w:after="0" w:line="277" w:lineRule="auto"/>
        <w:tabs>
          <w:tab w:leader="none" w:pos="6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Revised our revenue recognition policy to prohibit Company-initiated “pull-in” transactions. For fiscal 2017, “pull ins” had no meaningful effect on our revenue.</w:t>
      </w:r>
    </w:p>
    <w:p>
      <w:pPr>
        <w:spacing w:after="0" w:line="170" w:lineRule="exact"/>
        <w:rPr>
          <w:sz w:val="20"/>
          <w:szCs w:val="20"/>
          <w:color w:val="auto"/>
        </w:rPr>
      </w:pPr>
    </w:p>
    <w:p>
      <w:pPr>
        <w:ind w:right="580" w:firstLine="405"/>
        <w:spacing w:after="0" w:line="277" w:lineRule="auto"/>
        <w:rPr>
          <w:sz w:val="20"/>
          <w:szCs w:val="20"/>
          <w:color w:val="auto"/>
        </w:rPr>
      </w:pPr>
      <w:r>
        <w:rPr>
          <w:rFonts w:ascii="Arial" w:cs="Arial" w:eastAsia="Arial" w:hAnsi="Arial"/>
          <w:sz w:val="18"/>
          <w:szCs w:val="18"/>
          <w:color w:val="auto"/>
        </w:rPr>
        <w:t>In the fourth quarter of fiscal 2017, the Company implemented the following additional changes to its internal control over financial reporting to remediate its material weaknesses:</w:t>
      </w:r>
    </w:p>
    <w:p>
      <w:pPr>
        <w:spacing w:after="0" w:line="170" w:lineRule="exact"/>
        <w:rPr>
          <w:sz w:val="20"/>
          <w:szCs w:val="20"/>
          <w:color w:val="auto"/>
        </w:rPr>
      </w:pPr>
    </w:p>
    <w:p>
      <w:pPr>
        <w:ind w:left="660" w:right="240" w:hanging="328"/>
        <w:spacing w:after="0" w:line="277" w:lineRule="auto"/>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Redesigned our controls over updates to our related party list and receipt of certifications used by our executive officers in support of our periodic filings with the SEC.</w:t>
      </w:r>
    </w:p>
    <w:p>
      <w:pPr>
        <w:spacing w:after="0" w:line="170" w:lineRule="exact"/>
        <w:rPr>
          <w:rFonts w:ascii="Arial" w:cs="Arial" w:eastAsia="Arial" w:hAnsi="Arial"/>
          <w:sz w:val="18"/>
          <w:szCs w:val="18"/>
          <w:color w:val="auto"/>
        </w:rPr>
      </w:pPr>
    </w:p>
    <w:p>
      <w:pPr>
        <w:ind w:left="660" w:right="600" w:hanging="328"/>
        <w:spacing w:after="0" w:line="342" w:lineRule="auto"/>
        <w:tabs>
          <w:tab w:leader="none" w:pos="6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Prepared and then communicated to the Board of Directors an entity risk management assessment that incorporated feedback from personnel throughout the Company’s organization to assist the Board in their oversight and monitoring of the Company’s business operations.</w:t>
      </w:r>
    </w:p>
    <w:p>
      <w:pPr>
        <w:spacing w:after="0" w:line="123" w:lineRule="exact"/>
        <w:rPr>
          <w:rFonts w:ascii="Arial" w:cs="Arial" w:eastAsia="Arial" w:hAnsi="Arial"/>
          <w:sz w:val="16"/>
          <w:szCs w:val="16"/>
          <w:color w:val="auto"/>
        </w:rPr>
      </w:pPr>
    </w:p>
    <w:p>
      <w:pPr>
        <w:ind w:left="660" w:right="400" w:hanging="328"/>
        <w:spacing w:after="0" w:line="277" w:lineRule="auto"/>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Redesigned our internal controls over litigation contingencies and regulatory compliance, including incorporating feedback from both legal and accounting personnel.</w:t>
      </w:r>
    </w:p>
    <w:p>
      <w:pPr>
        <w:spacing w:after="0" w:line="170" w:lineRule="exact"/>
        <w:rPr>
          <w:rFonts w:ascii="Arial" w:cs="Arial" w:eastAsia="Arial" w:hAnsi="Arial"/>
          <w:sz w:val="18"/>
          <w:szCs w:val="18"/>
          <w:color w:val="auto"/>
        </w:rPr>
      </w:pPr>
    </w:p>
    <w:p>
      <w:pPr>
        <w:ind w:left="660" w:right="160" w:hanging="328"/>
        <w:spacing w:after="0" w:line="277" w:lineRule="auto"/>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Hired a new Director of Revenue who has brought expertise related to revenue accounting and the business processes required to ensure revenue is properly recognized in accordance with U.S. GAAP.</w:t>
      </w:r>
    </w:p>
    <w:p>
      <w:pPr>
        <w:spacing w:after="0" w:line="170" w:lineRule="exact"/>
        <w:rPr>
          <w:rFonts w:ascii="Arial" w:cs="Arial" w:eastAsia="Arial" w:hAnsi="Arial"/>
          <w:sz w:val="18"/>
          <w:szCs w:val="18"/>
          <w:color w:val="auto"/>
        </w:rPr>
      </w:pPr>
    </w:p>
    <w:p>
      <w:pPr>
        <w:ind w:left="660" w:hanging="328"/>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Revised the revenue recognition policy to ensure it complies with GAAP in all material respects.</w:t>
      </w:r>
    </w:p>
    <w:p>
      <w:pPr>
        <w:spacing w:after="0" w:line="225" w:lineRule="exact"/>
        <w:rPr>
          <w:rFonts w:ascii="Arial" w:cs="Arial" w:eastAsia="Arial" w:hAnsi="Arial"/>
          <w:sz w:val="18"/>
          <w:szCs w:val="18"/>
          <w:color w:val="auto"/>
        </w:rPr>
      </w:pPr>
    </w:p>
    <w:p>
      <w:pPr>
        <w:jc w:val="both"/>
        <w:ind w:left="660" w:right="60" w:hanging="328"/>
        <w:spacing w:after="0" w:line="286" w:lineRule="auto"/>
        <w:tabs>
          <w:tab w:leader="none" w:pos="660" w:val="left"/>
        </w:tabs>
        <w:numPr>
          <w:ilvl w:val="0"/>
          <w:numId w:val="38"/>
        </w:numPr>
        <w:rPr>
          <w:rFonts w:ascii="Arial" w:cs="Arial" w:eastAsia="Arial" w:hAnsi="Arial"/>
          <w:sz w:val="17"/>
          <w:szCs w:val="17"/>
          <w:color w:val="auto"/>
        </w:rPr>
      </w:pPr>
      <w:r>
        <w:rPr>
          <w:rFonts w:ascii="Arial" w:cs="Arial" w:eastAsia="Arial" w:hAnsi="Arial"/>
          <w:sz w:val="17"/>
          <w:szCs w:val="17"/>
          <w:color w:val="auto"/>
        </w:rPr>
        <w:t>We continue to enhance the Company’s finance and accounting department staff, in terms of both number and competency of personnel, particularly in the area of revenue recognition and technical accounting. Our new senior finance and accounting team members are contributing their substantial experience and abilities to raise the level of expertise across the finance and accounting functions.</w:t>
      </w:r>
    </w:p>
    <w:p>
      <w:pPr>
        <w:spacing w:after="0" w:line="165" w:lineRule="exact"/>
        <w:rPr>
          <w:rFonts w:ascii="Arial" w:cs="Arial" w:eastAsia="Arial" w:hAnsi="Arial"/>
          <w:sz w:val="17"/>
          <w:szCs w:val="17"/>
          <w:color w:val="auto"/>
        </w:rPr>
      </w:pPr>
    </w:p>
    <w:p>
      <w:pPr>
        <w:ind w:left="660" w:right="60" w:hanging="328"/>
        <w:spacing w:after="0" w:line="342" w:lineRule="auto"/>
        <w:tabs>
          <w:tab w:leader="none" w:pos="6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recently hired senior finance personnel to contribute their significant expertise to this process.</w:t>
      </w:r>
    </w:p>
    <w:p>
      <w:pPr>
        <w:spacing w:after="0" w:line="123" w:lineRule="exact"/>
        <w:rPr>
          <w:rFonts w:ascii="Arial" w:cs="Arial" w:eastAsia="Arial" w:hAnsi="Arial"/>
          <w:sz w:val="16"/>
          <w:szCs w:val="16"/>
          <w:color w:val="auto"/>
        </w:rPr>
      </w:pPr>
    </w:p>
    <w:p>
      <w:pPr>
        <w:ind w:left="660" w:right="680" w:hanging="328"/>
        <w:spacing w:after="0" w:line="342" w:lineRule="auto"/>
        <w:tabs>
          <w:tab w:leader="none" w:pos="6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Audit Committee has directed management to identify additional resources and develop a detailed plan and timetable for executing and monitoring the identification, implementation and completion of remedial measures related to the identified material weaknesses.</w:t>
      </w:r>
    </w:p>
    <w:p>
      <w:pPr>
        <w:spacing w:after="0" w:line="124" w:lineRule="exact"/>
        <w:rPr>
          <w:sz w:val="20"/>
          <w:szCs w:val="20"/>
          <w:color w:val="auto"/>
        </w:rPr>
      </w:pPr>
    </w:p>
    <w:p>
      <w:pPr>
        <w:ind w:right="360" w:firstLine="405"/>
        <w:spacing w:after="0" w:line="308" w:lineRule="auto"/>
        <w:rPr>
          <w:sz w:val="20"/>
          <w:szCs w:val="20"/>
          <w:color w:val="auto"/>
        </w:rPr>
      </w:pPr>
      <w:r>
        <w:rPr>
          <w:rFonts w:ascii="Arial" w:cs="Arial" w:eastAsia="Arial" w:hAnsi="Arial"/>
          <w:sz w:val="17"/>
          <w:szCs w:val="17"/>
          <w:color w:val="auto"/>
        </w:rPr>
        <w:t xml:space="preserve">As a result of the above activities, management determined that the material weaknesses related to </w:t>
      </w:r>
      <w:r>
        <w:rPr>
          <w:rFonts w:ascii="Arial" w:cs="Arial" w:eastAsia="Arial" w:hAnsi="Arial"/>
          <w:sz w:val="17"/>
          <w:szCs w:val="17"/>
          <w:i w:val="1"/>
          <w:iCs w:val="1"/>
          <w:color w:val="auto"/>
        </w:rPr>
        <w:t>“Entity Level Controls”</w:t>
      </w:r>
      <w:r>
        <w:rPr>
          <w:rFonts w:ascii="Arial" w:cs="Arial" w:eastAsia="Arial" w:hAnsi="Arial"/>
          <w:sz w:val="17"/>
          <w:szCs w:val="17"/>
          <w:color w:val="auto"/>
        </w:rPr>
        <w:t xml:space="preserve"> and “</w:t>
      </w:r>
      <w:r>
        <w:rPr>
          <w:rFonts w:ascii="Arial" w:cs="Arial" w:eastAsia="Arial" w:hAnsi="Arial"/>
          <w:sz w:val="17"/>
          <w:szCs w:val="17"/>
          <w:i w:val="1"/>
          <w:iCs w:val="1"/>
          <w:color w:val="auto"/>
        </w:rPr>
        <w:t>Process to Identify</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Contingencies, Including Those Related to the Company’s Intellectual Property” </w:t>
      </w:r>
      <w:r>
        <w:rPr>
          <w:rFonts w:ascii="Arial" w:cs="Arial" w:eastAsia="Arial" w:hAnsi="Arial"/>
          <w:sz w:val="17"/>
          <w:szCs w:val="17"/>
          <w:color w:val="auto"/>
        </w:rPr>
        <w:t>were remediated as of January 28, 2017.</w:t>
      </w:r>
    </w:p>
    <w:p>
      <w:pPr>
        <w:spacing w:after="0" w:line="147"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color w:val="auto"/>
        </w:rPr>
        <w:t>Our management has worked, and continues to work, to strengthen our internal control over financial reporting. We are committed to ensuring that such controls are designed and operating effectively. The remaining material weaknesses will not be considered remediated until the applicable remedial controls operate for a sufficient period of time and management has concluded, through testing, that these controls are operating effectively.</w:t>
      </w:r>
    </w:p>
    <w:p>
      <w:pPr>
        <w:spacing w:after="0" w:line="166"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Our Board of Directors and management take internal controls over financial reporting and the integrity of the Company’s financial statements seriously and believe that the steps taken to remediate material weaknesses were and are essential steps to maintaining strong and effective internal controls over financial reporting and a strong internal control environment.</w:t>
      </w:r>
    </w:p>
    <w:p>
      <w:pPr>
        <w:spacing w:after="0" w:line="181" w:lineRule="exact"/>
        <w:rPr>
          <w:sz w:val="20"/>
          <w:szCs w:val="20"/>
          <w:color w:val="auto"/>
        </w:rPr>
      </w:pPr>
    </w:p>
    <w:p>
      <w:pPr>
        <w:ind w:firstLine="405"/>
        <w:spacing w:after="0" w:line="312" w:lineRule="auto"/>
        <w:rPr>
          <w:sz w:val="20"/>
          <w:szCs w:val="20"/>
          <w:color w:val="auto"/>
        </w:rPr>
      </w:pPr>
      <w:r>
        <w:rPr>
          <w:rFonts w:ascii="Arial" w:cs="Arial" w:eastAsia="Arial" w:hAnsi="Arial"/>
          <w:sz w:val="16"/>
          <w:szCs w:val="16"/>
          <w:color w:val="auto"/>
        </w:rPr>
        <w:t>The Audit Committee will continue to monitor management’s remediation activities until the identified material weaknesses have been fully remediated. In addition, under the direction of the Audit Committee, management continues to review and make necessary changes to the overall design of our internal control environment, as well as to our policies and procedures, in order to improve the overall effectiveness of internal control over financial reporting.</w:t>
      </w:r>
    </w:p>
    <w:p>
      <w:pPr>
        <w:spacing w:after="0" w:line="147" w:lineRule="exact"/>
        <w:rPr>
          <w:sz w:val="20"/>
          <w:szCs w:val="20"/>
          <w:color w:val="auto"/>
        </w:rPr>
      </w:pPr>
    </w:p>
    <w:p>
      <w:pPr>
        <w:ind w:right="140" w:firstLine="405"/>
        <w:spacing w:after="0" w:line="264" w:lineRule="auto"/>
        <w:rPr>
          <w:sz w:val="20"/>
          <w:szCs w:val="20"/>
          <w:color w:val="auto"/>
        </w:rPr>
      </w:pPr>
      <w:r>
        <w:rPr>
          <w:rFonts w:ascii="Arial" w:cs="Arial" w:eastAsia="Arial" w:hAnsi="Arial"/>
          <w:sz w:val="18"/>
          <w:szCs w:val="18"/>
          <w:color w:val="auto"/>
        </w:rPr>
        <w:t>Except as noted in the preceding paragraphs, no other change in the Company's internal control over financial reporting (as defined in Rule 13a-15(f) under the Securities Exchange Act of 1934) occurred during the fiscal quarter ended January 28, 2017, that has materially affected, or is reasonably likely to materially affect, the Company's internal control over financial reporting.</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00"/>
          </w:cols>
          <w:pgMar w:left="240" w:top="800" w:right="259" w:bottom="1440" w:gutter="0" w:footer="0" w:header="0"/>
        </w:sectPr>
      </w:pPr>
    </w:p>
    <w:bookmarkStart w:id="97" w:name="page98"/>
    <w:bookmarkEnd w:id="97"/>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229"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7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6"/>
          <w:szCs w:val="16"/>
          <w:b w:val="1"/>
          <w:bCs w:val="1"/>
          <w:i w:val="1"/>
          <w:iCs w:val="1"/>
          <w:color w:val="auto"/>
        </w:rPr>
        <w:t>Other Information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00"/>
          </w:cols>
          <w:pgMar w:left="240" w:top="796" w:right="259" w:bottom="1440" w:gutter="0" w:footer="0" w:header="0"/>
        </w:sectPr>
      </w:pPr>
    </w:p>
    <w:bookmarkStart w:id="98" w:name="page99"/>
    <w:bookmarkEnd w:id="98"/>
    <w:p>
      <w:pPr>
        <w:ind w:left="26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279" w:lineRule="exact"/>
        <w:rPr>
          <w:sz w:val="20"/>
          <w:szCs w:val="20"/>
          <w:color w:val="auto"/>
        </w:rPr>
      </w:pPr>
    </w:p>
    <w:p>
      <w:pPr>
        <w:ind w:right="40" w:firstLine="405"/>
        <w:spacing w:after="0" w:line="276" w:lineRule="auto"/>
        <w:rPr>
          <w:sz w:val="20"/>
          <w:szCs w:val="20"/>
          <w:color w:val="auto"/>
        </w:rPr>
      </w:pPr>
      <w:r>
        <w:rPr>
          <w:rFonts w:ascii="Arial" w:cs="Arial" w:eastAsia="Arial" w:hAnsi="Arial"/>
          <w:sz w:val="17"/>
          <w:szCs w:val="17"/>
          <w:color w:val="auto"/>
        </w:rPr>
        <w:t xml:space="preserve">We have audited the internal control over financial reporting of Marvell Technology Group Ltd. and subsidiaries (the "Company") as of January 28, 2017, based on criteria established in </w:t>
      </w:r>
      <w:r>
        <w:rPr>
          <w:rFonts w:ascii="Arial" w:cs="Arial" w:eastAsia="Arial" w:hAnsi="Arial"/>
          <w:sz w:val="17"/>
          <w:szCs w:val="17"/>
          <w:i w:val="1"/>
          <w:iCs w:val="1"/>
          <w:color w:val="auto"/>
        </w:rPr>
        <w:t>Internal Control - Integrated Framework (2013)</w:t>
      </w:r>
      <w:r>
        <w:rPr>
          <w:rFonts w:ascii="Arial" w:cs="Arial" w:eastAsia="Arial" w:hAnsi="Arial"/>
          <w:sz w:val="17"/>
          <w:szCs w:val="17"/>
          <w:color w:val="auto"/>
        </w:rPr>
        <w:t xml:space="preserve"> issued by the Committee of Sponsoring Organizations of the Treadway Commission. 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w:t>
      </w:r>
    </w:p>
    <w:p>
      <w:pPr>
        <w:spacing w:after="0" w:line="91"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color w:val="auto"/>
        </w:rPr>
        <w:t>We conducted our audit in accordance with the standards of the Public Company Accounting Oversight Board (United States).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that risk, and performing such other procedures as we considered necessary in the circumstances. We believe that our audit provides a reasonable basis for our opinion.</w:t>
      </w:r>
    </w:p>
    <w:p>
      <w:pPr>
        <w:spacing w:after="0" w:line="91"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A company's internal control over financial reporting is a process designed by, or under the supervision of, the company's principal executive and principal financial officers, or persons performing similar functions, and effected by the company's board of directors, management, and other personnel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01" w:lineRule="exact"/>
        <w:rPr>
          <w:sz w:val="20"/>
          <w:szCs w:val="20"/>
          <w:color w:val="auto"/>
        </w:rPr>
      </w:pPr>
    </w:p>
    <w:p>
      <w:pPr>
        <w:ind w:right="140" w:firstLine="405"/>
        <w:spacing w:after="0" w:line="279" w:lineRule="auto"/>
        <w:rPr>
          <w:sz w:val="20"/>
          <w:szCs w:val="20"/>
          <w:color w:val="auto"/>
        </w:rPr>
      </w:pPr>
      <w:r>
        <w:rPr>
          <w:rFonts w:ascii="Arial" w:cs="Arial" w:eastAsia="Arial" w:hAnsi="Arial"/>
          <w:sz w:val="17"/>
          <w:szCs w:val="17"/>
          <w:color w:val="auto"/>
        </w:rPr>
        <w:t>Because of the inherent limitations of internal control over financial reporting, including the possibility of collusion or improper management override of controls, material misstatements due to error or fraud may not be prevented or detected on a timely basis. Also, projections of any evaluation of the effectiveness of the internal control over financial reporting to future periods are subject to the risk that the controls may become inadequate because of changes in conditions, or that the degree of compliance with the policies or procedures may deteriorate.</w:t>
      </w:r>
    </w:p>
    <w:p>
      <w:pPr>
        <w:spacing w:after="0" w:line="90" w:lineRule="exact"/>
        <w:rPr>
          <w:sz w:val="20"/>
          <w:szCs w:val="20"/>
          <w:color w:val="auto"/>
        </w:rPr>
      </w:pPr>
    </w:p>
    <w:p>
      <w:pPr>
        <w:ind w:right="180" w:firstLine="405"/>
        <w:spacing w:after="0" w:line="276" w:lineRule="auto"/>
        <w:rPr>
          <w:sz w:val="20"/>
          <w:szCs w:val="20"/>
          <w:color w:val="auto"/>
        </w:rPr>
      </w:pPr>
      <w:r>
        <w:rPr>
          <w:rFonts w:ascii="Arial" w:cs="Arial" w:eastAsia="Arial" w:hAnsi="Arial"/>
          <w:sz w:val="17"/>
          <w:szCs w:val="17"/>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The following material weaknesses have been identified and included in management's assessment: the Company did not have sufficient accounting and finance department resources to effectively assess risk, and design, operate and oversee effective internal controls over financial reporting, which contributed to the failure in the effectiveness of certain controls, and the Company’s controls related to revenue recognition were not effective.</w:t>
      </w:r>
    </w:p>
    <w:p>
      <w:pPr>
        <w:spacing w:after="0" w:line="91" w:lineRule="exact"/>
        <w:rPr>
          <w:sz w:val="20"/>
          <w:szCs w:val="20"/>
          <w:color w:val="auto"/>
        </w:rPr>
      </w:pPr>
    </w:p>
    <w:p>
      <w:pPr>
        <w:jc w:val="both"/>
        <w:ind w:right="60" w:firstLine="405"/>
        <w:spacing w:after="0" w:line="264" w:lineRule="auto"/>
        <w:rPr>
          <w:sz w:val="20"/>
          <w:szCs w:val="20"/>
          <w:color w:val="auto"/>
        </w:rPr>
      </w:pPr>
      <w:r>
        <w:rPr>
          <w:rFonts w:ascii="Arial" w:cs="Arial" w:eastAsia="Arial" w:hAnsi="Arial"/>
          <w:sz w:val="18"/>
          <w:szCs w:val="18"/>
          <w:color w:val="auto"/>
        </w:rPr>
        <w:t>These material weaknesses were considered in determining the nature, timing, and extent of audit tests applied in our audit of the consolidated financial statements and financial statement schedule as of and for the year ended January 28, 2017, of the Company and this report does not affect our report on such financial statements and financial statement schedule.</w:t>
      </w:r>
    </w:p>
    <w:p>
      <w:pPr>
        <w:spacing w:after="0" w:line="100" w:lineRule="exact"/>
        <w:rPr>
          <w:sz w:val="20"/>
          <w:szCs w:val="20"/>
          <w:color w:val="auto"/>
        </w:rPr>
      </w:pPr>
    </w:p>
    <w:p>
      <w:pPr>
        <w:ind w:right="180" w:firstLine="405"/>
        <w:spacing w:after="0" w:line="286" w:lineRule="auto"/>
        <w:rPr>
          <w:sz w:val="20"/>
          <w:szCs w:val="20"/>
          <w:color w:val="auto"/>
        </w:rPr>
      </w:pPr>
      <w:r>
        <w:rPr>
          <w:rFonts w:ascii="Arial" w:cs="Arial" w:eastAsia="Arial" w:hAnsi="Arial"/>
          <w:sz w:val="17"/>
          <w:szCs w:val="17"/>
          <w:color w:val="auto"/>
        </w:rPr>
        <w:t>In our opinion, because of the effect of the material weaknesses identified above on the achievement of the objectives of the control criteria, the Company has not maintained effective internal control over financial reporting as of January 28, 2017, based on the criteria established in Internal Control - Integrated Framework (2013) issued by the Committee of Sponsoring Organizations of the Treadway Commission.</w:t>
      </w:r>
    </w:p>
    <w:p>
      <w:pPr>
        <w:spacing w:after="0" w:line="84"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the consolidated financial statements and financial statement schedule as of and for the year ended January 28, 2017, of the Company and our report dated March 27, 2017 expressed an unqualified opinion on those financial statements and financial statement schedule.</w:t>
      </w: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00"/>
          </w:cols>
          <w:pgMar w:left="240" w:top="904" w:right="259" w:bottom="1440" w:gutter="0" w:footer="0" w:header="0"/>
        </w:sectPr>
      </w:pPr>
    </w:p>
    <w:bookmarkStart w:id="99" w:name="page100"/>
    <w:bookmarkEnd w:id="99"/>
    <w:p>
      <w:pPr>
        <w:spacing w:after="0"/>
        <w:rPr>
          <w:sz w:val="20"/>
          <w:szCs w:val="20"/>
          <w:color w:val="auto"/>
        </w:rPr>
      </w:pPr>
      <w:r>
        <w:rPr>
          <w:rFonts w:ascii="Arial" w:cs="Arial" w:eastAsia="Arial" w:hAnsi="Arial"/>
          <w:sz w:val="18"/>
          <w:szCs w:val="18"/>
          <w:color w:val="auto"/>
        </w:rPr>
        <w:t>/s/ Deloitte &amp; Touche LLP</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March 27, 2017</w:t>
      </w:r>
    </w:p>
    <w:p>
      <w:pPr>
        <w:spacing w:after="0" w:line="279" w:lineRule="exact"/>
        <w:rPr>
          <w:sz w:val="20"/>
          <w:szCs w:val="20"/>
          <w:color w:val="auto"/>
        </w:rPr>
      </w:pPr>
    </w:p>
    <w:p>
      <w:pPr>
        <w:jc w:val="right"/>
        <w:ind w:right="44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0179"/>
          </w:cols>
          <w:pgMar w:left="280" w:top="1125" w:right="1440" w:bottom="1440" w:gutter="0" w:footer="0" w:header="0"/>
        </w:sectPr>
      </w:pPr>
    </w:p>
    <w:bookmarkStart w:id="100" w:name="page101"/>
    <w:bookmarkEnd w:id="100"/>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11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175" w:lineRule="exact"/>
        <w:rPr>
          <w:sz w:val="20"/>
          <w:szCs w:val="20"/>
          <w:color w:val="auto"/>
        </w:rPr>
      </w:pPr>
    </w:p>
    <w:p>
      <w:pPr>
        <w:ind w:right="100" w:firstLine="432"/>
        <w:spacing w:after="0" w:line="279" w:lineRule="auto"/>
        <w:rPr>
          <w:sz w:val="20"/>
          <w:szCs w:val="20"/>
          <w:color w:val="auto"/>
        </w:rPr>
      </w:pPr>
      <w:r>
        <w:rPr>
          <w:rFonts w:ascii="Arial" w:cs="Arial" w:eastAsia="Arial" w:hAnsi="Arial"/>
          <w:sz w:val="17"/>
          <w:szCs w:val="17"/>
          <w:color w:val="auto"/>
        </w:rPr>
        <w:t>The information required by Items 401 and 407(c)(3) of Regulation S-K with respect to our directors, director nominees, executive officers and corporate governance is incorporated by reference herein to the information set forth under the captions “Board of Directors and Committees of the Board” and "Executive Officers" in our definitive proxy statement in connection with our 2017 annual general meeting of shareholders to be held June 15, 2017 (the “2017 Proxy Statement”), which will be filed with the SEC no later than 120 days after January 28, 2017.</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4" w:lineRule="exact"/>
        <w:rPr>
          <w:sz w:val="20"/>
          <w:szCs w:val="20"/>
          <w:color w:val="auto"/>
        </w:rPr>
      </w:pPr>
    </w:p>
    <w:p>
      <w:pPr>
        <w:ind w:right="1020" w:firstLine="432"/>
        <w:spacing w:after="0" w:line="277"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2017 Proxy Statement.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4" w:lineRule="exact"/>
        <w:rPr>
          <w:sz w:val="20"/>
          <w:szCs w:val="20"/>
          <w:color w:val="auto"/>
        </w:rPr>
      </w:pPr>
    </w:p>
    <w:p>
      <w:pPr>
        <w:ind w:right="80" w:firstLine="432"/>
        <w:spacing w:after="0" w:line="255" w:lineRule="auto"/>
        <w:rPr>
          <w:sz w:val="20"/>
          <w:szCs w:val="20"/>
          <w:color w:val="auto"/>
        </w:rPr>
      </w:pPr>
      <w:r>
        <w:rPr>
          <w:rFonts w:ascii="Arial" w:cs="Arial" w:eastAsia="Arial" w:hAnsi="Arial"/>
          <w:sz w:val="18"/>
          <w:szCs w:val="18"/>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officer), Corporate Controller (our chief accounting officer) and any person performing similar functions) and employees. This Code of Ethics was most recently amended as of August 29, 2013.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8"/>
          <w:szCs w:val="18"/>
          <w:i w:val="1"/>
          <w:iCs w:val="1"/>
          <w:color w:val="auto"/>
        </w:rPr>
        <w:t>www.marvell.com</w:t>
      </w:r>
      <w:r>
        <w:rPr>
          <w:rFonts w:ascii="Arial" w:cs="Arial" w:eastAsia="Arial" w:hAnsi="Arial"/>
          <w:sz w:val="18"/>
          <w:szCs w:val="18"/>
          <w:color w:val="auto"/>
        </w:rPr>
        <w:t>. None of the material on our website is part of our Annual Report on Form 10-K or is incorporated by reference herein.</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4" w:lineRule="exact"/>
        <w:rPr>
          <w:sz w:val="20"/>
          <w:szCs w:val="20"/>
          <w:color w:val="auto"/>
        </w:rPr>
      </w:pPr>
    </w:p>
    <w:p>
      <w:pPr>
        <w:ind w:right="140" w:firstLine="432"/>
        <w:spacing w:after="0" w:line="264"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2017 Proxy Statement.</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4"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captions “Board of Directors and Committees of the Board - Director Compensation Table,” “Executive Compensation” and “Executive Compensation Committee Interlocks and Insider Participation” in our 2017 Proxy Statement.</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Shareholder Matters</w:t>
      </w:r>
    </w:p>
    <w:p>
      <w:pPr>
        <w:spacing w:after="0" w:line="94" w:lineRule="exact"/>
        <w:rPr>
          <w:sz w:val="20"/>
          <w:szCs w:val="20"/>
          <w:color w:val="auto"/>
        </w:rPr>
      </w:pPr>
    </w:p>
    <w:p>
      <w:pPr>
        <w:ind w:right="300" w:firstLine="432"/>
        <w:spacing w:after="0" w:line="277"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2017 Proxy Statement.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17" w:lineRule="exact"/>
        <w:rPr>
          <w:sz w:val="20"/>
          <w:szCs w:val="20"/>
          <w:color w:val="auto"/>
        </w:rPr>
      </w:pPr>
    </w:p>
    <w:p>
      <w:pPr>
        <w:ind w:left="418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28, 2017:</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00"/>
          </w:cols>
          <w:pgMar w:left="240" w:top="904" w:right="259" w:bottom="1440" w:gutter="0" w:footer="0" w:header="0"/>
        </w:sectPr>
      </w:pPr>
    </w:p>
    <w:bookmarkStart w:id="101" w:name="page102"/>
    <w:bookmarkEnd w:id="101"/>
    <w:tbl>
      <w:tblPr>
        <w:tblLayout w:type="fixed"/>
        <w:tblInd w:w="0" w:type="dxa"/>
        <w:tblCellMar>
          <w:top w:w="0" w:type="dxa"/>
          <w:left w:w="0" w:type="dxa"/>
          <w:bottom w:w="0" w:type="dxa"/>
          <w:right w:w="0" w:type="dxa"/>
        </w:tblCellMar>
      </w:tblPr>
      <w:tr>
        <w:trPr>
          <w:trHeight w:val="161"/>
        </w:trPr>
        <w:tc>
          <w:tcPr>
            <w:tcW w:w="222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(a)</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rPr>
              <w:t>(b)</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Number of</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vMerge w:val="continue"/>
          </w:tcPr>
          <w:p>
            <w:pPr>
              <w:spacing w:after="0"/>
              <w:rPr>
                <w:sz w:val="12"/>
                <w:szCs w:val="12"/>
                <w:color w:val="auto"/>
              </w:rPr>
            </w:pP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Securities Remaining</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Number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1"/>
              </w:rPr>
              <w:t>Weighted</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Available for Future</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Securities to Be Issued</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 Exercise Price</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Issuance under Equity</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Upon Exercise of Outstanding</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2"/>
              </w:rPr>
              <w:t>of Outstanding Options,</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Compensation Plans</w:t>
            </w:r>
          </w:p>
        </w:tc>
        <w:tc>
          <w:tcPr>
            <w:tcW w:w="0" w:type="dxa"/>
            <w:vAlign w:val="bottom"/>
          </w:tcPr>
          <w:p>
            <w:pPr>
              <w:spacing w:after="0"/>
              <w:rPr>
                <w:sz w:val="1"/>
                <w:szCs w:val="1"/>
                <w:color w:val="auto"/>
              </w:rPr>
            </w:pPr>
          </w:p>
        </w:tc>
      </w:tr>
      <w:tr>
        <w:trPr>
          <w:trHeight w:val="149"/>
        </w:trPr>
        <w:tc>
          <w:tcPr>
            <w:tcW w:w="492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Plan Category</w:t>
            </w:r>
          </w:p>
        </w:tc>
        <w:tc>
          <w:tcPr>
            <w:tcW w:w="120" w:type="dxa"/>
            <w:vAlign w:val="bottom"/>
            <w:vMerge w:val="restart"/>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Options, Warrants</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6"/>
              </w:rPr>
              <w:t>Warrants, and</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(Excluding Securities</w:t>
            </w:r>
          </w:p>
        </w:tc>
        <w:tc>
          <w:tcPr>
            <w:tcW w:w="0" w:type="dxa"/>
            <w:vAlign w:val="bottom"/>
          </w:tcPr>
          <w:p>
            <w:pPr>
              <w:spacing w:after="0"/>
              <w:rPr>
                <w:sz w:val="1"/>
                <w:szCs w:val="1"/>
                <w:color w:val="auto"/>
              </w:rPr>
            </w:pPr>
          </w:p>
        </w:tc>
      </w:tr>
      <w:tr>
        <w:trPr>
          <w:trHeight w:val="192"/>
        </w:trPr>
        <w:tc>
          <w:tcPr>
            <w:tcW w:w="4920" w:type="dxa"/>
            <w:vAlign w:val="bottom"/>
            <w:tcBorders>
              <w:bottom w:val="single" w:sz="8" w:color="auto"/>
            </w:tcBorders>
            <w:gridSpan w:val="2"/>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and Rights (1)</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860" w:type="dxa"/>
            <w:vAlign w:val="bottom"/>
            <w:tcBorders>
              <w:bottom w:val="single" w:sz="8" w:color="auto"/>
            </w:tcBorders>
          </w:tcPr>
          <w:p>
            <w:pPr>
              <w:jc w:val="center"/>
              <w:ind w:right="145"/>
              <w:spacing w:after="0"/>
              <w:rPr>
                <w:sz w:val="20"/>
                <w:szCs w:val="20"/>
                <w:color w:val="auto"/>
              </w:rPr>
            </w:pPr>
            <w:r>
              <w:rPr>
                <w:rFonts w:ascii="Arial" w:cs="Arial" w:eastAsia="Arial" w:hAnsi="Arial"/>
                <w:sz w:val="14"/>
                <w:szCs w:val="14"/>
                <w:b w:val="1"/>
                <w:bCs w:val="1"/>
                <w:color w:val="auto"/>
                <w:w w:val="92"/>
              </w:rPr>
              <w:t>Rights (2)</w:t>
            </w:r>
          </w:p>
        </w:tc>
        <w:tc>
          <w:tcPr>
            <w:tcW w:w="100" w:type="dxa"/>
            <w:vAlign w:val="bottom"/>
            <w:tcBorders>
              <w:bottom w:val="single" w:sz="8" w:color="CCEEFF"/>
            </w:tcBorders>
          </w:tcPr>
          <w:p>
            <w:pPr>
              <w:spacing w:after="0"/>
              <w:rPr>
                <w:sz w:val="16"/>
                <w:szCs w:val="16"/>
                <w:color w:val="auto"/>
              </w:rPr>
            </w:pPr>
          </w:p>
        </w:tc>
        <w:tc>
          <w:tcPr>
            <w:tcW w:w="21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Reflected in Column (a)</w:t>
            </w:r>
          </w:p>
        </w:tc>
        <w:tc>
          <w:tcPr>
            <w:tcW w:w="0" w:type="dxa"/>
            <w:vAlign w:val="bottom"/>
          </w:tcPr>
          <w:p>
            <w:pPr>
              <w:spacing w:after="0"/>
              <w:rPr>
                <w:sz w:val="1"/>
                <w:szCs w:val="1"/>
                <w:color w:val="auto"/>
              </w:rPr>
            </w:pPr>
          </w:p>
        </w:tc>
      </w:tr>
      <w:tr>
        <w:trPr>
          <w:trHeight w:val="263"/>
        </w:trPr>
        <w:tc>
          <w:tcPr>
            <w:tcW w:w="5040" w:type="dxa"/>
            <w:vAlign w:val="bottom"/>
            <w:tcBorders>
              <w:bottom w:val="single" w:sz="8" w:color="CCEEFF"/>
            </w:tcBorders>
            <w:gridSpan w:val="3"/>
            <w:shd w:val="clear" w:color="auto" w:fill="CCEEFF"/>
          </w:tcPr>
          <w:p>
            <w:pPr>
              <w:ind w:left="40"/>
              <w:spacing w:after="0"/>
              <w:rPr>
                <w:sz w:val="20"/>
                <w:szCs w:val="20"/>
                <w:color w:val="auto"/>
              </w:rPr>
            </w:pPr>
            <w:r>
              <w:rPr>
                <w:rFonts w:ascii="Arial" w:cs="Arial" w:eastAsia="Arial" w:hAnsi="Arial"/>
                <w:sz w:val="18"/>
                <w:szCs w:val="18"/>
                <w:color w:val="auto"/>
                <w:w w:val="99"/>
              </w:rPr>
              <w:t>Equity compensation plans approved by security holders (3)(4)</w:t>
            </w:r>
          </w:p>
        </w:tc>
        <w:tc>
          <w:tcPr>
            <w:tcW w:w="1960" w:type="dxa"/>
            <w:vAlign w:val="bottom"/>
            <w:tcBorders>
              <w:bottom w:val="single" w:sz="8" w:color="auto"/>
            </w:tcBorders>
            <w:shd w:val="clear" w:color="auto" w:fill="CCEEFF"/>
          </w:tcPr>
          <w:p>
            <w:pPr>
              <w:jc w:val="right"/>
              <w:ind w:right="45"/>
              <w:spacing w:after="0"/>
              <w:rPr>
                <w:sz w:val="20"/>
                <w:szCs w:val="20"/>
                <w:color w:val="auto"/>
              </w:rPr>
            </w:pPr>
            <w:r>
              <w:rPr>
                <w:rFonts w:ascii="Arial" w:cs="Arial" w:eastAsia="Arial" w:hAnsi="Arial"/>
                <w:sz w:val="18"/>
                <w:szCs w:val="18"/>
                <w:color w:val="auto"/>
              </w:rPr>
              <w:t>35,662,014</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860" w:type="dxa"/>
            <w:vAlign w:val="bottom"/>
            <w:tcBorders>
              <w:bottom w:val="single" w:sz="8" w:color="CCEEFF"/>
            </w:tcBorders>
            <w:shd w:val="clear" w:color="auto" w:fill="CCEEFF"/>
          </w:tcPr>
          <w:p>
            <w:pPr>
              <w:jc w:val="right"/>
              <w:ind w:right="45"/>
              <w:spacing w:after="0"/>
              <w:rPr>
                <w:sz w:val="20"/>
                <w:szCs w:val="20"/>
                <w:color w:val="auto"/>
              </w:rPr>
            </w:pPr>
            <w:r>
              <w:rPr>
                <w:rFonts w:ascii="Arial" w:cs="Arial" w:eastAsia="Arial" w:hAnsi="Arial"/>
                <w:sz w:val="18"/>
                <w:szCs w:val="18"/>
                <w:color w:val="auto"/>
              </w:rPr>
              <w:t>12.97</w:t>
            </w:r>
          </w:p>
        </w:tc>
        <w:tc>
          <w:tcPr>
            <w:tcW w:w="100" w:type="dxa"/>
            <w:vAlign w:val="bottom"/>
            <w:tcBorders>
              <w:bottom w:val="single" w:sz="8" w:color="CCEEFF"/>
            </w:tcBorders>
            <w:shd w:val="clear" w:color="auto" w:fill="CCEEFF"/>
          </w:tcPr>
          <w:p>
            <w:pPr>
              <w:spacing w:after="0"/>
              <w:rPr>
                <w:sz w:val="22"/>
                <w:szCs w:val="22"/>
                <w:color w:val="auto"/>
              </w:rPr>
            </w:pPr>
          </w:p>
        </w:tc>
        <w:tc>
          <w:tcPr>
            <w:tcW w:w="2160" w:type="dxa"/>
            <w:vAlign w:val="bottom"/>
            <w:tcBorders>
              <w:bottom w:val="single" w:sz="8" w:color="auto"/>
            </w:tcBorders>
            <w:shd w:val="clear" w:color="auto" w:fill="CCEEFF"/>
          </w:tcPr>
          <w:p>
            <w:pPr>
              <w:jc w:val="right"/>
              <w:ind w:right="26"/>
              <w:spacing w:after="0"/>
              <w:rPr>
                <w:sz w:val="20"/>
                <w:szCs w:val="20"/>
                <w:color w:val="auto"/>
              </w:rPr>
            </w:pPr>
            <w:r>
              <w:rPr>
                <w:rFonts w:ascii="Arial" w:cs="Arial" w:eastAsia="Arial" w:hAnsi="Arial"/>
                <w:sz w:val="18"/>
                <w:szCs w:val="18"/>
                <w:color w:val="auto"/>
              </w:rPr>
              <w:t>120,536,940</w:t>
            </w:r>
          </w:p>
        </w:tc>
        <w:tc>
          <w:tcPr>
            <w:tcW w:w="0" w:type="dxa"/>
            <w:vAlign w:val="bottom"/>
          </w:tcPr>
          <w:p>
            <w:pPr>
              <w:spacing w:after="0"/>
              <w:rPr>
                <w:sz w:val="1"/>
                <w:szCs w:val="1"/>
                <w:color w:val="auto"/>
              </w:rPr>
            </w:pPr>
          </w:p>
        </w:tc>
      </w:tr>
      <w:tr>
        <w:trPr>
          <w:trHeight w:val="20"/>
        </w:trPr>
        <w:tc>
          <w:tcPr>
            <w:tcW w:w="22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2220" w:type="dxa"/>
            <w:vAlign w:val="bottom"/>
            <w:tcBorders>
              <w:bottom w:val="single" w:sz="8" w:color="auto"/>
            </w:tcBorders>
          </w:tcPr>
          <w:p>
            <w:pPr>
              <w:spacing w:after="0"/>
              <w:rPr>
                <w:sz w:val="15"/>
                <w:szCs w:val="15"/>
                <w:color w:val="auto"/>
              </w:rPr>
            </w:pPr>
          </w:p>
        </w:tc>
        <w:tc>
          <w:tcPr>
            <w:tcW w:w="2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9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left="660" w:right="720" w:hanging="652"/>
        <w:spacing w:after="0" w:line="277" w:lineRule="auto"/>
        <w:tabs>
          <w:tab w:leader="none" w:pos="6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28, 2017).</w:t>
      </w:r>
    </w:p>
    <w:p>
      <w:pPr>
        <w:spacing w:after="0" w:line="8" w:lineRule="exact"/>
        <w:rPr>
          <w:rFonts w:ascii="Arial" w:cs="Arial" w:eastAsia="Arial" w:hAnsi="Arial"/>
          <w:sz w:val="18"/>
          <w:szCs w:val="18"/>
          <w:color w:val="auto"/>
        </w:rPr>
      </w:pPr>
    </w:p>
    <w:p>
      <w:pPr>
        <w:ind w:left="660" w:right="880" w:hanging="652"/>
        <w:spacing w:after="0" w:line="277" w:lineRule="auto"/>
        <w:tabs>
          <w:tab w:leader="none" w:pos="6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spacing w:after="0" w:line="8" w:lineRule="exact"/>
        <w:rPr>
          <w:rFonts w:ascii="Arial" w:cs="Arial" w:eastAsia="Arial" w:hAnsi="Arial"/>
          <w:sz w:val="18"/>
          <w:szCs w:val="18"/>
          <w:color w:val="auto"/>
        </w:rPr>
      </w:pPr>
    </w:p>
    <w:p>
      <w:pPr>
        <w:ind w:left="660" w:hanging="652"/>
        <w:spacing w:after="0"/>
        <w:tabs>
          <w:tab w:leader="none" w:pos="6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our Amended 2000 Employee Stock Purchase Plan (the “2000 ESPP”).</w:t>
      </w:r>
    </w:p>
    <w:p>
      <w:pPr>
        <w:spacing w:after="0" w:line="63" w:lineRule="exact"/>
        <w:rPr>
          <w:rFonts w:ascii="Arial" w:cs="Arial" w:eastAsia="Arial" w:hAnsi="Arial"/>
          <w:sz w:val="18"/>
          <w:szCs w:val="18"/>
          <w:color w:val="auto"/>
        </w:rPr>
      </w:pPr>
    </w:p>
    <w:p>
      <w:pPr>
        <w:ind w:left="660" w:hanging="652"/>
        <w:spacing w:after="0"/>
        <w:tabs>
          <w:tab w:leader="none" w:pos="6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46" w:lineRule="exact"/>
        <w:rPr>
          <w:rFonts w:ascii="Arial" w:cs="Arial" w:eastAsia="Arial" w:hAnsi="Arial"/>
          <w:sz w:val="16"/>
          <w:szCs w:val="16"/>
          <w:color w:val="auto"/>
        </w:rPr>
      </w:pPr>
    </w:p>
    <w:p>
      <w:pPr>
        <w:ind w:left="660" w:right="420"/>
        <w:spacing w:after="0" w:line="261"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72"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4" w:lineRule="exact"/>
        <w:rPr>
          <w:sz w:val="20"/>
          <w:szCs w:val="20"/>
          <w:color w:val="auto"/>
        </w:rPr>
      </w:pPr>
    </w:p>
    <w:p>
      <w:pPr>
        <w:ind w:right="380" w:firstLine="432"/>
        <w:spacing w:after="0" w:line="277"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2017 Proxy Statement.</w:t>
      </w:r>
    </w:p>
    <w:p>
      <w:pPr>
        <w:spacing w:after="0" w:line="116" w:lineRule="exact"/>
        <w:rPr>
          <w:sz w:val="20"/>
          <w:szCs w:val="20"/>
          <w:color w:val="auto"/>
        </w:rPr>
      </w:pPr>
    </w:p>
    <w:p>
      <w:pPr>
        <w:ind w:right="80" w:firstLine="432"/>
        <w:spacing w:after="0" w:line="277"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2017 Proxy Statement.</w:t>
      </w:r>
    </w:p>
    <w:p>
      <w:pPr>
        <w:spacing w:after="0" w:line="329"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4" w:lineRule="exact"/>
        <w:rPr>
          <w:sz w:val="20"/>
          <w:szCs w:val="20"/>
          <w:color w:val="auto"/>
        </w:rPr>
      </w:pPr>
    </w:p>
    <w:p>
      <w:pPr>
        <w:ind w:right="640" w:firstLine="432"/>
        <w:spacing w:after="0" w:line="277"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2017 Proxy Statement.</w:t>
      </w:r>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20"/>
          </w:cols>
          <w:pgMar w:left="240" w:top="1050" w:right="239" w:bottom="1440" w:gutter="0" w:footer="0" w:header="0"/>
        </w:sectPr>
      </w:pPr>
    </w:p>
    <w:bookmarkStart w:id="102" w:name="page103"/>
    <w:bookmarkEnd w:id="102"/>
    <w:p>
      <w:pPr>
        <w:jc w:val="center"/>
        <w:ind w:right="-119"/>
        <w:spacing w:after="0"/>
        <w:rPr>
          <w:sz w:val="20"/>
          <w:szCs w:val="20"/>
          <w:color w:val="auto"/>
        </w:rPr>
      </w:pPr>
      <w:r>
        <w:rPr>
          <w:rFonts w:ascii="Arial" w:cs="Arial" w:eastAsia="Arial" w:hAnsi="Arial"/>
          <w:sz w:val="18"/>
          <w:szCs w:val="18"/>
          <w:b w:val="1"/>
          <w:bCs w:val="1"/>
          <w:color w:val="auto"/>
        </w:rPr>
        <w:t>PART IV</w:t>
      </w:r>
    </w:p>
    <w:p>
      <w:pPr>
        <w:spacing w:after="0" w:line="33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p>
      <w:pPr>
        <w:spacing w:after="0" w:line="117" w:lineRule="exact"/>
        <w:rPr>
          <w:sz w:val="20"/>
          <w:szCs w:val="20"/>
          <w:color w:val="auto"/>
        </w:rPr>
      </w:pPr>
    </w:p>
    <w:p>
      <w:pPr>
        <w:ind w:left="660" w:hanging="328"/>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1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the “Index to Consolidated Financial Statements” on page 44 of this Annual Report on Form 10-K.</w:t>
      </w:r>
    </w:p>
    <w:p>
      <w:pPr>
        <w:spacing w:after="0" w:line="117" w:lineRule="exact"/>
        <w:rPr>
          <w:sz w:val="20"/>
          <w:szCs w:val="20"/>
          <w:color w:val="auto"/>
        </w:rPr>
      </w:pPr>
    </w:p>
    <w:p>
      <w:pPr>
        <w:ind w:left="660" w:hanging="328"/>
        <w:spacing w:after="0"/>
        <w:tabs>
          <w:tab w:leader="none" w:pos="660" w:val="left"/>
        </w:tabs>
        <w:numPr>
          <w:ilvl w:val="0"/>
          <w:numId w:val="41"/>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See “Schedule II — Valuation and Qualifying Accounts” on page 103 of this Annual Report on Form 10-K:</w:t>
      </w:r>
    </w:p>
    <w:p>
      <w:pPr>
        <w:spacing w:after="0" w:line="117"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62" w:lineRule="exact"/>
        <w:rPr>
          <w:sz w:val="20"/>
          <w:szCs w:val="20"/>
          <w:color w:val="auto"/>
        </w:rPr>
      </w:pPr>
    </w:p>
    <w:p>
      <w:pPr>
        <w:ind w:left="660" w:hanging="328"/>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See the “Index to Exhibits” immediately following the signature page of this Annual Report on Form 10-K.</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300"/>
          </w:cols>
          <w:pgMar w:left="240" w:top="796" w:right="359" w:bottom="1440" w:gutter="0" w:footer="0" w:header="0"/>
        </w:sectPr>
      </w:pPr>
    </w:p>
    <w:bookmarkStart w:id="103" w:name="page104"/>
    <w:bookmarkEnd w:id="103"/>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349" w:lineRule="exact"/>
        <w:rPr>
          <w:sz w:val="20"/>
          <w:szCs w:val="20"/>
          <w:color w:val="auto"/>
        </w:rPr>
      </w:pPr>
    </w:p>
    <w:p>
      <w:pPr>
        <w:ind w:left="474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387" w:lineRule="exact"/>
        <w:rPr>
          <w:sz w:val="20"/>
          <w:szCs w:val="20"/>
          <w:color w:val="auto"/>
        </w:rPr>
      </w:pPr>
    </w:p>
    <w:p>
      <w:pPr>
        <w:ind w:left="40"/>
        <w:spacing w:after="0"/>
        <w:tabs>
          <w:tab w:leader="none" w:pos="4720" w:val="left"/>
          <w:tab w:leader="none" w:pos="8440" w:val="left"/>
          <w:tab w:leader="none" w:pos="8800" w:val="left"/>
        </w:tabs>
        <w:rPr>
          <w:sz w:val="20"/>
          <w:szCs w:val="20"/>
          <w:color w:val="auto"/>
        </w:rPr>
      </w:pPr>
      <w:r>
        <w:rPr>
          <w:rFonts w:ascii="Arial" w:cs="Arial" w:eastAsia="Arial" w:hAnsi="Arial"/>
          <w:sz w:val="18"/>
          <w:szCs w:val="18"/>
          <w:color w:val="auto"/>
        </w:rPr>
        <w:t>Dated: March 27,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3349625</wp:posOffset>
            </wp:positionH>
            <wp:positionV relativeFrom="paragraph">
              <wp:posOffset>31750</wp:posOffset>
            </wp:positionV>
            <wp:extent cx="390207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3902075" cy="8890"/>
                    </a:xfrm>
                    <a:prstGeom prst="rect">
                      <a:avLst/>
                    </a:prstGeom>
                    <a:noFill/>
                  </pic:spPr>
                </pic:pic>
              </a:graphicData>
            </a:graphic>
          </wp:anchor>
        </w:drawing>
      </w:r>
    </w:p>
    <w:p>
      <w:pPr>
        <w:spacing w:after="0" w:line="48" w:lineRule="exact"/>
        <w:rPr>
          <w:sz w:val="20"/>
          <w:szCs w:val="20"/>
          <w:color w:val="auto"/>
        </w:rPr>
      </w:pPr>
    </w:p>
    <w:p>
      <w:pPr>
        <w:jc w:val="center"/>
        <w:ind w:left="6740"/>
        <w:spacing w:after="0"/>
        <w:rPr>
          <w:sz w:val="20"/>
          <w:szCs w:val="20"/>
          <w:color w:val="auto"/>
        </w:rPr>
      </w:pPr>
      <w:r>
        <w:rPr>
          <w:rFonts w:ascii="Arial" w:cs="Arial" w:eastAsia="Arial" w:hAnsi="Arial"/>
          <w:sz w:val="14"/>
          <w:szCs w:val="14"/>
          <w:b w:val="1"/>
          <w:bCs w:val="1"/>
          <w:color w:val="auto"/>
        </w:rPr>
        <w:t>Jean Hu</w:t>
      </w:r>
    </w:p>
    <w:p>
      <w:pPr>
        <w:jc w:val="center"/>
        <w:ind w:left="6740"/>
        <w:spacing w:after="0" w:line="226" w:lineRule="auto"/>
        <w:rPr>
          <w:sz w:val="20"/>
          <w:szCs w:val="20"/>
          <w:color w:val="auto"/>
        </w:rPr>
      </w:pPr>
      <w:r>
        <w:rPr>
          <w:rFonts w:ascii="Arial" w:cs="Arial" w:eastAsia="Arial" w:hAnsi="Arial"/>
          <w:sz w:val="14"/>
          <w:szCs w:val="14"/>
          <w:b w:val="1"/>
          <w:bCs w:val="1"/>
          <w:i w:val="1"/>
          <w:iCs w:val="1"/>
          <w:color w:val="auto"/>
        </w:rPr>
        <w:t>Chief Financial Officer</w:t>
      </w:r>
    </w:p>
    <w:p>
      <w:pPr>
        <w:spacing w:after="0" w:line="1" w:lineRule="exact"/>
        <w:rPr>
          <w:sz w:val="20"/>
          <w:szCs w:val="20"/>
          <w:color w:val="auto"/>
        </w:rPr>
      </w:pPr>
    </w:p>
    <w:p>
      <w:pPr>
        <w:jc w:val="center"/>
        <w:ind w:left="6740"/>
        <w:spacing w:after="0"/>
        <w:rPr>
          <w:sz w:val="20"/>
          <w:szCs w:val="20"/>
          <w:color w:val="auto"/>
        </w:rPr>
      </w:pPr>
      <w:r>
        <w:rPr>
          <w:rFonts w:ascii="Arial" w:cs="Arial" w:eastAsia="Arial" w:hAnsi="Arial"/>
          <w:sz w:val="14"/>
          <w:szCs w:val="14"/>
          <w:b w:val="1"/>
          <w:bCs w:val="1"/>
          <w:color w:val="auto"/>
        </w:rPr>
        <w:t>(Principal Financial Officer)</w:t>
      </w:r>
    </w:p>
    <w:p>
      <w:pPr>
        <w:spacing w:after="0" w:line="11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21" w:lineRule="exact"/>
        <w:rPr>
          <w:sz w:val="20"/>
          <w:szCs w:val="20"/>
          <w:color w:val="auto"/>
        </w:rPr>
      </w:pPr>
    </w:p>
    <w:p>
      <w:pPr>
        <w:ind w:right="40" w:firstLine="432"/>
        <w:spacing w:after="0" w:line="257"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Mitchell Gaynor and Jean Hu,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80" w:lineRule="exact"/>
        <w:rPr>
          <w:sz w:val="20"/>
          <w:szCs w:val="20"/>
          <w:color w:val="auto"/>
        </w:rPr>
      </w:pPr>
    </w:p>
    <w:p>
      <w:pPr>
        <w:ind w:right="40" w:firstLine="432"/>
        <w:spacing w:after="0" w:line="277"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1480"/>
        <w:spacing w:after="0"/>
        <w:tabs>
          <w:tab w:leader="none" w:pos="6520" w:val="left"/>
          <w:tab w:leader="none" w:pos="1014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3"/>
          <w:szCs w:val="13"/>
          <w:b w:val="1"/>
          <w:bCs w:val="1"/>
          <w:color w:val="auto"/>
        </w:rPr>
        <w:t>Date</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640" w:type="dxa"/>
            <w:vAlign w:val="bottom"/>
            <w:vMerge w:val="restart"/>
          </w:tcPr>
          <w:p>
            <w:pPr>
              <w:ind w:left="138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580" w:type="dxa"/>
            <w:vAlign w:val="bottom"/>
            <w:gridSpan w:val="2"/>
            <w:vMerge w:val="restart"/>
          </w:tcPr>
          <w:p>
            <w:pPr>
              <w:jc w:val="center"/>
              <w:ind w:right="1197"/>
              <w:spacing w:after="0"/>
              <w:rPr>
                <w:sz w:val="20"/>
                <w:szCs w:val="20"/>
                <w:color w:val="auto"/>
              </w:rPr>
            </w:pPr>
            <w:r>
              <w:rPr>
                <w:rFonts w:ascii="Arial" w:cs="Arial" w:eastAsia="Arial" w:hAnsi="Arial"/>
                <w:sz w:val="18"/>
                <w:szCs w:val="18"/>
                <w:color w:val="auto"/>
                <w:w w:val="99"/>
              </w:rPr>
              <w:t>M</w:t>
            </w:r>
            <w:r>
              <w:rPr>
                <w:rFonts w:ascii="Arial" w:cs="Arial" w:eastAsia="Arial" w:hAnsi="Arial"/>
                <w:sz w:val="14"/>
                <w:szCs w:val="14"/>
                <w:color w:val="auto"/>
                <w:w w:val="99"/>
              </w:rPr>
              <w:t>ATT</w:t>
            </w:r>
            <w:r>
              <w:rPr>
                <w:rFonts w:ascii="Arial" w:cs="Arial" w:eastAsia="Arial" w:hAnsi="Arial"/>
                <w:sz w:val="18"/>
                <w:szCs w:val="18"/>
                <w:color w:val="auto"/>
                <w:w w:val="99"/>
              </w:rPr>
              <w:t xml:space="preserve"> M</w:t>
            </w:r>
            <w:r>
              <w:rPr>
                <w:rFonts w:ascii="Arial" w:cs="Arial" w:eastAsia="Arial" w:hAnsi="Arial"/>
                <w:sz w:val="14"/>
                <w:szCs w:val="14"/>
                <w:color w:val="auto"/>
                <w:w w:val="99"/>
              </w:rPr>
              <w:t>URPHY</w:t>
            </w:r>
          </w:p>
        </w:tc>
        <w:tc>
          <w:tcPr>
            <w:tcW w:w="4940" w:type="dxa"/>
            <w:vAlign w:val="bottom"/>
          </w:tcPr>
          <w:p>
            <w:pPr>
              <w:jc w:val="center"/>
              <w:spacing w:after="0"/>
              <w:rPr>
                <w:sz w:val="20"/>
                <w:szCs w:val="20"/>
                <w:color w:val="auto"/>
              </w:rPr>
            </w:pPr>
            <w:r>
              <w:rPr>
                <w:rFonts w:ascii="Arial" w:cs="Arial" w:eastAsia="Arial" w:hAnsi="Arial"/>
                <w:sz w:val="18"/>
                <w:szCs w:val="18"/>
                <w:color w:val="auto"/>
                <w:w w:val="92"/>
              </w:rPr>
              <w:t>President and Chief Executive Officer (Principal</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95"/>
        </w:trPr>
        <w:tc>
          <w:tcPr>
            <w:tcW w:w="1640" w:type="dxa"/>
            <w:vAlign w:val="bottom"/>
            <w:vMerge w:val="continue"/>
          </w:tcPr>
          <w:p>
            <w:pPr>
              <w:spacing w:after="0"/>
              <w:rPr>
                <w:sz w:val="8"/>
                <w:szCs w:val="8"/>
                <w:color w:val="auto"/>
              </w:rPr>
            </w:pPr>
          </w:p>
        </w:tc>
        <w:tc>
          <w:tcPr>
            <w:tcW w:w="2580" w:type="dxa"/>
            <w:vAlign w:val="bottom"/>
            <w:gridSpan w:val="2"/>
            <w:vMerge w:val="continue"/>
          </w:tcPr>
          <w:p>
            <w:pPr>
              <w:spacing w:after="0"/>
              <w:rPr>
                <w:sz w:val="8"/>
                <w:szCs w:val="8"/>
                <w:color w:val="auto"/>
              </w:rPr>
            </w:pPr>
          </w:p>
        </w:tc>
        <w:tc>
          <w:tcPr>
            <w:tcW w:w="4940" w:type="dxa"/>
            <w:vAlign w:val="bottom"/>
            <w:vMerge w:val="restart"/>
          </w:tcPr>
          <w:p>
            <w:pPr>
              <w:jc w:val="center"/>
              <w:spacing w:after="0"/>
              <w:rPr>
                <w:sz w:val="20"/>
                <w:szCs w:val="20"/>
                <w:color w:val="auto"/>
              </w:rPr>
            </w:pPr>
            <w:r>
              <w:rPr>
                <w:rFonts w:ascii="Arial" w:cs="Arial" w:eastAsia="Arial" w:hAnsi="Arial"/>
                <w:sz w:val="18"/>
                <w:szCs w:val="18"/>
                <w:color w:val="auto"/>
                <w:w w:val="95"/>
              </w:rPr>
              <w:t>Executive Officer)</w:t>
            </w: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7"/>
        </w:trPr>
        <w:tc>
          <w:tcPr>
            <w:tcW w:w="16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20" w:type="dxa"/>
            <w:vAlign w:val="bottom"/>
            <w:tcBorders>
              <w:bottom w:val="single" w:sz="8" w:color="auto"/>
            </w:tcBorders>
          </w:tcPr>
          <w:p>
            <w:pPr>
              <w:spacing w:after="0"/>
              <w:rPr>
                <w:sz w:val="2"/>
                <w:szCs w:val="2"/>
                <w:color w:val="auto"/>
              </w:rPr>
            </w:pPr>
          </w:p>
        </w:tc>
        <w:tc>
          <w:tcPr>
            <w:tcW w:w="4940" w:type="dxa"/>
            <w:vAlign w:val="bottom"/>
            <w:vMerge w:val="continue"/>
          </w:tcPr>
          <w:p>
            <w:pPr>
              <w:spacing w:after="0"/>
              <w:rPr>
                <w:sz w:val="2"/>
                <w:szCs w:val="2"/>
                <w:color w:val="auto"/>
              </w:rPr>
            </w:pPr>
          </w:p>
        </w:tc>
        <w:tc>
          <w:tcPr>
            <w:tcW w:w="17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88"/>
        </w:trPr>
        <w:tc>
          <w:tcPr>
            <w:tcW w:w="1640" w:type="dxa"/>
            <w:vAlign w:val="bottom"/>
          </w:tcPr>
          <w:p>
            <w:pPr>
              <w:spacing w:after="0"/>
              <w:rPr>
                <w:sz w:val="7"/>
                <w:szCs w:val="7"/>
                <w:color w:val="auto"/>
              </w:rPr>
            </w:pPr>
          </w:p>
        </w:tc>
        <w:tc>
          <w:tcPr>
            <w:tcW w:w="2580" w:type="dxa"/>
            <w:vAlign w:val="bottom"/>
            <w:gridSpan w:val="2"/>
            <w:vMerge w:val="restart"/>
          </w:tcPr>
          <w:p>
            <w:pPr>
              <w:jc w:val="center"/>
              <w:ind w:right="1557"/>
              <w:spacing w:after="0"/>
              <w:rPr>
                <w:sz w:val="20"/>
                <w:szCs w:val="20"/>
                <w:color w:val="auto"/>
              </w:rPr>
            </w:pPr>
            <w:r>
              <w:rPr>
                <w:rFonts w:ascii="Arial" w:cs="Arial" w:eastAsia="Arial" w:hAnsi="Arial"/>
                <w:sz w:val="14"/>
                <w:szCs w:val="14"/>
                <w:b w:val="1"/>
                <w:bCs w:val="1"/>
                <w:color w:val="auto"/>
              </w:rPr>
              <w:t>Matt Murphy</w:t>
            </w:r>
          </w:p>
        </w:tc>
        <w:tc>
          <w:tcPr>
            <w:tcW w:w="4940" w:type="dxa"/>
            <w:vAlign w:val="bottom"/>
            <w:vMerge w:val="continue"/>
          </w:tcPr>
          <w:p>
            <w:pPr>
              <w:spacing w:after="0"/>
              <w:rPr>
                <w:sz w:val="7"/>
                <w:szCs w:val="7"/>
                <w:color w:val="auto"/>
              </w:rPr>
            </w:pPr>
          </w:p>
        </w:tc>
        <w:tc>
          <w:tcPr>
            <w:tcW w:w="1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1"/>
        </w:trPr>
        <w:tc>
          <w:tcPr>
            <w:tcW w:w="1640" w:type="dxa"/>
            <w:vAlign w:val="bottom"/>
          </w:tcPr>
          <w:p>
            <w:pPr>
              <w:spacing w:after="0"/>
              <w:rPr>
                <w:sz w:val="20"/>
                <w:szCs w:val="20"/>
                <w:color w:val="auto"/>
              </w:rPr>
            </w:pPr>
          </w:p>
        </w:tc>
        <w:tc>
          <w:tcPr>
            <w:tcW w:w="2580" w:type="dxa"/>
            <w:vAlign w:val="bottom"/>
            <w:gridSpan w:val="2"/>
            <w:vMerge w:val="continue"/>
          </w:tcPr>
          <w:p>
            <w:pPr>
              <w:spacing w:after="0"/>
              <w:rPr>
                <w:sz w:val="20"/>
                <w:szCs w:val="20"/>
                <w:color w:val="auto"/>
              </w:rPr>
            </w:pPr>
          </w:p>
        </w:tc>
        <w:tc>
          <w:tcPr>
            <w:tcW w:w="494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800" w:type="dxa"/>
            <w:vAlign w:val="bottom"/>
            <w:gridSpan w:val="2"/>
          </w:tcPr>
          <w:p>
            <w:pPr>
              <w:ind w:left="1620"/>
              <w:spacing w:after="0"/>
              <w:rPr>
                <w:sz w:val="20"/>
                <w:szCs w:val="20"/>
                <w:color w:val="auto"/>
              </w:rPr>
            </w:pPr>
            <w:r>
              <w:rPr>
                <w:rFonts w:ascii="Arial" w:cs="Arial" w:eastAsia="Arial" w:hAnsi="Arial"/>
                <w:sz w:val="18"/>
                <w:szCs w:val="18"/>
                <w:color w:val="auto"/>
                <w:w w:val="82"/>
              </w:rPr>
              <w:t>/</w:t>
            </w:r>
            <w:r>
              <w:rPr>
                <w:rFonts w:ascii="Arial" w:cs="Arial" w:eastAsia="Arial" w:hAnsi="Arial"/>
                <w:sz w:val="14"/>
                <w:szCs w:val="14"/>
                <w:color w:val="auto"/>
                <w:w w:val="82"/>
              </w:rPr>
              <w:t>S</w:t>
            </w:r>
            <w:r>
              <w:rPr>
                <w:rFonts w:ascii="Arial" w:cs="Arial" w:eastAsia="Arial" w:hAnsi="Arial"/>
                <w:sz w:val="18"/>
                <w:szCs w:val="18"/>
                <w:color w:val="auto"/>
                <w:w w:val="82"/>
              </w:rPr>
              <w:t>/</w:t>
            </w:r>
          </w:p>
        </w:tc>
        <w:tc>
          <w:tcPr>
            <w:tcW w:w="2420" w:type="dxa"/>
            <w:vAlign w:val="bottom"/>
          </w:tcPr>
          <w:p>
            <w:pPr>
              <w:jc w:val="center"/>
              <w:ind w:right="1337"/>
              <w:spacing w:after="0"/>
              <w:rPr>
                <w:sz w:val="20"/>
                <w:szCs w:val="20"/>
                <w:color w:val="auto"/>
              </w:rPr>
            </w:pPr>
            <w:r>
              <w:rPr>
                <w:rFonts w:ascii="Arial" w:cs="Arial" w:eastAsia="Arial" w:hAnsi="Arial"/>
                <w:sz w:val="18"/>
                <w:szCs w:val="18"/>
                <w:color w:val="auto"/>
                <w:w w:val="97"/>
              </w:rPr>
              <w:t>J</w:t>
            </w:r>
            <w:r>
              <w:rPr>
                <w:rFonts w:ascii="Arial" w:cs="Arial" w:eastAsia="Arial" w:hAnsi="Arial"/>
                <w:sz w:val="14"/>
                <w:szCs w:val="14"/>
                <w:color w:val="auto"/>
                <w:w w:val="97"/>
              </w:rPr>
              <w:t>EAN</w:t>
            </w:r>
            <w:r>
              <w:rPr>
                <w:rFonts w:ascii="Arial" w:cs="Arial" w:eastAsia="Arial" w:hAnsi="Arial"/>
                <w:sz w:val="18"/>
                <w:szCs w:val="18"/>
                <w:color w:val="auto"/>
                <w:w w:val="97"/>
              </w:rPr>
              <w:t xml:space="preserve"> H</w:t>
            </w:r>
            <w:r>
              <w:rPr>
                <w:rFonts w:ascii="Arial" w:cs="Arial" w:eastAsia="Arial" w:hAnsi="Arial"/>
                <w:sz w:val="14"/>
                <w:szCs w:val="14"/>
                <w:color w:val="auto"/>
                <w:w w:val="97"/>
              </w:rPr>
              <w:t>U</w:t>
            </w:r>
          </w:p>
        </w:tc>
        <w:tc>
          <w:tcPr>
            <w:tcW w:w="4940" w:type="dxa"/>
            <w:vAlign w:val="bottom"/>
          </w:tcPr>
          <w:p>
            <w:pPr>
              <w:jc w:val="center"/>
              <w:spacing w:after="0"/>
              <w:rPr>
                <w:sz w:val="20"/>
                <w:szCs w:val="20"/>
                <w:color w:val="auto"/>
              </w:rPr>
            </w:pPr>
            <w:r>
              <w:rPr>
                <w:rFonts w:ascii="Arial" w:cs="Arial" w:eastAsia="Arial" w:hAnsi="Arial"/>
                <w:sz w:val="18"/>
                <w:szCs w:val="18"/>
                <w:color w:val="auto"/>
                <w:w w:val="94"/>
              </w:rPr>
              <w:t>Chief Financial Officer (Principal Financial Officer)</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27"/>
        </w:trPr>
        <w:tc>
          <w:tcPr>
            <w:tcW w:w="16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20" w:type="dxa"/>
            <w:vAlign w:val="bottom"/>
            <w:tcBorders>
              <w:bottom w:val="single" w:sz="8" w:color="auto"/>
            </w:tcBorders>
          </w:tcPr>
          <w:p>
            <w:pPr>
              <w:spacing w:after="0"/>
              <w:rPr>
                <w:sz w:val="2"/>
                <w:szCs w:val="2"/>
                <w:color w:val="auto"/>
              </w:rPr>
            </w:pPr>
          </w:p>
        </w:tc>
        <w:tc>
          <w:tcPr>
            <w:tcW w:w="4940" w:type="dxa"/>
            <w:vAlign w:val="bottom"/>
          </w:tcPr>
          <w:p>
            <w:pPr>
              <w:spacing w:after="0"/>
              <w:rPr>
                <w:sz w:val="2"/>
                <w:szCs w:val="2"/>
                <w:color w:val="auto"/>
              </w:rPr>
            </w:pPr>
          </w:p>
        </w:tc>
        <w:tc>
          <w:tcPr>
            <w:tcW w:w="17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6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20" w:type="dxa"/>
            <w:vAlign w:val="bottom"/>
          </w:tcPr>
          <w:p>
            <w:pPr>
              <w:jc w:val="center"/>
              <w:ind w:right="1697"/>
              <w:spacing w:after="0"/>
              <w:rPr>
                <w:sz w:val="20"/>
                <w:szCs w:val="20"/>
                <w:color w:val="auto"/>
              </w:rPr>
            </w:pPr>
            <w:r>
              <w:rPr>
                <w:rFonts w:ascii="Arial" w:cs="Arial" w:eastAsia="Arial" w:hAnsi="Arial"/>
                <w:sz w:val="14"/>
                <w:szCs w:val="14"/>
                <w:b w:val="1"/>
                <w:bCs w:val="1"/>
                <w:color w:val="auto"/>
                <w:w w:val="95"/>
              </w:rPr>
              <w:t>Jean Hu</w:t>
            </w:r>
          </w:p>
        </w:tc>
        <w:tc>
          <w:tcPr>
            <w:tcW w:w="494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65"/>
        </w:trPr>
        <w:tc>
          <w:tcPr>
            <w:tcW w:w="1640" w:type="dxa"/>
            <w:vAlign w:val="bottom"/>
          </w:tcPr>
          <w:p>
            <w:pPr>
              <w:ind w:left="1440"/>
              <w:spacing w:after="0"/>
              <w:rPr>
                <w:sz w:val="20"/>
                <w:szCs w:val="20"/>
                <w:color w:val="auto"/>
              </w:rPr>
            </w:pPr>
            <w:r>
              <w:rPr>
                <w:rFonts w:ascii="Arial" w:cs="Arial" w:eastAsia="Arial" w:hAnsi="Arial"/>
                <w:sz w:val="18"/>
                <w:szCs w:val="18"/>
                <w:color w:val="auto"/>
                <w:w w:val="81"/>
              </w:rPr>
              <w:t>/S/</w:t>
            </w:r>
          </w:p>
        </w:tc>
        <w:tc>
          <w:tcPr>
            <w:tcW w:w="160" w:type="dxa"/>
            <w:vAlign w:val="bottom"/>
          </w:tcPr>
          <w:p>
            <w:pPr>
              <w:spacing w:after="0"/>
              <w:rPr>
                <w:sz w:val="24"/>
                <w:szCs w:val="24"/>
                <w:color w:val="auto"/>
              </w:rPr>
            </w:pPr>
          </w:p>
        </w:tc>
        <w:tc>
          <w:tcPr>
            <w:tcW w:w="2420" w:type="dxa"/>
            <w:vAlign w:val="bottom"/>
          </w:tcPr>
          <w:p>
            <w:pPr>
              <w:jc w:val="center"/>
              <w:ind w:right="1317"/>
              <w:spacing w:after="0"/>
              <w:rPr>
                <w:sz w:val="20"/>
                <w:szCs w:val="20"/>
                <w:color w:val="auto"/>
              </w:rPr>
            </w:pPr>
            <w:r>
              <w:rPr>
                <w:rFonts w:ascii="Arial" w:cs="Arial" w:eastAsia="Arial" w:hAnsi="Arial"/>
                <w:sz w:val="18"/>
                <w:szCs w:val="18"/>
                <w:color w:val="auto"/>
                <w:w w:val="98"/>
              </w:rPr>
              <w:t>D</w:t>
            </w:r>
            <w:r>
              <w:rPr>
                <w:rFonts w:ascii="Arial" w:cs="Arial" w:eastAsia="Arial" w:hAnsi="Arial"/>
                <w:sz w:val="14"/>
                <w:szCs w:val="14"/>
                <w:color w:val="auto"/>
                <w:w w:val="98"/>
              </w:rPr>
              <w:t>AVE</w:t>
            </w:r>
            <w:r>
              <w:rPr>
                <w:rFonts w:ascii="Arial" w:cs="Arial" w:eastAsia="Arial" w:hAnsi="Arial"/>
                <w:sz w:val="18"/>
                <w:szCs w:val="18"/>
                <w:color w:val="auto"/>
                <w:w w:val="98"/>
              </w:rPr>
              <w:t xml:space="preserve"> C</w:t>
            </w:r>
            <w:r>
              <w:rPr>
                <w:rFonts w:ascii="Arial" w:cs="Arial" w:eastAsia="Arial" w:hAnsi="Arial"/>
                <w:sz w:val="14"/>
                <w:szCs w:val="14"/>
                <w:color w:val="auto"/>
                <w:w w:val="98"/>
              </w:rPr>
              <w:t>ARON</w:t>
            </w:r>
          </w:p>
        </w:tc>
        <w:tc>
          <w:tcPr>
            <w:tcW w:w="4940" w:type="dxa"/>
            <w:vAlign w:val="bottom"/>
          </w:tcPr>
          <w:p>
            <w:pPr>
              <w:jc w:val="center"/>
              <w:spacing w:after="0"/>
              <w:rPr>
                <w:sz w:val="20"/>
                <w:szCs w:val="20"/>
                <w:color w:val="auto"/>
              </w:rPr>
            </w:pPr>
            <w:r>
              <w:rPr>
                <w:rFonts w:ascii="Arial" w:cs="Arial" w:eastAsia="Arial" w:hAnsi="Arial"/>
                <w:sz w:val="18"/>
                <w:szCs w:val="18"/>
                <w:color w:val="auto"/>
                <w:w w:val="93"/>
              </w:rPr>
              <w:t>Controller and Chief Accounting Officer (Principal</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41"/>
        </w:trPr>
        <w:tc>
          <w:tcPr>
            <w:tcW w:w="1640" w:type="dxa"/>
            <w:vAlign w:val="bottom"/>
            <w:tcBorders>
              <w:bottom w:val="single" w:sz="8" w:color="auto"/>
            </w:tcBorders>
          </w:tcPr>
          <w:p>
            <w:pPr>
              <w:spacing w:after="0"/>
              <w:rPr>
                <w:sz w:val="3"/>
                <w:szCs w:val="3"/>
                <w:color w:val="auto"/>
              </w:rPr>
            </w:pPr>
          </w:p>
        </w:tc>
        <w:tc>
          <w:tcPr>
            <w:tcW w:w="160" w:type="dxa"/>
            <w:vAlign w:val="bottom"/>
            <w:tcBorders>
              <w:bottom w:val="single" w:sz="8" w:color="auto"/>
            </w:tcBorders>
          </w:tcPr>
          <w:p>
            <w:pPr>
              <w:spacing w:after="0"/>
              <w:rPr>
                <w:sz w:val="3"/>
                <w:szCs w:val="3"/>
                <w:color w:val="auto"/>
              </w:rPr>
            </w:pPr>
          </w:p>
        </w:tc>
        <w:tc>
          <w:tcPr>
            <w:tcW w:w="2420" w:type="dxa"/>
            <w:vAlign w:val="bottom"/>
            <w:tcBorders>
              <w:bottom w:val="single" w:sz="8" w:color="auto"/>
            </w:tcBorders>
          </w:tcPr>
          <w:p>
            <w:pPr>
              <w:spacing w:after="0"/>
              <w:rPr>
                <w:sz w:val="3"/>
                <w:szCs w:val="3"/>
                <w:color w:val="auto"/>
              </w:rPr>
            </w:pPr>
          </w:p>
        </w:tc>
        <w:tc>
          <w:tcPr>
            <w:tcW w:w="4940" w:type="dxa"/>
            <w:vAlign w:val="bottom"/>
            <w:vMerge w:val="restart"/>
          </w:tcPr>
          <w:p>
            <w:pPr>
              <w:jc w:val="center"/>
              <w:spacing w:after="0"/>
              <w:rPr>
                <w:sz w:val="20"/>
                <w:szCs w:val="20"/>
                <w:color w:val="auto"/>
              </w:rPr>
            </w:pPr>
            <w:r>
              <w:rPr>
                <w:rFonts w:ascii="Arial" w:cs="Arial" w:eastAsia="Arial" w:hAnsi="Arial"/>
                <w:sz w:val="18"/>
                <w:szCs w:val="18"/>
                <w:color w:val="auto"/>
                <w:w w:val="96"/>
              </w:rPr>
              <w:t>Accounting Officer)</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1640" w:type="dxa"/>
            <w:vAlign w:val="bottom"/>
          </w:tcPr>
          <w:p>
            <w:pPr>
              <w:spacing w:after="0"/>
              <w:rPr>
                <w:sz w:val="14"/>
                <w:szCs w:val="14"/>
                <w:color w:val="auto"/>
              </w:rPr>
            </w:pPr>
          </w:p>
        </w:tc>
        <w:tc>
          <w:tcPr>
            <w:tcW w:w="2580" w:type="dxa"/>
            <w:vAlign w:val="bottom"/>
            <w:gridSpan w:val="2"/>
            <w:vMerge w:val="restart"/>
          </w:tcPr>
          <w:p>
            <w:pPr>
              <w:jc w:val="center"/>
              <w:ind w:right="1557"/>
              <w:spacing w:after="0"/>
              <w:rPr>
                <w:sz w:val="20"/>
                <w:szCs w:val="20"/>
                <w:color w:val="auto"/>
              </w:rPr>
            </w:pPr>
            <w:r>
              <w:rPr>
                <w:rFonts w:ascii="Arial" w:cs="Arial" w:eastAsia="Arial" w:hAnsi="Arial"/>
                <w:sz w:val="14"/>
                <w:szCs w:val="14"/>
                <w:b w:val="1"/>
                <w:bCs w:val="1"/>
                <w:color w:val="auto"/>
                <w:w w:val="95"/>
              </w:rPr>
              <w:t>Dave Caron</w:t>
            </w:r>
          </w:p>
        </w:tc>
        <w:tc>
          <w:tcPr>
            <w:tcW w:w="4940" w:type="dxa"/>
            <w:vAlign w:val="bottom"/>
            <w:vMerge w:val="continue"/>
          </w:tcPr>
          <w:p>
            <w:pPr>
              <w:spacing w:after="0"/>
              <w:rPr>
                <w:sz w:val="14"/>
                <w:szCs w:val="14"/>
                <w:color w:val="auto"/>
              </w:rPr>
            </w:pPr>
          </w:p>
        </w:tc>
        <w:tc>
          <w:tcPr>
            <w:tcW w:w="1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69"/>
        </w:trPr>
        <w:tc>
          <w:tcPr>
            <w:tcW w:w="1640" w:type="dxa"/>
            <w:vAlign w:val="bottom"/>
          </w:tcPr>
          <w:p>
            <w:pPr>
              <w:spacing w:after="0"/>
              <w:rPr>
                <w:sz w:val="6"/>
                <w:szCs w:val="6"/>
                <w:color w:val="auto"/>
              </w:rPr>
            </w:pPr>
          </w:p>
        </w:tc>
        <w:tc>
          <w:tcPr>
            <w:tcW w:w="2580" w:type="dxa"/>
            <w:vAlign w:val="bottom"/>
            <w:gridSpan w:val="2"/>
            <w:vMerge w:val="continue"/>
          </w:tcPr>
          <w:p>
            <w:pPr>
              <w:spacing w:after="0"/>
              <w:rPr>
                <w:sz w:val="6"/>
                <w:szCs w:val="6"/>
                <w:color w:val="auto"/>
              </w:rPr>
            </w:pPr>
          </w:p>
        </w:tc>
        <w:tc>
          <w:tcPr>
            <w:tcW w:w="4940" w:type="dxa"/>
            <w:vAlign w:val="bottom"/>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79"/>
        </w:trPr>
        <w:tc>
          <w:tcPr>
            <w:tcW w:w="1640" w:type="dxa"/>
            <w:vAlign w:val="bottom"/>
          </w:tcPr>
          <w:p>
            <w:pPr>
              <w:ind w:left="1380"/>
              <w:spacing w:after="0"/>
              <w:rPr>
                <w:sz w:val="20"/>
                <w:szCs w:val="20"/>
                <w:color w:val="auto"/>
              </w:rPr>
            </w:pPr>
            <w:r>
              <w:rPr>
                <w:rFonts w:ascii="Arial" w:cs="Arial" w:eastAsia="Arial" w:hAnsi="Arial"/>
                <w:sz w:val="18"/>
                <w:szCs w:val="18"/>
                <w:color w:val="auto"/>
              </w:rPr>
              <w:t>/S/</w:t>
            </w:r>
          </w:p>
        </w:tc>
        <w:tc>
          <w:tcPr>
            <w:tcW w:w="2580" w:type="dxa"/>
            <w:vAlign w:val="bottom"/>
            <w:gridSpan w:val="2"/>
          </w:tcPr>
          <w:p>
            <w:pPr>
              <w:jc w:val="center"/>
              <w:ind w:right="1177"/>
              <w:spacing w:after="0"/>
              <w:rPr>
                <w:sz w:val="20"/>
                <w:szCs w:val="20"/>
                <w:color w:val="auto"/>
              </w:rPr>
            </w:pPr>
            <w:r>
              <w:rPr>
                <w:rFonts w:ascii="Arial" w:cs="Arial" w:eastAsia="Arial" w:hAnsi="Arial"/>
                <w:sz w:val="18"/>
                <w:szCs w:val="18"/>
                <w:color w:val="auto"/>
                <w:w w:val="98"/>
              </w:rPr>
              <w:t>T</w:t>
            </w:r>
            <w:r>
              <w:rPr>
                <w:rFonts w:ascii="Arial" w:cs="Arial" w:eastAsia="Arial" w:hAnsi="Arial"/>
                <w:sz w:val="14"/>
                <w:szCs w:val="14"/>
                <w:color w:val="auto"/>
                <w:w w:val="98"/>
              </w:rPr>
              <w:t>UDOR</w:t>
            </w:r>
            <w:r>
              <w:rPr>
                <w:rFonts w:ascii="Arial" w:cs="Arial" w:eastAsia="Arial" w:hAnsi="Arial"/>
                <w:sz w:val="18"/>
                <w:szCs w:val="18"/>
                <w:color w:val="auto"/>
                <w:w w:val="98"/>
              </w:rPr>
              <w:t xml:space="preserve"> B</w:t>
            </w:r>
            <w:r>
              <w:rPr>
                <w:rFonts w:ascii="Arial" w:cs="Arial" w:eastAsia="Arial" w:hAnsi="Arial"/>
                <w:sz w:val="14"/>
                <w:szCs w:val="14"/>
                <w:color w:val="auto"/>
                <w:w w:val="98"/>
              </w:rPr>
              <w:t>ROWN</w:t>
            </w:r>
          </w:p>
        </w:tc>
        <w:tc>
          <w:tcPr>
            <w:tcW w:w="49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27"/>
        </w:trPr>
        <w:tc>
          <w:tcPr>
            <w:tcW w:w="1640" w:type="dxa"/>
            <w:vAlign w:val="bottom"/>
            <w:tcBorders>
              <w:bottom w:val="single" w:sz="8" w:color="auto"/>
            </w:tcBorders>
          </w:tcPr>
          <w:p>
            <w:pPr>
              <w:spacing w:after="0"/>
              <w:rPr>
                <w:sz w:val="2"/>
                <w:szCs w:val="2"/>
                <w:color w:val="auto"/>
              </w:rPr>
            </w:pPr>
          </w:p>
        </w:tc>
        <w:tc>
          <w:tcPr>
            <w:tcW w:w="2580" w:type="dxa"/>
            <w:vAlign w:val="bottom"/>
            <w:tcBorders>
              <w:bottom w:val="single" w:sz="8" w:color="auto"/>
            </w:tcBorders>
            <w:gridSpan w:val="2"/>
          </w:tcPr>
          <w:p>
            <w:pPr>
              <w:spacing w:after="0"/>
              <w:rPr>
                <w:sz w:val="2"/>
                <w:szCs w:val="2"/>
                <w:color w:val="auto"/>
              </w:rPr>
            </w:pPr>
          </w:p>
        </w:tc>
        <w:tc>
          <w:tcPr>
            <w:tcW w:w="4940" w:type="dxa"/>
            <w:vAlign w:val="bottom"/>
          </w:tcPr>
          <w:p>
            <w:pPr>
              <w:spacing w:after="0"/>
              <w:rPr>
                <w:sz w:val="2"/>
                <w:szCs w:val="2"/>
                <w:color w:val="auto"/>
              </w:rPr>
            </w:pPr>
          </w:p>
        </w:tc>
        <w:tc>
          <w:tcPr>
            <w:tcW w:w="17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640" w:type="dxa"/>
            <w:vAlign w:val="bottom"/>
          </w:tcPr>
          <w:p>
            <w:pPr>
              <w:spacing w:after="0"/>
              <w:rPr>
                <w:sz w:val="20"/>
                <w:szCs w:val="20"/>
                <w:color w:val="auto"/>
              </w:rPr>
            </w:pPr>
          </w:p>
        </w:tc>
        <w:tc>
          <w:tcPr>
            <w:tcW w:w="2580" w:type="dxa"/>
            <w:vAlign w:val="bottom"/>
            <w:gridSpan w:val="2"/>
          </w:tcPr>
          <w:p>
            <w:pPr>
              <w:jc w:val="center"/>
              <w:ind w:right="1557"/>
              <w:spacing w:after="0"/>
              <w:rPr>
                <w:sz w:val="20"/>
                <w:szCs w:val="20"/>
                <w:color w:val="auto"/>
              </w:rPr>
            </w:pPr>
            <w:r>
              <w:rPr>
                <w:rFonts w:ascii="Arial" w:cs="Arial" w:eastAsia="Arial" w:hAnsi="Arial"/>
                <w:sz w:val="14"/>
                <w:szCs w:val="14"/>
                <w:b w:val="1"/>
                <w:bCs w:val="1"/>
                <w:color w:val="auto"/>
                <w:w w:val="94"/>
              </w:rPr>
              <w:t>Tudor Brown</w:t>
            </w:r>
          </w:p>
        </w:tc>
        <w:tc>
          <w:tcPr>
            <w:tcW w:w="494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800" w:type="dxa"/>
            <w:vAlign w:val="bottom"/>
            <w:gridSpan w:val="2"/>
          </w:tcPr>
          <w:p>
            <w:pPr>
              <w:ind w:left="1480"/>
              <w:spacing w:after="0"/>
              <w:rPr>
                <w:sz w:val="20"/>
                <w:szCs w:val="20"/>
                <w:color w:val="auto"/>
              </w:rPr>
            </w:pPr>
            <w:r>
              <w:rPr>
                <w:rFonts w:ascii="Arial" w:cs="Arial" w:eastAsia="Arial" w:hAnsi="Arial"/>
                <w:sz w:val="18"/>
                <w:szCs w:val="18"/>
                <w:color w:val="auto"/>
              </w:rPr>
              <w:t>/S/</w:t>
            </w:r>
          </w:p>
        </w:tc>
        <w:tc>
          <w:tcPr>
            <w:tcW w:w="2420" w:type="dxa"/>
            <w:vAlign w:val="bottom"/>
          </w:tcPr>
          <w:p>
            <w:pPr>
              <w:jc w:val="center"/>
              <w:ind w:right="1337"/>
              <w:spacing w:after="0"/>
              <w:rPr>
                <w:sz w:val="20"/>
                <w:szCs w:val="20"/>
                <w:color w:val="auto"/>
              </w:rPr>
            </w:pPr>
            <w:r>
              <w:rPr>
                <w:rFonts w:ascii="Arial" w:cs="Arial" w:eastAsia="Arial" w:hAnsi="Arial"/>
                <w:sz w:val="18"/>
                <w:szCs w:val="18"/>
                <w:color w:val="auto"/>
                <w:w w:val="95"/>
              </w:rPr>
              <w:t>P</w:t>
            </w:r>
            <w:r>
              <w:rPr>
                <w:rFonts w:ascii="Arial" w:cs="Arial" w:eastAsia="Arial" w:hAnsi="Arial"/>
                <w:sz w:val="14"/>
                <w:szCs w:val="14"/>
                <w:color w:val="auto"/>
                <w:w w:val="95"/>
              </w:rPr>
              <w:t>ETER</w:t>
            </w:r>
            <w:r>
              <w:rPr>
                <w:rFonts w:ascii="Arial" w:cs="Arial" w:eastAsia="Arial" w:hAnsi="Arial"/>
                <w:sz w:val="18"/>
                <w:szCs w:val="18"/>
                <w:color w:val="auto"/>
                <w:w w:val="95"/>
              </w:rPr>
              <w:t xml:space="preserve"> F</w:t>
            </w:r>
            <w:r>
              <w:rPr>
                <w:rFonts w:ascii="Arial" w:cs="Arial" w:eastAsia="Arial" w:hAnsi="Arial"/>
                <w:sz w:val="14"/>
                <w:szCs w:val="14"/>
                <w:color w:val="auto"/>
                <w:w w:val="95"/>
              </w:rPr>
              <w:t>ELD</w:t>
            </w:r>
          </w:p>
        </w:tc>
        <w:tc>
          <w:tcPr>
            <w:tcW w:w="49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27"/>
        </w:trPr>
        <w:tc>
          <w:tcPr>
            <w:tcW w:w="16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2420" w:type="dxa"/>
            <w:vAlign w:val="bottom"/>
            <w:tcBorders>
              <w:bottom w:val="single" w:sz="8" w:color="auto"/>
            </w:tcBorders>
          </w:tcPr>
          <w:p>
            <w:pPr>
              <w:spacing w:after="0"/>
              <w:rPr>
                <w:sz w:val="2"/>
                <w:szCs w:val="2"/>
                <w:color w:val="auto"/>
              </w:rPr>
            </w:pPr>
          </w:p>
        </w:tc>
        <w:tc>
          <w:tcPr>
            <w:tcW w:w="4940" w:type="dxa"/>
            <w:vAlign w:val="bottom"/>
          </w:tcPr>
          <w:p>
            <w:pPr>
              <w:spacing w:after="0"/>
              <w:rPr>
                <w:sz w:val="2"/>
                <w:szCs w:val="2"/>
                <w:color w:val="auto"/>
              </w:rPr>
            </w:pPr>
          </w:p>
        </w:tc>
        <w:tc>
          <w:tcPr>
            <w:tcW w:w="17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6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20" w:type="dxa"/>
            <w:vAlign w:val="bottom"/>
          </w:tcPr>
          <w:p>
            <w:pPr>
              <w:jc w:val="center"/>
              <w:ind w:right="1697"/>
              <w:spacing w:after="0"/>
              <w:rPr>
                <w:sz w:val="20"/>
                <w:szCs w:val="20"/>
                <w:color w:val="auto"/>
              </w:rPr>
            </w:pPr>
            <w:r>
              <w:rPr>
                <w:rFonts w:ascii="Arial" w:cs="Arial" w:eastAsia="Arial" w:hAnsi="Arial"/>
                <w:sz w:val="14"/>
                <w:szCs w:val="14"/>
                <w:b w:val="1"/>
                <w:bCs w:val="1"/>
                <w:color w:val="auto"/>
                <w:w w:val="94"/>
              </w:rPr>
              <w:t>Peter Feld</w:t>
            </w:r>
          </w:p>
        </w:tc>
        <w:tc>
          <w:tcPr>
            <w:tcW w:w="494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640" w:type="dxa"/>
            <w:vAlign w:val="bottom"/>
          </w:tcPr>
          <w:p>
            <w:pPr>
              <w:ind w:left="130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580" w:type="dxa"/>
            <w:vAlign w:val="bottom"/>
            <w:gridSpan w:val="2"/>
          </w:tcPr>
          <w:p>
            <w:pPr>
              <w:jc w:val="center"/>
              <w:ind w:right="1197"/>
              <w:spacing w:after="0"/>
              <w:rPr>
                <w:sz w:val="20"/>
                <w:szCs w:val="20"/>
                <w:color w:val="auto"/>
              </w:rPr>
            </w:pPr>
            <w:r>
              <w:rPr>
                <w:rFonts w:ascii="Arial" w:cs="Arial" w:eastAsia="Arial" w:hAnsi="Arial"/>
                <w:sz w:val="18"/>
                <w:szCs w:val="18"/>
                <w:color w:val="auto"/>
                <w:w w:val="99"/>
              </w:rPr>
              <w:t>R</w:t>
            </w:r>
            <w:r>
              <w:rPr>
                <w:rFonts w:ascii="Arial" w:cs="Arial" w:eastAsia="Arial" w:hAnsi="Arial"/>
                <w:sz w:val="14"/>
                <w:szCs w:val="14"/>
                <w:color w:val="auto"/>
                <w:w w:val="99"/>
              </w:rPr>
              <w:t>ICHARD</w:t>
            </w:r>
            <w:r>
              <w:rPr>
                <w:rFonts w:ascii="Arial" w:cs="Arial" w:eastAsia="Arial" w:hAnsi="Arial"/>
                <w:sz w:val="18"/>
                <w:szCs w:val="18"/>
                <w:color w:val="auto"/>
                <w:w w:val="99"/>
              </w:rPr>
              <w:t xml:space="preserve"> S. H</w:t>
            </w:r>
            <w:r>
              <w:rPr>
                <w:rFonts w:ascii="Arial" w:cs="Arial" w:eastAsia="Arial" w:hAnsi="Arial"/>
                <w:sz w:val="14"/>
                <w:szCs w:val="14"/>
                <w:color w:val="auto"/>
                <w:w w:val="99"/>
              </w:rPr>
              <w:t>ILL</w:t>
            </w:r>
          </w:p>
        </w:tc>
        <w:tc>
          <w:tcPr>
            <w:tcW w:w="4940" w:type="dxa"/>
            <w:vAlign w:val="bottom"/>
          </w:tcPr>
          <w:p>
            <w:pPr>
              <w:jc w:val="center"/>
              <w:spacing w:after="0"/>
              <w:rPr>
                <w:sz w:val="20"/>
                <w:szCs w:val="20"/>
                <w:color w:val="auto"/>
              </w:rPr>
            </w:pPr>
            <w:r>
              <w:rPr>
                <w:rFonts w:ascii="Arial" w:cs="Arial" w:eastAsia="Arial" w:hAnsi="Arial"/>
                <w:sz w:val="18"/>
                <w:szCs w:val="18"/>
                <w:color w:val="auto"/>
                <w:w w:val="90"/>
              </w:rPr>
              <w:t>Chairman of the Board</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27"/>
        </w:trPr>
        <w:tc>
          <w:tcPr>
            <w:tcW w:w="1640" w:type="dxa"/>
            <w:vAlign w:val="bottom"/>
            <w:tcBorders>
              <w:bottom w:val="single" w:sz="8" w:color="auto"/>
            </w:tcBorders>
          </w:tcPr>
          <w:p>
            <w:pPr>
              <w:spacing w:after="0"/>
              <w:rPr>
                <w:sz w:val="2"/>
                <w:szCs w:val="2"/>
                <w:color w:val="auto"/>
              </w:rPr>
            </w:pPr>
          </w:p>
        </w:tc>
        <w:tc>
          <w:tcPr>
            <w:tcW w:w="2580" w:type="dxa"/>
            <w:vAlign w:val="bottom"/>
            <w:tcBorders>
              <w:bottom w:val="single" w:sz="8" w:color="auto"/>
            </w:tcBorders>
            <w:gridSpan w:val="2"/>
          </w:tcPr>
          <w:p>
            <w:pPr>
              <w:spacing w:after="0"/>
              <w:rPr>
                <w:sz w:val="2"/>
                <w:szCs w:val="2"/>
                <w:color w:val="auto"/>
              </w:rPr>
            </w:pPr>
          </w:p>
        </w:tc>
        <w:tc>
          <w:tcPr>
            <w:tcW w:w="4940" w:type="dxa"/>
            <w:vAlign w:val="bottom"/>
          </w:tcPr>
          <w:p>
            <w:pPr>
              <w:spacing w:after="0"/>
              <w:rPr>
                <w:sz w:val="2"/>
                <w:szCs w:val="2"/>
                <w:color w:val="auto"/>
              </w:rPr>
            </w:pPr>
          </w:p>
        </w:tc>
        <w:tc>
          <w:tcPr>
            <w:tcW w:w="17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640" w:type="dxa"/>
            <w:vAlign w:val="bottom"/>
          </w:tcPr>
          <w:p>
            <w:pPr>
              <w:spacing w:after="0"/>
              <w:rPr>
                <w:sz w:val="20"/>
                <w:szCs w:val="20"/>
                <w:color w:val="auto"/>
              </w:rPr>
            </w:pPr>
          </w:p>
        </w:tc>
        <w:tc>
          <w:tcPr>
            <w:tcW w:w="2580" w:type="dxa"/>
            <w:vAlign w:val="bottom"/>
            <w:gridSpan w:val="2"/>
          </w:tcPr>
          <w:p>
            <w:pPr>
              <w:jc w:val="center"/>
              <w:ind w:right="1537"/>
              <w:spacing w:after="0"/>
              <w:rPr>
                <w:sz w:val="20"/>
                <w:szCs w:val="20"/>
                <w:color w:val="auto"/>
              </w:rPr>
            </w:pPr>
            <w:r>
              <w:rPr>
                <w:rFonts w:ascii="Arial" w:cs="Arial" w:eastAsia="Arial" w:hAnsi="Arial"/>
                <w:sz w:val="14"/>
                <w:szCs w:val="14"/>
                <w:b w:val="1"/>
                <w:bCs w:val="1"/>
                <w:color w:val="auto"/>
                <w:w w:val="96"/>
              </w:rPr>
              <w:t>Richard S. Hill</w:t>
            </w:r>
          </w:p>
        </w:tc>
        <w:tc>
          <w:tcPr>
            <w:tcW w:w="494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640" w:type="dxa"/>
            <w:vAlign w:val="bottom"/>
          </w:tcPr>
          <w:p>
            <w:pPr>
              <w:ind w:left="13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580" w:type="dxa"/>
            <w:vAlign w:val="bottom"/>
            <w:gridSpan w:val="2"/>
          </w:tcPr>
          <w:p>
            <w:pPr>
              <w:jc w:val="center"/>
              <w:ind w:right="1197"/>
              <w:spacing w:after="0"/>
              <w:rPr>
                <w:sz w:val="20"/>
                <w:szCs w:val="20"/>
                <w:color w:val="auto"/>
              </w:rPr>
            </w:pPr>
            <w:r>
              <w:rPr>
                <w:rFonts w:ascii="Arial" w:cs="Arial" w:eastAsia="Arial" w:hAnsi="Arial"/>
                <w:sz w:val="18"/>
                <w:szCs w:val="18"/>
                <w:color w:val="auto"/>
              </w:rPr>
              <w:t>O</w:t>
            </w:r>
            <w:r>
              <w:rPr>
                <w:rFonts w:ascii="Arial" w:cs="Arial" w:eastAsia="Arial" w:hAnsi="Arial"/>
                <w:sz w:val="14"/>
                <w:szCs w:val="14"/>
                <w:color w:val="auto"/>
              </w:rPr>
              <w:t>LEG</w:t>
            </w:r>
            <w:r>
              <w:rPr>
                <w:rFonts w:ascii="Arial" w:cs="Arial" w:eastAsia="Arial" w:hAnsi="Arial"/>
                <w:sz w:val="18"/>
                <w:szCs w:val="18"/>
                <w:color w:val="auto"/>
              </w:rPr>
              <w:t xml:space="preserve"> K</w:t>
            </w:r>
            <w:r>
              <w:rPr>
                <w:rFonts w:ascii="Arial" w:cs="Arial" w:eastAsia="Arial" w:hAnsi="Arial"/>
                <w:sz w:val="14"/>
                <w:szCs w:val="14"/>
                <w:color w:val="auto"/>
              </w:rPr>
              <w:t>HAYKIN</w:t>
            </w:r>
          </w:p>
        </w:tc>
        <w:tc>
          <w:tcPr>
            <w:tcW w:w="49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720" w:type="dxa"/>
            <w:vAlign w:val="bottom"/>
          </w:tcPr>
          <w:p>
            <w:pPr>
              <w:ind w:left="580"/>
              <w:spacing w:after="0"/>
              <w:rPr>
                <w:sz w:val="20"/>
                <w:szCs w:val="20"/>
                <w:color w:val="auto"/>
              </w:rPr>
            </w:pPr>
            <w:r>
              <w:rPr>
                <w:rFonts w:ascii="Arial" w:cs="Arial" w:eastAsia="Arial" w:hAnsi="Arial"/>
                <w:sz w:val="18"/>
                <w:szCs w:val="18"/>
                <w:color w:val="auto"/>
                <w:w w:val="89"/>
              </w:rPr>
              <w:t>March 27, 2017</w:t>
            </w:r>
          </w:p>
        </w:tc>
        <w:tc>
          <w:tcPr>
            <w:tcW w:w="0" w:type="dxa"/>
            <w:vAlign w:val="bottom"/>
          </w:tcPr>
          <w:p>
            <w:pPr>
              <w:spacing w:after="0"/>
              <w:rPr>
                <w:sz w:val="1"/>
                <w:szCs w:val="1"/>
                <w:color w:val="auto"/>
              </w:rPr>
            </w:pPr>
          </w:p>
        </w:tc>
      </w:tr>
      <w:tr>
        <w:trPr>
          <w:trHeight w:val="27"/>
        </w:trPr>
        <w:tc>
          <w:tcPr>
            <w:tcW w:w="1640" w:type="dxa"/>
            <w:vAlign w:val="bottom"/>
            <w:tcBorders>
              <w:bottom w:val="single" w:sz="8" w:color="auto"/>
            </w:tcBorders>
          </w:tcPr>
          <w:p>
            <w:pPr>
              <w:spacing w:after="0"/>
              <w:rPr>
                <w:sz w:val="2"/>
                <w:szCs w:val="2"/>
                <w:color w:val="auto"/>
              </w:rPr>
            </w:pPr>
          </w:p>
        </w:tc>
        <w:tc>
          <w:tcPr>
            <w:tcW w:w="2580" w:type="dxa"/>
            <w:vAlign w:val="bottom"/>
            <w:tcBorders>
              <w:bottom w:val="single" w:sz="8" w:color="auto"/>
            </w:tcBorders>
            <w:gridSpan w:val="2"/>
          </w:tcPr>
          <w:p>
            <w:pPr>
              <w:spacing w:after="0"/>
              <w:rPr>
                <w:sz w:val="2"/>
                <w:szCs w:val="2"/>
                <w:color w:val="auto"/>
              </w:rPr>
            </w:pPr>
          </w:p>
        </w:tc>
        <w:tc>
          <w:tcPr>
            <w:tcW w:w="4940" w:type="dxa"/>
            <w:vAlign w:val="bottom"/>
          </w:tcPr>
          <w:p>
            <w:pPr>
              <w:spacing w:after="0"/>
              <w:rPr>
                <w:sz w:val="2"/>
                <w:szCs w:val="2"/>
                <w:color w:val="auto"/>
              </w:rPr>
            </w:pPr>
          </w:p>
        </w:tc>
        <w:tc>
          <w:tcPr>
            <w:tcW w:w="17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640" w:type="dxa"/>
            <w:vAlign w:val="bottom"/>
          </w:tcPr>
          <w:p>
            <w:pPr>
              <w:spacing w:after="0"/>
              <w:rPr>
                <w:sz w:val="20"/>
                <w:szCs w:val="20"/>
                <w:color w:val="auto"/>
              </w:rPr>
            </w:pPr>
          </w:p>
        </w:tc>
        <w:tc>
          <w:tcPr>
            <w:tcW w:w="2580" w:type="dxa"/>
            <w:vAlign w:val="bottom"/>
            <w:gridSpan w:val="2"/>
          </w:tcPr>
          <w:p>
            <w:pPr>
              <w:jc w:val="center"/>
              <w:ind w:right="1557"/>
              <w:spacing w:after="0"/>
              <w:rPr>
                <w:sz w:val="20"/>
                <w:szCs w:val="20"/>
                <w:color w:val="auto"/>
              </w:rPr>
            </w:pPr>
            <w:r>
              <w:rPr>
                <w:rFonts w:ascii="Arial" w:cs="Arial" w:eastAsia="Arial" w:hAnsi="Arial"/>
                <w:sz w:val="14"/>
                <w:szCs w:val="14"/>
                <w:b w:val="1"/>
                <w:bCs w:val="1"/>
                <w:color w:val="auto"/>
                <w:w w:val="96"/>
              </w:rPr>
              <w:t>Oleg Khaykin</w:t>
            </w:r>
          </w:p>
        </w:tc>
        <w:tc>
          <w:tcPr>
            <w:tcW w:w="494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95"/>
        </w:trPr>
        <w:tc>
          <w:tcPr>
            <w:tcW w:w="16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4940" w:type="dxa"/>
            <w:vAlign w:val="bottom"/>
          </w:tcPr>
          <w:p>
            <w:pPr>
              <w:jc w:val="right"/>
              <w:ind w:right="3230"/>
              <w:spacing w:after="0"/>
              <w:rPr>
                <w:sz w:val="20"/>
                <w:szCs w:val="20"/>
                <w:color w:val="auto"/>
              </w:rPr>
            </w:pPr>
            <w:r>
              <w:rPr>
                <w:rFonts w:ascii="Arial" w:cs="Arial" w:eastAsia="Arial" w:hAnsi="Arial"/>
                <w:sz w:val="18"/>
                <w:szCs w:val="18"/>
                <w:color w:val="auto"/>
              </w:rPr>
              <w:t>101</w:t>
            </w: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904" w:right="319" w:bottom="1440" w:gutter="0" w:footer="0" w:header="0"/>
        </w:sectPr>
      </w:pPr>
    </w:p>
    <w:bookmarkStart w:id="104" w:name="page105"/>
    <w:bookmarkEnd w:id="10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48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tcPr>
          <w:p>
            <w:pPr>
              <w:jc w:val="center"/>
              <w:ind w:right="1400"/>
              <w:spacing w:after="0"/>
              <w:rPr>
                <w:sz w:val="20"/>
                <w:szCs w:val="20"/>
                <w:color w:val="auto"/>
              </w:rPr>
            </w:pPr>
            <w:r>
              <w:rPr>
                <w:rFonts w:ascii="Arial" w:cs="Arial" w:eastAsia="Arial" w:hAnsi="Arial"/>
                <w:sz w:val="14"/>
                <w:szCs w:val="14"/>
                <w:b w:val="1"/>
                <w:bCs w:val="1"/>
                <w:color w:val="auto"/>
                <w:w w:val="93"/>
              </w:rPr>
              <w:t>Name and Signature</w:t>
            </w:r>
          </w:p>
        </w:tc>
        <w:tc>
          <w:tcPr>
            <w:tcW w:w="360" w:type="dxa"/>
            <w:vAlign w:val="bottom"/>
          </w:tcPr>
          <w:p>
            <w:pPr>
              <w:spacing w:after="0"/>
              <w:rPr>
                <w:sz w:val="16"/>
                <w:szCs w:val="16"/>
                <w:color w:val="auto"/>
              </w:rPr>
            </w:pPr>
          </w:p>
        </w:tc>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460" w:type="dxa"/>
            <w:vAlign w:val="bottom"/>
          </w:tcPr>
          <w:p>
            <w:pPr>
              <w:spacing w:after="0"/>
              <w:rPr>
                <w:sz w:val="16"/>
                <w:szCs w:val="16"/>
                <w:color w:val="auto"/>
              </w:rPr>
            </w:pPr>
          </w:p>
        </w:tc>
        <w:tc>
          <w:tcPr>
            <w:tcW w:w="21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r>
      <w:tr>
        <w:trPr>
          <w:trHeight w:val="567"/>
        </w:trPr>
        <w:tc>
          <w:tcPr>
            <w:tcW w:w="1480" w:type="dxa"/>
            <w:vAlign w:val="bottom"/>
          </w:tcPr>
          <w:p>
            <w:pPr>
              <w:ind w:left="118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740" w:type="dxa"/>
            <w:vAlign w:val="bottom"/>
          </w:tcPr>
          <w:p>
            <w:pPr>
              <w:jc w:val="center"/>
              <w:ind w:right="102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ICHAEL</w:t>
            </w:r>
            <w:r>
              <w:rPr>
                <w:rFonts w:ascii="Arial" w:cs="Arial" w:eastAsia="Arial" w:hAnsi="Arial"/>
                <w:sz w:val="18"/>
                <w:szCs w:val="18"/>
                <w:color w:val="auto"/>
              </w:rPr>
              <w:t xml:space="preserve"> S</w:t>
            </w:r>
            <w:r>
              <w:rPr>
                <w:rFonts w:ascii="Arial" w:cs="Arial" w:eastAsia="Arial" w:hAnsi="Arial"/>
                <w:sz w:val="14"/>
                <w:szCs w:val="14"/>
                <w:color w:val="auto"/>
              </w:rPr>
              <w:t>TRACHAN</w:t>
            </w:r>
          </w:p>
        </w:tc>
        <w:tc>
          <w:tcPr>
            <w:tcW w:w="360" w:type="dxa"/>
            <w:vAlign w:val="bottom"/>
          </w:tcPr>
          <w:p>
            <w:pPr>
              <w:spacing w:after="0"/>
              <w:rPr>
                <w:sz w:val="24"/>
                <w:szCs w:val="24"/>
                <w:color w:val="auto"/>
              </w:rPr>
            </w:pPr>
          </w:p>
        </w:tc>
        <w:tc>
          <w:tcPr>
            <w:tcW w:w="46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160" w:type="dxa"/>
            <w:vAlign w:val="bottom"/>
          </w:tcPr>
          <w:p>
            <w:pPr>
              <w:jc w:val="center"/>
              <w:spacing w:after="0"/>
              <w:rPr>
                <w:sz w:val="20"/>
                <w:szCs w:val="20"/>
                <w:color w:val="auto"/>
              </w:rPr>
            </w:pPr>
            <w:r>
              <w:rPr>
                <w:rFonts w:ascii="Arial" w:cs="Arial" w:eastAsia="Arial" w:hAnsi="Arial"/>
                <w:sz w:val="18"/>
                <w:szCs w:val="18"/>
                <w:color w:val="auto"/>
                <w:w w:val="91"/>
              </w:rPr>
              <w:t>March 27, 2017</w:t>
            </w:r>
          </w:p>
        </w:tc>
      </w:tr>
      <w:tr>
        <w:trPr>
          <w:trHeight w:val="27"/>
        </w:trPr>
        <w:tc>
          <w:tcPr>
            <w:tcW w:w="1480" w:type="dxa"/>
            <w:vAlign w:val="bottom"/>
            <w:tcBorders>
              <w:bottom w:val="single" w:sz="8" w:color="auto"/>
            </w:tcBorders>
          </w:tcPr>
          <w:p>
            <w:pPr>
              <w:spacing w:after="0"/>
              <w:rPr>
                <w:sz w:val="2"/>
                <w:szCs w:val="2"/>
                <w:color w:val="auto"/>
              </w:rPr>
            </w:pPr>
          </w:p>
        </w:tc>
        <w:tc>
          <w:tcPr>
            <w:tcW w:w="2740" w:type="dxa"/>
            <w:vAlign w:val="bottom"/>
            <w:tcBorders>
              <w:bottom w:val="single" w:sz="8" w:color="auto"/>
            </w:tcBorders>
          </w:tcPr>
          <w:p>
            <w:pPr>
              <w:spacing w:after="0"/>
              <w:rPr>
                <w:sz w:val="2"/>
                <w:szCs w:val="2"/>
                <w:color w:val="auto"/>
              </w:rPr>
            </w:pPr>
          </w:p>
        </w:tc>
        <w:tc>
          <w:tcPr>
            <w:tcW w:w="360" w:type="dxa"/>
            <w:vAlign w:val="bottom"/>
          </w:tcPr>
          <w:p>
            <w:pPr>
              <w:spacing w:after="0"/>
              <w:rPr>
                <w:sz w:val="2"/>
                <w:szCs w:val="2"/>
                <w:color w:val="auto"/>
              </w:rPr>
            </w:pPr>
          </w:p>
        </w:tc>
        <w:tc>
          <w:tcPr>
            <w:tcW w:w="4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2160" w:type="dxa"/>
            <w:vAlign w:val="bottom"/>
          </w:tcPr>
          <w:p>
            <w:pPr>
              <w:spacing w:after="0"/>
              <w:rPr>
                <w:sz w:val="2"/>
                <w:szCs w:val="2"/>
                <w:color w:val="auto"/>
              </w:rPr>
            </w:pPr>
          </w:p>
        </w:tc>
      </w:tr>
      <w:tr>
        <w:trPr>
          <w:trHeight w:val="238"/>
        </w:trPr>
        <w:tc>
          <w:tcPr>
            <w:tcW w:w="1480" w:type="dxa"/>
            <w:vAlign w:val="bottom"/>
          </w:tcPr>
          <w:p>
            <w:pPr>
              <w:spacing w:after="0"/>
              <w:rPr>
                <w:sz w:val="20"/>
                <w:szCs w:val="20"/>
                <w:color w:val="auto"/>
              </w:rPr>
            </w:pPr>
          </w:p>
        </w:tc>
        <w:tc>
          <w:tcPr>
            <w:tcW w:w="2740" w:type="dxa"/>
            <w:vAlign w:val="bottom"/>
          </w:tcPr>
          <w:p>
            <w:pPr>
              <w:jc w:val="center"/>
              <w:ind w:right="1400"/>
              <w:spacing w:after="0"/>
              <w:rPr>
                <w:sz w:val="20"/>
                <w:szCs w:val="20"/>
                <w:color w:val="auto"/>
              </w:rPr>
            </w:pPr>
            <w:r>
              <w:rPr>
                <w:rFonts w:ascii="Arial" w:cs="Arial" w:eastAsia="Arial" w:hAnsi="Arial"/>
                <w:sz w:val="14"/>
                <w:szCs w:val="14"/>
                <w:b w:val="1"/>
                <w:bCs w:val="1"/>
                <w:color w:val="auto"/>
                <w:w w:val="95"/>
              </w:rPr>
              <w:t>Michael Strachan</w:t>
            </w:r>
          </w:p>
        </w:tc>
        <w:tc>
          <w:tcPr>
            <w:tcW w:w="360" w:type="dxa"/>
            <w:vAlign w:val="bottom"/>
          </w:tcPr>
          <w:p>
            <w:pPr>
              <w:spacing w:after="0"/>
              <w:rPr>
                <w:sz w:val="20"/>
                <w:szCs w:val="20"/>
                <w:color w:val="auto"/>
              </w:rPr>
            </w:pPr>
          </w:p>
        </w:tc>
        <w:tc>
          <w:tcPr>
            <w:tcW w:w="4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2160" w:type="dxa"/>
            <w:vAlign w:val="bottom"/>
          </w:tcPr>
          <w:p>
            <w:pPr>
              <w:spacing w:after="0"/>
              <w:rPr>
                <w:sz w:val="20"/>
                <w:szCs w:val="20"/>
                <w:color w:val="auto"/>
              </w:rPr>
            </w:pPr>
          </w:p>
        </w:tc>
      </w:tr>
      <w:tr>
        <w:trPr>
          <w:trHeight w:val="579"/>
        </w:trPr>
        <w:tc>
          <w:tcPr>
            <w:tcW w:w="1480" w:type="dxa"/>
            <w:vAlign w:val="bottom"/>
          </w:tcPr>
          <w:p>
            <w:pPr>
              <w:ind w:left="1300"/>
              <w:spacing w:after="0"/>
              <w:rPr>
                <w:sz w:val="20"/>
                <w:szCs w:val="20"/>
                <w:color w:val="auto"/>
              </w:rPr>
            </w:pPr>
            <w:r>
              <w:rPr>
                <w:rFonts w:ascii="Arial" w:cs="Arial" w:eastAsia="Arial" w:hAnsi="Arial"/>
                <w:sz w:val="18"/>
                <w:szCs w:val="18"/>
                <w:color w:val="auto"/>
                <w:w w:val="82"/>
              </w:rPr>
              <w:t>/</w:t>
            </w:r>
            <w:r>
              <w:rPr>
                <w:rFonts w:ascii="Arial" w:cs="Arial" w:eastAsia="Arial" w:hAnsi="Arial"/>
                <w:sz w:val="14"/>
                <w:szCs w:val="14"/>
                <w:color w:val="auto"/>
                <w:w w:val="82"/>
              </w:rPr>
              <w:t>S</w:t>
            </w:r>
            <w:r>
              <w:rPr>
                <w:rFonts w:ascii="Arial" w:cs="Arial" w:eastAsia="Arial" w:hAnsi="Arial"/>
                <w:sz w:val="18"/>
                <w:szCs w:val="18"/>
                <w:color w:val="auto"/>
                <w:w w:val="82"/>
              </w:rPr>
              <w:t>/</w:t>
            </w:r>
          </w:p>
        </w:tc>
        <w:tc>
          <w:tcPr>
            <w:tcW w:w="2740" w:type="dxa"/>
            <w:vAlign w:val="bottom"/>
          </w:tcPr>
          <w:p>
            <w:pPr>
              <w:jc w:val="center"/>
              <w:ind w:right="1020"/>
              <w:spacing w:after="0"/>
              <w:rPr>
                <w:sz w:val="20"/>
                <w:szCs w:val="20"/>
                <w:color w:val="auto"/>
              </w:rPr>
            </w:pPr>
            <w:r>
              <w:rPr>
                <w:rFonts w:ascii="Arial" w:cs="Arial" w:eastAsia="Arial" w:hAnsi="Arial"/>
                <w:sz w:val="18"/>
                <w:szCs w:val="18"/>
                <w:color w:val="auto"/>
                <w:w w:val="95"/>
              </w:rPr>
              <w:t>R</w:t>
            </w:r>
            <w:r>
              <w:rPr>
                <w:rFonts w:ascii="Arial" w:cs="Arial" w:eastAsia="Arial" w:hAnsi="Arial"/>
                <w:sz w:val="14"/>
                <w:szCs w:val="14"/>
                <w:color w:val="auto"/>
                <w:w w:val="95"/>
              </w:rPr>
              <w:t>OBERT</w:t>
            </w:r>
            <w:r>
              <w:rPr>
                <w:rFonts w:ascii="Arial" w:cs="Arial" w:eastAsia="Arial" w:hAnsi="Arial"/>
                <w:sz w:val="18"/>
                <w:szCs w:val="18"/>
                <w:color w:val="auto"/>
                <w:w w:val="95"/>
              </w:rPr>
              <w:t xml:space="preserve"> E. S</w:t>
            </w:r>
            <w:r>
              <w:rPr>
                <w:rFonts w:ascii="Arial" w:cs="Arial" w:eastAsia="Arial" w:hAnsi="Arial"/>
                <w:sz w:val="14"/>
                <w:szCs w:val="14"/>
                <w:color w:val="auto"/>
                <w:w w:val="95"/>
              </w:rPr>
              <w:t>WITZ</w:t>
            </w:r>
          </w:p>
        </w:tc>
        <w:tc>
          <w:tcPr>
            <w:tcW w:w="360" w:type="dxa"/>
            <w:vAlign w:val="bottom"/>
          </w:tcPr>
          <w:p>
            <w:pPr>
              <w:spacing w:after="0"/>
              <w:rPr>
                <w:sz w:val="24"/>
                <w:szCs w:val="24"/>
                <w:color w:val="auto"/>
              </w:rPr>
            </w:pPr>
          </w:p>
        </w:tc>
        <w:tc>
          <w:tcPr>
            <w:tcW w:w="46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160" w:type="dxa"/>
            <w:vAlign w:val="bottom"/>
          </w:tcPr>
          <w:p>
            <w:pPr>
              <w:jc w:val="center"/>
              <w:spacing w:after="0"/>
              <w:rPr>
                <w:sz w:val="20"/>
                <w:szCs w:val="20"/>
                <w:color w:val="auto"/>
              </w:rPr>
            </w:pPr>
            <w:r>
              <w:rPr>
                <w:rFonts w:ascii="Arial" w:cs="Arial" w:eastAsia="Arial" w:hAnsi="Arial"/>
                <w:sz w:val="18"/>
                <w:szCs w:val="18"/>
                <w:color w:val="auto"/>
                <w:w w:val="91"/>
              </w:rPr>
              <w:t>March 27, 2017</w:t>
            </w:r>
          </w:p>
        </w:tc>
      </w:tr>
      <w:tr>
        <w:trPr>
          <w:trHeight w:val="27"/>
        </w:trPr>
        <w:tc>
          <w:tcPr>
            <w:tcW w:w="1480" w:type="dxa"/>
            <w:vAlign w:val="bottom"/>
            <w:tcBorders>
              <w:bottom w:val="single" w:sz="8" w:color="auto"/>
            </w:tcBorders>
          </w:tcPr>
          <w:p>
            <w:pPr>
              <w:spacing w:after="0"/>
              <w:rPr>
                <w:sz w:val="2"/>
                <w:szCs w:val="2"/>
                <w:color w:val="auto"/>
              </w:rPr>
            </w:pPr>
          </w:p>
        </w:tc>
        <w:tc>
          <w:tcPr>
            <w:tcW w:w="2740" w:type="dxa"/>
            <w:vAlign w:val="bottom"/>
            <w:tcBorders>
              <w:bottom w:val="single" w:sz="8" w:color="auto"/>
            </w:tcBorders>
          </w:tcPr>
          <w:p>
            <w:pPr>
              <w:spacing w:after="0"/>
              <w:rPr>
                <w:sz w:val="2"/>
                <w:szCs w:val="2"/>
                <w:color w:val="auto"/>
              </w:rPr>
            </w:pPr>
          </w:p>
        </w:tc>
        <w:tc>
          <w:tcPr>
            <w:tcW w:w="360" w:type="dxa"/>
            <w:vAlign w:val="bottom"/>
          </w:tcPr>
          <w:p>
            <w:pPr>
              <w:spacing w:after="0"/>
              <w:rPr>
                <w:sz w:val="2"/>
                <w:szCs w:val="2"/>
                <w:color w:val="auto"/>
              </w:rPr>
            </w:pPr>
          </w:p>
        </w:tc>
        <w:tc>
          <w:tcPr>
            <w:tcW w:w="4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2160" w:type="dxa"/>
            <w:vAlign w:val="bottom"/>
          </w:tcPr>
          <w:p>
            <w:pPr>
              <w:spacing w:after="0"/>
              <w:rPr>
                <w:sz w:val="2"/>
                <w:szCs w:val="2"/>
                <w:color w:val="auto"/>
              </w:rPr>
            </w:pPr>
          </w:p>
        </w:tc>
      </w:tr>
      <w:tr>
        <w:trPr>
          <w:trHeight w:val="238"/>
        </w:trPr>
        <w:tc>
          <w:tcPr>
            <w:tcW w:w="1480" w:type="dxa"/>
            <w:vAlign w:val="bottom"/>
          </w:tcPr>
          <w:p>
            <w:pPr>
              <w:spacing w:after="0"/>
              <w:rPr>
                <w:sz w:val="20"/>
                <w:szCs w:val="20"/>
                <w:color w:val="auto"/>
              </w:rPr>
            </w:pPr>
          </w:p>
        </w:tc>
        <w:tc>
          <w:tcPr>
            <w:tcW w:w="2740" w:type="dxa"/>
            <w:vAlign w:val="bottom"/>
          </w:tcPr>
          <w:p>
            <w:pPr>
              <w:jc w:val="center"/>
              <w:ind w:right="1400"/>
              <w:spacing w:after="0"/>
              <w:rPr>
                <w:sz w:val="20"/>
                <w:szCs w:val="20"/>
                <w:color w:val="auto"/>
              </w:rPr>
            </w:pPr>
            <w:r>
              <w:rPr>
                <w:rFonts w:ascii="Arial" w:cs="Arial" w:eastAsia="Arial" w:hAnsi="Arial"/>
                <w:sz w:val="14"/>
                <w:szCs w:val="14"/>
                <w:b w:val="1"/>
                <w:bCs w:val="1"/>
                <w:color w:val="auto"/>
                <w:w w:val="96"/>
              </w:rPr>
              <w:t>Robert E. Switz</w:t>
            </w:r>
          </w:p>
        </w:tc>
        <w:tc>
          <w:tcPr>
            <w:tcW w:w="360" w:type="dxa"/>
            <w:vAlign w:val="bottom"/>
          </w:tcPr>
          <w:p>
            <w:pPr>
              <w:spacing w:after="0"/>
              <w:rPr>
                <w:sz w:val="20"/>
                <w:szCs w:val="20"/>
                <w:color w:val="auto"/>
              </w:rPr>
            </w:pPr>
          </w:p>
        </w:tc>
        <w:tc>
          <w:tcPr>
            <w:tcW w:w="4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2160" w:type="dxa"/>
            <w:vAlign w:val="bottom"/>
          </w:tcPr>
          <w:p>
            <w:pPr>
              <w:spacing w:after="0"/>
              <w:rPr>
                <w:sz w:val="20"/>
                <w:szCs w:val="20"/>
                <w:color w:val="auto"/>
              </w:rPr>
            </w:pPr>
          </w:p>
        </w:tc>
      </w:tr>
      <w:tr>
        <w:trPr>
          <w:trHeight w:val="579"/>
        </w:trPr>
        <w:tc>
          <w:tcPr>
            <w:tcW w:w="1480" w:type="dxa"/>
            <w:vAlign w:val="bottom"/>
          </w:tcPr>
          <w:p>
            <w:pPr>
              <w:ind w:left="12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740" w:type="dxa"/>
            <w:vAlign w:val="bottom"/>
          </w:tcPr>
          <w:p>
            <w:pPr>
              <w:jc w:val="center"/>
              <w:ind w:right="1040"/>
              <w:spacing w:after="0"/>
              <w:rPr>
                <w:sz w:val="20"/>
                <w:szCs w:val="20"/>
                <w:color w:val="auto"/>
              </w:rPr>
            </w:pPr>
            <w:r>
              <w:rPr>
                <w:rFonts w:ascii="Arial" w:cs="Arial" w:eastAsia="Arial" w:hAnsi="Arial"/>
                <w:sz w:val="18"/>
                <w:szCs w:val="18"/>
                <w:color w:val="auto"/>
              </w:rPr>
              <w:t>R</w:t>
            </w:r>
            <w:r>
              <w:rPr>
                <w:rFonts w:ascii="Arial" w:cs="Arial" w:eastAsia="Arial" w:hAnsi="Arial"/>
                <w:sz w:val="14"/>
                <w:szCs w:val="14"/>
                <w:color w:val="auto"/>
              </w:rPr>
              <w:t>ANDHIR</w:t>
            </w:r>
            <w:r>
              <w:rPr>
                <w:rFonts w:ascii="Arial" w:cs="Arial" w:eastAsia="Arial" w:hAnsi="Arial"/>
                <w:sz w:val="18"/>
                <w:szCs w:val="18"/>
                <w:color w:val="auto"/>
              </w:rPr>
              <w:t xml:space="preserve"> T</w:t>
            </w:r>
            <w:r>
              <w:rPr>
                <w:rFonts w:ascii="Arial" w:cs="Arial" w:eastAsia="Arial" w:hAnsi="Arial"/>
                <w:sz w:val="14"/>
                <w:szCs w:val="14"/>
                <w:color w:val="auto"/>
              </w:rPr>
              <w:t>HAKUR</w:t>
            </w:r>
          </w:p>
        </w:tc>
        <w:tc>
          <w:tcPr>
            <w:tcW w:w="360" w:type="dxa"/>
            <w:vAlign w:val="bottom"/>
          </w:tcPr>
          <w:p>
            <w:pPr>
              <w:spacing w:after="0"/>
              <w:rPr>
                <w:sz w:val="24"/>
                <w:szCs w:val="24"/>
                <w:color w:val="auto"/>
              </w:rPr>
            </w:pPr>
          </w:p>
        </w:tc>
        <w:tc>
          <w:tcPr>
            <w:tcW w:w="4660" w:type="dxa"/>
            <w:vAlign w:val="bottom"/>
            <w:gridSpan w:val="2"/>
          </w:tcPr>
          <w:p>
            <w:pPr>
              <w:jc w:val="center"/>
              <w:ind w:right="460"/>
              <w:spacing w:after="0"/>
              <w:rPr>
                <w:sz w:val="20"/>
                <w:szCs w:val="20"/>
                <w:color w:val="auto"/>
              </w:rPr>
            </w:pPr>
            <w:r>
              <w:rPr>
                <w:rFonts w:ascii="Arial" w:cs="Arial" w:eastAsia="Arial" w:hAnsi="Arial"/>
                <w:sz w:val="18"/>
                <w:szCs w:val="18"/>
                <w:color w:val="auto"/>
                <w:w w:val="95"/>
              </w:rPr>
              <w:t>Director</w:t>
            </w:r>
          </w:p>
        </w:tc>
        <w:tc>
          <w:tcPr>
            <w:tcW w:w="2160" w:type="dxa"/>
            <w:vAlign w:val="bottom"/>
          </w:tcPr>
          <w:p>
            <w:pPr>
              <w:jc w:val="center"/>
              <w:spacing w:after="0"/>
              <w:rPr>
                <w:sz w:val="20"/>
                <w:szCs w:val="20"/>
                <w:color w:val="auto"/>
              </w:rPr>
            </w:pPr>
            <w:r>
              <w:rPr>
                <w:rFonts w:ascii="Arial" w:cs="Arial" w:eastAsia="Arial" w:hAnsi="Arial"/>
                <w:sz w:val="18"/>
                <w:szCs w:val="18"/>
                <w:color w:val="auto"/>
                <w:w w:val="91"/>
              </w:rPr>
              <w:t>March 27, 2017</w:t>
            </w:r>
          </w:p>
        </w:tc>
      </w:tr>
      <w:tr>
        <w:trPr>
          <w:trHeight w:val="27"/>
        </w:trPr>
        <w:tc>
          <w:tcPr>
            <w:tcW w:w="1480" w:type="dxa"/>
            <w:vAlign w:val="bottom"/>
            <w:tcBorders>
              <w:bottom w:val="single" w:sz="8" w:color="auto"/>
            </w:tcBorders>
          </w:tcPr>
          <w:p>
            <w:pPr>
              <w:spacing w:after="0"/>
              <w:rPr>
                <w:sz w:val="2"/>
                <w:szCs w:val="2"/>
                <w:color w:val="auto"/>
              </w:rPr>
            </w:pPr>
          </w:p>
        </w:tc>
        <w:tc>
          <w:tcPr>
            <w:tcW w:w="2740" w:type="dxa"/>
            <w:vAlign w:val="bottom"/>
            <w:tcBorders>
              <w:bottom w:val="single" w:sz="8" w:color="auto"/>
            </w:tcBorders>
          </w:tcPr>
          <w:p>
            <w:pPr>
              <w:spacing w:after="0"/>
              <w:rPr>
                <w:sz w:val="2"/>
                <w:szCs w:val="2"/>
                <w:color w:val="auto"/>
              </w:rPr>
            </w:pPr>
          </w:p>
        </w:tc>
        <w:tc>
          <w:tcPr>
            <w:tcW w:w="360" w:type="dxa"/>
            <w:vAlign w:val="bottom"/>
          </w:tcPr>
          <w:p>
            <w:pPr>
              <w:spacing w:after="0"/>
              <w:rPr>
                <w:sz w:val="2"/>
                <w:szCs w:val="2"/>
                <w:color w:val="auto"/>
              </w:rPr>
            </w:pPr>
          </w:p>
        </w:tc>
        <w:tc>
          <w:tcPr>
            <w:tcW w:w="4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2160" w:type="dxa"/>
            <w:vAlign w:val="bottom"/>
          </w:tcPr>
          <w:p>
            <w:pPr>
              <w:spacing w:after="0"/>
              <w:rPr>
                <w:sz w:val="2"/>
                <w:szCs w:val="2"/>
                <w:color w:val="auto"/>
              </w:rPr>
            </w:pPr>
          </w:p>
        </w:tc>
      </w:tr>
      <w:tr>
        <w:trPr>
          <w:trHeight w:val="238"/>
        </w:trPr>
        <w:tc>
          <w:tcPr>
            <w:tcW w:w="1480" w:type="dxa"/>
            <w:vAlign w:val="bottom"/>
          </w:tcPr>
          <w:p>
            <w:pPr>
              <w:spacing w:after="0"/>
              <w:rPr>
                <w:sz w:val="20"/>
                <w:szCs w:val="20"/>
                <w:color w:val="auto"/>
              </w:rPr>
            </w:pPr>
          </w:p>
        </w:tc>
        <w:tc>
          <w:tcPr>
            <w:tcW w:w="2740" w:type="dxa"/>
            <w:vAlign w:val="bottom"/>
          </w:tcPr>
          <w:p>
            <w:pPr>
              <w:jc w:val="center"/>
              <w:ind w:right="1400"/>
              <w:spacing w:after="0"/>
              <w:rPr>
                <w:sz w:val="20"/>
                <w:szCs w:val="20"/>
                <w:color w:val="auto"/>
              </w:rPr>
            </w:pPr>
            <w:r>
              <w:rPr>
                <w:rFonts w:ascii="Arial" w:cs="Arial" w:eastAsia="Arial" w:hAnsi="Arial"/>
                <w:sz w:val="14"/>
                <w:szCs w:val="14"/>
                <w:b w:val="1"/>
                <w:bCs w:val="1"/>
                <w:color w:val="auto"/>
                <w:w w:val="99"/>
              </w:rPr>
              <w:t>Dr. Randhir Thakur</w:t>
            </w:r>
          </w:p>
        </w:tc>
        <w:tc>
          <w:tcPr>
            <w:tcW w:w="360" w:type="dxa"/>
            <w:vAlign w:val="bottom"/>
          </w:tcPr>
          <w:p>
            <w:pPr>
              <w:spacing w:after="0"/>
              <w:rPr>
                <w:sz w:val="20"/>
                <w:szCs w:val="20"/>
                <w:color w:val="auto"/>
              </w:rPr>
            </w:pPr>
          </w:p>
        </w:tc>
        <w:tc>
          <w:tcPr>
            <w:tcW w:w="4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2160" w:type="dxa"/>
            <w:vAlign w:val="bottom"/>
          </w:tcPr>
          <w:p>
            <w:pPr>
              <w:spacing w:after="0"/>
              <w:rPr>
                <w:sz w:val="20"/>
                <w:szCs w:val="20"/>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00"/>
          </w:cols>
          <w:pgMar w:left="240" w:top="1130" w:right="25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8"/>
          <w:szCs w:val="18"/>
          <w:b w:val="1"/>
          <w:bCs w:val="1"/>
          <w:color w:val="auto"/>
        </w:rPr>
        <w:t>SCHEDULE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60" w:type="dxa"/>
            <w:vAlign w:val="bottom"/>
            <w:gridSpan w:val="2"/>
          </w:tcPr>
          <w:p>
            <w:pPr>
              <w:ind w:left="160"/>
              <w:spacing w:after="0"/>
              <w:rPr>
                <w:sz w:val="20"/>
                <w:szCs w:val="20"/>
                <w:color w:val="auto"/>
              </w:rPr>
            </w:pPr>
            <w:r>
              <w:rPr>
                <w:rFonts w:ascii="Arial" w:cs="Arial" w:eastAsia="Arial" w:hAnsi="Arial"/>
                <w:sz w:val="14"/>
                <w:szCs w:val="14"/>
                <w:b w:val="1"/>
                <w:bCs w:val="1"/>
                <w:color w:val="auto"/>
              </w:rPr>
              <w:t>Balance at</w:t>
            </w:r>
          </w:p>
        </w:tc>
        <w:tc>
          <w:tcPr>
            <w:tcW w:w="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0" w:type="dxa"/>
            <w:vAlign w:val="bottom"/>
          </w:tcPr>
          <w:p>
            <w:pPr>
              <w:jc w:val="center"/>
              <w:ind w:right="196"/>
              <w:spacing w:after="0"/>
              <w:rPr>
                <w:sz w:val="20"/>
                <w:szCs w:val="20"/>
                <w:color w:val="auto"/>
              </w:rPr>
            </w:pPr>
            <w:r>
              <w:rPr>
                <w:rFonts w:ascii="Arial" w:cs="Arial" w:eastAsia="Arial" w:hAnsi="Arial"/>
                <w:sz w:val="14"/>
                <w:szCs w:val="14"/>
                <w:b w:val="1"/>
                <w:bCs w:val="1"/>
                <w:color w:val="auto"/>
                <w:w w:val="91"/>
              </w:rPr>
              <w:t>Balance at</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Beginning</w:t>
            </w:r>
          </w:p>
        </w:tc>
        <w:tc>
          <w:tcPr>
            <w:tcW w:w="280" w:type="dxa"/>
            <w:vAlign w:val="bottom"/>
          </w:tcPr>
          <w:p>
            <w:pPr>
              <w:spacing w:after="0"/>
              <w:rPr>
                <w:sz w:val="12"/>
                <w:szCs w:val="12"/>
                <w:color w:val="auto"/>
              </w:rPr>
            </w:pPr>
          </w:p>
        </w:tc>
        <w:tc>
          <w:tcPr>
            <w:tcW w:w="130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Additions</w:t>
            </w:r>
          </w:p>
        </w:tc>
        <w:tc>
          <w:tcPr>
            <w:tcW w:w="260" w:type="dxa"/>
            <w:vAlign w:val="bottom"/>
          </w:tcPr>
          <w:p>
            <w:pPr>
              <w:spacing w:after="0"/>
              <w:rPr>
                <w:sz w:val="12"/>
                <w:szCs w:val="12"/>
                <w:color w:val="auto"/>
              </w:rPr>
            </w:pPr>
          </w:p>
        </w:tc>
        <w:tc>
          <w:tcPr>
            <w:tcW w:w="13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Deductions</w:t>
            </w:r>
          </w:p>
        </w:tc>
        <w:tc>
          <w:tcPr>
            <w:tcW w:w="280" w:type="dxa"/>
            <w:vAlign w:val="bottom"/>
          </w:tcPr>
          <w:p>
            <w:pPr>
              <w:spacing w:after="0"/>
              <w:rPr>
                <w:sz w:val="12"/>
                <w:szCs w:val="12"/>
                <w:color w:val="auto"/>
              </w:rPr>
            </w:pPr>
          </w:p>
        </w:tc>
        <w:tc>
          <w:tcPr>
            <w:tcW w:w="1200" w:type="dxa"/>
            <w:vAlign w:val="bottom"/>
          </w:tcPr>
          <w:p>
            <w:pPr>
              <w:jc w:val="center"/>
              <w:ind w:right="176"/>
              <w:spacing w:after="0" w:line="149" w:lineRule="exact"/>
              <w:rPr>
                <w:sz w:val="20"/>
                <w:szCs w:val="20"/>
                <w:color w:val="auto"/>
              </w:rPr>
            </w:pPr>
            <w:r>
              <w:rPr>
                <w:rFonts w:ascii="Arial" w:cs="Arial" w:eastAsia="Arial" w:hAnsi="Arial"/>
                <w:sz w:val="14"/>
                <w:szCs w:val="14"/>
                <w:b w:val="1"/>
                <w:bCs w:val="1"/>
                <w:color w:val="auto"/>
                <w:w w:val="96"/>
              </w:rPr>
              <w:t>End of</w:t>
            </w: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ind w:left="260"/>
              <w:spacing w:after="0"/>
              <w:rPr>
                <w:sz w:val="20"/>
                <w:szCs w:val="20"/>
                <w:color w:val="auto"/>
              </w:rPr>
            </w:pPr>
            <w:r>
              <w:rPr>
                <w:rFonts w:ascii="Arial" w:cs="Arial" w:eastAsia="Arial" w:hAnsi="Arial"/>
                <w:sz w:val="14"/>
                <w:szCs w:val="14"/>
                <w:b w:val="1"/>
                <w:bCs w:val="1"/>
                <w:color w:val="auto"/>
              </w:rPr>
              <w:t>of Year</w:t>
            </w:r>
          </w:p>
        </w:tc>
        <w:tc>
          <w:tcPr>
            <w:tcW w:w="280" w:type="dxa"/>
            <w:vAlign w:val="bottom"/>
          </w:tcPr>
          <w:p>
            <w:pPr>
              <w:spacing w:after="0"/>
              <w:rPr>
                <w:sz w:val="16"/>
                <w:szCs w:val="16"/>
                <w:color w:val="auto"/>
              </w:rPr>
            </w:pPr>
          </w:p>
        </w:tc>
        <w:tc>
          <w:tcPr>
            <w:tcW w:w="130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320" w:type="dxa"/>
            <w:vAlign w:val="bottom"/>
            <w:gridSpan w:val="2"/>
            <w:vMerge w:val="continue"/>
          </w:tcPr>
          <w:p>
            <w:pPr>
              <w:spacing w:after="0"/>
              <w:rPr>
                <w:sz w:val="16"/>
                <w:szCs w:val="16"/>
                <w:color w:val="auto"/>
              </w:rPr>
            </w:pPr>
          </w:p>
        </w:tc>
        <w:tc>
          <w:tcPr>
            <w:tcW w:w="280" w:type="dxa"/>
            <w:vAlign w:val="bottom"/>
          </w:tcPr>
          <w:p>
            <w:pPr>
              <w:spacing w:after="0"/>
              <w:rPr>
                <w:sz w:val="16"/>
                <w:szCs w:val="16"/>
                <w:color w:val="auto"/>
              </w:rPr>
            </w:pPr>
          </w:p>
        </w:tc>
        <w:tc>
          <w:tcPr>
            <w:tcW w:w="1200" w:type="dxa"/>
            <w:vAlign w:val="bottom"/>
          </w:tcPr>
          <w:p>
            <w:pPr>
              <w:jc w:val="center"/>
              <w:ind w:right="196"/>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Fiscal year ended January 28, 2017</w:t>
            </w: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Allowance for doubtful accounts and sales return reserve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2,762</w:t>
            </w:r>
          </w:p>
        </w:tc>
        <w:tc>
          <w:tcPr>
            <w:tcW w:w="12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4,456</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(5,834)</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1,384</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Deferred tax valuation allowance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424,914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31,627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456,541</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Fiscal year ended January 30, 2016</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60" w:type="dxa"/>
            <w:vAlign w:val="bottom"/>
            <w:vMerge w:val="continue"/>
          </w:tcPr>
          <w:p>
            <w:pPr>
              <w:spacing w:after="0"/>
              <w:rPr>
                <w:sz w:val="17"/>
                <w:szCs w:val="17"/>
                <w:color w:val="auto"/>
              </w:rPr>
            </w:pPr>
          </w:p>
        </w:tc>
        <w:tc>
          <w:tcPr>
            <w:tcW w:w="2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60" w:type="dxa"/>
            <w:vAlign w:val="bottom"/>
          </w:tcPr>
          <w:p>
            <w:pPr>
              <w:spacing w:after="0"/>
              <w:rPr>
                <w:sz w:val="4"/>
                <w:szCs w:val="4"/>
                <w:color w:val="auto"/>
              </w:rPr>
            </w:pPr>
          </w:p>
        </w:tc>
        <w:tc>
          <w:tcPr>
            <w:tcW w:w="26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2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Allowance for doubtful accounts and sales return reserve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2,112</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2,614</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(1,964)</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2,762</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Deferred tax valuation allowance</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5160" w:type="dxa"/>
            <w:vAlign w:val="bottom"/>
            <w:vMerge w:val="continue"/>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382,796</w:t>
            </w:r>
          </w:p>
        </w:tc>
        <w:tc>
          <w:tcPr>
            <w:tcW w:w="120" w:type="dxa"/>
            <w:vAlign w:val="bottom"/>
          </w:tcPr>
          <w:p>
            <w:pPr>
              <w:spacing w:after="0"/>
              <w:rPr>
                <w:sz w:val="19"/>
                <w:szCs w:val="19"/>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42,118</w:t>
            </w:r>
          </w:p>
        </w:tc>
        <w:tc>
          <w:tcPr>
            <w:tcW w:w="10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424,914</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Fiscal year ended January 31, 2015</w:t>
            </w:r>
          </w:p>
        </w:tc>
        <w:tc>
          <w:tcPr>
            <w:tcW w:w="26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Allowance for doubtful accounts and sales return reserve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2,294</w:t>
            </w:r>
          </w:p>
        </w:tc>
        <w:tc>
          <w:tcPr>
            <w:tcW w:w="12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3,041</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(3,223)</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2,112</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Deferred tax valuation allowance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335,890</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46,906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382,796</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5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ind w:left="160"/>
              <w:spacing w:after="0"/>
              <w:rPr>
                <w:sz w:val="20"/>
                <w:szCs w:val="20"/>
                <w:color w:val="auto"/>
              </w:rPr>
            </w:pPr>
            <w:r>
              <w:rPr>
                <w:rFonts w:ascii="Arial" w:cs="Arial" w:eastAsia="Arial" w:hAnsi="Arial"/>
                <w:sz w:val="18"/>
                <w:szCs w:val="18"/>
                <w:color w:val="auto"/>
              </w:rPr>
              <w:t>103</w:t>
            </w: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904" w:right="239" w:bottom="1440" w:gutter="0" w:footer="0" w:header="0"/>
        </w:sectPr>
      </w:pPr>
    </w:p>
    <w:bookmarkStart w:id="106" w:name="page107"/>
    <w:bookmarkEnd w:id="106"/>
    <w:p>
      <w:pPr>
        <w:jc w:val="center"/>
        <w:spacing w:after="0"/>
        <w:rPr>
          <w:sz w:val="20"/>
          <w:szCs w:val="20"/>
          <w:color w:val="auto"/>
        </w:rPr>
      </w:pPr>
      <w:r>
        <w:rPr>
          <w:rFonts w:ascii="Arial" w:cs="Arial" w:eastAsia="Arial" w:hAnsi="Arial"/>
          <w:sz w:val="18"/>
          <w:szCs w:val="18"/>
          <w:b w:val="1"/>
          <w:bCs w:val="1"/>
          <w:color w:val="auto"/>
        </w:rPr>
        <w:t>INDEX TO EXHIBITS</w:t>
      </w:r>
    </w:p>
    <w:p>
      <w:pPr>
        <w:spacing w:after="0" w:line="15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Exhibit</w:t>
            </w:r>
          </w:p>
        </w:tc>
        <w:tc>
          <w:tcPr>
            <w:tcW w:w="4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880" w:type="dxa"/>
            <w:vAlign w:val="bottom"/>
          </w:tcPr>
          <w:p>
            <w:pPr>
              <w:ind w:left="300"/>
              <w:spacing w:after="0"/>
              <w:rPr>
                <w:sz w:val="20"/>
                <w:szCs w:val="20"/>
                <w:color w:val="auto"/>
              </w:rPr>
            </w:pPr>
            <w:r>
              <w:rPr>
                <w:rFonts w:ascii="Arial" w:cs="Arial" w:eastAsia="Arial" w:hAnsi="Arial"/>
                <w:sz w:val="14"/>
                <w:szCs w:val="14"/>
                <w:b w:val="1"/>
                <w:bCs w:val="1"/>
                <w:color w:val="auto"/>
              </w:rPr>
              <w:t>Incorporated by</w:t>
            </w:r>
          </w:p>
        </w:tc>
        <w:tc>
          <w:tcPr>
            <w:tcW w:w="1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60" w:type="dxa"/>
            <w:vAlign w:val="bottom"/>
            <w:gridSpan w:val="2"/>
            <w:vMerge w:val="continue"/>
          </w:tcPr>
          <w:p>
            <w:pPr>
              <w:spacing w:after="0"/>
              <w:rPr>
                <w:sz w:val="12"/>
                <w:szCs w:val="12"/>
                <w:color w:val="auto"/>
              </w:rPr>
            </w:pPr>
          </w:p>
        </w:tc>
        <w:tc>
          <w:tcPr>
            <w:tcW w:w="472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Description</w:t>
            </w:r>
          </w:p>
        </w:tc>
        <w:tc>
          <w:tcPr>
            <w:tcW w:w="760" w:type="dxa"/>
            <w:vAlign w:val="bottom"/>
            <w:vMerge w:val="restart"/>
          </w:tcPr>
          <w:p>
            <w:pPr>
              <w:ind w:left="120"/>
              <w:spacing w:after="0"/>
              <w:rPr>
                <w:sz w:val="20"/>
                <w:szCs w:val="20"/>
                <w:color w:val="auto"/>
              </w:rPr>
            </w:pPr>
            <w:r>
              <w:rPr>
                <w:rFonts w:ascii="Arial" w:cs="Arial" w:eastAsia="Arial" w:hAnsi="Arial"/>
                <w:sz w:val="14"/>
                <w:szCs w:val="14"/>
                <w:b w:val="1"/>
                <w:bCs w:val="1"/>
                <w:color w:val="auto"/>
              </w:rPr>
              <w:t>Form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 Number</w:t>
            </w:r>
          </w:p>
        </w:tc>
        <w:tc>
          <w:tcPr>
            <w:tcW w:w="188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Reference from Exhibit</w:t>
            </w:r>
          </w:p>
        </w:tc>
        <w:tc>
          <w:tcPr>
            <w:tcW w:w="1460" w:type="dxa"/>
            <w:vAlign w:val="bottom"/>
            <w:vMerge w:val="restart"/>
          </w:tcPr>
          <w:p>
            <w:pPr>
              <w:ind w:left="12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2"/>
        </w:trPr>
        <w:tc>
          <w:tcPr>
            <w:tcW w:w="1160" w:type="dxa"/>
            <w:vAlign w:val="bottom"/>
            <w:gridSpan w:val="2"/>
          </w:tcPr>
          <w:p>
            <w:pPr>
              <w:ind w:left="420"/>
              <w:spacing w:after="0"/>
              <w:rPr>
                <w:sz w:val="20"/>
                <w:szCs w:val="20"/>
                <w:color w:val="auto"/>
              </w:rPr>
            </w:pPr>
            <w:r>
              <w:rPr>
                <w:rFonts w:ascii="Arial" w:cs="Arial" w:eastAsia="Arial" w:hAnsi="Arial"/>
                <w:sz w:val="14"/>
                <w:szCs w:val="14"/>
                <w:b w:val="1"/>
                <w:bCs w:val="1"/>
                <w:color w:val="auto"/>
              </w:rPr>
              <w:t>No.</w:t>
            </w:r>
          </w:p>
        </w:tc>
        <w:tc>
          <w:tcPr>
            <w:tcW w:w="4720" w:type="dxa"/>
            <w:vAlign w:val="bottom"/>
            <w:vMerge w:val="continue"/>
          </w:tcPr>
          <w:p>
            <w:pPr>
              <w:spacing w:after="0"/>
              <w:rPr>
                <w:sz w:val="16"/>
                <w:szCs w:val="16"/>
                <w:color w:val="auto"/>
              </w:rPr>
            </w:pPr>
          </w:p>
        </w:tc>
        <w:tc>
          <w:tcPr>
            <w:tcW w:w="760" w:type="dxa"/>
            <w:vAlign w:val="bottom"/>
            <w:vMerge w:val="continue"/>
          </w:tcPr>
          <w:p>
            <w:pPr>
              <w:spacing w:after="0"/>
              <w:rPr>
                <w:sz w:val="16"/>
                <w:szCs w:val="16"/>
                <w:color w:val="auto"/>
              </w:rPr>
            </w:pPr>
          </w:p>
        </w:tc>
        <w:tc>
          <w:tcPr>
            <w:tcW w:w="1440" w:type="dxa"/>
            <w:vAlign w:val="bottom"/>
            <w:vMerge w:val="continue"/>
          </w:tcPr>
          <w:p>
            <w:pPr>
              <w:spacing w:after="0"/>
              <w:rPr>
                <w:sz w:val="16"/>
                <w:szCs w:val="16"/>
                <w:color w:val="auto"/>
              </w:rPr>
            </w:pPr>
          </w:p>
        </w:tc>
        <w:tc>
          <w:tcPr>
            <w:tcW w:w="1880" w:type="dxa"/>
            <w:vAlign w:val="bottom"/>
          </w:tcPr>
          <w:p>
            <w:pPr>
              <w:ind w:left="300"/>
              <w:spacing w:after="0"/>
              <w:rPr>
                <w:sz w:val="20"/>
                <w:szCs w:val="20"/>
                <w:color w:val="auto"/>
              </w:rPr>
            </w:pPr>
            <w:r>
              <w:rPr>
                <w:rFonts w:ascii="Arial" w:cs="Arial" w:eastAsia="Arial" w:hAnsi="Arial"/>
                <w:sz w:val="14"/>
                <w:szCs w:val="14"/>
                <w:b w:val="1"/>
                <w:bCs w:val="1"/>
                <w:color w:val="auto"/>
              </w:rPr>
              <w:t>Number</w:t>
            </w:r>
          </w:p>
        </w:tc>
        <w:tc>
          <w:tcPr>
            <w:tcW w:w="14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471"/>
        </w:trPr>
        <w:tc>
          <w:tcPr>
            <w:tcW w:w="1040" w:type="dxa"/>
            <w:vAlign w:val="bottom"/>
            <w:tcBorders>
              <w:top w:val="single" w:sz="8" w:color="auto"/>
            </w:tcBorders>
          </w:tcPr>
          <w:p>
            <w:pPr>
              <w:ind w:left="40"/>
              <w:spacing w:after="0"/>
              <w:rPr>
                <w:sz w:val="20"/>
                <w:szCs w:val="20"/>
                <w:color w:val="auto"/>
              </w:rPr>
            </w:pPr>
            <w:r>
              <w:rPr>
                <w:rFonts w:ascii="Arial" w:cs="Arial" w:eastAsia="Arial" w:hAnsi="Arial"/>
                <w:sz w:val="18"/>
                <w:szCs w:val="18"/>
                <w:color w:val="auto"/>
              </w:rPr>
              <w:t>3.1</w:t>
            </w:r>
          </w:p>
        </w:tc>
        <w:tc>
          <w:tcPr>
            <w:tcW w:w="120" w:type="dxa"/>
            <w:vAlign w:val="bottom"/>
          </w:tcPr>
          <w:p>
            <w:pPr>
              <w:spacing w:after="0"/>
              <w:rPr>
                <w:sz w:val="24"/>
                <w:szCs w:val="24"/>
                <w:color w:val="auto"/>
              </w:rPr>
            </w:pPr>
          </w:p>
        </w:tc>
        <w:tc>
          <w:tcPr>
            <w:tcW w:w="4720" w:type="dxa"/>
            <w:vAlign w:val="bottom"/>
            <w:tcBorders>
              <w:top w:val="single" w:sz="8" w:color="auto"/>
            </w:tcBorders>
          </w:tcPr>
          <w:p>
            <w:pPr>
              <w:ind w:left="40"/>
              <w:spacing w:after="0"/>
              <w:rPr>
                <w:sz w:val="20"/>
                <w:szCs w:val="20"/>
                <w:color w:val="auto"/>
              </w:rPr>
            </w:pPr>
            <w:r>
              <w:rPr>
                <w:rFonts w:ascii="Arial" w:cs="Arial" w:eastAsia="Arial" w:hAnsi="Arial"/>
                <w:sz w:val="18"/>
                <w:szCs w:val="18"/>
                <w:color w:val="auto"/>
              </w:rPr>
              <w:t>Memorandum of Association of Marvell Technology Group</w:t>
            </w:r>
          </w:p>
        </w:tc>
        <w:tc>
          <w:tcPr>
            <w:tcW w:w="760" w:type="dxa"/>
            <w:vAlign w:val="bottom"/>
            <w:tcBorders>
              <w:top w:val="single" w:sz="8" w:color="auto"/>
            </w:tcBorders>
          </w:tcPr>
          <w:p>
            <w:pPr>
              <w:ind w:left="120"/>
              <w:spacing w:after="0"/>
              <w:rPr>
                <w:sz w:val="20"/>
                <w:szCs w:val="20"/>
                <w:color w:val="auto"/>
              </w:rPr>
            </w:pPr>
            <w:r>
              <w:rPr>
                <w:rFonts w:ascii="Arial" w:cs="Arial" w:eastAsia="Arial" w:hAnsi="Arial"/>
                <w:sz w:val="18"/>
                <w:szCs w:val="18"/>
                <w:color w:val="auto"/>
              </w:rPr>
              <w:t>S-1</w:t>
            </w:r>
          </w:p>
        </w:tc>
        <w:tc>
          <w:tcPr>
            <w:tcW w:w="1440" w:type="dxa"/>
            <w:vAlign w:val="bottom"/>
            <w:tcBorders>
              <w:top w:val="single" w:sz="8" w:color="auto"/>
            </w:tcBorders>
          </w:tcPr>
          <w:p>
            <w:pPr>
              <w:ind w:left="260"/>
              <w:spacing w:after="0"/>
              <w:rPr>
                <w:sz w:val="20"/>
                <w:szCs w:val="20"/>
                <w:color w:val="auto"/>
              </w:rPr>
            </w:pPr>
            <w:r>
              <w:rPr>
                <w:rFonts w:ascii="Arial" w:cs="Arial" w:eastAsia="Arial" w:hAnsi="Arial"/>
                <w:sz w:val="18"/>
                <w:szCs w:val="18"/>
                <w:color w:val="auto"/>
              </w:rPr>
              <w:t>333-33086</w:t>
            </w:r>
          </w:p>
        </w:tc>
        <w:tc>
          <w:tcPr>
            <w:tcW w:w="1880" w:type="dxa"/>
            <w:vAlign w:val="bottom"/>
            <w:tcBorders>
              <w:top w:val="single" w:sz="8" w:color="auto"/>
            </w:tcBorders>
          </w:tcPr>
          <w:p>
            <w:pPr>
              <w:ind w:left="300"/>
              <w:spacing w:after="0"/>
              <w:rPr>
                <w:sz w:val="20"/>
                <w:szCs w:val="20"/>
                <w:color w:val="auto"/>
              </w:rPr>
            </w:pPr>
            <w:r>
              <w:rPr>
                <w:rFonts w:ascii="Arial" w:cs="Arial" w:eastAsia="Arial" w:hAnsi="Arial"/>
                <w:sz w:val="18"/>
                <w:szCs w:val="18"/>
                <w:color w:val="auto"/>
              </w:rPr>
              <w:t>3.1</w:t>
            </w:r>
          </w:p>
        </w:tc>
        <w:tc>
          <w:tcPr>
            <w:tcW w:w="1460" w:type="dxa"/>
            <w:vAlign w:val="bottom"/>
            <w:tcBorders>
              <w:top w:val="single" w:sz="8" w:color="auto"/>
            </w:tcBorders>
          </w:tcPr>
          <w:p>
            <w:pPr>
              <w:ind w:left="120"/>
              <w:spacing w:after="0"/>
              <w:rPr>
                <w:sz w:val="20"/>
                <w:szCs w:val="20"/>
                <w:color w:val="auto"/>
              </w:rPr>
            </w:pPr>
            <w:r>
              <w:rPr>
                <w:rFonts w:ascii="Arial" w:cs="Arial" w:eastAsia="Arial" w:hAnsi="Arial"/>
                <w:sz w:val="18"/>
                <w:szCs w:val="18"/>
                <w:color w:val="auto"/>
              </w:rPr>
              <w:t>3/23/2000</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Ltd.</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45"/>
        </w:trPr>
        <w:tc>
          <w:tcPr>
            <w:tcW w:w="1040" w:type="dxa"/>
            <w:vAlign w:val="bottom"/>
          </w:tcPr>
          <w:p>
            <w:pPr>
              <w:ind w:left="40"/>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Fourth Amended and Restated Bye-Laws of Marvell</w:t>
            </w:r>
          </w:p>
        </w:tc>
        <w:tc>
          <w:tcPr>
            <w:tcW w:w="760" w:type="dxa"/>
            <w:vAlign w:val="bottom"/>
          </w:tcPr>
          <w:p>
            <w:pPr>
              <w:ind w:left="12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3.1</w:t>
            </w:r>
          </w:p>
        </w:tc>
        <w:tc>
          <w:tcPr>
            <w:tcW w:w="1460" w:type="dxa"/>
            <w:vAlign w:val="bottom"/>
          </w:tcPr>
          <w:p>
            <w:pPr>
              <w:ind w:left="120"/>
              <w:spacing w:after="0"/>
              <w:rPr>
                <w:sz w:val="20"/>
                <w:szCs w:val="20"/>
                <w:color w:val="auto"/>
              </w:rPr>
            </w:pPr>
            <w:r>
              <w:rPr>
                <w:rFonts w:ascii="Arial" w:cs="Arial" w:eastAsia="Arial" w:hAnsi="Arial"/>
                <w:sz w:val="18"/>
                <w:szCs w:val="18"/>
                <w:color w:val="auto"/>
              </w:rPr>
              <w:t>11/10/2016</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Technology Group Ltd.</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2"/>
        </w:trPr>
        <w:tc>
          <w:tcPr>
            <w:tcW w:w="1040" w:type="dxa"/>
            <w:vAlign w:val="bottom"/>
          </w:tcPr>
          <w:p>
            <w:pPr>
              <w:ind w:left="40"/>
              <w:spacing w:after="0"/>
              <w:rPr>
                <w:sz w:val="20"/>
                <w:szCs w:val="20"/>
                <w:color w:val="auto"/>
              </w:rPr>
            </w:pPr>
            <w:r>
              <w:rPr>
                <w:rFonts w:ascii="Arial" w:cs="Arial" w:eastAsia="Arial" w:hAnsi="Arial"/>
                <w:sz w:val="18"/>
                <w:szCs w:val="18"/>
                <w:color w:val="auto"/>
              </w:rPr>
              <w:t>3.3</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Memorandum of Increase of Share Capital of Marvell</w:t>
            </w:r>
          </w:p>
        </w:tc>
        <w:tc>
          <w:tcPr>
            <w:tcW w:w="760" w:type="dxa"/>
            <w:vAlign w:val="bottom"/>
          </w:tcPr>
          <w:p>
            <w:pPr>
              <w:ind w:left="12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3.1</w:t>
            </w:r>
          </w:p>
        </w:tc>
        <w:tc>
          <w:tcPr>
            <w:tcW w:w="1460" w:type="dxa"/>
            <w:vAlign w:val="bottom"/>
          </w:tcPr>
          <w:p>
            <w:pPr>
              <w:ind w:left="120"/>
              <w:spacing w:after="0"/>
              <w:rPr>
                <w:sz w:val="20"/>
                <w:szCs w:val="20"/>
                <w:color w:val="auto"/>
              </w:rPr>
            </w:pPr>
            <w:r>
              <w:rPr>
                <w:rFonts w:ascii="Arial" w:cs="Arial" w:eastAsia="Arial" w:hAnsi="Arial"/>
                <w:sz w:val="18"/>
                <w:szCs w:val="18"/>
                <w:color w:val="auto"/>
              </w:rPr>
              <w:t>7/6/2006</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Technology Group Ltd.</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13"/>
        </w:trPr>
        <w:tc>
          <w:tcPr>
            <w:tcW w:w="1040" w:type="dxa"/>
            <w:vAlign w:val="bottom"/>
          </w:tcPr>
          <w:p>
            <w:pPr>
              <w:ind w:left="40"/>
              <w:spacing w:after="0"/>
              <w:rPr>
                <w:sz w:val="20"/>
                <w:szCs w:val="20"/>
                <w:color w:val="auto"/>
              </w:rPr>
            </w:pPr>
            <w:r>
              <w:rPr>
                <w:rFonts w:ascii="Arial" w:cs="Arial" w:eastAsia="Arial" w:hAnsi="Arial"/>
                <w:sz w:val="18"/>
                <w:szCs w:val="18"/>
                <w:color w:val="auto"/>
              </w:rPr>
              <w:t>10.1#</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1997 Directors’ Stock Option Plan</w:t>
            </w:r>
          </w:p>
        </w:tc>
        <w:tc>
          <w:tcPr>
            <w:tcW w:w="760" w:type="dxa"/>
            <w:vAlign w:val="bottom"/>
          </w:tcPr>
          <w:p>
            <w:pPr>
              <w:ind w:left="120"/>
              <w:spacing w:after="0"/>
              <w:rPr>
                <w:sz w:val="20"/>
                <w:szCs w:val="20"/>
                <w:color w:val="auto"/>
              </w:rPr>
            </w:pPr>
            <w:r>
              <w:rPr>
                <w:rFonts w:ascii="Arial" w:cs="Arial" w:eastAsia="Arial" w:hAnsi="Arial"/>
                <w:sz w:val="18"/>
                <w:szCs w:val="18"/>
                <w:color w:val="auto"/>
              </w:rPr>
              <w:t>S-1</w:t>
            </w:r>
          </w:p>
        </w:tc>
        <w:tc>
          <w:tcPr>
            <w:tcW w:w="1440" w:type="dxa"/>
            <w:vAlign w:val="bottom"/>
          </w:tcPr>
          <w:p>
            <w:pPr>
              <w:ind w:left="260"/>
              <w:spacing w:after="0"/>
              <w:rPr>
                <w:sz w:val="20"/>
                <w:szCs w:val="20"/>
                <w:color w:val="auto"/>
              </w:rPr>
            </w:pPr>
            <w:r>
              <w:rPr>
                <w:rFonts w:ascii="Arial" w:cs="Arial" w:eastAsia="Arial" w:hAnsi="Arial"/>
                <w:sz w:val="18"/>
                <w:szCs w:val="18"/>
                <w:color w:val="auto"/>
              </w:rPr>
              <w:t>333-33086</w:t>
            </w:r>
          </w:p>
        </w:tc>
        <w:tc>
          <w:tcPr>
            <w:tcW w:w="188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120"/>
              <w:spacing w:after="0"/>
              <w:rPr>
                <w:sz w:val="20"/>
                <w:szCs w:val="20"/>
                <w:color w:val="auto"/>
              </w:rPr>
            </w:pPr>
            <w:r>
              <w:rPr>
                <w:rFonts w:ascii="Arial" w:cs="Arial" w:eastAsia="Arial" w:hAnsi="Arial"/>
                <w:sz w:val="18"/>
                <w:szCs w:val="18"/>
                <w:color w:val="auto"/>
              </w:rPr>
              <w:t>3/23/2000</w:t>
            </w:r>
          </w:p>
        </w:tc>
        <w:tc>
          <w:tcPr>
            <w:tcW w:w="0" w:type="dxa"/>
            <w:vAlign w:val="bottom"/>
          </w:tcPr>
          <w:p>
            <w:pPr>
              <w:spacing w:after="0"/>
              <w:rPr>
                <w:sz w:val="1"/>
                <w:szCs w:val="1"/>
                <w:color w:val="auto"/>
              </w:rPr>
            </w:pPr>
          </w:p>
        </w:tc>
      </w:tr>
      <w:tr>
        <w:trPr>
          <w:trHeight w:val="445"/>
        </w:trPr>
        <w:tc>
          <w:tcPr>
            <w:tcW w:w="1040" w:type="dxa"/>
            <w:vAlign w:val="bottom"/>
          </w:tcPr>
          <w:p>
            <w:pPr>
              <w:ind w:left="40"/>
              <w:spacing w:after="0"/>
              <w:rPr>
                <w:sz w:val="20"/>
                <w:szCs w:val="20"/>
                <w:color w:val="auto"/>
              </w:rPr>
            </w:pPr>
            <w:r>
              <w:rPr>
                <w:rFonts w:ascii="Arial" w:cs="Arial" w:eastAsia="Arial" w:hAnsi="Arial"/>
                <w:sz w:val="18"/>
                <w:szCs w:val="18"/>
                <w:color w:val="auto"/>
              </w:rPr>
              <w:t>10.1.1#</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9"/>
              </w:rPr>
              <w:t>Form of Notice of Stock Option Grants, Nonstatutory Stock</w:t>
            </w:r>
          </w:p>
        </w:tc>
        <w:tc>
          <w:tcPr>
            <w:tcW w:w="760" w:type="dxa"/>
            <w:vAlign w:val="bottom"/>
          </w:tcPr>
          <w:p>
            <w:pPr>
              <w:ind w:left="120"/>
              <w:spacing w:after="0"/>
              <w:rPr>
                <w:sz w:val="20"/>
                <w:szCs w:val="20"/>
                <w:color w:val="auto"/>
              </w:rPr>
            </w:pPr>
            <w:r>
              <w:rPr>
                <w:rFonts w:ascii="Arial" w:cs="Arial" w:eastAsia="Arial" w:hAnsi="Arial"/>
                <w:sz w:val="18"/>
                <w:szCs w:val="18"/>
                <w:color w:val="auto"/>
              </w:rPr>
              <w:t>S-8</w:t>
            </w:r>
          </w:p>
        </w:tc>
        <w:tc>
          <w:tcPr>
            <w:tcW w:w="1440" w:type="dxa"/>
            <w:vAlign w:val="bottom"/>
          </w:tcPr>
          <w:p>
            <w:pPr>
              <w:ind w:left="260"/>
              <w:spacing w:after="0"/>
              <w:rPr>
                <w:sz w:val="20"/>
                <w:szCs w:val="20"/>
                <w:color w:val="auto"/>
              </w:rPr>
            </w:pPr>
            <w:r>
              <w:rPr>
                <w:rFonts w:ascii="Arial" w:cs="Arial" w:eastAsia="Arial" w:hAnsi="Arial"/>
                <w:sz w:val="18"/>
                <w:szCs w:val="18"/>
                <w:color w:val="auto"/>
              </w:rPr>
              <w:t>333-148621</w:t>
            </w:r>
          </w:p>
        </w:tc>
        <w:tc>
          <w:tcPr>
            <w:tcW w:w="1880" w:type="dxa"/>
            <w:vAlign w:val="bottom"/>
          </w:tcPr>
          <w:p>
            <w:pPr>
              <w:ind w:left="300"/>
              <w:spacing w:after="0"/>
              <w:rPr>
                <w:sz w:val="20"/>
                <w:szCs w:val="20"/>
                <w:color w:val="auto"/>
              </w:rPr>
            </w:pPr>
            <w:r>
              <w:rPr>
                <w:rFonts w:ascii="Arial" w:cs="Arial" w:eastAsia="Arial" w:hAnsi="Arial"/>
                <w:sz w:val="18"/>
                <w:szCs w:val="18"/>
                <w:color w:val="auto"/>
              </w:rPr>
              <w:t>10.7</w:t>
            </w:r>
          </w:p>
        </w:tc>
        <w:tc>
          <w:tcPr>
            <w:tcW w:w="1460" w:type="dxa"/>
            <w:vAlign w:val="bottom"/>
          </w:tcPr>
          <w:p>
            <w:pPr>
              <w:ind w:left="120"/>
              <w:spacing w:after="0"/>
              <w:rPr>
                <w:sz w:val="20"/>
                <w:szCs w:val="20"/>
                <w:color w:val="auto"/>
              </w:rPr>
            </w:pPr>
            <w:r>
              <w:rPr>
                <w:rFonts w:ascii="Arial" w:cs="Arial" w:eastAsia="Arial" w:hAnsi="Arial"/>
                <w:sz w:val="18"/>
                <w:szCs w:val="18"/>
                <w:color w:val="auto"/>
              </w:rPr>
              <w:t>1/11/2008</w:t>
            </w: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Option Agreement, Exercise Notice and Restricted Stock</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5"/>
              </w:rPr>
              <w:t>Purchase Agreement for use under the 1997 Directors’ Stock</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Option Plan</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45"/>
        </w:trPr>
        <w:tc>
          <w:tcPr>
            <w:tcW w:w="1040" w:type="dxa"/>
            <w:vAlign w:val="bottom"/>
          </w:tcPr>
          <w:p>
            <w:pPr>
              <w:ind w:left="40"/>
              <w:spacing w:after="0"/>
              <w:rPr>
                <w:sz w:val="20"/>
                <w:szCs w:val="20"/>
                <w:color w:val="auto"/>
              </w:rPr>
            </w:pPr>
            <w:r>
              <w:rPr>
                <w:rFonts w:ascii="Arial" w:cs="Arial" w:eastAsia="Arial" w:hAnsi="Arial"/>
                <w:sz w:val="18"/>
                <w:szCs w:val="18"/>
                <w:color w:val="auto"/>
              </w:rPr>
              <w:t>10.2#</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0"/>
              </w:rPr>
              <w:t>2000 Employee Stock Purchase Plan (as amended and restated</w:t>
            </w:r>
          </w:p>
        </w:tc>
        <w:tc>
          <w:tcPr>
            <w:tcW w:w="760" w:type="dxa"/>
            <w:vAlign w:val="bottom"/>
          </w:tcPr>
          <w:p>
            <w:pPr>
              <w:ind w:left="120"/>
              <w:spacing w:after="0"/>
              <w:rPr>
                <w:sz w:val="20"/>
                <w:szCs w:val="20"/>
                <w:color w:val="auto"/>
              </w:rPr>
            </w:pPr>
            <w:r>
              <w:rPr>
                <w:rFonts w:ascii="Arial" w:cs="Arial" w:eastAsia="Arial" w:hAnsi="Arial"/>
                <w:sz w:val="18"/>
                <w:szCs w:val="18"/>
                <w:color w:val="auto"/>
              </w:rPr>
              <w:t>10-Q</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10.1</w:t>
            </w:r>
          </w:p>
        </w:tc>
        <w:tc>
          <w:tcPr>
            <w:tcW w:w="1460" w:type="dxa"/>
            <w:vAlign w:val="bottom"/>
          </w:tcPr>
          <w:p>
            <w:pPr>
              <w:ind w:left="120"/>
              <w:spacing w:after="0"/>
              <w:rPr>
                <w:sz w:val="20"/>
                <w:szCs w:val="20"/>
                <w:color w:val="auto"/>
              </w:rPr>
            </w:pPr>
            <w:r>
              <w:rPr>
                <w:rFonts w:ascii="Arial" w:cs="Arial" w:eastAsia="Arial" w:hAnsi="Arial"/>
                <w:sz w:val="18"/>
                <w:szCs w:val="18"/>
                <w:color w:val="auto"/>
              </w:rPr>
              <w:t>12/2/2011</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as of October 31, 2011)</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45"/>
        </w:trPr>
        <w:tc>
          <w:tcPr>
            <w:tcW w:w="1040" w:type="dxa"/>
            <w:vAlign w:val="bottom"/>
          </w:tcPr>
          <w:p>
            <w:pPr>
              <w:ind w:left="40"/>
              <w:spacing w:after="0"/>
              <w:rPr>
                <w:sz w:val="20"/>
                <w:szCs w:val="20"/>
                <w:color w:val="auto"/>
              </w:rPr>
            </w:pPr>
            <w:r>
              <w:rPr>
                <w:rFonts w:ascii="Arial" w:cs="Arial" w:eastAsia="Arial" w:hAnsi="Arial"/>
                <w:sz w:val="18"/>
                <w:szCs w:val="18"/>
                <w:color w:val="auto"/>
              </w:rPr>
              <w:t>10.2.1#</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9"/>
              </w:rPr>
              <w:t>2000 Employee Stock Purchase Plan Form of Subscription</w:t>
            </w:r>
          </w:p>
        </w:tc>
        <w:tc>
          <w:tcPr>
            <w:tcW w:w="760" w:type="dxa"/>
            <w:vAlign w:val="bottom"/>
          </w:tcPr>
          <w:p>
            <w:pPr>
              <w:ind w:left="12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10.4</w:t>
            </w:r>
          </w:p>
        </w:tc>
        <w:tc>
          <w:tcPr>
            <w:tcW w:w="1460" w:type="dxa"/>
            <w:vAlign w:val="bottom"/>
          </w:tcPr>
          <w:p>
            <w:pPr>
              <w:ind w:left="120"/>
              <w:spacing w:after="0"/>
              <w:rPr>
                <w:sz w:val="20"/>
                <w:szCs w:val="20"/>
                <w:color w:val="auto"/>
              </w:rPr>
            </w:pPr>
            <w:r>
              <w:rPr>
                <w:rFonts w:ascii="Arial" w:cs="Arial" w:eastAsia="Arial" w:hAnsi="Arial"/>
                <w:sz w:val="18"/>
                <w:szCs w:val="18"/>
                <w:color w:val="auto"/>
              </w:rPr>
              <w:t>3/29/2013</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Agreement</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1"/>
        </w:trPr>
        <w:tc>
          <w:tcPr>
            <w:tcW w:w="1040" w:type="dxa"/>
            <w:vAlign w:val="bottom"/>
          </w:tcPr>
          <w:p>
            <w:pPr>
              <w:ind w:left="40"/>
              <w:spacing w:after="0"/>
              <w:rPr>
                <w:sz w:val="20"/>
                <w:szCs w:val="20"/>
                <w:color w:val="auto"/>
              </w:rPr>
            </w:pPr>
            <w:r>
              <w:rPr>
                <w:rFonts w:ascii="Arial" w:cs="Arial" w:eastAsia="Arial" w:hAnsi="Arial"/>
                <w:sz w:val="18"/>
                <w:szCs w:val="18"/>
                <w:color w:val="auto"/>
              </w:rPr>
              <w:t>10.3#</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9"/>
              </w:rPr>
              <w:t>Amended and Restated 1995 Stock Option Plan, amended</w:t>
            </w:r>
          </w:p>
        </w:tc>
        <w:tc>
          <w:tcPr>
            <w:tcW w:w="760" w:type="dxa"/>
            <w:vAlign w:val="bottom"/>
          </w:tcPr>
          <w:p>
            <w:pPr>
              <w:ind w:left="12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120"/>
              <w:spacing w:after="0"/>
              <w:rPr>
                <w:sz w:val="20"/>
                <w:szCs w:val="20"/>
                <w:color w:val="auto"/>
              </w:rPr>
            </w:pPr>
            <w:r>
              <w:rPr>
                <w:rFonts w:ascii="Arial" w:cs="Arial" w:eastAsia="Arial" w:hAnsi="Arial"/>
                <w:sz w:val="18"/>
                <w:szCs w:val="18"/>
                <w:color w:val="auto"/>
              </w:rPr>
              <w:t>7/2/2015</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through April 16, 2015</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9"/>
        </w:trPr>
        <w:tc>
          <w:tcPr>
            <w:tcW w:w="1040" w:type="dxa"/>
            <w:vAlign w:val="bottom"/>
          </w:tcPr>
          <w:p>
            <w:pPr>
              <w:ind w:left="180"/>
              <w:spacing w:after="0"/>
              <w:rPr>
                <w:sz w:val="20"/>
                <w:szCs w:val="20"/>
                <w:color w:val="auto"/>
              </w:rPr>
            </w:pPr>
            <w:r>
              <w:rPr>
                <w:rFonts w:ascii="Arial" w:cs="Arial" w:eastAsia="Arial" w:hAnsi="Arial"/>
                <w:sz w:val="18"/>
                <w:szCs w:val="18"/>
                <w:color w:val="auto"/>
              </w:rPr>
              <w:t>10.3.1#</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9"/>
              </w:rPr>
              <w:t>Amended and Restated 1995 Stock Option Plan Restricted</w:t>
            </w:r>
          </w:p>
        </w:tc>
        <w:tc>
          <w:tcPr>
            <w:tcW w:w="760" w:type="dxa"/>
            <w:vAlign w:val="bottom"/>
          </w:tcPr>
          <w:p>
            <w:pPr>
              <w:ind w:left="12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120"/>
              <w:spacing w:after="0"/>
              <w:rPr>
                <w:sz w:val="20"/>
                <w:szCs w:val="20"/>
                <w:color w:val="auto"/>
              </w:rPr>
            </w:pPr>
            <w:r>
              <w:rPr>
                <w:rFonts w:ascii="Arial" w:cs="Arial" w:eastAsia="Arial" w:hAnsi="Arial"/>
                <w:sz w:val="18"/>
                <w:szCs w:val="18"/>
                <w:color w:val="auto"/>
              </w:rPr>
              <w:t>4/13/2006</w:t>
            </w: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Stock Agreement</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9"/>
        </w:trPr>
        <w:tc>
          <w:tcPr>
            <w:tcW w:w="1040" w:type="dxa"/>
            <w:vAlign w:val="bottom"/>
          </w:tcPr>
          <w:p>
            <w:pPr>
              <w:ind w:left="180"/>
              <w:spacing w:after="0"/>
              <w:rPr>
                <w:sz w:val="20"/>
                <w:szCs w:val="20"/>
                <w:color w:val="auto"/>
              </w:rPr>
            </w:pPr>
            <w:r>
              <w:rPr>
                <w:rFonts w:ascii="Arial" w:cs="Arial" w:eastAsia="Arial" w:hAnsi="Arial"/>
                <w:sz w:val="18"/>
                <w:szCs w:val="18"/>
                <w:color w:val="auto"/>
              </w:rPr>
              <w:t>10.3.2#</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Form of Option Agreement for use with the Amended and</w:t>
            </w:r>
          </w:p>
        </w:tc>
        <w:tc>
          <w:tcPr>
            <w:tcW w:w="760" w:type="dxa"/>
            <w:vAlign w:val="bottom"/>
          </w:tcPr>
          <w:p>
            <w:pPr>
              <w:ind w:left="12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10.21</w:t>
            </w:r>
          </w:p>
        </w:tc>
        <w:tc>
          <w:tcPr>
            <w:tcW w:w="1460" w:type="dxa"/>
            <w:vAlign w:val="bottom"/>
          </w:tcPr>
          <w:p>
            <w:pPr>
              <w:ind w:left="120"/>
              <w:spacing w:after="0"/>
              <w:rPr>
                <w:sz w:val="20"/>
                <w:szCs w:val="20"/>
                <w:color w:val="auto"/>
              </w:rPr>
            </w:pPr>
            <w:r>
              <w:rPr>
                <w:rFonts w:ascii="Arial" w:cs="Arial" w:eastAsia="Arial" w:hAnsi="Arial"/>
                <w:sz w:val="18"/>
                <w:szCs w:val="18"/>
                <w:color w:val="auto"/>
              </w:rPr>
              <w:t>4/13/2006</w:t>
            </w: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5"/>
              </w:rPr>
              <w:t>Restated 1995 Stock Option Plan (for options granted prior to</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December 4, 2008)</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9"/>
        </w:trPr>
        <w:tc>
          <w:tcPr>
            <w:tcW w:w="1040" w:type="dxa"/>
            <w:vAlign w:val="bottom"/>
          </w:tcPr>
          <w:p>
            <w:pPr>
              <w:ind w:left="180"/>
              <w:spacing w:after="0"/>
              <w:rPr>
                <w:sz w:val="20"/>
                <w:szCs w:val="20"/>
                <w:color w:val="auto"/>
              </w:rPr>
            </w:pPr>
            <w:r>
              <w:rPr>
                <w:rFonts w:ascii="Arial" w:cs="Arial" w:eastAsia="Arial" w:hAnsi="Arial"/>
                <w:sz w:val="18"/>
                <w:szCs w:val="18"/>
                <w:color w:val="auto"/>
              </w:rPr>
              <w:t>10.3.3#</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4"/>
              </w:rPr>
              <w:t>Form of Stock Option Agreement and Notice of Grant of Stock</w:t>
            </w:r>
          </w:p>
        </w:tc>
        <w:tc>
          <w:tcPr>
            <w:tcW w:w="760" w:type="dxa"/>
            <w:vAlign w:val="bottom"/>
          </w:tcPr>
          <w:p>
            <w:pPr>
              <w:ind w:left="12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10.1</w:t>
            </w:r>
          </w:p>
        </w:tc>
        <w:tc>
          <w:tcPr>
            <w:tcW w:w="1460" w:type="dxa"/>
            <w:vAlign w:val="bottom"/>
          </w:tcPr>
          <w:p>
            <w:pPr>
              <w:ind w:left="120"/>
              <w:spacing w:after="0"/>
              <w:rPr>
                <w:sz w:val="20"/>
                <w:szCs w:val="20"/>
                <w:color w:val="auto"/>
              </w:rPr>
            </w:pPr>
            <w:r>
              <w:rPr>
                <w:rFonts w:ascii="Arial" w:cs="Arial" w:eastAsia="Arial" w:hAnsi="Arial"/>
                <w:sz w:val="18"/>
                <w:szCs w:val="18"/>
                <w:color w:val="auto"/>
              </w:rPr>
              <w:t>12/17/2008</w:t>
            </w: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4"/>
              </w:rPr>
              <w:t>Options and Option Agreement for use with the Amended and</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8"/>
              </w:rPr>
              <w:t>Restated 1995 Stock Option Plan (for options granted on or</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after December 4, 2008)</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9"/>
        </w:trPr>
        <w:tc>
          <w:tcPr>
            <w:tcW w:w="1040" w:type="dxa"/>
            <w:vAlign w:val="bottom"/>
          </w:tcPr>
          <w:p>
            <w:pPr>
              <w:ind w:left="180"/>
              <w:spacing w:after="0"/>
              <w:rPr>
                <w:sz w:val="20"/>
                <w:szCs w:val="20"/>
                <w:color w:val="auto"/>
              </w:rPr>
            </w:pPr>
            <w:r>
              <w:rPr>
                <w:rFonts w:ascii="Arial" w:cs="Arial" w:eastAsia="Arial" w:hAnsi="Arial"/>
                <w:sz w:val="18"/>
                <w:szCs w:val="18"/>
                <w:color w:val="auto"/>
              </w:rPr>
              <w:t>10.3.4#</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4"/>
              </w:rPr>
              <w:t>Form of Stock Option Agreement and Notice of Grant of Stock</w:t>
            </w:r>
          </w:p>
        </w:tc>
        <w:tc>
          <w:tcPr>
            <w:tcW w:w="760" w:type="dxa"/>
            <w:vAlign w:val="bottom"/>
          </w:tcPr>
          <w:p>
            <w:pPr>
              <w:ind w:left="120"/>
              <w:spacing w:after="0"/>
              <w:rPr>
                <w:sz w:val="20"/>
                <w:szCs w:val="20"/>
                <w:color w:val="auto"/>
              </w:rPr>
            </w:pPr>
            <w:r>
              <w:rPr>
                <w:rFonts w:ascii="Arial" w:cs="Arial" w:eastAsia="Arial" w:hAnsi="Arial"/>
                <w:sz w:val="18"/>
                <w:szCs w:val="18"/>
                <w:color w:val="auto"/>
              </w:rPr>
              <w:t>10-Q</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10.3</w:t>
            </w:r>
          </w:p>
        </w:tc>
        <w:tc>
          <w:tcPr>
            <w:tcW w:w="1460" w:type="dxa"/>
            <w:vAlign w:val="bottom"/>
          </w:tcPr>
          <w:p>
            <w:pPr>
              <w:ind w:left="120"/>
              <w:spacing w:after="0"/>
              <w:rPr>
                <w:sz w:val="20"/>
                <w:szCs w:val="20"/>
                <w:color w:val="auto"/>
              </w:rPr>
            </w:pPr>
            <w:r>
              <w:rPr>
                <w:rFonts w:ascii="Arial" w:cs="Arial" w:eastAsia="Arial" w:hAnsi="Arial"/>
                <w:sz w:val="18"/>
                <w:szCs w:val="18"/>
                <w:color w:val="auto"/>
              </w:rPr>
              <w:t>9/3/2010</w:t>
            </w: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4"/>
              </w:rPr>
              <w:t>Options and Option Agreement for use with the Amended and</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8"/>
              </w:rPr>
              <w:t>Restated 1995 Stock Option Plan (for options granted on or</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after August 2, 2010)</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9"/>
        </w:trPr>
        <w:tc>
          <w:tcPr>
            <w:tcW w:w="1040" w:type="dxa"/>
            <w:vAlign w:val="bottom"/>
          </w:tcPr>
          <w:p>
            <w:pPr>
              <w:ind w:left="180"/>
              <w:spacing w:after="0"/>
              <w:rPr>
                <w:sz w:val="20"/>
                <w:szCs w:val="20"/>
                <w:color w:val="auto"/>
              </w:rPr>
            </w:pPr>
            <w:r>
              <w:rPr>
                <w:rFonts w:ascii="Arial" w:cs="Arial" w:eastAsia="Arial" w:hAnsi="Arial"/>
                <w:sz w:val="18"/>
                <w:szCs w:val="18"/>
                <w:color w:val="auto"/>
              </w:rPr>
              <w:t>10.3.5#</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4"/>
              </w:rPr>
              <w:t>Form of Stock Option Agreement and Notice of Grant of Stock</w:t>
            </w:r>
          </w:p>
        </w:tc>
        <w:tc>
          <w:tcPr>
            <w:tcW w:w="760" w:type="dxa"/>
            <w:vAlign w:val="bottom"/>
          </w:tcPr>
          <w:p>
            <w:pPr>
              <w:ind w:left="12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10.1</w:t>
            </w:r>
          </w:p>
        </w:tc>
        <w:tc>
          <w:tcPr>
            <w:tcW w:w="1460" w:type="dxa"/>
            <w:vAlign w:val="bottom"/>
          </w:tcPr>
          <w:p>
            <w:pPr>
              <w:ind w:left="120"/>
              <w:spacing w:after="0"/>
              <w:rPr>
                <w:sz w:val="20"/>
                <w:szCs w:val="20"/>
                <w:color w:val="auto"/>
              </w:rPr>
            </w:pPr>
            <w:r>
              <w:rPr>
                <w:rFonts w:ascii="Arial" w:cs="Arial" w:eastAsia="Arial" w:hAnsi="Arial"/>
                <w:sz w:val="18"/>
                <w:szCs w:val="18"/>
                <w:color w:val="auto"/>
              </w:rPr>
              <w:t>9/26/2013</w:t>
            </w: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4"/>
              </w:rPr>
              <w:t>Options and Option Agreement for use with the Amended and</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8"/>
              </w:rPr>
              <w:t>Restated 1995 Stock Option Plan (for options granted on or</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after September 20, 2013)</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9"/>
        </w:trPr>
        <w:tc>
          <w:tcPr>
            <w:tcW w:w="1040" w:type="dxa"/>
            <w:vAlign w:val="bottom"/>
          </w:tcPr>
          <w:p>
            <w:pPr>
              <w:ind w:left="180"/>
              <w:spacing w:after="0"/>
              <w:rPr>
                <w:sz w:val="20"/>
                <w:szCs w:val="20"/>
                <w:color w:val="auto"/>
              </w:rPr>
            </w:pPr>
            <w:r>
              <w:rPr>
                <w:rFonts w:ascii="Arial" w:cs="Arial" w:eastAsia="Arial" w:hAnsi="Arial"/>
                <w:sz w:val="18"/>
                <w:szCs w:val="18"/>
                <w:color w:val="auto"/>
              </w:rPr>
              <w:t>10.3.6#</w:t>
            </w:r>
          </w:p>
        </w:tc>
        <w:tc>
          <w:tcPr>
            <w:tcW w:w="120" w:type="dxa"/>
            <w:vAlign w:val="bottom"/>
          </w:tcPr>
          <w:p>
            <w:pPr>
              <w:spacing w:after="0"/>
              <w:rPr>
                <w:sz w:val="24"/>
                <w:szCs w:val="24"/>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Form of Restricted Stock Unit Agreement for use with the</w:t>
            </w:r>
          </w:p>
        </w:tc>
        <w:tc>
          <w:tcPr>
            <w:tcW w:w="760" w:type="dxa"/>
            <w:vAlign w:val="bottom"/>
          </w:tcPr>
          <w:p>
            <w:pPr>
              <w:ind w:left="12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880" w:type="dxa"/>
            <w:vAlign w:val="bottom"/>
          </w:tcPr>
          <w:p>
            <w:pPr>
              <w:ind w:left="300"/>
              <w:spacing w:after="0"/>
              <w:rPr>
                <w:sz w:val="20"/>
                <w:szCs w:val="20"/>
                <w:color w:val="auto"/>
              </w:rPr>
            </w:pPr>
            <w:r>
              <w:rPr>
                <w:rFonts w:ascii="Arial" w:cs="Arial" w:eastAsia="Arial" w:hAnsi="Arial"/>
                <w:sz w:val="18"/>
                <w:szCs w:val="18"/>
                <w:color w:val="auto"/>
              </w:rPr>
              <w:t>10.34</w:t>
            </w:r>
          </w:p>
        </w:tc>
        <w:tc>
          <w:tcPr>
            <w:tcW w:w="1460" w:type="dxa"/>
            <w:vAlign w:val="bottom"/>
          </w:tcPr>
          <w:p>
            <w:pPr>
              <w:ind w:left="120"/>
              <w:spacing w:after="0"/>
              <w:rPr>
                <w:sz w:val="20"/>
                <w:szCs w:val="20"/>
                <w:color w:val="auto"/>
              </w:rPr>
            </w:pPr>
            <w:r>
              <w:rPr>
                <w:rFonts w:ascii="Arial" w:cs="Arial" w:eastAsia="Arial" w:hAnsi="Arial"/>
                <w:sz w:val="18"/>
                <w:szCs w:val="18"/>
                <w:color w:val="auto"/>
              </w:rPr>
              <w:t>7/2/2007</w:t>
            </w: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w w:val="99"/>
              </w:rPr>
              <w:t>Amended and Restated 1995 Stock Option Plan (for RSUs</w:t>
            </w:r>
          </w:p>
        </w:tc>
        <w:tc>
          <w:tcPr>
            <w:tcW w:w="7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720" w:type="dxa"/>
            <w:vAlign w:val="bottom"/>
          </w:tcPr>
          <w:p>
            <w:pPr>
              <w:ind w:left="40"/>
              <w:spacing w:after="0"/>
              <w:rPr>
                <w:sz w:val="20"/>
                <w:szCs w:val="20"/>
                <w:color w:val="auto"/>
              </w:rPr>
            </w:pPr>
            <w:r>
              <w:rPr>
                <w:rFonts w:ascii="Arial" w:cs="Arial" w:eastAsia="Arial" w:hAnsi="Arial"/>
                <w:sz w:val="18"/>
                <w:szCs w:val="18"/>
                <w:color w:val="auto"/>
              </w:rPr>
              <w:t>granted prior to December 4, 2008)</w:t>
            </w:r>
          </w:p>
        </w:tc>
        <w:tc>
          <w:tcPr>
            <w:tcW w:w="7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8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796" w:right="239" w:bottom="1440" w:gutter="0" w:footer="0" w:header="0"/>
        </w:sectPr>
      </w:pP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104</w:t>
      </w:r>
    </w:p>
    <w:p>
      <w:pPr>
        <w:sectPr>
          <w:pgSz w:w="11900" w:h="16838" w:orient="portrait"/>
          <w:cols w:equalWidth="0" w:num="1">
            <w:col w:w="11420"/>
          </w:cols>
          <w:pgMar w:left="240" w:top="796" w:right="239" w:bottom="1440" w:gutter="0" w:footer="0" w:header="0"/>
          <w:type w:val="continuous"/>
        </w:sectPr>
      </w:pPr>
    </w:p>
    <w:bookmarkStart w:id="107" w:name="page108"/>
    <w:bookmarkEnd w:id="107"/>
    <w:tbl>
      <w:tblPr>
        <w:tblLayout w:type="fixed"/>
        <w:tblInd w:w="0" w:type="dxa"/>
        <w:tblCellMar>
          <w:top w:w="0" w:type="dxa"/>
          <w:left w:w="0" w:type="dxa"/>
          <w:bottom w:w="0" w:type="dxa"/>
          <w:right w:w="0" w:type="dxa"/>
        </w:tblCellMar>
      </w:tblPr>
      <w:tr>
        <w:trPr>
          <w:trHeight w:val="216"/>
        </w:trPr>
        <w:tc>
          <w:tcPr>
            <w:tcW w:w="820" w:type="dxa"/>
            <w:vAlign w:val="bottom"/>
          </w:tcPr>
          <w:p>
            <w:pPr>
              <w:spacing w:after="0"/>
              <w:rPr>
                <w:sz w:val="20"/>
                <w:szCs w:val="20"/>
                <w:color w:val="auto"/>
              </w:rPr>
            </w:pPr>
            <w:r>
              <w:rPr>
                <w:rFonts w:ascii="Arial" w:cs="Arial" w:eastAsia="Arial" w:hAnsi="Arial"/>
                <w:sz w:val="18"/>
                <w:szCs w:val="18"/>
                <w:color w:val="auto"/>
              </w:rPr>
              <w:t>10.3.7#</w:t>
            </w:r>
          </w:p>
        </w:tc>
        <w:tc>
          <w:tcPr>
            <w:tcW w:w="4920" w:type="dxa"/>
            <w:vAlign w:val="bottom"/>
          </w:tcPr>
          <w:p>
            <w:pPr>
              <w:ind w:left="200"/>
              <w:spacing w:after="0"/>
              <w:rPr>
                <w:sz w:val="20"/>
                <w:szCs w:val="20"/>
                <w:color w:val="auto"/>
              </w:rPr>
            </w:pPr>
            <w:r>
              <w:rPr>
                <w:rFonts w:ascii="Arial" w:cs="Arial" w:eastAsia="Arial" w:hAnsi="Arial"/>
                <w:sz w:val="18"/>
                <w:szCs w:val="18"/>
                <w:color w:val="auto"/>
                <w:w w:val="98"/>
              </w:rPr>
              <w:t>Form of Stock Unit Agreement and Notice of Grant of Award</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12/17/2008</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3"/>
              </w:rPr>
              <w:t>and Award Agreement for use with the Amended and Restated</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1995 Stock Option Plan (for RSUs granted on or after</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December 4, 2008)</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10.3.8#</w:t>
            </w:r>
          </w:p>
        </w:tc>
        <w:tc>
          <w:tcPr>
            <w:tcW w:w="4920" w:type="dxa"/>
            <w:vAlign w:val="bottom"/>
          </w:tcPr>
          <w:p>
            <w:pPr>
              <w:ind w:left="200"/>
              <w:spacing w:after="0"/>
              <w:rPr>
                <w:sz w:val="20"/>
                <w:szCs w:val="20"/>
                <w:color w:val="auto"/>
              </w:rPr>
            </w:pPr>
            <w:r>
              <w:rPr>
                <w:rFonts w:ascii="Arial" w:cs="Arial" w:eastAsia="Arial" w:hAnsi="Arial"/>
                <w:sz w:val="18"/>
                <w:szCs w:val="18"/>
                <w:color w:val="auto"/>
                <w:w w:val="98"/>
              </w:rPr>
              <w:t>Form of Stock Unit Agreement and Notice of Grant of Award</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10.4</w:t>
            </w:r>
          </w:p>
        </w:tc>
        <w:tc>
          <w:tcPr>
            <w:tcW w:w="1460" w:type="dxa"/>
            <w:vAlign w:val="bottom"/>
          </w:tcPr>
          <w:p>
            <w:pPr>
              <w:ind w:left="640"/>
              <w:spacing w:after="0"/>
              <w:rPr>
                <w:sz w:val="20"/>
                <w:szCs w:val="20"/>
                <w:color w:val="auto"/>
              </w:rPr>
            </w:pPr>
            <w:r>
              <w:rPr>
                <w:rFonts w:ascii="Arial" w:cs="Arial" w:eastAsia="Arial" w:hAnsi="Arial"/>
                <w:sz w:val="18"/>
                <w:szCs w:val="18"/>
                <w:color w:val="auto"/>
              </w:rPr>
              <w:t>9/3/2010</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3"/>
              </w:rPr>
              <w:t>and Award Agreement for use with the Amended and Restated</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2"/>
              </w:rPr>
              <w:t>1995 Stock Option Plan (for RSUs granted on or after August 2,</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2010)</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10.3.9#</w:t>
            </w:r>
          </w:p>
        </w:tc>
        <w:tc>
          <w:tcPr>
            <w:tcW w:w="4920" w:type="dxa"/>
            <w:vAlign w:val="bottom"/>
          </w:tcPr>
          <w:p>
            <w:pPr>
              <w:ind w:left="200"/>
              <w:spacing w:after="0"/>
              <w:rPr>
                <w:sz w:val="20"/>
                <w:szCs w:val="20"/>
                <w:color w:val="auto"/>
              </w:rPr>
            </w:pPr>
            <w:r>
              <w:rPr>
                <w:rFonts w:ascii="Arial" w:cs="Arial" w:eastAsia="Arial" w:hAnsi="Arial"/>
                <w:sz w:val="18"/>
                <w:szCs w:val="18"/>
                <w:color w:val="auto"/>
              </w:rPr>
              <w:t>Form of Notice of Grant of Stock Options — Performance-</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12/19/2008</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9"/>
              </w:rPr>
              <w:t>Based, for use with the Amended and Restated 1995 Stock</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Option Plan</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10.3.10#</w:t>
            </w:r>
          </w:p>
        </w:tc>
        <w:tc>
          <w:tcPr>
            <w:tcW w:w="4920" w:type="dxa"/>
            <w:vAlign w:val="bottom"/>
          </w:tcPr>
          <w:p>
            <w:pPr>
              <w:ind w:left="200"/>
              <w:spacing w:after="0"/>
              <w:rPr>
                <w:sz w:val="20"/>
                <w:szCs w:val="20"/>
                <w:color w:val="auto"/>
              </w:rPr>
            </w:pPr>
            <w:r>
              <w:rPr>
                <w:rFonts w:ascii="Arial" w:cs="Arial" w:eastAsia="Arial" w:hAnsi="Arial"/>
                <w:sz w:val="18"/>
                <w:szCs w:val="18"/>
                <w:color w:val="auto"/>
                <w:w w:val="93"/>
              </w:rPr>
              <w:t>Form of Performance Award Agreement and Notice of Grant of</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rPr>
              <w:t>6/5/2014</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9"/>
              </w:rPr>
              <w:t>Performance Award and Award Agreement for use with the</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Amended and Restated 1995 Stock Option Plan</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10.4#</w:t>
            </w:r>
          </w:p>
        </w:tc>
        <w:tc>
          <w:tcPr>
            <w:tcW w:w="4920" w:type="dxa"/>
            <w:vAlign w:val="bottom"/>
          </w:tcPr>
          <w:p>
            <w:pPr>
              <w:ind w:left="200"/>
              <w:spacing w:after="0"/>
              <w:rPr>
                <w:sz w:val="20"/>
                <w:szCs w:val="20"/>
                <w:color w:val="auto"/>
              </w:rPr>
            </w:pPr>
            <w:r>
              <w:rPr>
                <w:rFonts w:ascii="Arial" w:cs="Arial" w:eastAsia="Arial" w:hAnsi="Arial"/>
                <w:sz w:val="18"/>
                <w:szCs w:val="18"/>
                <w:color w:val="auto"/>
                <w:w w:val="96"/>
              </w:rPr>
              <w:t>Reformation of Stock Option Agreement dated December 27,</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rPr>
              <w:t>1/4/2007</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5"/>
              </w:rPr>
              <w:t>2006 by and between Sehat Sutardja and Marvell Technology</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Group Ltd.</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10.5#</w:t>
            </w:r>
          </w:p>
        </w:tc>
        <w:tc>
          <w:tcPr>
            <w:tcW w:w="4920" w:type="dxa"/>
            <w:vAlign w:val="bottom"/>
          </w:tcPr>
          <w:p>
            <w:pPr>
              <w:ind w:left="200"/>
              <w:spacing w:after="0"/>
              <w:rPr>
                <w:sz w:val="20"/>
                <w:szCs w:val="20"/>
                <w:color w:val="auto"/>
              </w:rPr>
            </w:pPr>
            <w:r>
              <w:rPr>
                <w:rFonts w:ascii="Arial" w:cs="Arial" w:eastAsia="Arial" w:hAnsi="Arial"/>
                <w:sz w:val="18"/>
                <w:szCs w:val="18"/>
                <w:color w:val="auto"/>
                <w:w w:val="96"/>
              </w:rPr>
              <w:t>Reformation of Stock Option Agreement dated December 27,</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rPr>
              <w:t>1/4/2007</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4"/>
              </w:rPr>
              <w:t>2006 by and between Weili Dai and Marvell Technology Group</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Ltd.</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10.6#</w:t>
            </w:r>
          </w:p>
        </w:tc>
        <w:tc>
          <w:tcPr>
            <w:tcW w:w="4920" w:type="dxa"/>
            <w:vAlign w:val="bottom"/>
          </w:tcPr>
          <w:p>
            <w:pPr>
              <w:ind w:left="200"/>
              <w:spacing w:after="0"/>
              <w:rPr>
                <w:sz w:val="20"/>
                <w:szCs w:val="20"/>
                <w:color w:val="auto"/>
              </w:rPr>
            </w:pPr>
            <w:r>
              <w:rPr>
                <w:rFonts w:ascii="Arial" w:cs="Arial" w:eastAsia="Arial" w:hAnsi="Arial"/>
                <w:sz w:val="18"/>
                <w:szCs w:val="18"/>
                <w:color w:val="auto"/>
                <w:w w:val="99"/>
              </w:rPr>
              <w:t>Reformation of Stock Option Agreement dated May 6, 2007</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rPr>
              <w:t>5/8/2007</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w w:val="92"/>
              </w:rPr>
              <w:t>between Marvell Technology Group Ltd. and Dr. Sehat Sutardja</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10.7#</w:t>
            </w:r>
          </w:p>
        </w:tc>
        <w:tc>
          <w:tcPr>
            <w:tcW w:w="4920" w:type="dxa"/>
            <w:vAlign w:val="bottom"/>
          </w:tcPr>
          <w:p>
            <w:pPr>
              <w:ind w:left="200"/>
              <w:spacing w:after="0"/>
              <w:rPr>
                <w:sz w:val="20"/>
                <w:szCs w:val="20"/>
                <w:color w:val="auto"/>
              </w:rPr>
            </w:pPr>
            <w:r>
              <w:rPr>
                <w:rFonts w:ascii="Arial" w:cs="Arial" w:eastAsia="Arial" w:hAnsi="Arial"/>
                <w:sz w:val="18"/>
                <w:szCs w:val="18"/>
                <w:color w:val="auto"/>
                <w:w w:val="99"/>
              </w:rPr>
              <w:t>Amendment of Stock Option Agreement dated May 6, 2007</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rPr>
              <w:t>5/9/2007</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between Marvell Technology Group Ltd. and Weili Dai</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10.8#</w:t>
            </w:r>
          </w:p>
        </w:tc>
        <w:tc>
          <w:tcPr>
            <w:tcW w:w="4920" w:type="dxa"/>
            <w:vAlign w:val="bottom"/>
          </w:tcPr>
          <w:p>
            <w:pPr>
              <w:ind w:left="200"/>
              <w:spacing w:after="0"/>
              <w:rPr>
                <w:sz w:val="20"/>
                <w:szCs w:val="20"/>
                <w:color w:val="auto"/>
              </w:rPr>
            </w:pPr>
            <w:r>
              <w:rPr>
                <w:rFonts w:ascii="Arial" w:cs="Arial" w:eastAsia="Arial" w:hAnsi="Arial"/>
                <w:sz w:val="18"/>
                <w:szCs w:val="18"/>
                <w:color w:val="auto"/>
              </w:rPr>
              <w:t>Marvell Technology Group Ltd. Executive Performance</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rPr>
              <w:t>7/2/2015</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Incentive Plan</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10.9#</w:t>
            </w:r>
          </w:p>
        </w:tc>
        <w:tc>
          <w:tcPr>
            <w:tcW w:w="4920" w:type="dxa"/>
            <w:vAlign w:val="bottom"/>
          </w:tcPr>
          <w:p>
            <w:pPr>
              <w:ind w:left="200"/>
              <w:spacing w:after="0"/>
              <w:rPr>
                <w:sz w:val="20"/>
                <w:szCs w:val="20"/>
                <w:color w:val="auto"/>
              </w:rPr>
            </w:pPr>
            <w:r>
              <w:rPr>
                <w:rFonts w:ascii="Arial" w:cs="Arial" w:eastAsia="Arial" w:hAnsi="Arial"/>
                <w:sz w:val="18"/>
                <w:szCs w:val="18"/>
                <w:color w:val="auto"/>
                <w:w w:val="95"/>
              </w:rPr>
              <w:t>2007 Director Stock Incentive Plan, as amended and restated</w:t>
            </w: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10.15</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3/27/2014</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effective March 11, 2014</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10.9.1#</w:t>
            </w:r>
          </w:p>
        </w:tc>
        <w:tc>
          <w:tcPr>
            <w:tcW w:w="4920" w:type="dxa"/>
            <w:vAlign w:val="bottom"/>
          </w:tcPr>
          <w:p>
            <w:pPr>
              <w:ind w:left="200"/>
              <w:spacing w:after="0"/>
              <w:rPr>
                <w:sz w:val="20"/>
                <w:szCs w:val="20"/>
                <w:color w:val="auto"/>
              </w:rPr>
            </w:pPr>
            <w:r>
              <w:rPr>
                <w:rFonts w:ascii="Arial" w:cs="Arial" w:eastAsia="Arial" w:hAnsi="Arial"/>
                <w:sz w:val="18"/>
                <w:szCs w:val="18"/>
                <w:color w:val="auto"/>
              </w:rPr>
              <w:t>Form of Stock Option Agreement for use with the 2007</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10/25/2007</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Director Stock Incentive Plan — Initial Award</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10.9.2#</w:t>
            </w:r>
          </w:p>
        </w:tc>
        <w:tc>
          <w:tcPr>
            <w:tcW w:w="4920" w:type="dxa"/>
            <w:vAlign w:val="bottom"/>
          </w:tcPr>
          <w:p>
            <w:pPr>
              <w:ind w:left="200"/>
              <w:spacing w:after="0"/>
              <w:rPr>
                <w:sz w:val="20"/>
                <w:szCs w:val="20"/>
                <w:color w:val="auto"/>
              </w:rPr>
            </w:pPr>
            <w:r>
              <w:rPr>
                <w:rFonts w:ascii="Arial" w:cs="Arial" w:eastAsia="Arial" w:hAnsi="Arial"/>
                <w:sz w:val="18"/>
                <w:szCs w:val="18"/>
                <w:color w:val="auto"/>
              </w:rPr>
              <w:t>Form of Stock Option Agreement for use with the 2007</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10/25/2007</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Director Stock Incentive Plan — Initial Award</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10.9.3#</w:t>
            </w:r>
          </w:p>
        </w:tc>
        <w:tc>
          <w:tcPr>
            <w:tcW w:w="4920" w:type="dxa"/>
            <w:vAlign w:val="bottom"/>
          </w:tcPr>
          <w:p>
            <w:pPr>
              <w:ind w:left="200"/>
              <w:spacing w:after="0"/>
              <w:rPr>
                <w:sz w:val="20"/>
                <w:szCs w:val="20"/>
                <w:color w:val="auto"/>
              </w:rPr>
            </w:pPr>
            <w:r>
              <w:rPr>
                <w:rFonts w:ascii="Arial" w:cs="Arial" w:eastAsia="Arial" w:hAnsi="Arial"/>
                <w:sz w:val="18"/>
                <w:szCs w:val="18"/>
                <w:color w:val="auto"/>
                <w:w w:val="98"/>
              </w:rPr>
              <w:t>Form of Stock Unit Agreement and Notice of Grant of Award</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rPr>
              <w:t>7/1/2011</w:t>
            </w:r>
          </w:p>
        </w:tc>
      </w:tr>
      <w:tr>
        <w:trPr>
          <w:trHeight w:val="216"/>
        </w:trPr>
        <w:tc>
          <w:tcPr>
            <w:tcW w:w="820" w:type="dxa"/>
            <w:vAlign w:val="bottom"/>
          </w:tcPr>
          <w:p>
            <w:pPr>
              <w:spacing w:after="0"/>
              <w:rPr>
                <w:sz w:val="18"/>
                <w:szCs w:val="18"/>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and Award Agreement for use with the 2007 Director Stock</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46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Incentive Plan</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499"/>
        </w:trPr>
        <w:tc>
          <w:tcPr>
            <w:tcW w:w="820" w:type="dxa"/>
            <w:vAlign w:val="bottom"/>
          </w:tcPr>
          <w:p>
            <w:pPr>
              <w:spacing w:after="0"/>
              <w:rPr>
                <w:sz w:val="20"/>
                <w:szCs w:val="20"/>
                <w:color w:val="auto"/>
              </w:rPr>
            </w:pPr>
            <w:r>
              <w:rPr>
                <w:rFonts w:ascii="Arial" w:cs="Arial" w:eastAsia="Arial" w:hAnsi="Arial"/>
                <w:sz w:val="18"/>
                <w:szCs w:val="18"/>
                <w:color w:val="auto"/>
              </w:rPr>
              <w:t>10.10#</w:t>
            </w:r>
          </w:p>
        </w:tc>
        <w:tc>
          <w:tcPr>
            <w:tcW w:w="4920" w:type="dxa"/>
            <w:vAlign w:val="bottom"/>
          </w:tcPr>
          <w:p>
            <w:pPr>
              <w:ind w:left="200"/>
              <w:spacing w:after="0"/>
              <w:rPr>
                <w:sz w:val="20"/>
                <w:szCs w:val="20"/>
                <w:color w:val="auto"/>
              </w:rPr>
            </w:pPr>
            <w:r>
              <w:rPr>
                <w:rFonts w:ascii="Arial" w:cs="Arial" w:eastAsia="Arial" w:hAnsi="Arial"/>
                <w:sz w:val="18"/>
                <w:szCs w:val="18"/>
                <w:color w:val="auto"/>
                <w:w w:val="99"/>
              </w:rPr>
              <w:t>Description of Indemnification Rights for certain current and</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10.37</w:t>
            </w:r>
          </w:p>
        </w:tc>
        <w:tc>
          <w:tcPr>
            <w:tcW w:w="1460" w:type="dxa"/>
            <w:vAlign w:val="bottom"/>
          </w:tcPr>
          <w:p>
            <w:pPr>
              <w:ind w:left="640"/>
              <w:spacing w:after="0"/>
              <w:rPr>
                <w:sz w:val="20"/>
                <w:szCs w:val="20"/>
                <w:color w:val="auto"/>
              </w:rPr>
            </w:pPr>
            <w:r>
              <w:rPr>
                <w:rFonts w:ascii="Arial" w:cs="Arial" w:eastAsia="Arial" w:hAnsi="Arial"/>
                <w:sz w:val="18"/>
                <w:szCs w:val="18"/>
                <w:color w:val="auto"/>
              </w:rPr>
              <w:t>9/6/2007</w:t>
            </w:r>
          </w:p>
        </w:tc>
      </w:tr>
      <w:tr>
        <w:trPr>
          <w:trHeight w:val="230"/>
        </w:trPr>
        <w:tc>
          <w:tcPr>
            <w:tcW w:w="820" w:type="dxa"/>
            <w:vAlign w:val="bottom"/>
          </w:tcPr>
          <w:p>
            <w:pPr>
              <w:spacing w:after="0"/>
              <w:rPr>
                <w:sz w:val="20"/>
                <w:szCs w:val="20"/>
                <w:color w:val="auto"/>
              </w:rPr>
            </w:pPr>
          </w:p>
        </w:tc>
        <w:tc>
          <w:tcPr>
            <w:tcW w:w="4920" w:type="dxa"/>
            <w:vAlign w:val="bottom"/>
          </w:tcPr>
          <w:p>
            <w:pPr>
              <w:ind w:left="200"/>
              <w:spacing w:after="0"/>
              <w:rPr>
                <w:sz w:val="20"/>
                <w:szCs w:val="20"/>
                <w:color w:val="auto"/>
              </w:rPr>
            </w:pPr>
            <w:r>
              <w:rPr>
                <w:rFonts w:ascii="Arial" w:cs="Arial" w:eastAsia="Arial" w:hAnsi="Arial"/>
                <w:sz w:val="18"/>
                <w:szCs w:val="18"/>
                <w:color w:val="auto"/>
              </w:rPr>
              <w:t>former directors, officers and employees</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460" w:type="dxa"/>
            <w:vAlign w:val="bottom"/>
          </w:tcPr>
          <w:p>
            <w:pPr>
              <w:spacing w:after="0"/>
              <w:rPr>
                <w:sz w:val="20"/>
                <w:szCs w:val="20"/>
                <w:color w:val="auto"/>
              </w:rPr>
            </w:pPr>
          </w:p>
        </w:tc>
      </w:tr>
    </w:tbl>
    <w:p>
      <w:pPr>
        <w:spacing w:after="0" w:line="200" w:lineRule="exact"/>
        <w:rPr>
          <w:sz w:val="20"/>
          <w:szCs w:val="20"/>
          <w:color w:val="auto"/>
        </w:rPr>
      </w:pPr>
    </w:p>
    <w:p>
      <w:pPr>
        <w:sectPr>
          <w:pgSz w:w="11900" w:h="16838" w:orient="portrait"/>
          <w:cols w:equalWidth="0" w:num="1">
            <w:col w:w="10720"/>
          </w:cols>
          <w:pgMar w:left="420" w:top="963" w:right="759" w:bottom="1440" w:gutter="0" w:footer="0" w:header="0"/>
        </w:sectPr>
      </w:pPr>
    </w:p>
    <w:p>
      <w:pPr>
        <w:spacing w:after="0" w:line="299" w:lineRule="exact"/>
        <w:rPr>
          <w:sz w:val="20"/>
          <w:szCs w:val="20"/>
          <w:color w:val="auto"/>
        </w:rPr>
      </w:pPr>
    </w:p>
    <w:p>
      <w:pPr>
        <w:jc w:val="center"/>
        <w:ind w:right="-339"/>
        <w:spacing w:after="0"/>
        <w:rPr>
          <w:sz w:val="20"/>
          <w:szCs w:val="20"/>
          <w:color w:val="auto"/>
        </w:rPr>
      </w:pPr>
      <w:r>
        <w:rPr>
          <w:rFonts w:ascii="Arial" w:cs="Arial" w:eastAsia="Arial" w:hAnsi="Arial"/>
          <w:sz w:val="15"/>
          <w:szCs w:val="15"/>
          <w:color w:val="auto"/>
        </w:rPr>
        <w:t>105</w:t>
      </w:r>
    </w:p>
    <w:p>
      <w:pPr>
        <w:sectPr>
          <w:pgSz w:w="11900" w:h="16838" w:orient="portrait"/>
          <w:cols w:equalWidth="0" w:num="1">
            <w:col w:w="10720"/>
          </w:cols>
          <w:pgMar w:left="420" w:top="963" w:right="759" w:bottom="1440" w:gutter="0" w:footer="0" w:header="0"/>
          <w:type w:val="continuous"/>
        </w:sectPr>
      </w:pPr>
    </w:p>
    <w:bookmarkStart w:id="108" w:name="page109"/>
    <w:bookmarkEnd w:id="108"/>
    <w:tbl>
      <w:tblPr>
        <w:tblLayout w:type="fixed"/>
        <w:tblInd w:w="0" w:type="dxa"/>
        <w:tblCellMar>
          <w:top w:w="0" w:type="dxa"/>
          <w:left w:w="0" w:type="dxa"/>
          <w:bottom w:w="0" w:type="dxa"/>
          <w:right w:w="0" w:type="dxa"/>
        </w:tblCellMar>
      </w:tblPr>
      <w:tr>
        <w:trPr>
          <w:trHeight w:val="216"/>
        </w:trPr>
        <w:tc>
          <w:tcPr>
            <w:tcW w:w="760" w:type="dxa"/>
            <w:vAlign w:val="bottom"/>
          </w:tcPr>
          <w:p>
            <w:pPr>
              <w:spacing w:after="0"/>
              <w:rPr>
                <w:sz w:val="20"/>
                <w:szCs w:val="20"/>
                <w:color w:val="auto"/>
              </w:rPr>
            </w:pPr>
            <w:r>
              <w:rPr>
                <w:rFonts w:ascii="Arial" w:cs="Arial" w:eastAsia="Arial" w:hAnsi="Arial"/>
                <w:sz w:val="18"/>
                <w:szCs w:val="18"/>
                <w:color w:val="auto"/>
              </w:rPr>
              <w:t>10.11#</w:t>
            </w:r>
          </w:p>
        </w:tc>
        <w:tc>
          <w:tcPr>
            <w:tcW w:w="4980" w:type="dxa"/>
            <w:vAlign w:val="bottom"/>
          </w:tcPr>
          <w:p>
            <w:pPr>
              <w:ind w:left="260"/>
              <w:spacing w:after="0"/>
              <w:rPr>
                <w:sz w:val="20"/>
                <w:szCs w:val="20"/>
                <w:color w:val="auto"/>
              </w:rPr>
            </w:pPr>
            <w:r>
              <w:rPr>
                <w:rFonts w:ascii="Arial" w:cs="Arial" w:eastAsia="Arial" w:hAnsi="Arial"/>
                <w:sz w:val="18"/>
                <w:szCs w:val="18"/>
                <w:color w:val="auto"/>
              </w:rPr>
              <w:t>Form of Indemnification Agreement with Directors and</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10/10/2008</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Executive Officers</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10.12#</w:t>
            </w:r>
          </w:p>
        </w:tc>
        <w:tc>
          <w:tcPr>
            <w:tcW w:w="4980" w:type="dxa"/>
            <w:vAlign w:val="bottom"/>
          </w:tcPr>
          <w:p>
            <w:pPr>
              <w:ind w:left="260"/>
              <w:spacing w:after="0"/>
              <w:rPr>
                <w:sz w:val="20"/>
                <w:szCs w:val="20"/>
                <w:color w:val="auto"/>
              </w:rPr>
            </w:pPr>
            <w:r>
              <w:rPr>
                <w:rFonts w:ascii="Arial" w:cs="Arial" w:eastAsia="Arial" w:hAnsi="Arial"/>
                <w:sz w:val="18"/>
                <w:szCs w:val="18"/>
                <w:color w:val="auto"/>
              </w:rPr>
              <w:t>Indemnification Arrangement with Dr. Sehat Sutardja</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3/7/2011</w:t>
            </w: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10.13#</w:t>
            </w:r>
          </w:p>
        </w:tc>
        <w:tc>
          <w:tcPr>
            <w:tcW w:w="4980" w:type="dxa"/>
            <w:vAlign w:val="bottom"/>
          </w:tcPr>
          <w:p>
            <w:pPr>
              <w:ind w:left="260"/>
              <w:spacing w:after="0"/>
              <w:rPr>
                <w:sz w:val="20"/>
                <w:szCs w:val="20"/>
                <w:color w:val="auto"/>
              </w:rPr>
            </w:pPr>
            <w:r>
              <w:rPr>
                <w:rFonts w:ascii="Arial" w:cs="Arial" w:eastAsia="Arial" w:hAnsi="Arial"/>
                <w:sz w:val="18"/>
                <w:szCs w:val="18"/>
                <w:color w:val="auto"/>
              </w:rPr>
              <w:t>Interim Services Agreement between the registrant and</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7/21/2016</w:t>
            </w:r>
          </w:p>
        </w:tc>
      </w:tr>
      <w:tr>
        <w:trPr>
          <w:trHeight w:val="216"/>
        </w:trPr>
        <w:tc>
          <w:tcPr>
            <w:tcW w:w="760" w:type="dxa"/>
            <w:vAlign w:val="bottom"/>
          </w:tcPr>
          <w:p>
            <w:pPr>
              <w:spacing w:after="0"/>
              <w:rPr>
                <w:sz w:val="18"/>
                <w:szCs w:val="18"/>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w w:val="95"/>
              </w:rPr>
              <w:t>Randstad Professionals U.S., LP d/b/a “Tatum” dated October</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16"/>
        </w:trPr>
        <w:tc>
          <w:tcPr>
            <w:tcW w:w="760" w:type="dxa"/>
            <w:vAlign w:val="bottom"/>
          </w:tcPr>
          <w:p>
            <w:pPr>
              <w:spacing w:after="0"/>
              <w:rPr>
                <w:sz w:val="18"/>
                <w:szCs w:val="18"/>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w w:val="93"/>
              </w:rPr>
              <w:t>15, 2015 in connection with the retention of David P. Eichler as</w:t>
            </w:r>
          </w:p>
        </w:tc>
        <w:tc>
          <w:tcPr>
            <w:tcW w:w="7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740" w:type="dxa"/>
            <w:vAlign w:val="bottom"/>
          </w:tcPr>
          <w:p>
            <w:pPr>
              <w:spacing w:after="0"/>
              <w:rPr>
                <w:sz w:val="18"/>
                <w:szCs w:val="18"/>
                <w:color w:val="auto"/>
              </w:rPr>
            </w:pP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Interim Chief Financial Officer</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10.14#</w:t>
            </w:r>
          </w:p>
        </w:tc>
        <w:tc>
          <w:tcPr>
            <w:tcW w:w="4980" w:type="dxa"/>
            <w:vAlign w:val="bottom"/>
          </w:tcPr>
          <w:p>
            <w:pPr>
              <w:ind w:left="260"/>
              <w:spacing w:after="0"/>
              <w:rPr>
                <w:sz w:val="20"/>
                <w:szCs w:val="20"/>
                <w:color w:val="auto"/>
              </w:rPr>
            </w:pPr>
            <w:r>
              <w:rPr>
                <w:rFonts w:ascii="Arial" w:cs="Arial" w:eastAsia="Arial" w:hAnsi="Arial"/>
                <w:sz w:val="18"/>
                <w:szCs w:val="18"/>
                <w:color w:val="auto"/>
                <w:w w:val="97"/>
              </w:rPr>
              <w:t>Offer Letter between the Marvell and Matthew J. Murphy and</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6/20/2016</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w w:val="94"/>
              </w:rPr>
              <w:t>form of Severance Agreement attached thereto as Appendix B</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10.15#</w:t>
            </w:r>
          </w:p>
        </w:tc>
        <w:tc>
          <w:tcPr>
            <w:tcW w:w="4980" w:type="dxa"/>
            <w:vAlign w:val="bottom"/>
          </w:tcPr>
          <w:p>
            <w:pPr>
              <w:ind w:left="260"/>
              <w:spacing w:after="0"/>
              <w:rPr>
                <w:sz w:val="20"/>
                <w:szCs w:val="20"/>
                <w:color w:val="auto"/>
              </w:rPr>
            </w:pPr>
            <w:r>
              <w:rPr>
                <w:rFonts w:ascii="Arial" w:cs="Arial" w:eastAsia="Arial" w:hAnsi="Arial"/>
                <w:sz w:val="18"/>
                <w:szCs w:val="18"/>
                <w:color w:val="auto"/>
                <w:w w:val="96"/>
              </w:rPr>
              <w:t>Marvell Technology Group Ltd. Change in Control Severance</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10.2</w:t>
            </w:r>
          </w:p>
        </w:tc>
        <w:tc>
          <w:tcPr>
            <w:tcW w:w="1740" w:type="dxa"/>
            <w:vAlign w:val="bottom"/>
          </w:tcPr>
          <w:p>
            <w:pPr>
              <w:ind w:left="700"/>
              <w:spacing w:after="0"/>
              <w:rPr>
                <w:sz w:val="20"/>
                <w:szCs w:val="20"/>
                <w:color w:val="auto"/>
              </w:rPr>
            </w:pPr>
            <w:r>
              <w:rPr>
                <w:rFonts w:ascii="Arial" w:cs="Arial" w:eastAsia="Arial" w:hAnsi="Arial"/>
                <w:sz w:val="18"/>
                <w:szCs w:val="18"/>
                <w:color w:val="auto"/>
              </w:rPr>
              <w:t>6/20/2016</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w w:val="96"/>
              </w:rPr>
              <w:t>Plan and Summary Plan Description, effective June 15, 2016</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10.16#</w:t>
            </w:r>
          </w:p>
        </w:tc>
        <w:tc>
          <w:tcPr>
            <w:tcW w:w="4980" w:type="dxa"/>
            <w:vAlign w:val="bottom"/>
          </w:tcPr>
          <w:p>
            <w:pPr>
              <w:ind w:left="260"/>
              <w:spacing w:after="0"/>
              <w:rPr>
                <w:sz w:val="20"/>
                <w:szCs w:val="20"/>
                <w:color w:val="auto"/>
              </w:rPr>
            </w:pPr>
            <w:r>
              <w:rPr>
                <w:rFonts w:ascii="Arial" w:cs="Arial" w:eastAsia="Arial" w:hAnsi="Arial"/>
                <w:sz w:val="18"/>
                <w:szCs w:val="18"/>
                <w:color w:val="auto"/>
              </w:rPr>
              <w:t>Offer Letter between Marvell and Mitchell Gaynor</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10.3</w:t>
            </w:r>
          </w:p>
        </w:tc>
        <w:tc>
          <w:tcPr>
            <w:tcW w:w="1740" w:type="dxa"/>
            <w:vAlign w:val="bottom"/>
          </w:tcPr>
          <w:p>
            <w:pPr>
              <w:ind w:left="700"/>
              <w:spacing w:after="0"/>
              <w:rPr>
                <w:sz w:val="20"/>
                <w:szCs w:val="20"/>
                <w:color w:val="auto"/>
              </w:rPr>
            </w:pPr>
            <w:r>
              <w:rPr>
                <w:rFonts w:ascii="Arial" w:cs="Arial" w:eastAsia="Arial" w:hAnsi="Arial"/>
                <w:sz w:val="18"/>
                <w:szCs w:val="18"/>
                <w:color w:val="auto"/>
              </w:rPr>
              <w:t>9/8/2016</w:t>
            </w: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10.17#</w:t>
            </w:r>
          </w:p>
        </w:tc>
        <w:tc>
          <w:tcPr>
            <w:tcW w:w="4980" w:type="dxa"/>
            <w:vAlign w:val="bottom"/>
          </w:tcPr>
          <w:p>
            <w:pPr>
              <w:ind w:left="260"/>
              <w:spacing w:after="0"/>
              <w:rPr>
                <w:sz w:val="20"/>
                <w:szCs w:val="20"/>
                <w:color w:val="auto"/>
              </w:rPr>
            </w:pPr>
            <w:r>
              <w:rPr>
                <w:rFonts w:ascii="Arial" w:cs="Arial" w:eastAsia="Arial" w:hAnsi="Arial"/>
                <w:sz w:val="18"/>
                <w:szCs w:val="18"/>
                <w:color w:val="auto"/>
              </w:rPr>
              <w:t>Offer Letter between Marvell and Christopher Koopmans</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10.4</w:t>
            </w:r>
          </w:p>
        </w:tc>
        <w:tc>
          <w:tcPr>
            <w:tcW w:w="1740" w:type="dxa"/>
            <w:vAlign w:val="bottom"/>
          </w:tcPr>
          <w:p>
            <w:pPr>
              <w:ind w:left="700"/>
              <w:spacing w:after="0"/>
              <w:rPr>
                <w:sz w:val="20"/>
                <w:szCs w:val="20"/>
                <w:color w:val="auto"/>
              </w:rPr>
            </w:pPr>
            <w:r>
              <w:rPr>
                <w:rFonts w:ascii="Arial" w:cs="Arial" w:eastAsia="Arial" w:hAnsi="Arial"/>
                <w:sz w:val="18"/>
                <w:szCs w:val="18"/>
                <w:color w:val="auto"/>
              </w:rPr>
              <w:t>9/8/2016</w:t>
            </w: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10.18#</w:t>
            </w:r>
          </w:p>
        </w:tc>
        <w:tc>
          <w:tcPr>
            <w:tcW w:w="4980" w:type="dxa"/>
            <w:vAlign w:val="bottom"/>
          </w:tcPr>
          <w:p>
            <w:pPr>
              <w:ind w:left="260"/>
              <w:spacing w:after="0"/>
              <w:rPr>
                <w:sz w:val="20"/>
                <w:szCs w:val="20"/>
                <w:color w:val="auto"/>
              </w:rPr>
            </w:pPr>
            <w:r>
              <w:rPr>
                <w:rFonts w:ascii="Arial" w:cs="Arial" w:eastAsia="Arial" w:hAnsi="Arial"/>
                <w:sz w:val="18"/>
                <w:szCs w:val="18"/>
                <w:color w:val="auto"/>
              </w:rPr>
              <w:t>Offer Letter between Marvell and Andrew Micallef</w:t>
            </w: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10.5</w:t>
            </w:r>
          </w:p>
        </w:tc>
        <w:tc>
          <w:tcPr>
            <w:tcW w:w="1740" w:type="dxa"/>
            <w:vAlign w:val="bottom"/>
          </w:tcPr>
          <w:p>
            <w:pPr>
              <w:ind w:left="700"/>
              <w:spacing w:after="0"/>
              <w:rPr>
                <w:sz w:val="20"/>
                <w:szCs w:val="20"/>
                <w:color w:val="auto"/>
              </w:rPr>
            </w:pPr>
            <w:r>
              <w:rPr>
                <w:rFonts w:ascii="Arial" w:cs="Arial" w:eastAsia="Arial" w:hAnsi="Arial"/>
                <w:sz w:val="18"/>
                <w:szCs w:val="18"/>
                <w:color w:val="auto"/>
              </w:rPr>
              <w:t>9/8/2016</w:t>
            </w: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10.19</w:t>
            </w:r>
          </w:p>
        </w:tc>
        <w:tc>
          <w:tcPr>
            <w:tcW w:w="4980" w:type="dxa"/>
            <w:vAlign w:val="bottom"/>
          </w:tcPr>
          <w:p>
            <w:pPr>
              <w:ind w:left="260"/>
              <w:spacing w:after="0"/>
              <w:rPr>
                <w:sz w:val="20"/>
                <w:szCs w:val="20"/>
                <w:color w:val="auto"/>
              </w:rPr>
            </w:pPr>
            <w:r>
              <w:rPr>
                <w:rFonts w:ascii="Arial" w:cs="Arial" w:eastAsia="Arial" w:hAnsi="Arial"/>
                <w:sz w:val="18"/>
                <w:szCs w:val="18"/>
                <w:color w:val="auto"/>
              </w:rPr>
              <w:t>Starboard Agreement</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4/27/2016</w:t>
            </w: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10.20#</w:t>
            </w:r>
          </w:p>
        </w:tc>
        <w:tc>
          <w:tcPr>
            <w:tcW w:w="4980" w:type="dxa"/>
            <w:vAlign w:val="bottom"/>
          </w:tcPr>
          <w:p>
            <w:pPr>
              <w:ind w:left="260"/>
              <w:spacing w:after="0"/>
              <w:rPr>
                <w:sz w:val="20"/>
                <w:szCs w:val="20"/>
                <w:color w:val="auto"/>
              </w:rPr>
            </w:pPr>
            <w:r>
              <w:rPr>
                <w:rFonts w:ascii="Arial" w:cs="Arial" w:eastAsia="Arial" w:hAnsi="Arial"/>
                <w:sz w:val="18"/>
                <w:szCs w:val="18"/>
                <w:color w:val="auto"/>
              </w:rPr>
              <w:t>Offer Letter between the Company and Jean Hu</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8/23/2016</w:t>
            </w: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10.21#</w:t>
            </w:r>
          </w:p>
        </w:tc>
        <w:tc>
          <w:tcPr>
            <w:tcW w:w="4980" w:type="dxa"/>
            <w:vAlign w:val="bottom"/>
          </w:tcPr>
          <w:p>
            <w:pPr>
              <w:ind w:left="260"/>
              <w:spacing w:after="0"/>
              <w:rPr>
                <w:sz w:val="20"/>
                <w:szCs w:val="20"/>
                <w:color w:val="auto"/>
              </w:rPr>
            </w:pPr>
            <w:r>
              <w:rPr>
                <w:rFonts w:ascii="Arial" w:cs="Arial" w:eastAsia="Arial" w:hAnsi="Arial"/>
                <w:sz w:val="18"/>
                <w:szCs w:val="18"/>
                <w:color w:val="auto"/>
              </w:rPr>
              <w:t>Offer Letter between the Company and David Caron</w:t>
            </w: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340" w:type="dxa"/>
            <w:vAlign w:val="bottom"/>
          </w:tcPr>
          <w:p>
            <w:pPr>
              <w:jc w:val="right"/>
              <w:ind w:right="590"/>
              <w:spacing w:after="0"/>
              <w:rPr>
                <w:sz w:val="20"/>
                <w:szCs w:val="20"/>
                <w:color w:val="auto"/>
              </w:rPr>
            </w:pPr>
            <w:r>
              <w:rPr>
                <w:rFonts w:ascii="Arial" w:cs="Arial" w:eastAsia="Arial" w:hAnsi="Arial"/>
                <w:sz w:val="18"/>
                <w:szCs w:val="18"/>
                <w:color w:val="auto"/>
              </w:rPr>
              <w:t>10.1</w:t>
            </w:r>
          </w:p>
        </w:tc>
        <w:tc>
          <w:tcPr>
            <w:tcW w:w="1740" w:type="dxa"/>
            <w:vAlign w:val="bottom"/>
          </w:tcPr>
          <w:p>
            <w:pPr>
              <w:ind w:left="700"/>
              <w:spacing w:after="0"/>
              <w:rPr>
                <w:sz w:val="20"/>
                <w:szCs w:val="20"/>
                <w:color w:val="auto"/>
              </w:rPr>
            </w:pPr>
            <w:r>
              <w:rPr>
                <w:rFonts w:ascii="Arial" w:cs="Arial" w:eastAsia="Arial" w:hAnsi="Arial"/>
                <w:sz w:val="18"/>
                <w:szCs w:val="18"/>
                <w:color w:val="auto"/>
              </w:rPr>
              <w:t>10/3/2016</w:t>
            </w: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10.22#</w:t>
            </w:r>
          </w:p>
        </w:tc>
        <w:tc>
          <w:tcPr>
            <w:tcW w:w="4980" w:type="dxa"/>
            <w:vAlign w:val="bottom"/>
          </w:tcPr>
          <w:p>
            <w:pPr>
              <w:ind w:left="260"/>
              <w:spacing w:after="0"/>
              <w:rPr>
                <w:sz w:val="20"/>
                <w:szCs w:val="20"/>
                <w:color w:val="auto"/>
              </w:rPr>
            </w:pPr>
            <w:r>
              <w:rPr>
                <w:rFonts w:ascii="Arial" w:cs="Arial" w:eastAsia="Arial" w:hAnsi="Arial"/>
                <w:sz w:val="18"/>
                <w:szCs w:val="18"/>
                <w:color w:val="auto"/>
              </w:rPr>
              <w:t>Offer Letter between the Company and Thomas Lagatta</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10.23#</w:t>
            </w:r>
          </w:p>
        </w:tc>
        <w:tc>
          <w:tcPr>
            <w:tcW w:w="4980" w:type="dxa"/>
            <w:vAlign w:val="bottom"/>
          </w:tcPr>
          <w:p>
            <w:pPr>
              <w:ind w:left="260"/>
              <w:spacing w:after="0"/>
              <w:rPr>
                <w:sz w:val="20"/>
                <w:szCs w:val="20"/>
                <w:color w:val="auto"/>
              </w:rPr>
            </w:pPr>
            <w:r>
              <w:rPr>
                <w:rFonts w:ascii="Arial" w:cs="Arial" w:eastAsia="Arial" w:hAnsi="Arial"/>
                <w:sz w:val="18"/>
                <w:szCs w:val="18"/>
                <w:color w:val="auto"/>
              </w:rPr>
              <w:t>Severance Agreement between the Company and Mitchell</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Gaynor</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513"/>
        </w:trPr>
        <w:tc>
          <w:tcPr>
            <w:tcW w:w="760" w:type="dxa"/>
            <w:vAlign w:val="bottom"/>
          </w:tcPr>
          <w:p>
            <w:pPr>
              <w:spacing w:after="0"/>
              <w:rPr>
                <w:sz w:val="20"/>
                <w:szCs w:val="20"/>
                <w:color w:val="auto"/>
              </w:rPr>
            </w:pPr>
            <w:r>
              <w:rPr>
                <w:rFonts w:ascii="Arial" w:cs="Arial" w:eastAsia="Arial" w:hAnsi="Arial"/>
                <w:sz w:val="18"/>
                <w:szCs w:val="18"/>
                <w:color w:val="auto"/>
              </w:rPr>
              <w:t>21.1</w:t>
            </w:r>
          </w:p>
        </w:tc>
        <w:tc>
          <w:tcPr>
            <w:tcW w:w="4980" w:type="dxa"/>
            <w:vAlign w:val="bottom"/>
          </w:tcPr>
          <w:p>
            <w:pPr>
              <w:ind w:left="260"/>
              <w:spacing w:after="0"/>
              <w:rPr>
                <w:sz w:val="20"/>
                <w:szCs w:val="20"/>
                <w:color w:val="auto"/>
              </w:rPr>
            </w:pPr>
            <w:r>
              <w:rPr>
                <w:rFonts w:ascii="Arial" w:cs="Arial" w:eastAsia="Arial" w:hAnsi="Arial"/>
                <w:sz w:val="18"/>
                <w:szCs w:val="18"/>
                <w:color w:val="auto"/>
              </w:rPr>
              <w:t>Subsidiaries of Registrant</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23.1</w:t>
            </w:r>
          </w:p>
        </w:tc>
        <w:tc>
          <w:tcPr>
            <w:tcW w:w="4980" w:type="dxa"/>
            <w:vAlign w:val="bottom"/>
          </w:tcPr>
          <w:p>
            <w:pPr>
              <w:ind w:left="260"/>
              <w:spacing w:after="0"/>
              <w:rPr>
                <w:sz w:val="20"/>
                <w:szCs w:val="20"/>
                <w:color w:val="auto"/>
              </w:rPr>
            </w:pPr>
            <w:r>
              <w:rPr>
                <w:rFonts w:ascii="Arial" w:cs="Arial" w:eastAsia="Arial" w:hAnsi="Arial"/>
                <w:sz w:val="18"/>
                <w:szCs w:val="18"/>
                <w:color w:val="auto"/>
                <w:w w:val="97"/>
              </w:rPr>
              <w:t>Consent of Independent Registered Public Accounting Firm -</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Deloitte &amp; Touche LLP</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23.2</w:t>
            </w:r>
          </w:p>
        </w:tc>
        <w:tc>
          <w:tcPr>
            <w:tcW w:w="4980" w:type="dxa"/>
            <w:vAlign w:val="bottom"/>
          </w:tcPr>
          <w:p>
            <w:pPr>
              <w:ind w:left="260"/>
              <w:spacing w:after="0"/>
              <w:rPr>
                <w:sz w:val="20"/>
                <w:szCs w:val="20"/>
                <w:color w:val="auto"/>
              </w:rPr>
            </w:pPr>
            <w:r>
              <w:rPr>
                <w:rFonts w:ascii="Arial" w:cs="Arial" w:eastAsia="Arial" w:hAnsi="Arial"/>
                <w:sz w:val="18"/>
                <w:szCs w:val="18"/>
                <w:color w:val="auto"/>
                <w:w w:val="97"/>
              </w:rPr>
              <w:t>Consent of Independent Registered Public Accounting Firm -</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PricewaterhouseCoopers LLP</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24.1</w:t>
            </w:r>
          </w:p>
        </w:tc>
        <w:tc>
          <w:tcPr>
            <w:tcW w:w="4980" w:type="dxa"/>
            <w:vAlign w:val="bottom"/>
          </w:tcPr>
          <w:p>
            <w:pPr>
              <w:ind w:left="260"/>
              <w:spacing w:after="0"/>
              <w:rPr>
                <w:sz w:val="20"/>
                <w:szCs w:val="20"/>
                <w:color w:val="auto"/>
              </w:rPr>
            </w:pPr>
            <w:r>
              <w:rPr>
                <w:rFonts w:ascii="Arial" w:cs="Arial" w:eastAsia="Arial" w:hAnsi="Arial"/>
                <w:sz w:val="18"/>
                <w:szCs w:val="18"/>
                <w:color w:val="auto"/>
              </w:rPr>
              <w:t>Power of Attorney (contained in the signature page to this</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Annual Report)</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499"/>
        </w:trPr>
        <w:tc>
          <w:tcPr>
            <w:tcW w:w="760" w:type="dxa"/>
            <w:vAlign w:val="bottom"/>
          </w:tcPr>
          <w:p>
            <w:pPr>
              <w:spacing w:after="0"/>
              <w:rPr>
                <w:sz w:val="20"/>
                <w:szCs w:val="20"/>
                <w:color w:val="auto"/>
              </w:rPr>
            </w:pPr>
            <w:r>
              <w:rPr>
                <w:rFonts w:ascii="Arial" w:cs="Arial" w:eastAsia="Arial" w:hAnsi="Arial"/>
                <w:sz w:val="18"/>
                <w:szCs w:val="18"/>
                <w:color w:val="auto"/>
              </w:rPr>
              <w:t>31.1</w:t>
            </w:r>
          </w:p>
        </w:tc>
        <w:tc>
          <w:tcPr>
            <w:tcW w:w="4980" w:type="dxa"/>
            <w:vAlign w:val="bottom"/>
          </w:tcPr>
          <w:p>
            <w:pPr>
              <w:ind w:left="260"/>
              <w:spacing w:after="0"/>
              <w:rPr>
                <w:sz w:val="20"/>
                <w:szCs w:val="20"/>
                <w:color w:val="auto"/>
              </w:rPr>
            </w:pPr>
            <w:r>
              <w:rPr>
                <w:rFonts w:ascii="Arial" w:cs="Arial" w:eastAsia="Arial" w:hAnsi="Arial"/>
                <w:sz w:val="18"/>
                <w:szCs w:val="18"/>
                <w:color w:val="auto"/>
              </w:rPr>
              <w:t>Rule 13a-14(a)/15d-14(a) Certification of the Principal</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ind w:left="700"/>
              <w:spacing w:after="0"/>
              <w:rPr>
                <w:sz w:val="20"/>
                <w:szCs w:val="20"/>
                <w:color w:val="auto"/>
              </w:rPr>
            </w:pPr>
            <w:r>
              <w:rPr>
                <w:rFonts w:ascii="Arial" w:cs="Arial" w:eastAsia="Arial" w:hAnsi="Arial"/>
                <w:sz w:val="18"/>
                <w:szCs w:val="18"/>
                <w:color w:val="auto"/>
                <w:w w:val="91"/>
              </w:rPr>
              <w:t>Filed herewith</w:t>
            </w:r>
          </w:p>
        </w:tc>
      </w:tr>
      <w:tr>
        <w:trPr>
          <w:trHeight w:val="230"/>
        </w:trPr>
        <w:tc>
          <w:tcPr>
            <w:tcW w:w="760" w:type="dxa"/>
            <w:vAlign w:val="bottom"/>
          </w:tcPr>
          <w:p>
            <w:pPr>
              <w:spacing w:after="0"/>
              <w:rPr>
                <w:sz w:val="20"/>
                <w:szCs w:val="20"/>
                <w:color w:val="auto"/>
              </w:rPr>
            </w:pPr>
          </w:p>
        </w:tc>
        <w:tc>
          <w:tcPr>
            <w:tcW w:w="4980" w:type="dxa"/>
            <w:vAlign w:val="bottom"/>
          </w:tcPr>
          <w:p>
            <w:pPr>
              <w:ind w:left="260"/>
              <w:spacing w:after="0"/>
              <w:rPr>
                <w:sz w:val="20"/>
                <w:szCs w:val="20"/>
                <w:color w:val="auto"/>
              </w:rPr>
            </w:pPr>
            <w:r>
              <w:rPr>
                <w:rFonts w:ascii="Arial" w:cs="Arial" w:eastAsia="Arial" w:hAnsi="Arial"/>
                <w:sz w:val="18"/>
                <w:szCs w:val="18"/>
                <w:color w:val="auto"/>
              </w:rPr>
              <w:t>Executive Officer</w:t>
            </w:r>
          </w:p>
        </w:tc>
        <w:tc>
          <w:tcPr>
            <w:tcW w:w="7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740" w:type="dxa"/>
            <w:vAlign w:val="bottom"/>
          </w:tcPr>
          <w:p>
            <w:pPr>
              <w:spacing w:after="0"/>
              <w:rPr>
                <w:sz w:val="20"/>
                <w:szCs w:val="20"/>
                <w:color w:val="auto"/>
              </w:rPr>
            </w:pPr>
          </w:p>
        </w:tc>
      </w:tr>
      <w:tr>
        <w:trPr>
          <w:trHeight w:val="729"/>
        </w:trPr>
        <w:tc>
          <w:tcPr>
            <w:tcW w:w="760" w:type="dxa"/>
            <w:vAlign w:val="bottom"/>
          </w:tcPr>
          <w:p>
            <w:pPr>
              <w:spacing w:after="0"/>
              <w:rPr>
                <w:sz w:val="24"/>
                <w:szCs w:val="24"/>
                <w:color w:val="auto"/>
              </w:rPr>
            </w:pPr>
          </w:p>
        </w:tc>
        <w:tc>
          <w:tcPr>
            <w:tcW w:w="4980" w:type="dxa"/>
            <w:vAlign w:val="bottom"/>
          </w:tcPr>
          <w:p>
            <w:pPr>
              <w:ind w:left="4640"/>
              <w:spacing w:after="0"/>
              <w:rPr>
                <w:sz w:val="20"/>
                <w:szCs w:val="20"/>
                <w:color w:val="auto"/>
              </w:rPr>
            </w:pPr>
            <w:r>
              <w:rPr>
                <w:rFonts w:ascii="Arial" w:cs="Arial" w:eastAsia="Arial" w:hAnsi="Arial"/>
                <w:sz w:val="18"/>
                <w:szCs w:val="18"/>
                <w:color w:val="auto"/>
              </w:rPr>
              <w:t>106</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740" w:type="dxa"/>
            <w:vAlign w:val="bottom"/>
          </w:tcPr>
          <w:p>
            <w:pPr>
              <w:spacing w:after="0"/>
              <w:rPr>
                <w:sz w:val="24"/>
                <w:szCs w:val="24"/>
                <w:color w:val="auto"/>
              </w:rPr>
            </w:pPr>
          </w:p>
        </w:tc>
      </w:tr>
    </w:tbl>
    <w:p>
      <w:pPr>
        <w:sectPr>
          <w:pgSz w:w="11900" w:h="16838" w:orient="portrait"/>
          <w:cols w:equalWidth="0" w:num="1">
            <w:col w:w="10940"/>
          </w:cols>
          <w:pgMar w:left="420" w:top="962" w:right="539" w:bottom="1440" w:gutter="0" w:footer="0" w:header="0"/>
        </w:sectPr>
      </w:pPr>
    </w:p>
    <w:bookmarkStart w:id="109" w:name="page110"/>
    <w:bookmarkEnd w:id="109"/>
    <w:p>
      <w:pPr>
        <w:spacing w:after="0" w:line="1" w:lineRule="exact"/>
        <w:rPr>
          <w:sz w:val="20"/>
          <w:szCs w:val="20"/>
          <w:color w:val="auto"/>
        </w:rPr>
      </w:pPr>
    </w:p>
    <w:tbl>
      <w:tblPr>
        <w:tblLayout w:type="fixed"/>
        <w:tblInd w:w="32" w:type="dxa"/>
        <w:tblCellMar>
          <w:top w:w="0" w:type="dxa"/>
          <w:left w:w="0" w:type="dxa"/>
          <w:bottom w:w="0" w:type="dxa"/>
          <w:right w:w="0" w:type="dxa"/>
        </w:tblCellMar>
      </w:tblPr>
      <w:tr>
        <w:trPr>
          <w:trHeight w:val="216"/>
        </w:trPr>
        <w:tc>
          <w:tcPr>
            <w:tcW w:w="920" w:type="dxa"/>
            <w:vAlign w:val="bottom"/>
          </w:tcPr>
          <w:p>
            <w:pPr>
              <w:ind w:left="140"/>
              <w:spacing w:after="0"/>
              <w:rPr>
                <w:sz w:val="20"/>
                <w:szCs w:val="20"/>
                <w:color w:val="auto"/>
              </w:rPr>
            </w:pPr>
            <w:r>
              <w:rPr>
                <w:rFonts w:ascii="Arial" w:cs="Arial" w:eastAsia="Arial" w:hAnsi="Arial"/>
                <w:sz w:val="18"/>
                <w:szCs w:val="18"/>
                <w:color w:val="auto"/>
              </w:rPr>
              <w:t>31.2</w:t>
            </w:r>
          </w:p>
        </w:tc>
        <w:tc>
          <w:tcPr>
            <w:tcW w:w="6940" w:type="dxa"/>
            <w:vAlign w:val="bottom"/>
          </w:tcPr>
          <w:p>
            <w:pPr>
              <w:ind w:left="240"/>
              <w:spacing w:after="0"/>
              <w:rPr>
                <w:sz w:val="20"/>
                <w:szCs w:val="20"/>
                <w:color w:val="auto"/>
              </w:rPr>
            </w:pPr>
            <w:r>
              <w:rPr>
                <w:rFonts w:ascii="Arial" w:cs="Arial" w:eastAsia="Arial" w:hAnsi="Arial"/>
                <w:sz w:val="18"/>
                <w:szCs w:val="18"/>
                <w:color w:val="auto"/>
              </w:rPr>
              <w:t>Rule 13a-14(a)/15d-14(a) Certification of the Principal</w:t>
            </w:r>
          </w:p>
        </w:tc>
        <w:tc>
          <w:tcPr>
            <w:tcW w:w="3220" w:type="dxa"/>
            <w:vAlign w:val="bottom"/>
          </w:tcPr>
          <w:p>
            <w:pPr>
              <w:ind w:left="2180"/>
              <w:spacing w:after="0"/>
              <w:rPr>
                <w:sz w:val="20"/>
                <w:szCs w:val="20"/>
                <w:color w:val="auto"/>
              </w:rPr>
            </w:pPr>
            <w:r>
              <w:rPr>
                <w:rFonts w:ascii="Arial" w:cs="Arial" w:eastAsia="Arial" w:hAnsi="Arial"/>
                <w:sz w:val="18"/>
                <w:szCs w:val="18"/>
                <w:color w:val="auto"/>
                <w:w w:val="91"/>
              </w:rPr>
              <w:t>Filed herewith</w:t>
            </w:r>
          </w:p>
        </w:tc>
      </w:tr>
      <w:tr>
        <w:trPr>
          <w:trHeight w:val="230"/>
        </w:trPr>
        <w:tc>
          <w:tcPr>
            <w:tcW w:w="920" w:type="dxa"/>
            <w:vAlign w:val="bottom"/>
          </w:tcPr>
          <w:p>
            <w:pPr>
              <w:spacing w:after="0"/>
              <w:rPr>
                <w:sz w:val="20"/>
                <w:szCs w:val="20"/>
                <w:color w:val="auto"/>
              </w:rPr>
            </w:pPr>
          </w:p>
        </w:tc>
        <w:tc>
          <w:tcPr>
            <w:tcW w:w="6940" w:type="dxa"/>
            <w:vAlign w:val="bottom"/>
          </w:tcPr>
          <w:p>
            <w:pPr>
              <w:ind w:left="240"/>
              <w:spacing w:after="0"/>
              <w:rPr>
                <w:sz w:val="20"/>
                <w:szCs w:val="20"/>
                <w:color w:val="auto"/>
              </w:rPr>
            </w:pPr>
            <w:r>
              <w:rPr>
                <w:rFonts w:ascii="Arial" w:cs="Arial" w:eastAsia="Arial" w:hAnsi="Arial"/>
                <w:sz w:val="18"/>
                <w:szCs w:val="18"/>
                <w:color w:val="auto"/>
              </w:rPr>
              <w:t>Financial Officer</w:t>
            </w:r>
          </w:p>
        </w:tc>
        <w:tc>
          <w:tcPr>
            <w:tcW w:w="3220" w:type="dxa"/>
            <w:vAlign w:val="bottom"/>
          </w:tcPr>
          <w:p>
            <w:pPr>
              <w:spacing w:after="0"/>
              <w:rPr>
                <w:sz w:val="20"/>
                <w:szCs w:val="20"/>
                <w:color w:val="auto"/>
              </w:rPr>
            </w:pPr>
          </w:p>
        </w:tc>
      </w:tr>
      <w:tr>
        <w:trPr>
          <w:trHeight w:val="499"/>
        </w:trPr>
        <w:tc>
          <w:tcPr>
            <w:tcW w:w="920" w:type="dxa"/>
            <w:vAlign w:val="bottom"/>
          </w:tcPr>
          <w:p>
            <w:pPr>
              <w:ind w:left="140"/>
              <w:spacing w:after="0"/>
              <w:rPr>
                <w:sz w:val="20"/>
                <w:szCs w:val="20"/>
                <w:color w:val="auto"/>
              </w:rPr>
            </w:pPr>
            <w:r>
              <w:rPr>
                <w:rFonts w:ascii="Arial" w:cs="Arial" w:eastAsia="Arial" w:hAnsi="Arial"/>
                <w:sz w:val="18"/>
                <w:szCs w:val="18"/>
                <w:color w:val="auto"/>
              </w:rPr>
              <w:t>32.1*</w:t>
            </w:r>
          </w:p>
        </w:tc>
        <w:tc>
          <w:tcPr>
            <w:tcW w:w="6940" w:type="dxa"/>
            <w:vAlign w:val="bottom"/>
          </w:tcPr>
          <w:p>
            <w:pPr>
              <w:ind w:left="240"/>
              <w:spacing w:after="0"/>
              <w:rPr>
                <w:sz w:val="20"/>
                <w:szCs w:val="20"/>
                <w:color w:val="auto"/>
              </w:rPr>
            </w:pPr>
            <w:r>
              <w:rPr>
                <w:rFonts w:ascii="Arial" w:cs="Arial" w:eastAsia="Arial" w:hAnsi="Arial"/>
                <w:sz w:val="18"/>
                <w:szCs w:val="18"/>
                <w:color w:val="auto"/>
              </w:rPr>
              <w:t>Certification Pursuant to 18 U.S.C. Section 1350, as Adopted</w:t>
            </w:r>
          </w:p>
        </w:tc>
        <w:tc>
          <w:tcPr>
            <w:tcW w:w="3220" w:type="dxa"/>
            <w:vAlign w:val="bottom"/>
          </w:tcPr>
          <w:p>
            <w:pPr>
              <w:ind w:left="2180"/>
              <w:spacing w:after="0"/>
              <w:rPr>
                <w:sz w:val="20"/>
                <w:szCs w:val="20"/>
                <w:color w:val="auto"/>
              </w:rPr>
            </w:pPr>
            <w:r>
              <w:rPr>
                <w:rFonts w:ascii="Arial" w:cs="Arial" w:eastAsia="Arial" w:hAnsi="Arial"/>
                <w:sz w:val="18"/>
                <w:szCs w:val="18"/>
                <w:color w:val="auto"/>
                <w:w w:val="91"/>
              </w:rPr>
              <w:t>Filed herewith</w:t>
            </w:r>
          </w:p>
        </w:tc>
      </w:tr>
      <w:tr>
        <w:trPr>
          <w:trHeight w:val="216"/>
        </w:trPr>
        <w:tc>
          <w:tcPr>
            <w:tcW w:w="920" w:type="dxa"/>
            <w:vAlign w:val="bottom"/>
          </w:tcPr>
          <w:p>
            <w:pPr>
              <w:spacing w:after="0"/>
              <w:rPr>
                <w:sz w:val="18"/>
                <w:szCs w:val="18"/>
                <w:color w:val="auto"/>
              </w:rPr>
            </w:pPr>
          </w:p>
        </w:tc>
        <w:tc>
          <w:tcPr>
            <w:tcW w:w="6940" w:type="dxa"/>
            <w:vAlign w:val="bottom"/>
          </w:tcPr>
          <w:p>
            <w:pPr>
              <w:ind w:left="240"/>
              <w:spacing w:after="0"/>
              <w:rPr>
                <w:sz w:val="20"/>
                <w:szCs w:val="20"/>
                <w:color w:val="auto"/>
              </w:rPr>
            </w:pPr>
            <w:r>
              <w:rPr>
                <w:rFonts w:ascii="Arial" w:cs="Arial" w:eastAsia="Arial" w:hAnsi="Arial"/>
                <w:sz w:val="18"/>
                <w:szCs w:val="18"/>
                <w:color w:val="auto"/>
              </w:rPr>
              <w:t>Pursuant to Section 906 of the Sarbanes-Oxley Act of 2002 for</w:t>
            </w:r>
          </w:p>
        </w:tc>
        <w:tc>
          <w:tcPr>
            <w:tcW w:w="3220" w:type="dxa"/>
            <w:vAlign w:val="bottom"/>
          </w:tcPr>
          <w:p>
            <w:pPr>
              <w:spacing w:after="0"/>
              <w:rPr>
                <w:sz w:val="18"/>
                <w:szCs w:val="18"/>
                <w:color w:val="auto"/>
              </w:rPr>
            </w:pPr>
          </w:p>
        </w:tc>
      </w:tr>
      <w:tr>
        <w:trPr>
          <w:trHeight w:val="230"/>
        </w:trPr>
        <w:tc>
          <w:tcPr>
            <w:tcW w:w="920" w:type="dxa"/>
            <w:vAlign w:val="bottom"/>
          </w:tcPr>
          <w:p>
            <w:pPr>
              <w:spacing w:after="0"/>
              <w:rPr>
                <w:sz w:val="20"/>
                <w:szCs w:val="20"/>
                <w:color w:val="auto"/>
              </w:rPr>
            </w:pPr>
          </w:p>
        </w:tc>
        <w:tc>
          <w:tcPr>
            <w:tcW w:w="6940" w:type="dxa"/>
            <w:vAlign w:val="bottom"/>
          </w:tcPr>
          <w:p>
            <w:pPr>
              <w:ind w:left="240"/>
              <w:spacing w:after="0"/>
              <w:rPr>
                <w:sz w:val="20"/>
                <w:szCs w:val="20"/>
                <w:color w:val="auto"/>
              </w:rPr>
            </w:pPr>
            <w:r>
              <w:rPr>
                <w:rFonts w:ascii="Arial" w:cs="Arial" w:eastAsia="Arial" w:hAnsi="Arial"/>
                <w:sz w:val="18"/>
                <w:szCs w:val="18"/>
                <w:color w:val="auto"/>
              </w:rPr>
              <w:t>Principal Executive Officer</w:t>
            </w:r>
          </w:p>
        </w:tc>
        <w:tc>
          <w:tcPr>
            <w:tcW w:w="3220" w:type="dxa"/>
            <w:vAlign w:val="bottom"/>
          </w:tcPr>
          <w:p>
            <w:pPr>
              <w:spacing w:after="0"/>
              <w:rPr>
                <w:sz w:val="20"/>
                <w:szCs w:val="20"/>
                <w:color w:val="auto"/>
              </w:rPr>
            </w:pPr>
          </w:p>
        </w:tc>
      </w:tr>
      <w:tr>
        <w:trPr>
          <w:trHeight w:val="499"/>
        </w:trPr>
        <w:tc>
          <w:tcPr>
            <w:tcW w:w="920" w:type="dxa"/>
            <w:vAlign w:val="bottom"/>
          </w:tcPr>
          <w:p>
            <w:pPr>
              <w:ind w:left="140"/>
              <w:spacing w:after="0"/>
              <w:rPr>
                <w:sz w:val="20"/>
                <w:szCs w:val="20"/>
                <w:color w:val="auto"/>
              </w:rPr>
            </w:pPr>
            <w:r>
              <w:rPr>
                <w:rFonts w:ascii="Arial" w:cs="Arial" w:eastAsia="Arial" w:hAnsi="Arial"/>
                <w:sz w:val="18"/>
                <w:szCs w:val="18"/>
                <w:color w:val="auto"/>
              </w:rPr>
              <w:t>32.2*</w:t>
            </w:r>
          </w:p>
        </w:tc>
        <w:tc>
          <w:tcPr>
            <w:tcW w:w="6940" w:type="dxa"/>
            <w:vAlign w:val="bottom"/>
          </w:tcPr>
          <w:p>
            <w:pPr>
              <w:ind w:left="240"/>
              <w:spacing w:after="0"/>
              <w:rPr>
                <w:sz w:val="20"/>
                <w:szCs w:val="20"/>
                <w:color w:val="auto"/>
              </w:rPr>
            </w:pPr>
            <w:r>
              <w:rPr>
                <w:rFonts w:ascii="Arial" w:cs="Arial" w:eastAsia="Arial" w:hAnsi="Arial"/>
                <w:sz w:val="18"/>
                <w:szCs w:val="18"/>
                <w:color w:val="auto"/>
              </w:rPr>
              <w:t>Certification Pursuant to 18 U.S.C. Section 1350, as Adopted</w:t>
            </w:r>
          </w:p>
        </w:tc>
        <w:tc>
          <w:tcPr>
            <w:tcW w:w="3220" w:type="dxa"/>
            <w:vAlign w:val="bottom"/>
          </w:tcPr>
          <w:p>
            <w:pPr>
              <w:ind w:left="2180"/>
              <w:spacing w:after="0"/>
              <w:rPr>
                <w:sz w:val="20"/>
                <w:szCs w:val="20"/>
                <w:color w:val="auto"/>
              </w:rPr>
            </w:pPr>
            <w:r>
              <w:rPr>
                <w:rFonts w:ascii="Arial" w:cs="Arial" w:eastAsia="Arial" w:hAnsi="Arial"/>
                <w:sz w:val="18"/>
                <w:szCs w:val="18"/>
                <w:color w:val="auto"/>
                <w:w w:val="91"/>
              </w:rPr>
              <w:t>Filed herewith</w:t>
            </w:r>
          </w:p>
        </w:tc>
      </w:tr>
      <w:tr>
        <w:trPr>
          <w:trHeight w:val="216"/>
        </w:trPr>
        <w:tc>
          <w:tcPr>
            <w:tcW w:w="920" w:type="dxa"/>
            <w:vAlign w:val="bottom"/>
          </w:tcPr>
          <w:p>
            <w:pPr>
              <w:spacing w:after="0"/>
              <w:rPr>
                <w:sz w:val="18"/>
                <w:szCs w:val="18"/>
                <w:color w:val="auto"/>
              </w:rPr>
            </w:pPr>
          </w:p>
        </w:tc>
        <w:tc>
          <w:tcPr>
            <w:tcW w:w="6940" w:type="dxa"/>
            <w:vAlign w:val="bottom"/>
          </w:tcPr>
          <w:p>
            <w:pPr>
              <w:ind w:left="240"/>
              <w:spacing w:after="0"/>
              <w:rPr>
                <w:sz w:val="20"/>
                <w:szCs w:val="20"/>
                <w:color w:val="auto"/>
              </w:rPr>
            </w:pPr>
            <w:r>
              <w:rPr>
                <w:rFonts w:ascii="Arial" w:cs="Arial" w:eastAsia="Arial" w:hAnsi="Arial"/>
                <w:sz w:val="18"/>
                <w:szCs w:val="18"/>
                <w:color w:val="auto"/>
              </w:rPr>
              <w:t>Pursuant to Section 906 of the Sarbanes-Oxley Act of 2002 for</w:t>
            </w:r>
          </w:p>
        </w:tc>
        <w:tc>
          <w:tcPr>
            <w:tcW w:w="3220" w:type="dxa"/>
            <w:vAlign w:val="bottom"/>
          </w:tcPr>
          <w:p>
            <w:pPr>
              <w:spacing w:after="0"/>
              <w:rPr>
                <w:sz w:val="18"/>
                <w:szCs w:val="18"/>
                <w:color w:val="auto"/>
              </w:rPr>
            </w:pPr>
          </w:p>
        </w:tc>
      </w:tr>
      <w:tr>
        <w:trPr>
          <w:trHeight w:val="230"/>
        </w:trPr>
        <w:tc>
          <w:tcPr>
            <w:tcW w:w="920" w:type="dxa"/>
            <w:vAlign w:val="bottom"/>
          </w:tcPr>
          <w:p>
            <w:pPr>
              <w:spacing w:after="0"/>
              <w:rPr>
                <w:sz w:val="20"/>
                <w:szCs w:val="20"/>
                <w:color w:val="auto"/>
              </w:rPr>
            </w:pPr>
          </w:p>
        </w:tc>
        <w:tc>
          <w:tcPr>
            <w:tcW w:w="6940" w:type="dxa"/>
            <w:vAlign w:val="bottom"/>
          </w:tcPr>
          <w:p>
            <w:pPr>
              <w:ind w:left="240"/>
              <w:spacing w:after="0"/>
              <w:rPr>
                <w:sz w:val="20"/>
                <w:szCs w:val="20"/>
                <w:color w:val="auto"/>
              </w:rPr>
            </w:pPr>
            <w:r>
              <w:rPr>
                <w:rFonts w:ascii="Arial" w:cs="Arial" w:eastAsia="Arial" w:hAnsi="Arial"/>
                <w:sz w:val="18"/>
                <w:szCs w:val="18"/>
                <w:color w:val="auto"/>
              </w:rPr>
              <w:t>Principal Financial Officer</w:t>
            </w:r>
          </w:p>
        </w:tc>
        <w:tc>
          <w:tcPr>
            <w:tcW w:w="3220" w:type="dxa"/>
            <w:vAlign w:val="bottom"/>
          </w:tcPr>
          <w:p>
            <w:pPr>
              <w:spacing w:after="0"/>
              <w:rPr>
                <w:sz w:val="20"/>
                <w:szCs w:val="20"/>
                <w:color w:val="auto"/>
              </w:rPr>
            </w:pPr>
          </w:p>
        </w:tc>
      </w:tr>
      <w:tr>
        <w:trPr>
          <w:trHeight w:val="756"/>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6940" w:type="dxa"/>
            <w:vAlign w:val="bottom"/>
          </w:tcPr>
          <w:p>
            <w:pPr>
              <w:ind w:left="240"/>
              <w:spacing w:after="0"/>
              <w:rPr>
                <w:sz w:val="20"/>
                <w:szCs w:val="20"/>
                <w:color w:val="auto"/>
              </w:rPr>
            </w:pPr>
            <w:r>
              <w:rPr>
                <w:rFonts w:ascii="Arial" w:cs="Arial" w:eastAsia="Arial" w:hAnsi="Arial"/>
                <w:sz w:val="18"/>
                <w:szCs w:val="18"/>
                <w:color w:val="auto"/>
              </w:rPr>
              <w:t>XBRL Instance Document</w:t>
            </w:r>
          </w:p>
        </w:tc>
        <w:tc>
          <w:tcPr>
            <w:tcW w:w="3220" w:type="dxa"/>
            <w:vAlign w:val="bottom"/>
          </w:tcPr>
          <w:p>
            <w:pPr>
              <w:spacing w:after="0"/>
              <w:rPr>
                <w:sz w:val="24"/>
                <w:szCs w:val="24"/>
                <w:color w:val="auto"/>
              </w:rPr>
            </w:pPr>
          </w:p>
        </w:tc>
      </w:tr>
      <w:tr>
        <w:trPr>
          <w:trHeight w:val="513"/>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694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c>
          <w:tcPr>
            <w:tcW w:w="3220" w:type="dxa"/>
            <w:vAlign w:val="bottom"/>
          </w:tcPr>
          <w:p>
            <w:pPr>
              <w:spacing w:after="0"/>
              <w:rPr>
                <w:sz w:val="24"/>
                <w:szCs w:val="24"/>
                <w:color w:val="auto"/>
              </w:rPr>
            </w:pPr>
          </w:p>
        </w:tc>
      </w:tr>
      <w:tr>
        <w:trPr>
          <w:trHeight w:val="513"/>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694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c>
          <w:tcPr>
            <w:tcW w:w="3220" w:type="dxa"/>
            <w:vAlign w:val="bottom"/>
          </w:tcPr>
          <w:p>
            <w:pPr>
              <w:spacing w:after="0"/>
              <w:rPr>
                <w:sz w:val="24"/>
                <w:szCs w:val="24"/>
                <w:color w:val="auto"/>
              </w:rPr>
            </w:pPr>
          </w:p>
        </w:tc>
      </w:tr>
      <w:tr>
        <w:trPr>
          <w:trHeight w:val="513"/>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6940" w:type="dxa"/>
            <w:vAlign w:val="bottom"/>
          </w:tcPr>
          <w:p>
            <w:pPr>
              <w:ind w:left="240"/>
              <w:spacing w:after="0"/>
              <w:rPr>
                <w:sz w:val="20"/>
                <w:szCs w:val="20"/>
                <w:color w:val="auto"/>
              </w:rPr>
            </w:pPr>
            <w:r>
              <w:rPr>
                <w:rFonts w:ascii="Arial" w:cs="Arial" w:eastAsia="Arial" w:hAnsi="Arial"/>
                <w:sz w:val="18"/>
                <w:szCs w:val="18"/>
                <w:color w:val="auto"/>
              </w:rPr>
              <w:t>XBRL Taxonomy Extension Definition</w:t>
            </w:r>
          </w:p>
        </w:tc>
        <w:tc>
          <w:tcPr>
            <w:tcW w:w="3220" w:type="dxa"/>
            <w:vAlign w:val="bottom"/>
          </w:tcPr>
          <w:p>
            <w:pPr>
              <w:spacing w:after="0"/>
              <w:rPr>
                <w:sz w:val="24"/>
                <w:szCs w:val="24"/>
                <w:color w:val="auto"/>
              </w:rPr>
            </w:pPr>
          </w:p>
        </w:tc>
      </w:tr>
      <w:tr>
        <w:trPr>
          <w:trHeight w:val="513"/>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694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c>
          <w:tcPr>
            <w:tcW w:w="3220" w:type="dxa"/>
            <w:vAlign w:val="bottom"/>
          </w:tcPr>
          <w:p>
            <w:pPr>
              <w:spacing w:after="0"/>
              <w:rPr>
                <w:sz w:val="24"/>
                <w:szCs w:val="24"/>
                <w:color w:val="auto"/>
              </w:rPr>
            </w:pPr>
          </w:p>
        </w:tc>
      </w:tr>
      <w:tr>
        <w:trPr>
          <w:trHeight w:val="513"/>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6940" w:type="dxa"/>
            <w:vAlign w:val="bottom"/>
          </w:tcPr>
          <w:p>
            <w:pPr>
              <w:ind w:left="240"/>
              <w:spacing w:after="0"/>
              <w:rPr>
                <w:sz w:val="20"/>
                <w:szCs w:val="20"/>
                <w:color w:val="auto"/>
              </w:rPr>
            </w:pPr>
            <w:r>
              <w:rPr>
                <w:rFonts w:ascii="Arial" w:cs="Arial" w:eastAsia="Arial" w:hAnsi="Arial"/>
                <w:sz w:val="18"/>
                <w:szCs w:val="18"/>
                <w:color w:val="auto"/>
              </w:rPr>
              <w:t>XBRL Taxonomy Presentation Linkbase Document</w:t>
            </w:r>
          </w:p>
        </w:tc>
        <w:tc>
          <w:tcPr>
            <w:tcW w:w="3220" w:type="dxa"/>
            <w:vAlign w:val="bottom"/>
          </w:tcPr>
          <w:p>
            <w:pPr>
              <w:spacing w:after="0"/>
              <w:rPr>
                <w:sz w:val="24"/>
                <w:szCs w:val="24"/>
                <w:color w:val="auto"/>
              </w:rPr>
            </w:pPr>
          </w:p>
        </w:tc>
      </w:tr>
    </w:tbl>
    <w:p>
      <w:pPr>
        <w:spacing w:after="0" w:line="229" w:lineRule="exact"/>
        <w:rPr>
          <w:sz w:val="20"/>
          <w:szCs w:val="20"/>
          <w:color w:val="auto"/>
        </w:rPr>
      </w:pPr>
    </w:p>
    <w:p>
      <w:pPr>
        <w:ind w:left="652" w:hanging="652"/>
        <w:spacing w:after="0"/>
        <w:tabs>
          <w:tab w:leader="none" w:pos="652" w:val="left"/>
        </w:tabs>
        <w:numPr>
          <w:ilvl w:val="0"/>
          <w:numId w:val="43"/>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23" w:lineRule="exact"/>
        <w:rPr>
          <w:sz w:val="20"/>
          <w:szCs w:val="20"/>
          <w:color w:val="auto"/>
        </w:rPr>
      </w:pPr>
    </w:p>
    <w:p>
      <w:pPr>
        <w:ind w:left="652" w:hanging="652"/>
        <w:spacing w:after="0" w:line="271" w:lineRule="auto"/>
        <w:tabs>
          <w:tab w:leader="none" w:pos="652" w:val="left"/>
        </w:tabs>
        <w:numPr>
          <w:ilvl w:val="0"/>
          <w:numId w:val="44"/>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6"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352"/>
          </w:cols>
          <w:pgMar w:left="248" w:top="962" w:right="299" w:bottom="1440" w:gutter="0" w:footer="0" w:header="0"/>
        </w:sectPr>
      </w:pPr>
    </w:p>
    <w:bookmarkStart w:id="110" w:name="page111"/>
    <w:bookmarkEnd w:id="110"/>
    <w:p>
      <w:pPr>
        <w:jc w:val="right"/>
        <w:spacing w:after="0"/>
        <w:rPr>
          <w:sz w:val="20"/>
          <w:szCs w:val="20"/>
          <w:color w:val="auto"/>
        </w:rPr>
      </w:pPr>
      <w:r>
        <w:rPr>
          <w:rFonts w:ascii="Arial" w:cs="Arial" w:eastAsia="Arial" w:hAnsi="Arial"/>
          <w:sz w:val="18"/>
          <w:szCs w:val="18"/>
          <w:b w:val="1"/>
          <w:bCs w:val="1"/>
          <w:color w:val="auto"/>
        </w:rPr>
        <w:t>Exhibit 10.22</w:t>
      </w:r>
    </w:p>
    <w:p>
      <w:pPr>
        <w:spacing w:after="0" w:line="27" w:lineRule="exact"/>
        <w:rPr>
          <w:sz w:val="20"/>
          <w:szCs w:val="20"/>
          <w:color w:val="auto"/>
        </w:rPr>
      </w:pPr>
    </w:p>
    <w:p>
      <w:pPr>
        <w:spacing w:after="0"/>
        <w:rPr>
          <w:sz w:val="20"/>
          <w:szCs w:val="20"/>
          <w:color w:val="auto"/>
        </w:rPr>
      </w:pPr>
      <w:r>
        <w:rPr>
          <w:rFonts w:ascii="Arial" w:cs="Arial" w:eastAsia="Arial" w:hAnsi="Arial"/>
          <w:sz w:val="22"/>
          <w:szCs w:val="22"/>
          <w:color w:val="auto"/>
        </w:rPr>
        <w:t>November 9, 2016</w:t>
      </w:r>
    </w:p>
    <w:p>
      <w:pPr>
        <w:spacing w:after="0" w:line="252" w:lineRule="exact"/>
        <w:rPr>
          <w:sz w:val="20"/>
          <w:szCs w:val="20"/>
          <w:color w:val="auto"/>
        </w:rPr>
      </w:pPr>
    </w:p>
    <w:p>
      <w:pPr>
        <w:spacing w:after="0"/>
        <w:rPr>
          <w:sz w:val="20"/>
          <w:szCs w:val="20"/>
          <w:color w:val="auto"/>
        </w:rPr>
      </w:pPr>
      <w:r>
        <w:rPr>
          <w:rFonts w:ascii="Arial" w:cs="Arial" w:eastAsia="Arial" w:hAnsi="Arial"/>
          <w:sz w:val="22"/>
          <w:szCs w:val="22"/>
          <w:color w:val="auto"/>
        </w:rPr>
        <w:t>Tom Lagatta</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Address</w:t>
      </w: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Arial" w:cs="Arial" w:eastAsia="Arial" w:hAnsi="Arial"/>
          <w:sz w:val="22"/>
          <w:szCs w:val="22"/>
          <w:color w:val="auto"/>
        </w:rPr>
        <w:t>Dear Tom,</w:t>
      </w:r>
    </w:p>
    <w:p>
      <w:pPr>
        <w:spacing w:after="0" w:line="260" w:lineRule="exact"/>
        <w:rPr>
          <w:sz w:val="20"/>
          <w:szCs w:val="20"/>
          <w:color w:val="auto"/>
        </w:rPr>
      </w:pPr>
    </w:p>
    <w:p>
      <w:pPr>
        <w:ind w:right="40"/>
        <w:spacing w:after="0" w:line="263" w:lineRule="auto"/>
        <w:rPr>
          <w:sz w:val="20"/>
          <w:szCs w:val="20"/>
          <w:color w:val="auto"/>
        </w:rPr>
      </w:pPr>
      <w:r>
        <w:rPr>
          <w:rFonts w:ascii="Arial" w:cs="Arial" w:eastAsia="Arial" w:hAnsi="Arial"/>
          <w:sz w:val="22"/>
          <w:szCs w:val="22"/>
          <w:color w:val="auto"/>
        </w:rPr>
        <w:t>It is our pleasure to offer you the position of Chief Sales and Marketing Officer of Marvell Semiconductor, Inc. (the “Company"), a subsidiary of Marvell Technology Group Ltd. (“Marvell”), reporting to the Chief Executive Officer.</w:t>
      </w:r>
    </w:p>
    <w:p>
      <w:pPr>
        <w:spacing w:after="0" w:line="209"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Base Salary</w:t>
      </w:r>
    </w:p>
    <w:p>
      <w:pPr>
        <w:spacing w:after="0" w:line="118" w:lineRule="exact"/>
        <w:rPr>
          <w:sz w:val="20"/>
          <w:szCs w:val="20"/>
          <w:color w:val="auto"/>
        </w:rPr>
      </w:pPr>
    </w:p>
    <w:p>
      <w:pPr>
        <w:spacing w:after="0"/>
        <w:rPr>
          <w:sz w:val="20"/>
          <w:szCs w:val="20"/>
          <w:color w:val="auto"/>
        </w:rPr>
      </w:pPr>
      <w:r>
        <w:rPr>
          <w:rFonts w:ascii="Arial" w:cs="Arial" w:eastAsia="Arial" w:hAnsi="Arial"/>
          <w:sz w:val="22"/>
          <w:szCs w:val="22"/>
          <w:color w:val="auto"/>
        </w:rPr>
        <w:t>Your salary will be $400,000.00 US Dollars (USD) per year.</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Annual Incentive Bonus</w:t>
      </w:r>
    </w:p>
    <w:p>
      <w:pPr>
        <w:spacing w:after="0" w:line="107" w:lineRule="exact"/>
        <w:rPr>
          <w:sz w:val="20"/>
          <w:szCs w:val="20"/>
          <w:color w:val="auto"/>
        </w:rPr>
      </w:pPr>
    </w:p>
    <w:p>
      <w:pPr>
        <w:spacing w:after="0" w:line="248" w:lineRule="auto"/>
        <w:rPr>
          <w:sz w:val="20"/>
          <w:szCs w:val="20"/>
          <w:color w:val="auto"/>
        </w:rPr>
      </w:pPr>
      <w:r>
        <w:rPr>
          <w:rFonts w:ascii="Arial" w:cs="Arial" w:eastAsia="Arial" w:hAnsi="Arial"/>
          <w:sz w:val="22"/>
          <w:szCs w:val="22"/>
          <w:color w:val="auto"/>
        </w:rPr>
        <w:t>You will be eligible to participate in the Company’s Annual Incentive Plan (“AIP”) with an annual target incentive bonus opportunity of 75% of your annual base salary. The Executive Compensation Committee (the “ECC”) in its sole discretion shall determine the performance objectives applicable to the bonus and the other terms of the AIP. The ECC shall determine the actual amount of bonus earned, if any, after the conclusion of each applicable fiscal year and may exercise negative discretion with respect thereto.</w:t>
      </w:r>
    </w:p>
    <w:p>
      <w:pPr>
        <w:spacing w:after="0" w:line="78"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Equity</w:t>
      </w:r>
    </w:p>
    <w:p>
      <w:pPr>
        <w:spacing w:after="0" w:line="118" w:lineRule="exact"/>
        <w:rPr>
          <w:sz w:val="20"/>
          <w:szCs w:val="20"/>
          <w:color w:val="auto"/>
        </w:rPr>
      </w:pPr>
    </w:p>
    <w:p>
      <w:pPr>
        <w:spacing w:after="0"/>
        <w:rPr>
          <w:sz w:val="20"/>
          <w:szCs w:val="20"/>
          <w:color w:val="auto"/>
        </w:rPr>
      </w:pPr>
      <w:r>
        <w:rPr>
          <w:rFonts w:ascii="Arial" w:cs="Arial" w:eastAsia="Arial" w:hAnsi="Arial"/>
          <w:sz w:val="22"/>
          <w:szCs w:val="22"/>
          <w:color w:val="auto"/>
        </w:rPr>
        <w:t>You will be recommended to ECC for the following grants:</w:t>
      </w:r>
    </w:p>
    <w:p>
      <w:pPr>
        <w:spacing w:after="0" w:line="254" w:lineRule="exact"/>
        <w:rPr>
          <w:sz w:val="20"/>
          <w:szCs w:val="20"/>
          <w:color w:val="auto"/>
        </w:rPr>
      </w:pPr>
    </w:p>
    <w:p>
      <w:pPr>
        <w:ind w:left="660" w:right="40" w:hanging="328"/>
        <w:spacing w:after="0" w:line="269" w:lineRule="auto"/>
        <w:tabs>
          <w:tab w:leader="none" w:pos="660" w:val="left"/>
        </w:tabs>
        <w:numPr>
          <w:ilvl w:val="0"/>
          <w:numId w:val="45"/>
        </w:numPr>
        <w:rPr>
          <w:rFonts w:ascii="Arial" w:cs="Arial" w:eastAsia="Arial" w:hAnsi="Arial"/>
          <w:sz w:val="22"/>
          <w:szCs w:val="22"/>
          <w:color w:val="auto"/>
        </w:rPr>
      </w:pPr>
      <w:r>
        <w:rPr>
          <w:rFonts w:ascii="Arial" w:cs="Arial" w:eastAsia="Arial" w:hAnsi="Arial"/>
          <w:sz w:val="22"/>
          <w:szCs w:val="22"/>
          <w:b w:val="1"/>
          <w:bCs w:val="1"/>
          <w:u w:val="single" w:color="auto"/>
          <w:color w:val="auto"/>
        </w:rPr>
        <w:t>Time Based RSU Award (TBRSU)</w:t>
      </w:r>
      <w:r>
        <w:rPr>
          <w:rFonts w:ascii="Arial" w:cs="Arial" w:eastAsia="Arial" w:hAnsi="Arial"/>
          <w:sz w:val="22"/>
          <w:szCs w:val="22"/>
          <w:b w:val="1"/>
          <w:bCs w:val="1"/>
          <w:color w:val="auto"/>
        </w:rPr>
        <w:t xml:space="preserve"> </w:t>
      </w:r>
      <w:r>
        <w:rPr>
          <w:rFonts w:ascii="Arial" w:cs="Arial" w:eastAsia="Arial" w:hAnsi="Arial"/>
          <w:sz w:val="22"/>
          <w:szCs w:val="22"/>
          <w:color w:val="auto"/>
        </w:rPr>
        <w:t>- a restricted stock unit award of common shares of Marvell equal to: $240,000 / Share</w:t>
      </w:r>
      <w:r>
        <w:rPr>
          <w:rFonts w:ascii="Arial" w:cs="Arial" w:eastAsia="Arial" w:hAnsi="Arial"/>
          <w:sz w:val="22"/>
          <w:szCs w:val="22"/>
          <w:b w:val="1"/>
          <w:bCs w:val="1"/>
          <w:color w:val="auto"/>
        </w:rPr>
        <w:t xml:space="preserve"> </w:t>
      </w:r>
      <w:r>
        <w:rPr>
          <w:rFonts w:ascii="Arial" w:cs="Arial" w:eastAsia="Arial" w:hAnsi="Arial"/>
          <w:sz w:val="22"/>
          <w:szCs w:val="22"/>
          <w:color w:val="auto"/>
        </w:rPr>
        <w:t>Price (as defined below)</w:t>
      </w:r>
    </w:p>
    <w:p>
      <w:pPr>
        <w:spacing w:after="0" w:line="208" w:lineRule="exact"/>
        <w:rPr>
          <w:rFonts w:ascii="Arial" w:cs="Arial" w:eastAsia="Arial" w:hAnsi="Arial"/>
          <w:sz w:val="22"/>
          <w:szCs w:val="22"/>
          <w:color w:val="auto"/>
        </w:rPr>
      </w:pPr>
    </w:p>
    <w:p>
      <w:pPr>
        <w:ind w:left="660" w:right="260"/>
        <w:spacing w:after="0" w:line="271" w:lineRule="auto"/>
        <w:rPr>
          <w:rFonts w:ascii="Arial" w:cs="Arial" w:eastAsia="Arial" w:hAnsi="Arial"/>
          <w:sz w:val="22"/>
          <w:szCs w:val="22"/>
          <w:color w:val="auto"/>
        </w:rPr>
      </w:pPr>
      <w:r>
        <w:rPr>
          <w:rFonts w:ascii="Arial" w:cs="Arial" w:eastAsia="Arial" w:hAnsi="Arial"/>
          <w:sz w:val="21"/>
          <w:szCs w:val="21"/>
          <w:color w:val="auto"/>
        </w:rPr>
        <w:t>The TBRSU shall vest over three (3) years at the rate of 33% on the first anniversary of the vesting start date, 33% on the second anniversary of the vesting start date and 34% on the third anniversary of the vesting start date; provided that you continue to serve as a service provider through each applicable vesting date.</w:t>
      </w:r>
    </w:p>
    <w:p>
      <w:pPr>
        <w:spacing w:after="0" w:line="202" w:lineRule="exact"/>
        <w:rPr>
          <w:rFonts w:ascii="Arial" w:cs="Arial" w:eastAsia="Arial" w:hAnsi="Arial"/>
          <w:sz w:val="22"/>
          <w:szCs w:val="22"/>
          <w:color w:val="auto"/>
        </w:rPr>
      </w:pPr>
    </w:p>
    <w:p>
      <w:pPr>
        <w:ind w:left="660" w:right="560" w:hanging="328"/>
        <w:spacing w:after="0" w:line="269" w:lineRule="auto"/>
        <w:tabs>
          <w:tab w:leader="none" w:pos="660" w:val="left"/>
        </w:tabs>
        <w:numPr>
          <w:ilvl w:val="0"/>
          <w:numId w:val="45"/>
        </w:numPr>
        <w:rPr>
          <w:rFonts w:ascii="Arial" w:cs="Arial" w:eastAsia="Arial" w:hAnsi="Arial"/>
          <w:sz w:val="22"/>
          <w:szCs w:val="22"/>
          <w:color w:val="auto"/>
        </w:rPr>
      </w:pPr>
      <w:r>
        <w:rPr>
          <w:rFonts w:ascii="Arial" w:cs="Arial" w:eastAsia="Arial" w:hAnsi="Arial"/>
          <w:sz w:val="22"/>
          <w:szCs w:val="22"/>
          <w:b w:val="1"/>
          <w:bCs w:val="1"/>
          <w:u w:val="single" w:color="auto"/>
          <w:color w:val="auto"/>
        </w:rPr>
        <w:t>Performance Based RSU Award based on Total Shareholder Return (TSRRSU)</w:t>
      </w:r>
      <w:r>
        <w:rPr>
          <w:rFonts w:ascii="Arial" w:cs="Arial" w:eastAsia="Arial" w:hAnsi="Arial"/>
          <w:sz w:val="22"/>
          <w:szCs w:val="22"/>
          <w:b w:val="1"/>
          <w:bCs w:val="1"/>
          <w:color w:val="auto"/>
        </w:rPr>
        <w:t xml:space="preserve"> </w:t>
      </w:r>
      <w:r>
        <w:rPr>
          <w:rFonts w:ascii="Arial" w:cs="Arial" w:eastAsia="Arial" w:hAnsi="Arial"/>
          <w:sz w:val="22"/>
          <w:szCs w:val="22"/>
          <w:color w:val="auto"/>
        </w:rPr>
        <w:t>– a restricted stock unit award of</w:t>
      </w:r>
      <w:r>
        <w:rPr>
          <w:rFonts w:ascii="Arial" w:cs="Arial" w:eastAsia="Arial" w:hAnsi="Arial"/>
          <w:sz w:val="22"/>
          <w:szCs w:val="22"/>
          <w:b w:val="1"/>
          <w:bCs w:val="1"/>
          <w:color w:val="auto"/>
        </w:rPr>
        <w:t xml:space="preserve"> </w:t>
      </w:r>
      <w:r>
        <w:rPr>
          <w:rFonts w:ascii="Arial" w:cs="Arial" w:eastAsia="Arial" w:hAnsi="Arial"/>
          <w:sz w:val="22"/>
          <w:szCs w:val="22"/>
          <w:color w:val="auto"/>
        </w:rPr>
        <w:t>common shares of Marvell equal to: $180,000 / Share Price (as defined below)</w:t>
      </w:r>
    </w:p>
    <w:p>
      <w:pPr>
        <w:spacing w:after="0" w:line="208" w:lineRule="exact"/>
        <w:rPr>
          <w:rFonts w:ascii="Arial" w:cs="Arial" w:eastAsia="Arial" w:hAnsi="Arial"/>
          <w:sz w:val="22"/>
          <w:szCs w:val="22"/>
          <w:color w:val="auto"/>
        </w:rPr>
      </w:pPr>
    </w:p>
    <w:p>
      <w:pPr>
        <w:ind w:left="660" w:right="120"/>
        <w:spacing w:after="0" w:line="265" w:lineRule="auto"/>
        <w:rPr>
          <w:rFonts w:ascii="Arial" w:cs="Arial" w:eastAsia="Arial" w:hAnsi="Arial"/>
          <w:sz w:val="22"/>
          <w:szCs w:val="22"/>
          <w:color w:val="auto"/>
        </w:rPr>
      </w:pPr>
      <w:r>
        <w:rPr>
          <w:rFonts w:ascii="Arial" w:cs="Arial" w:eastAsia="Arial" w:hAnsi="Arial"/>
          <w:sz w:val="21"/>
          <w:szCs w:val="21"/>
          <w:color w:val="auto"/>
        </w:rPr>
        <w:t>The TSRRSU shall vest on the third anniversary of the vesting start date based on achievement of performance objectives relating to the relative total shareholder return of Marvell’s stock as compared to the total shareholder return of comparable companies of the Philadelphia Semiconductor Sector Index over the performance period measured from the First Current Date (as defined below) through the end of fiscal year 2019, provided</w:t>
      </w:r>
    </w:p>
    <w:p>
      <w:pPr>
        <w:sectPr>
          <w:pgSz w:w="11900" w:h="16838" w:orient="portrait"/>
          <w:cols w:equalWidth="0" w:num="1">
            <w:col w:w="11420"/>
          </w:cols>
          <w:pgMar w:left="240" w:top="364" w:right="239" w:bottom="1440" w:gutter="0" w:footer="0" w:header="0"/>
        </w:sectPr>
      </w:pPr>
    </w:p>
    <w:bookmarkStart w:id="111" w:name="page112"/>
    <w:bookmarkEnd w:id="111"/>
    <w:p>
      <w:pPr>
        <w:ind w:left="660" w:right="80"/>
        <w:spacing w:after="0" w:line="220" w:lineRule="auto"/>
        <w:rPr>
          <w:sz w:val="20"/>
          <w:szCs w:val="20"/>
          <w:color w:val="auto"/>
        </w:rPr>
      </w:pPr>
      <w:r>
        <w:rPr>
          <w:rFonts w:ascii="Arial" w:cs="Arial" w:eastAsia="Arial" w:hAnsi="Arial"/>
          <w:sz w:val="22"/>
          <w:szCs w:val="22"/>
          <w:color w:val="auto"/>
        </w:rPr>
        <w:t>that you continue to serve as a service provider through the third anniversary of the vesting start date. The specific performance objectives, comparable companies, payout formula (under which the number of shares that could vest under the TSRRSU can range from zero to 150% of the target number, with zero payout if Marvell’s TSR is below the 25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of comparable companies, 50% payout if TSR is at the 25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100% payout if TSR is at the 50</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and 150% payout if TSR is at or above the 75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with straight line interpolation of the payout percentages for TSR between the 25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and 75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percentiles) and other terms for the TSRRSU will be established by the ECC at the time of grant.</w:t>
      </w:r>
    </w:p>
    <w:p>
      <w:pPr>
        <w:spacing w:after="0" w:line="234" w:lineRule="exact"/>
        <w:rPr>
          <w:sz w:val="20"/>
          <w:szCs w:val="20"/>
          <w:color w:val="auto"/>
        </w:rPr>
      </w:pPr>
    </w:p>
    <w:p>
      <w:pPr>
        <w:ind w:left="660" w:right="120" w:hanging="328"/>
        <w:spacing w:after="0" w:line="269" w:lineRule="auto"/>
        <w:tabs>
          <w:tab w:leader="none" w:pos="660" w:val="left"/>
        </w:tabs>
        <w:numPr>
          <w:ilvl w:val="0"/>
          <w:numId w:val="46"/>
        </w:numPr>
        <w:rPr>
          <w:rFonts w:ascii="Arial" w:cs="Arial" w:eastAsia="Arial" w:hAnsi="Arial"/>
          <w:sz w:val="22"/>
          <w:szCs w:val="22"/>
          <w:color w:val="auto"/>
        </w:rPr>
      </w:pPr>
      <w:r>
        <w:rPr>
          <w:rFonts w:ascii="Arial" w:cs="Arial" w:eastAsia="Arial" w:hAnsi="Arial"/>
          <w:sz w:val="22"/>
          <w:szCs w:val="22"/>
          <w:b w:val="1"/>
          <w:bCs w:val="1"/>
          <w:u w:val="single" w:color="auto"/>
          <w:color w:val="auto"/>
        </w:rPr>
        <w:t>Performance Based RSU Award based on Operating Performance Metrics (OPMRSU)</w:t>
      </w:r>
      <w:r>
        <w:rPr>
          <w:rFonts w:ascii="Arial" w:cs="Arial" w:eastAsia="Arial" w:hAnsi="Arial"/>
          <w:sz w:val="22"/>
          <w:szCs w:val="22"/>
          <w:b w:val="1"/>
          <w:bCs w:val="1"/>
          <w:color w:val="auto"/>
        </w:rPr>
        <w:t xml:space="preserve"> </w:t>
      </w:r>
      <w:r>
        <w:rPr>
          <w:rFonts w:ascii="Arial" w:cs="Arial" w:eastAsia="Arial" w:hAnsi="Arial"/>
          <w:sz w:val="22"/>
          <w:szCs w:val="22"/>
          <w:color w:val="auto"/>
        </w:rPr>
        <w:t>– a restricted stock unit award</w:t>
      </w:r>
      <w:r>
        <w:rPr>
          <w:rFonts w:ascii="Arial" w:cs="Arial" w:eastAsia="Arial" w:hAnsi="Arial"/>
          <w:sz w:val="22"/>
          <w:szCs w:val="22"/>
          <w:b w:val="1"/>
          <w:bCs w:val="1"/>
          <w:color w:val="auto"/>
        </w:rPr>
        <w:t xml:space="preserve"> </w:t>
      </w:r>
      <w:r>
        <w:rPr>
          <w:rFonts w:ascii="Arial" w:cs="Arial" w:eastAsia="Arial" w:hAnsi="Arial"/>
          <w:sz w:val="22"/>
          <w:szCs w:val="22"/>
          <w:color w:val="auto"/>
        </w:rPr>
        <w:t>of common shares of Marvell equal to: $180,000 / Share Price (as defined below)</w:t>
      </w:r>
    </w:p>
    <w:p>
      <w:pPr>
        <w:spacing w:after="0" w:line="208" w:lineRule="exact"/>
        <w:rPr>
          <w:rFonts w:ascii="Arial" w:cs="Arial" w:eastAsia="Arial" w:hAnsi="Arial"/>
          <w:sz w:val="22"/>
          <w:szCs w:val="22"/>
          <w:color w:val="auto"/>
        </w:rPr>
      </w:pPr>
    </w:p>
    <w:p>
      <w:pPr>
        <w:ind w:left="660"/>
        <w:spacing w:after="0" w:line="292" w:lineRule="auto"/>
        <w:rPr>
          <w:rFonts w:ascii="Arial" w:cs="Arial" w:eastAsia="Arial" w:hAnsi="Arial"/>
          <w:sz w:val="22"/>
          <w:szCs w:val="22"/>
          <w:color w:val="auto"/>
        </w:rPr>
      </w:pPr>
      <w:r>
        <w:rPr>
          <w:rFonts w:ascii="Arial" w:cs="Arial" w:eastAsia="Arial" w:hAnsi="Arial"/>
          <w:sz w:val="19"/>
          <w:szCs w:val="19"/>
          <w:color w:val="auto"/>
        </w:rPr>
        <w:t>The OPMRSU shall vest based on the achievement of operating performance metrics for fiscal years 2017 and 2018. The performance period, metrics and relative weightings (as well as the maximum number of shares that could vest under the OPMRSU if performance exceeds the target achievement level) will be established by the ECC at the time of grant and will be measured as of the end of fiscal year 2018. As the incoming CFO, it is expected that you will participate in the process of setting the operating performance objectives. Any shares, if any, deemed to have been earned upon the successful achievement of such metrics will vest 100% on the third anniversary of the vesting start date, provided that you continue to serve as a service provider through such vesting date.</w:t>
      </w:r>
    </w:p>
    <w:p>
      <w:pPr>
        <w:spacing w:after="0" w:line="186" w:lineRule="exact"/>
        <w:rPr>
          <w:rFonts w:ascii="Arial" w:cs="Arial" w:eastAsia="Arial" w:hAnsi="Arial"/>
          <w:sz w:val="22"/>
          <w:szCs w:val="22"/>
          <w:color w:val="auto"/>
        </w:rPr>
      </w:pPr>
    </w:p>
    <w:p>
      <w:pPr>
        <w:ind w:left="660" w:right="800" w:hanging="328"/>
        <w:spacing w:after="0" w:line="269" w:lineRule="auto"/>
        <w:tabs>
          <w:tab w:leader="none" w:pos="660" w:val="left"/>
        </w:tabs>
        <w:numPr>
          <w:ilvl w:val="0"/>
          <w:numId w:val="46"/>
        </w:numPr>
        <w:rPr>
          <w:rFonts w:ascii="Arial" w:cs="Arial" w:eastAsia="Arial" w:hAnsi="Arial"/>
          <w:sz w:val="22"/>
          <w:szCs w:val="22"/>
          <w:color w:val="auto"/>
        </w:rPr>
      </w:pPr>
      <w:r>
        <w:rPr>
          <w:rFonts w:ascii="Arial" w:cs="Arial" w:eastAsia="Arial" w:hAnsi="Arial"/>
          <w:sz w:val="22"/>
          <w:szCs w:val="22"/>
          <w:b w:val="1"/>
          <w:bCs w:val="1"/>
          <w:u w:val="single" w:color="auto"/>
          <w:color w:val="auto"/>
        </w:rPr>
        <w:t>Sign-on Time Based RSU Award (SORSU)</w:t>
      </w:r>
      <w:r>
        <w:rPr>
          <w:rFonts w:ascii="Arial" w:cs="Arial" w:eastAsia="Arial" w:hAnsi="Arial"/>
          <w:sz w:val="22"/>
          <w:szCs w:val="22"/>
          <w:b w:val="1"/>
          <w:bCs w:val="1"/>
          <w:color w:val="auto"/>
        </w:rPr>
        <w:t xml:space="preserve"> </w:t>
      </w:r>
      <w:r>
        <w:rPr>
          <w:rFonts w:ascii="Arial" w:cs="Arial" w:eastAsia="Arial" w:hAnsi="Arial"/>
          <w:sz w:val="22"/>
          <w:szCs w:val="22"/>
          <w:color w:val="auto"/>
        </w:rPr>
        <w:t>- a restricted stock unit award of common shares of Marvell equal to:</w:t>
      </w:r>
      <w:r>
        <w:rPr>
          <w:rFonts w:ascii="Arial" w:cs="Arial" w:eastAsia="Arial" w:hAnsi="Arial"/>
          <w:sz w:val="22"/>
          <w:szCs w:val="22"/>
          <w:b w:val="1"/>
          <w:bCs w:val="1"/>
          <w:color w:val="auto"/>
        </w:rPr>
        <w:t xml:space="preserve"> </w:t>
      </w:r>
      <w:r>
        <w:rPr>
          <w:rFonts w:ascii="Arial" w:cs="Arial" w:eastAsia="Arial" w:hAnsi="Arial"/>
          <w:sz w:val="22"/>
          <w:szCs w:val="22"/>
          <w:color w:val="auto"/>
        </w:rPr>
        <w:t>$600,000 / Share Price (as defined below)</w:t>
      </w:r>
    </w:p>
    <w:p>
      <w:pPr>
        <w:spacing w:after="0" w:line="208" w:lineRule="exact"/>
        <w:rPr>
          <w:rFonts w:ascii="Arial" w:cs="Arial" w:eastAsia="Arial" w:hAnsi="Arial"/>
          <w:sz w:val="22"/>
          <w:szCs w:val="22"/>
          <w:color w:val="auto"/>
        </w:rPr>
      </w:pPr>
    </w:p>
    <w:p>
      <w:pPr>
        <w:ind w:left="660" w:right="260"/>
        <w:spacing w:after="0" w:line="271" w:lineRule="auto"/>
        <w:rPr>
          <w:rFonts w:ascii="Arial" w:cs="Arial" w:eastAsia="Arial" w:hAnsi="Arial"/>
          <w:sz w:val="22"/>
          <w:szCs w:val="22"/>
          <w:color w:val="auto"/>
        </w:rPr>
      </w:pPr>
      <w:r>
        <w:rPr>
          <w:rFonts w:ascii="Arial" w:cs="Arial" w:eastAsia="Arial" w:hAnsi="Arial"/>
          <w:sz w:val="21"/>
          <w:szCs w:val="21"/>
          <w:color w:val="auto"/>
        </w:rPr>
        <w:t>The SORSU shall vest over three (3) years at the rate of 33% on the first anniversary of the vesting start date, 33% on the second anniversary of the vesting start date and 34% on the third anniversary of the vesting start date; provided that you continue to serve as a service provider through each applicable vesting date.</w:t>
      </w:r>
    </w:p>
    <w:p>
      <w:pPr>
        <w:spacing w:after="0" w:line="200" w:lineRule="exact"/>
        <w:rPr>
          <w:sz w:val="20"/>
          <w:szCs w:val="20"/>
          <w:color w:val="auto"/>
        </w:rPr>
      </w:pPr>
    </w:p>
    <w:p>
      <w:pPr>
        <w:spacing w:after="0" w:line="265" w:lineRule="exact"/>
        <w:rPr>
          <w:sz w:val="20"/>
          <w:szCs w:val="20"/>
          <w:color w:val="auto"/>
        </w:rPr>
      </w:pPr>
    </w:p>
    <w:p>
      <w:pPr>
        <w:ind w:right="340"/>
        <w:spacing w:after="0" w:line="343" w:lineRule="auto"/>
        <w:rPr>
          <w:sz w:val="20"/>
          <w:szCs w:val="20"/>
          <w:color w:val="auto"/>
        </w:rPr>
      </w:pPr>
      <w:r>
        <w:rPr>
          <w:rFonts w:ascii="Arial" w:cs="Arial" w:eastAsia="Arial" w:hAnsi="Arial"/>
          <w:sz w:val="19"/>
          <w:szCs w:val="19"/>
          <w:color w:val="auto"/>
        </w:rPr>
        <w:t>For purposes of the equity awards described above, “Share Price” shall mean the closing price of the common shares of Marvell (NASDAQ: MRVL) on the date of grant. For purposes of the above awards, the vesting start date shall be the date of grant.</w:t>
      </w:r>
    </w:p>
    <w:p>
      <w:pPr>
        <w:spacing w:after="0" w:line="159" w:lineRule="exact"/>
        <w:rPr>
          <w:sz w:val="20"/>
          <w:szCs w:val="20"/>
          <w:color w:val="auto"/>
        </w:rPr>
      </w:pPr>
    </w:p>
    <w:p>
      <w:pPr>
        <w:jc w:val="both"/>
        <w:ind w:right="420"/>
        <w:spacing w:after="0" w:line="292" w:lineRule="auto"/>
        <w:rPr>
          <w:sz w:val="20"/>
          <w:szCs w:val="20"/>
          <w:color w:val="auto"/>
        </w:rPr>
      </w:pPr>
      <w:r>
        <w:rPr>
          <w:rFonts w:ascii="Arial" w:cs="Arial" w:eastAsia="Arial" w:hAnsi="Arial"/>
          <w:sz w:val="22"/>
          <w:szCs w:val="22"/>
          <w:color w:val="auto"/>
        </w:rPr>
        <w:t>All Marvell equity awards are subject to final review and approval by the ECC and all applicable securities law restrictions. In addition, all of the proposed equity awards set forth herein will be subject to your return to us of completed, signed Stock Unit Agreements.</w:t>
      </w:r>
    </w:p>
    <w:p>
      <w:pPr>
        <w:spacing w:after="0" w:line="313"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Change-in-Control</w:t>
      </w:r>
    </w:p>
    <w:p>
      <w:pPr>
        <w:sectPr>
          <w:pgSz w:w="11900" w:h="16838" w:orient="portrait"/>
          <w:cols w:equalWidth="0" w:num="1">
            <w:col w:w="11420"/>
          </w:cols>
          <w:pgMar w:left="240" w:top="375" w:right="239" w:bottom="1440" w:gutter="0" w:footer="0" w:header="0"/>
        </w:sectPr>
      </w:pPr>
    </w:p>
    <w:bookmarkStart w:id="112" w:name="page113"/>
    <w:bookmarkEnd w:id="112"/>
    <w:p>
      <w:pPr>
        <w:ind w:right="40"/>
        <w:spacing w:after="0" w:line="287" w:lineRule="auto"/>
        <w:rPr>
          <w:sz w:val="20"/>
          <w:szCs w:val="20"/>
          <w:color w:val="auto"/>
        </w:rPr>
      </w:pPr>
      <w:r>
        <w:rPr>
          <w:rFonts w:ascii="Arial" w:cs="Arial" w:eastAsia="Arial" w:hAnsi="Arial"/>
          <w:sz w:val="21"/>
          <w:szCs w:val="21"/>
          <w:color w:val="auto"/>
        </w:rPr>
        <w:t>You will be eligible to participate in the Marvell Change in Control and Severance Plan (“CIC Plan”) at the “Tier 2” level, subject to the terms and conditions of the CIC Plan and the form of Tier 3 agreement attached hereto as Appendix A.</w:t>
      </w:r>
    </w:p>
    <w:p>
      <w:pPr>
        <w:spacing w:after="0" w:line="186"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Signing Bonus</w:t>
      </w:r>
    </w:p>
    <w:p>
      <w:pPr>
        <w:spacing w:after="0" w:line="131" w:lineRule="exact"/>
        <w:rPr>
          <w:sz w:val="20"/>
          <w:szCs w:val="20"/>
          <w:color w:val="auto"/>
        </w:rPr>
      </w:pPr>
    </w:p>
    <w:p>
      <w:pPr>
        <w:spacing w:after="0" w:line="338" w:lineRule="auto"/>
        <w:rPr>
          <w:sz w:val="20"/>
          <w:szCs w:val="20"/>
          <w:color w:val="auto"/>
        </w:rPr>
      </w:pPr>
      <w:r>
        <w:rPr>
          <w:rFonts w:ascii="Arial" w:cs="Arial" w:eastAsia="Arial" w:hAnsi="Arial"/>
          <w:sz w:val="19"/>
          <w:szCs w:val="19"/>
          <w:color w:val="auto"/>
        </w:rPr>
        <w:t>The Company will also provide you with a one-time cash bonus of $270,000 US Dollars (USD), subject to applicable withholding taxes, which will be paid half within 30 days of your commencement of employment and half on the anniversary of your commencement of employment. Cash bonus, though paid in advance, is earned over the first twenty-four (24) months of your employment, and is paid in consideration of your provision of services over the twenty-four month period. If you voluntarily terminate your employment with the Company within thirty six (36) months of your date of hire, you will be required to repay the Company a pro-rated amount of the bonus based on the number of days remaining in the thirty six month period.</w:t>
      </w:r>
    </w:p>
    <w:p>
      <w:pPr>
        <w:spacing w:after="0" w:line="282"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Other Terms</w:t>
      </w:r>
    </w:p>
    <w:p>
      <w:pPr>
        <w:spacing w:after="0" w:line="118" w:lineRule="exact"/>
        <w:rPr>
          <w:sz w:val="20"/>
          <w:szCs w:val="20"/>
          <w:color w:val="auto"/>
        </w:rPr>
      </w:pPr>
    </w:p>
    <w:p>
      <w:pPr>
        <w:spacing w:after="0" w:line="294" w:lineRule="auto"/>
        <w:rPr>
          <w:sz w:val="20"/>
          <w:szCs w:val="20"/>
          <w:color w:val="auto"/>
        </w:rPr>
      </w:pPr>
      <w:r>
        <w:rPr>
          <w:rFonts w:ascii="Arial" w:cs="Arial" w:eastAsia="Arial" w:hAnsi="Arial"/>
          <w:sz w:val="19"/>
          <w:szCs w:val="19"/>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ECC.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190" w:lineRule="exact"/>
        <w:rPr>
          <w:sz w:val="20"/>
          <w:szCs w:val="20"/>
          <w:color w:val="auto"/>
        </w:rPr>
      </w:pPr>
    </w:p>
    <w:p>
      <w:pPr>
        <w:ind w:right="80"/>
        <w:spacing w:after="0" w:line="253" w:lineRule="auto"/>
        <w:rPr>
          <w:sz w:val="20"/>
          <w:szCs w:val="20"/>
          <w:color w:val="auto"/>
        </w:rPr>
      </w:pPr>
      <w:r>
        <w:rPr>
          <w:rFonts w:ascii="Arial" w:cs="Arial" w:eastAsia="Arial" w:hAnsi="Arial"/>
          <w:sz w:val="22"/>
          <w:szCs w:val="22"/>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51" w:lineRule="exact"/>
        <w:rPr>
          <w:sz w:val="20"/>
          <w:szCs w:val="20"/>
          <w:color w:val="auto"/>
        </w:rPr>
      </w:pPr>
    </w:p>
    <w:p>
      <w:pPr>
        <w:ind w:left="660" w:hanging="328"/>
        <w:spacing w:after="0"/>
        <w:tabs>
          <w:tab w:leader="none" w:pos="660" w:val="left"/>
        </w:tabs>
        <w:numPr>
          <w:ilvl w:val="0"/>
          <w:numId w:val="47"/>
        </w:numPr>
        <w:rPr>
          <w:rFonts w:ascii="Arial" w:cs="Arial" w:eastAsia="Arial" w:hAnsi="Arial"/>
          <w:sz w:val="22"/>
          <w:szCs w:val="22"/>
          <w:color w:val="auto"/>
        </w:rPr>
      </w:pPr>
      <w:r>
        <w:rPr>
          <w:rFonts w:ascii="Arial" w:cs="Arial" w:eastAsia="Arial" w:hAnsi="Arial"/>
          <w:sz w:val="22"/>
          <w:szCs w:val="22"/>
          <w:color w:val="auto"/>
        </w:rPr>
        <w:t>A valid driver’s license and social security card, or</w:t>
      </w:r>
    </w:p>
    <w:p>
      <w:pPr>
        <w:spacing w:after="0" w:line="165" w:lineRule="exact"/>
        <w:rPr>
          <w:rFonts w:ascii="Arial" w:cs="Arial" w:eastAsia="Arial" w:hAnsi="Arial"/>
          <w:sz w:val="22"/>
          <w:szCs w:val="22"/>
          <w:color w:val="auto"/>
        </w:rPr>
      </w:pPr>
    </w:p>
    <w:p>
      <w:pPr>
        <w:ind w:left="660" w:hanging="328"/>
        <w:spacing w:after="0"/>
        <w:tabs>
          <w:tab w:leader="none" w:pos="660" w:val="left"/>
        </w:tabs>
        <w:numPr>
          <w:ilvl w:val="0"/>
          <w:numId w:val="47"/>
        </w:numPr>
        <w:rPr>
          <w:rFonts w:ascii="Arial" w:cs="Arial" w:eastAsia="Arial" w:hAnsi="Arial"/>
          <w:sz w:val="22"/>
          <w:szCs w:val="22"/>
          <w:color w:val="auto"/>
        </w:rPr>
      </w:pPr>
      <w:r>
        <w:rPr>
          <w:rFonts w:ascii="Arial" w:cs="Arial" w:eastAsia="Arial" w:hAnsi="Arial"/>
          <w:sz w:val="22"/>
          <w:szCs w:val="22"/>
          <w:color w:val="auto"/>
        </w:rPr>
        <w:t>A current passport</w:t>
      </w:r>
    </w:p>
    <w:p>
      <w:pPr>
        <w:spacing w:after="0" w:line="85" w:lineRule="exact"/>
        <w:rPr>
          <w:sz w:val="20"/>
          <w:szCs w:val="20"/>
          <w:color w:val="auto"/>
        </w:rPr>
      </w:pPr>
    </w:p>
    <w:p>
      <w:pPr>
        <w:spacing w:after="0"/>
        <w:rPr>
          <w:sz w:val="20"/>
          <w:szCs w:val="20"/>
          <w:color w:val="auto"/>
        </w:rPr>
      </w:pPr>
      <w:r>
        <w:rPr>
          <w:rFonts w:ascii="Arial" w:cs="Arial" w:eastAsia="Arial" w:hAnsi="Arial"/>
          <w:sz w:val="22"/>
          <w:szCs w:val="22"/>
          <w:color w:val="auto"/>
        </w:rPr>
        <w:t>Please note your offer is contingent upon:</w:t>
      </w:r>
    </w:p>
    <w:p>
      <w:pPr>
        <w:spacing w:after="0" w:line="85" w:lineRule="exact"/>
        <w:rPr>
          <w:sz w:val="20"/>
          <w:szCs w:val="20"/>
          <w:color w:val="auto"/>
        </w:rPr>
      </w:pPr>
    </w:p>
    <w:p>
      <w:pPr>
        <w:ind w:left="660" w:hanging="328"/>
        <w:spacing w:after="0"/>
        <w:tabs>
          <w:tab w:leader="none" w:pos="660" w:val="left"/>
        </w:tabs>
        <w:numPr>
          <w:ilvl w:val="0"/>
          <w:numId w:val="48"/>
        </w:numPr>
        <w:rPr>
          <w:rFonts w:ascii="Arial" w:cs="Arial" w:eastAsia="Arial" w:hAnsi="Arial"/>
          <w:sz w:val="22"/>
          <w:szCs w:val="22"/>
          <w:color w:val="auto"/>
        </w:rPr>
      </w:pPr>
      <w:r>
        <w:rPr>
          <w:rFonts w:ascii="Arial" w:cs="Arial" w:eastAsia="Arial" w:hAnsi="Arial"/>
          <w:sz w:val="22"/>
          <w:szCs w:val="22"/>
          <w:color w:val="auto"/>
        </w:rPr>
        <w:t>Successful completion of a routine background investigation and reference checks;</w:t>
      </w:r>
    </w:p>
    <w:p>
      <w:pPr>
        <w:spacing w:after="0" w:line="165" w:lineRule="exact"/>
        <w:rPr>
          <w:rFonts w:ascii="Arial" w:cs="Arial" w:eastAsia="Arial" w:hAnsi="Arial"/>
          <w:sz w:val="22"/>
          <w:szCs w:val="22"/>
          <w:color w:val="auto"/>
        </w:rPr>
      </w:pPr>
    </w:p>
    <w:p>
      <w:pPr>
        <w:ind w:left="660" w:right="20" w:hanging="328"/>
        <w:spacing w:after="0" w:line="263" w:lineRule="auto"/>
        <w:tabs>
          <w:tab w:leader="none" w:pos="660" w:val="left"/>
        </w:tabs>
        <w:numPr>
          <w:ilvl w:val="0"/>
          <w:numId w:val="48"/>
        </w:numPr>
        <w:rPr>
          <w:rFonts w:ascii="Arial" w:cs="Arial" w:eastAsia="Arial" w:hAnsi="Arial"/>
          <w:sz w:val="22"/>
          <w:szCs w:val="22"/>
          <w:color w:val="auto"/>
        </w:rPr>
      </w:pPr>
      <w:r>
        <w:rPr>
          <w:rFonts w:ascii="Arial" w:cs="Arial" w:eastAsia="Arial" w:hAnsi="Arial"/>
          <w:sz w:val="22"/>
          <w:szCs w:val="22"/>
          <w:color w:val="auto"/>
        </w:rPr>
        <w:t>The Company’s receipt from you of a signed New Hire Employee Agreement, which contains the Company's Confidential Information and Invention Assignment Agreement and Arbitration Agreement; and</w:t>
      </w:r>
    </w:p>
    <w:p>
      <w:pPr>
        <w:spacing w:after="0" w:line="120" w:lineRule="exact"/>
        <w:rPr>
          <w:rFonts w:ascii="Arial" w:cs="Arial" w:eastAsia="Arial" w:hAnsi="Arial"/>
          <w:sz w:val="22"/>
          <w:szCs w:val="22"/>
          <w:color w:val="auto"/>
        </w:rPr>
      </w:pPr>
    </w:p>
    <w:p>
      <w:pPr>
        <w:ind w:left="660" w:hanging="328"/>
        <w:spacing w:after="0"/>
        <w:tabs>
          <w:tab w:leader="none" w:pos="660" w:val="left"/>
        </w:tabs>
        <w:numPr>
          <w:ilvl w:val="0"/>
          <w:numId w:val="48"/>
        </w:numPr>
        <w:rPr>
          <w:rFonts w:ascii="Arial" w:cs="Arial" w:eastAsia="Arial" w:hAnsi="Arial"/>
          <w:sz w:val="21"/>
          <w:szCs w:val="21"/>
          <w:color w:val="auto"/>
        </w:rPr>
      </w:pPr>
      <w:r>
        <w:rPr>
          <w:rFonts w:ascii="Arial" w:cs="Arial" w:eastAsia="Arial" w:hAnsi="Arial"/>
          <w:sz w:val="21"/>
          <w:szCs w:val="21"/>
          <w:color w:val="auto"/>
        </w:rPr>
        <w:t>Completion of visa, license requirements, and government restricted party screening requirements, if applicable.</w:t>
      </w:r>
    </w:p>
    <w:p>
      <w:pPr>
        <w:spacing w:after="0" w:line="96" w:lineRule="exact"/>
        <w:rPr>
          <w:sz w:val="20"/>
          <w:szCs w:val="20"/>
          <w:color w:val="auto"/>
        </w:rPr>
      </w:pPr>
    </w:p>
    <w:p>
      <w:pPr>
        <w:ind w:right="320"/>
        <w:spacing w:after="0" w:line="263" w:lineRule="auto"/>
        <w:rPr>
          <w:sz w:val="20"/>
          <w:szCs w:val="20"/>
          <w:color w:val="auto"/>
        </w:rPr>
      </w:pPr>
      <w:r>
        <w:rPr>
          <w:rFonts w:ascii="Arial" w:cs="Arial" w:eastAsia="Arial" w:hAnsi="Arial"/>
          <w:sz w:val="22"/>
          <w:szCs w:val="22"/>
          <w:color w:val="auto"/>
        </w:rPr>
        <w:t>Marvell Semiconductor, Inc. is an exciting company whose mission is to be the leading provider of high performance and high value-added mixed-signal integrated circuits for the computer,</w:t>
      </w:r>
    </w:p>
    <w:p>
      <w:pPr>
        <w:sectPr>
          <w:pgSz w:w="11900" w:h="16838" w:orient="portrait"/>
          <w:cols w:equalWidth="0" w:num="1">
            <w:col w:w="11280"/>
          </w:cols>
          <w:pgMar w:left="240" w:top="375" w:right="379" w:bottom="1440" w:gutter="0" w:footer="0" w:header="0"/>
        </w:sectPr>
      </w:pPr>
    </w:p>
    <w:bookmarkStart w:id="113" w:name="page114"/>
    <w:bookmarkEnd w:id="113"/>
    <w:p>
      <w:pPr>
        <w:ind w:right="400"/>
        <w:spacing w:after="0" w:line="263" w:lineRule="auto"/>
        <w:rPr>
          <w:sz w:val="20"/>
          <w:szCs w:val="20"/>
          <w:color w:val="auto"/>
        </w:rPr>
      </w:pPr>
      <w:r>
        <w:rPr>
          <w:rFonts w:ascii="Arial" w:cs="Arial" w:eastAsia="Arial" w:hAnsi="Arial"/>
          <w:sz w:val="22"/>
          <w:szCs w:val="22"/>
          <w:color w:val="auto"/>
        </w:rPr>
        <w:t>storage, communications and multimedia markets. We look forward to your acceptance as we believe you will be an important addition to our team in achieving our near and long term objectives.</w:t>
      </w:r>
    </w:p>
    <w:p>
      <w:pPr>
        <w:spacing w:after="0" w:line="229" w:lineRule="exact"/>
        <w:rPr>
          <w:sz w:val="20"/>
          <w:szCs w:val="20"/>
          <w:color w:val="auto"/>
        </w:rPr>
      </w:pPr>
    </w:p>
    <w:p>
      <w:pPr>
        <w:ind w:right="160"/>
        <w:spacing w:after="0" w:line="297" w:lineRule="auto"/>
        <w:rPr>
          <w:sz w:val="20"/>
          <w:szCs w:val="20"/>
          <w:color w:val="auto"/>
        </w:rPr>
      </w:pPr>
      <w:r>
        <w:rPr>
          <w:rFonts w:ascii="Arial" w:cs="Arial" w:eastAsia="Arial" w:hAnsi="Arial"/>
          <w:sz w:val="19"/>
          <w:szCs w:val="19"/>
          <w:color w:val="auto"/>
        </w:rPr>
        <w:t>This letter (if accepted) and the New Hire Employee Agreement, which contains the Company's Arbitration Agreement and Confidential Information and Invention Assignment Agreement, along with any documents referred to in this letter, including the Company’s employment policies,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201" w:lineRule="exact"/>
        <w:rPr>
          <w:sz w:val="20"/>
          <w:szCs w:val="20"/>
          <w:color w:val="auto"/>
        </w:rPr>
      </w:pPr>
    </w:p>
    <w:p>
      <w:pPr>
        <w:spacing w:after="0" w:line="263" w:lineRule="auto"/>
        <w:rPr>
          <w:sz w:val="20"/>
          <w:szCs w:val="20"/>
          <w:color w:val="auto"/>
        </w:rPr>
      </w:pPr>
      <w:r>
        <w:rPr>
          <w:rFonts w:ascii="Arial" w:cs="Arial" w:eastAsia="Arial" w:hAnsi="Arial"/>
          <w:sz w:val="22"/>
          <w:szCs w:val="22"/>
          <w:color w:val="auto"/>
        </w:rPr>
        <w:t>To accept this offer, please sign below and return the letter to me. This offer expires on the Due Date displayed in the left hand side of this page. Before submitting your response please print a copy of this letter for your records.</w:t>
      </w:r>
    </w:p>
    <w:p>
      <w:pPr>
        <w:spacing w:after="0" w:line="215" w:lineRule="exact"/>
        <w:rPr>
          <w:sz w:val="20"/>
          <w:szCs w:val="20"/>
          <w:color w:val="auto"/>
        </w:rPr>
      </w:pPr>
    </w:p>
    <w:p>
      <w:pPr>
        <w:spacing w:after="0"/>
        <w:rPr>
          <w:sz w:val="20"/>
          <w:szCs w:val="20"/>
          <w:color w:val="auto"/>
        </w:rPr>
      </w:pPr>
      <w:r>
        <w:rPr>
          <w:rFonts w:ascii="Arial" w:cs="Arial" w:eastAsia="Arial" w:hAnsi="Arial"/>
          <w:sz w:val="22"/>
          <w:szCs w:val="22"/>
          <w:color w:val="auto"/>
        </w:rPr>
        <w:t>Sincerely,</w:t>
      </w:r>
    </w:p>
    <w:p>
      <w:pPr>
        <w:spacing w:after="0" w:line="260" w:lineRule="exact"/>
        <w:rPr>
          <w:sz w:val="20"/>
          <w:szCs w:val="20"/>
          <w:color w:val="auto"/>
        </w:rPr>
      </w:pPr>
    </w:p>
    <w:p>
      <w:pPr>
        <w:spacing w:after="0"/>
        <w:rPr>
          <w:sz w:val="20"/>
          <w:szCs w:val="20"/>
          <w:color w:val="auto"/>
        </w:rPr>
      </w:pPr>
      <w:r>
        <w:rPr>
          <w:rFonts w:ascii="Arial" w:cs="Arial" w:eastAsia="Arial" w:hAnsi="Arial"/>
          <w:sz w:val="22"/>
          <w:szCs w:val="22"/>
          <w:color w:val="auto"/>
        </w:rPr>
        <w:t>/s/ Mitchell Gaynor</w:t>
      </w:r>
    </w:p>
    <w:p>
      <w:pPr>
        <w:spacing w:after="0" w:line="260" w:lineRule="exact"/>
        <w:rPr>
          <w:sz w:val="20"/>
          <w:szCs w:val="20"/>
          <w:color w:val="auto"/>
        </w:rPr>
      </w:pPr>
    </w:p>
    <w:p>
      <w:pPr>
        <w:spacing w:after="0"/>
        <w:rPr>
          <w:sz w:val="20"/>
          <w:szCs w:val="20"/>
          <w:color w:val="auto"/>
        </w:rPr>
      </w:pPr>
      <w:r>
        <w:rPr>
          <w:rFonts w:ascii="Arial" w:cs="Arial" w:eastAsia="Arial" w:hAnsi="Arial"/>
          <w:sz w:val="22"/>
          <w:szCs w:val="22"/>
          <w:color w:val="auto"/>
        </w:rPr>
        <w:t>Mitchell Gaynor</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EVP, Chief Legal Officer and Secretary</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tbl>
      <w:tblPr>
        <w:tblLayout w:type="fixed"/>
        <w:tblInd w:w="0" w:type="dxa"/>
        <w:tblCellMar>
          <w:top w:w="0" w:type="dxa"/>
          <w:left w:w="0" w:type="dxa"/>
          <w:bottom w:w="0" w:type="dxa"/>
          <w:right w:w="0" w:type="dxa"/>
        </w:tblCellMar>
      </w:tblPr>
      <w:tr>
        <w:trPr>
          <w:trHeight w:val="275"/>
        </w:trPr>
        <w:tc>
          <w:tcPr>
            <w:tcW w:w="1780" w:type="dxa"/>
            <w:vAlign w:val="bottom"/>
          </w:tcPr>
          <w:p>
            <w:pPr>
              <w:jc w:val="center"/>
              <w:ind w:right="472"/>
              <w:spacing w:after="0"/>
              <w:rPr>
                <w:sz w:val="20"/>
                <w:szCs w:val="20"/>
                <w:color w:val="auto"/>
              </w:rPr>
            </w:pPr>
            <w:r>
              <w:rPr>
                <w:rFonts w:ascii="Arial" w:cs="Arial" w:eastAsia="Arial" w:hAnsi="Arial"/>
                <w:sz w:val="22"/>
                <w:szCs w:val="22"/>
                <w:color w:val="auto"/>
                <w:w w:val="92"/>
              </w:rPr>
              <w:t>Accepted By:</w:t>
            </w:r>
          </w:p>
        </w:tc>
        <w:tc>
          <w:tcPr>
            <w:tcW w:w="56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1240" w:type="dxa"/>
            <w:vAlign w:val="bottom"/>
          </w:tcPr>
          <w:p>
            <w:pPr>
              <w:spacing w:after="0"/>
              <w:rPr>
                <w:sz w:val="23"/>
                <w:szCs w:val="23"/>
                <w:color w:val="auto"/>
              </w:rPr>
            </w:pPr>
          </w:p>
        </w:tc>
        <w:tc>
          <w:tcPr>
            <w:tcW w:w="40" w:type="dxa"/>
            <w:vAlign w:val="bottom"/>
          </w:tcPr>
          <w:p>
            <w:pPr>
              <w:spacing w:after="0"/>
              <w:rPr>
                <w:sz w:val="23"/>
                <w:szCs w:val="23"/>
                <w:color w:val="auto"/>
              </w:rPr>
            </w:pPr>
          </w:p>
        </w:tc>
      </w:tr>
      <w:tr>
        <w:trPr>
          <w:trHeight w:val="770"/>
        </w:trPr>
        <w:tc>
          <w:tcPr>
            <w:tcW w:w="1780" w:type="dxa"/>
            <w:vAlign w:val="bottom"/>
          </w:tcPr>
          <w:p>
            <w:pPr>
              <w:ind w:left="220"/>
              <w:spacing w:after="0"/>
              <w:rPr>
                <w:sz w:val="20"/>
                <w:szCs w:val="20"/>
                <w:color w:val="auto"/>
              </w:rPr>
            </w:pPr>
            <w:r>
              <w:rPr>
                <w:rFonts w:ascii="Arial" w:cs="Arial" w:eastAsia="Arial" w:hAnsi="Arial"/>
                <w:sz w:val="22"/>
                <w:szCs w:val="22"/>
                <w:color w:val="auto"/>
              </w:rPr>
              <w:t>/s/ Tom Lagatta</w:t>
            </w:r>
          </w:p>
        </w:tc>
        <w:tc>
          <w:tcPr>
            <w:tcW w:w="2340" w:type="dxa"/>
            <w:vAlign w:val="bottom"/>
            <w:gridSpan w:val="3"/>
          </w:tcPr>
          <w:p>
            <w:pPr>
              <w:jc w:val="right"/>
              <w:ind w:right="520"/>
              <w:spacing w:after="0"/>
              <w:rPr>
                <w:sz w:val="20"/>
                <w:szCs w:val="20"/>
                <w:color w:val="auto"/>
              </w:rPr>
            </w:pPr>
            <w:r>
              <w:rPr>
                <w:rFonts w:ascii="Arial" w:cs="Arial" w:eastAsia="Arial" w:hAnsi="Arial"/>
                <w:sz w:val="22"/>
                <w:szCs w:val="22"/>
                <w:color w:val="auto"/>
              </w:rPr>
              <w:t>11/9/16 12/5/16</w:t>
            </w:r>
          </w:p>
        </w:tc>
        <w:tc>
          <w:tcPr>
            <w:tcW w:w="40" w:type="dxa"/>
            <w:vAlign w:val="bottom"/>
          </w:tcPr>
          <w:p>
            <w:pPr>
              <w:spacing w:after="0"/>
              <w:rPr>
                <w:sz w:val="24"/>
                <w:szCs w:val="24"/>
                <w:color w:val="auto"/>
              </w:rPr>
            </w:pPr>
          </w:p>
        </w:tc>
      </w:tr>
      <w:tr>
        <w:trPr>
          <w:trHeight w:val="220"/>
        </w:trPr>
        <w:tc>
          <w:tcPr>
            <w:tcW w:w="17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124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301"/>
        </w:trPr>
        <w:tc>
          <w:tcPr>
            <w:tcW w:w="1780" w:type="dxa"/>
            <w:vAlign w:val="bottom"/>
          </w:tcPr>
          <w:p>
            <w:pPr>
              <w:jc w:val="center"/>
              <w:ind w:right="452"/>
              <w:spacing w:after="0"/>
              <w:rPr>
                <w:sz w:val="20"/>
                <w:szCs w:val="20"/>
                <w:color w:val="auto"/>
              </w:rPr>
            </w:pPr>
            <w:r>
              <w:rPr>
                <w:rFonts w:ascii="Arial" w:cs="Arial" w:eastAsia="Arial" w:hAnsi="Arial"/>
                <w:sz w:val="22"/>
                <w:szCs w:val="22"/>
                <w:color w:val="auto"/>
                <w:w w:val="89"/>
              </w:rPr>
              <w:t>Tom Lagatta</w:t>
            </w:r>
          </w:p>
        </w:tc>
        <w:tc>
          <w:tcPr>
            <w:tcW w:w="2380" w:type="dxa"/>
            <w:vAlign w:val="bottom"/>
            <w:gridSpan w:val="4"/>
          </w:tcPr>
          <w:p>
            <w:pPr>
              <w:ind w:left="180"/>
              <w:spacing w:after="0"/>
              <w:rPr>
                <w:sz w:val="20"/>
                <w:szCs w:val="20"/>
                <w:color w:val="auto"/>
              </w:rPr>
            </w:pPr>
            <w:r>
              <w:rPr>
                <w:rFonts w:ascii="Arial" w:cs="Arial" w:eastAsia="Arial" w:hAnsi="Arial"/>
                <w:sz w:val="22"/>
                <w:szCs w:val="22"/>
                <w:color w:val="auto"/>
                <w:w w:val="91"/>
              </w:rPr>
              <w:t>Date Signed   Start Date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-203200</wp:posOffset>
            </wp:positionV>
            <wp:extent cx="72009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0090" cy="8890"/>
                    </a:xfrm>
                    <a:prstGeom prst="rect">
                      <a:avLst/>
                    </a:prstGeom>
                    <a:noFill/>
                  </pic:spPr>
                </pic:pic>
              </a:graphicData>
            </a:graphic>
          </wp:anchor>
        </w:drawing>
      </w:r>
    </w:p>
    <w:p>
      <w:pPr>
        <w:sectPr>
          <w:pgSz w:w="11900" w:h="16838" w:orient="portrait"/>
          <w:cols w:equalWidth="0" w:num="1">
            <w:col w:w="11340"/>
          </w:cols>
          <w:pgMar w:left="240" w:top="375" w:right="319" w:bottom="1440" w:gutter="0" w:footer="0" w:header="0"/>
        </w:sectPr>
      </w:pPr>
    </w:p>
    <w:bookmarkStart w:id="114" w:name="page115"/>
    <w:bookmarkEnd w:id="114"/>
    <w:p>
      <w:pPr>
        <w:jc w:val="center"/>
        <w:spacing w:after="0"/>
        <w:rPr>
          <w:sz w:val="20"/>
          <w:szCs w:val="20"/>
          <w:color w:val="auto"/>
        </w:rPr>
      </w:pPr>
      <w:r>
        <w:rPr>
          <w:rFonts w:ascii="Arial" w:cs="Arial" w:eastAsia="Arial" w:hAnsi="Arial"/>
          <w:sz w:val="22"/>
          <w:szCs w:val="22"/>
          <w:b w:val="1"/>
          <w:bCs w:val="1"/>
          <w:color w:val="auto"/>
        </w:rPr>
        <w:t>Summary of Change in Control Severance Benefits (tier 3)</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(Refer to the full plan for details)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left="1000" w:hanging="344"/>
        <w:spacing w:after="0"/>
        <w:tabs>
          <w:tab w:leader="none" w:pos="1000" w:val="left"/>
        </w:tabs>
        <w:numPr>
          <w:ilvl w:val="0"/>
          <w:numId w:val="49"/>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39" w:lineRule="exact"/>
        <w:rPr>
          <w:sz w:val="20"/>
          <w:szCs w:val="20"/>
          <w:color w:val="auto"/>
        </w:rPr>
      </w:pPr>
    </w:p>
    <w:p>
      <w:pPr>
        <w:ind w:left="1300"/>
        <w:spacing w:after="0"/>
        <w:rPr>
          <w:sz w:val="20"/>
          <w:szCs w:val="20"/>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12 months of your annual base</w:t>
      </w:r>
    </w:p>
    <w:p>
      <w:pPr>
        <w:spacing w:after="0" w:line="56" w:lineRule="exact"/>
        <w:rPr>
          <w:sz w:val="20"/>
          <w:szCs w:val="20"/>
          <w:color w:val="auto"/>
        </w:rPr>
      </w:pPr>
    </w:p>
    <w:p>
      <w:pPr>
        <w:spacing w:after="0"/>
        <w:rPr>
          <w:sz w:val="20"/>
          <w:szCs w:val="20"/>
          <w:color w:val="auto"/>
        </w:rPr>
      </w:pPr>
      <w:r>
        <w:rPr>
          <w:rFonts w:ascii="Arial" w:cs="Arial" w:eastAsia="Arial" w:hAnsi="Arial"/>
          <w:sz w:val="22"/>
          <w:szCs w:val="22"/>
          <w:color w:val="auto"/>
        </w:rPr>
        <w:t>salary.</w:t>
      </w:r>
    </w:p>
    <w:p>
      <w:pPr>
        <w:spacing w:after="0" w:line="202" w:lineRule="exact"/>
        <w:rPr>
          <w:sz w:val="20"/>
          <w:szCs w:val="20"/>
          <w:color w:val="auto"/>
        </w:rPr>
      </w:pPr>
    </w:p>
    <w:p>
      <w:pPr>
        <w:ind w:firstLine="1297"/>
        <w:spacing w:after="0" w:line="287" w:lineRule="auto"/>
        <w:rPr>
          <w:sz w:val="20"/>
          <w:szCs w:val="20"/>
          <w:color w:val="auto"/>
        </w:rPr>
      </w:pPr>
      <w:r>
        <w:rPr>
          <w:rFonts w:ascii="Arial" w:cs="Arial" w:eastAsia="Arial" w:hAnsi="Arial"/>
          <w:sz w:val="21"/>
          <w:szCs w:val="21"/>
          <w:i w:val="1"/>
          <w:iCs w:val="1"/>
          <w:color w:val="auto"/>
        </w:rPr>
        <w:t>Bonus</w:t>
      </w:r>
      <w:r>
        <w:rPr>
          <w:rFonts w:ascii="Arial" w:cs="Arial" w:eastAsia="Arial" w:hAnsi="Arial"/>
          <w:sz w:val="21"/>
          <w:szCs w:val="21"/>
          <w:color w:val="auto"/>
        </w:rPr>
        <w:t>. A lump-sum payment equal to 100% of your annual target bonus for the fiscal year in which your</w:t>
      </w:r>
      <w:r>
        <w:rPr>
          <w:rFonts w:ascii="Arial" w:cs="Arial" w:eastAsia="Arial" w:hAnsi="Arial"/>
          <w:sz w:val="21"/>
          <w:szCs w:val="21"/>
          <w:i w:val="1"/>
          <w:iCs w:val="1"/>
          <w:color w:val="auto"/>
        </w:rPr>
        <w:t xml:space="preserve"> </w:t>
      </w:r>
      <w:r>
        <w:rPr>
          <w:rFonts w:ascii="Arial" w:cs="Arial" w:eastAsia="Arial" w:hAnsi="Arial"/>
          <w:sz w:val="21"/>
          <w:szCs w:val="21"/>
          <w:color w:val="auto"/>
        </w:rPr>
        <w:t>Involuntary Termination occurs or, if greater, your annual target bonus in effect immediately prior to the Change in Control.</w:t>
      </w:r>
    </w:p>
    <w:p>
      <w:pPr>
        <w:spacing w:after="0" w:line="152" w:lineRule="exact"/>
        <w:rPr>
          <w:sz w:val="20"/>
          <w:szCs w:val="20"/>
          <w:color w:val="auto"/>
        </w:rPr>
      </w:pPr>
    </w:p>
    <w:p>
      <w:pPr>
        <w:ind w:right="20" w:firstLine="1297"/>
        <w:spacing w:after="0" w:line="263" w:lineRule="auto"/>
        <w:rPr>
          <w:sz w:val="20"/>
          <w:szCs w:val="20"/>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both"/>
        <w:ind w:firstLine="656"/>
        <w:spacing w:after="0" w:line="289" w:lineRule="auto"/>
        <w:tabs>
          <w:tab w:leader="none" w:pos="1017" w:val="left"/>
        </w:tabs>
        <w:numPr>
          <w:ilvl w:val="0"/>
          <w:numId w:val="50"/>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w:t>
      </w:r>
      <w:r>
        <w:rPr>
          <w:rFonts w:ascii="Arial" w:cs="Arial" w:eastAsia="Arial" w:hAnsi="Arial"/>
          <w:sz w:val="19"/>
          <w:szCs w:val="19"/>
          <w:b w:val="1"/>
          <w:bCs w:val="1"/>
          <w:color w:val="auto"/>
        </w:rPr>
        <w:t xml:space="preserve"> </w:t>
      </w:r>
      <w:r>
        <w:rPr>
          <w:rFonts w:ascii="Arial" w:cs="Arial" w:eastAsia="Arial" w:hAnsi="Arial"/>
          <w:sz w:val="19"/>
          <w:szCs w:val="19"/>
          <w:color w:val="auto"/>
        </w:rPr>
        <w:t>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51" w:lineRule="exact"/>
        <w:rPr>
          <w:rFonts w:ascii="Arial" w:cs="Arial" w:eastAsia="Arial" w:hAnsi="Arial"/>
          <w:sz w:val="19"/>
          <w:szCs w:val="19"/>
          <w:color w:val="auto"/>
        </w:rPr>
      </w:pPr>
    </w:p>
    <w:p>
      <w:pPr>
        <w:ind w:firstLine="656"/>
        <w:spacing w:after="0" w:line="282" w:lineRule="auto"/>
        <w:tabs>
          <w:tab w:leader="none" w:pos="1071" w:val="left"/>
        </w:tabs>
        <w:numPr>
          <w:ilvl w:val="0"/>
          <w:numId w:val="50"/>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 monthly</w:t>
      </w:r>
      <w:r>
        <w:rPr>
          <w:rFonts w:ascii="Arial" w:cs="Arial" w:eastAsia="Arial" w:hAnsi="Arial"/>
          <w:sz w:val="22"/>
          <w:szCs w:val="22"/>
          <w:b w:val="1"/>
          <w:bCs w:val="1"/>
          <w:color w:val="auto"/>
        </w:rPr>
        <w:t xml:space="preserve"> </w:t>
      </w:r>
      <w:r>
        <w:rPr>
          <w:rFonts w:ascii="Arial" w:cs="Arial" w:eastAsia="Arial" w:hAnsi="Arial"/>
          <w:sz w:val="22"/>
          <w:szCs w:val="22"/>
          <w:color w:val="auto"/>
        </w:rPr>
        <w:t>payment in lieu of reimbursement, as applicable, will be provided for a period of 12 months.</w:t>
      </w:r>
    </w:p>
    <w:p>
      <w:pPr>
        <w:sectPr>
          <w:pgSz w:w="11900" w:h="16838" w:orient="portrait"/>
          <w:cols w:equalWidth="0" w:num="1">
            <w:col w:w="11420"/>
          </w:cols>
          <w:pgMar w:left="240" w:top="1368" w:right="239" w:bottom="1440" w:gutter="0" w:footer="0" w:header="0"/>
        </w:sectPr>
      </w:pPr>
    </w:p>
    <w:bookmarkStart w:id="115" w:name="page116"/>
    <w:bookmarkEnd w:id="115"/>
    <w:p>
      <w:pPr>
        <w:spacing w:after="0" w:line="282" w:lineRule="auto"/>
        <w:tabs>
          <w:tab w:leader="none" w:pos="1071" w:val="left"/>
        </w:tabs>
        <w:rPr>
          <w:sz w:val="20"/>
          <w:szCs w:val="20"/>
          <w:color w:val="auto"/>
        </w:rPr>
      </w:pPr>
    </w:p>
    <w:p>
      <w:pPr>
        <w:sectPr>
          <w:pgSz w:w="11900" w:h="16838" w:orient="portrait"/>
          <w:cols w:equalWidth="1" w:num="1" w:space="0"/>
          <w:pgMar w:left="1440" w:top="1440" w:right="1440" w:bottom="875"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10.23</w:t>
      </w:r>
    </w:p>
    <w:p>
      <w:pPr>
        <w:spacing w:after="0" w:line="230"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SEVERANCE AGREEMENT</w:t>
      </w:r>
    </w:p>
    <w:p>
      <w:pPr>
        <w:spacing w:after="0" w:line="226" w:lineRule="exact"/>
        <w:rPr>
          <w:sz w:val="20"/>
          <w:szCs w:val="20"/>
          <w:color w:val="auto"/>
        </w:rPr>
      </w:pPr>
    </w:p>
    <w:p>
      <w:pPr>
        <w:ind w:right="1300" w:firstLine="648"/>
        <w:spacing w:after="0" w:line="343" w:lineRule="auto"/>
        <w:rPr>
          <w:sz w:val="20"/>
          <w:szCs w:val="20"/>
          <w:color w:val="auto"/>
        </w:rPr>
      </w:pPr>
      <w:r>
        <w:rPr>
          <w:rFonts w:ascii="Arial" w:cs="Arial" w:eastAsia="Arial" w:hAnsi="Arial"/>
          <w:sz w:val="19"/>
          <w:szCs w:val="19"/>
          <w:color w:val="auto"/>
        </w:rPr>
        <w:t>This Severance Agreement (the “Agreement”) is made and entered into by and between Mitchell Gaynor (the “Employee”) and Marvell Semiconductor, Inc. (the “Company”), effective on the last date signed below.</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RECITALS</w:t>
      </w:r>
    </w:p>
    <w:p>
      <w:pPr>
        <w:spacing w:after="0" w:line="226" w:lineRule="exact"/>
        <w:rPr>
          <w:sz w:val="20"/>
          <w:szCs w:val="20"/>
          <w:color w:val="auto"/>
        </w:rPr>
      </w:pPr>
    </w:p>
    <w:p>
      <w:pPr>
        <w:ind w:right="820" w:firstLine="648"/>
        <w:spacing w:after="0" w:line="253" w:lineRule="auto"/>
        <w:rPr>
          <w:sz w:val="20"/>
          <w:szCs w:val="20"/>
          <w:color w:val="auto"/>
        </w:rPr>
      </w:pPr>
      <w:r>
        <w:rPr>
          <w:rFonts w:ascii="Arial" w:cs="Arial" w:eastAsia="Arial" w:hAnsi="Arial"/>
          <w:sz w:val="22"/>
          <w:szCs w:val="22"/>
          <w:color w:val="auto"/>
        </w:rPr>
        <w:t>The Company believes that it is imperative to provide the Employee with certain severance benefits upon certain terminations of employment. These benefits will provide the Employee with enhanced financial security and incentive and encouragement to remain with the Company.</w:t>
      </w:r>
    </w:p>
    <w:p>
      <w:pPr>
        <w:spacing w:after="0" w:line="186" w:lineRule="exact"/>
        <w:rPr>
          <w:sz w:val="20"/>
          <w:szCs w:val="20"/>
          <w:color w:val="auto"/>
        </w:rPr>
      </w:pPr>
    </w:p>
    <w:p>
      <w:pPr>
        <w:ind w:left="660"/>
        <w:spacing w:after="0"/>
        <w:rPr>
          <w:sz w:val="20"/>
          <w:szCs w:val="20"/>
          <w:color w:val="auto"/>
        </w:rPr>
      </w:pPr>
      <w:r>
        <w:rPr>
          <w:rFonts w:ascii="Arial" w:cs="Arial" w:eastAsia="Arial" w:hAnsi="Arial"/>
          <w:sz w:val="22"/>
          <w:szCs w:val="22"/>
          <w:color w:val="auto"/>
        </w:rPr>
        <w:t>Certain capitalized terms used in the Agreement are defined below.</w:t>
      </w:r>
    </w:p>
    <w:p>
      <w:pPr>
        <w:spacing w:after="0" w:line="214" w:lineRule="exact"/>
        <w:rPr>
          <w:sz w:val="20"/>
          <w:szCs w:val="20"/>
          <w:color w:val="auto"/>
        </w:rPr>
      </w:pPr>
    </w:p>
    <w:p>
      <w:pPr>
        <w:ind w:left="5320"/>
        <w:spacing w:after="0"/>
        <w:rPr>
          <w:sz w:val="20"/>
          <w:szCs w:val="20"/>
          <w:color w:val="auto"/>
        </w:rPr>
      </w:pPr>
      <w:r>
        <w:rPr>
          <w:rFonts w:ascii="Arial" w:cs="Arial" w:eastAsia="Arial" w:hAnsi="Arial"/>
          <w:sz w:val="22"/>
          <w:szCs w:val="22"/>
          <w:b w:val="1"/>
          <w:bCs w:val="1"/>
          <w:u w:val="single" w:color="auto"/>
          <w:color w:val="auto"/>
        </w:rPr>
        <w:t>AGREEMENT</w:t>
      </w:r>
    </w:p>
    <w:p>
      <w:pPr>
        <w:spacing w:after="0" w:line="226" w:lineRule="exact"/>
        <w:rPr>
          <w:sz w:val="20"/>
          <w:szCs w:val="20"/>
          <w:color w:val="auto"/>
        </w:rPr>
      </w:pPr>
    </w:p>
    <w:p>
      <w:pPr>
        <w:ind w:left="660"/>
        <w:spacing w:after="0"/>
        <w:rPr>
          <w:sz w:val="20"/>
          <w:szCs w:val="20"/>
          <w:color w:val="auto"/>
        </w:rPr>
      </w:pPr>
      <w:r>
        <w:rPr>
          <w:rFonts w:ascii="Arial" w:cs="Arial" w:eastAsia="Arial" w:hAnsi="Arial"/>
          <w:sz w:val="19"/>
          <w:szCs w:val="19"/>
          <w:color w:val="auto"/>
        </w:rPr>
        <w:t>NOW, THEREFORE, in consideration of the mutual covenants contained herein, the parties hereto agree as follows:</w:t>
      </w:r>
    </w:p>
    <w:p>
      <w:pPr>
        <w:spacing w:after="0" w:line="254" w:lineRule="exact"/>
        <w:rPr>
          <w:sz w:val="20"/>
          <w:szCs w:val="20"/>
          <w:color w:val="auto"/>
        </w:rPr>
      </w:pPr>
    </w:p>
    <w:p>
      <w:pPr>
        <w:ind w:right="540" w:firstLine="656"/>
        <w:spacing w:after="0" w:line="260" w:lineRule="auto"/>
        <w:tabs>
          <w:tab w:leader="none" w:pos="990" w:val="left"/>
        </w:tabs>
        <w:numPr>
          <w:ilvl w:val="0"/>
          <w:numId w:val="51"/>
        </w:numPr>
        <w:rPr>
          <w:rFonts w:ascii="Arial" w:cs="Arial" w:eastAsia="Arial" w:hAnsi="Arial"/>
          <w:sz w:val="22"/>
          <w:szCs w:val="22"/>
          <w:color w:val="auto"/>
        </w:rPr>
      </w:pPr>
      <w:r>
        <w:rPr>
          <w:rFonts w:ascii="Arial" w:cs="Arial" w:eastAsia="Arial" w:hAnsi="Arial"/>
          <w:sz w:val="22"/>
          <w:szCs w:val="22"/>
          <w:u w:val="single" w:color="auto"/>
          <w:color w:val="auto"/>
        </w:rPr>
        <w:t>Term of Agreement</w:t>
      </w:r>
      <w:r>
        <w:rPr>
          <w:rFonts w:ascii="Arial" w:cs="Arial" w:eastAsia="Arial" w:hAnsi="Arial"/>
          <w:sz w:val="22"/>
          <w:szCs w:val="22"/>
          <w:color w:val="auto"/>
        </w:rPr>
        <w:t>. This Agreement shall terminate upon the later of (i) January 1, 2022 or (ii) if Employee is terminated involuntarily by Company without Cause prior to January 1, 2022, the date that all of the obligations of the parties hereto with respect to this Agreement have been satisfied.</w:t>
      </w:r>
    </w:p>
    <w:p>
      <w:pPr>
        <w:spacing w:after="0" w:line="177" w:lineRule="exact"/>
        <w:rPr>
          <w:rFonts w:ascii="Arial" w:cs="Arial" w:eastAsia="Arial" w:hAnsi="Arial"/>
          <w:sz w:val="22"/>
          <w:szCs w:val="22"/>
          <w:color w:val="auto"/>
        </w:rPr>
      </w:pPr>
    </w:p>
    <w:p>
      <w:pPr>
        <w:ind w:right="20" w:firstLine="656"/>
        <w:spacing w:after="0" w:line="307" w:lineRule="auto"/>
        <w:tabs>
          <w:tab w:leader="none" w:pos="990" w:val="left"/>
        </w:tabs>
        <w:numPr>
          <w:ilvl w:val="0"/>
          <w:numId w:val="51"/>
        </w:numPr>
        <w:rPr>
          <w:rFonts w:ascii="Arial" w:cs="Arial" w:eastAsia="Arial" w:hAnsi="Arial"/>
          <w:sz w:val="19"/>
          <w:szCs w:val="19"/>
          <w:color w:val="auto"/>
        </w:rPr>
      </w:pPr>
      <w:r>
        <w:rPr>
          <w:rFonts w:ascii="Arial" w:cs="Arial" w:eastAsia="Arial" w:hAnsi="Arial"/>
          <w:sz w:val="19"/>
          <w:szCs w:val="19"/>
          <w:u w:val="single" w:color="auto"/>
          <w:color w:val="auto"/>
        </w:rPr>
        <w:t>At-Will Employment</w:t>
      </w:r>
      <w:r>
        <w:rPr>
          <w:rFonts w:ascii="Arial" w:cs="Arial" w:eastAsia="Arial" w:hAnsi="Arial"/>
          <w:sz w:val="19"/>
          <w:szCs w:val="19"/>
          <w:color w:val="auto"/>
        </w:rPr>
        <w:t>. The Company and the Employee acknowledge that the Employee’s employment is and shall continue to be at-will, as defined under applicable law, except as may otherwise be specifically provided by applicable law or under the terms of any written formal employment agreement or offer letter between the Company and the Employee (an “Employment Agreement”). This Agreement does not constitute an agreement to employ Employee for any specific time.</w:t>
      </w:r>
    </w:p>
    <w:p>
      <w:pPr>
        <w:spacing w:after="0" w:line="138" w:lineRule="exact"/>
        <w:rPr>
          <w:rFonts w:ascii="Arial" w:cs="Arial" w:eastAsia="Arial" w:hAnsi="Arial"/>
          <w:sz w:val="19"/>
          <w:szCs w:val="19"/>
          <w:color w:val="auto"/>
        </w:rPr>
      </w:pPr>
    </w:p>
    <w:p>
      <w:pPr>
        <w:ind w:left="1000" w:hanging="344"/>
        <w:spacing w:after="0"/>
        <w:tabs>
          <w:tab w:leader="none" w:pos="1000" w:val="left"/>
        </w:tabs>
        <w:numPr>
          <w:ilvl w:val="0"/>
          <w:numId w:val="51"/>
        </w:numPr>
        <w:rPr>
          <w:rFonts w:ascii="Arial" w:cs="Arial" w:eastAsia="Arial" w:hAnsi="Arial"/>
          <w:sz w:val="22"/>
          <w:szCs w:val="22"/>
          <w:color w:val="auto"/>
        </w:rPr>
      </w:pPr>
      <w:r>
        <w:rPr>
          <w:rFonts w:ascii="Arial" w:cs="Arial" w:eastAsia="Arial" w:hAnsi="Arial"/>
          <w:sz w:val="22"/>
          <w:szCs w:val="22"/>
          <w:u w:val="single" w:color="auto"/>
          <w:color w:val="auto"/>
        </w:rPr>
        <w:t>Severance Benefits</w:t>
      </w:r>
      <w:r>
        <w:rPr>
          <w:rFonts w:ascii="Arial" w:cs="Arial" w:eastAsia="Arial" w:hAnsi="Arial"/>
          <w:sz w:val="22"/>
          <w:szCs w:val="22"/>
          <w:color w:val="auto"/>
        </w:rPr>
        <w:t>.</w:t>
      </w:r>
    </w:p>
    <w:p>
      <w:pPr>
        <w:spacing w:after="0" w:line="233" w:lineRule="exact"/>
        <w:rPr>
          <w:rFonts w:ascii="Arial" w:cs="Arial" w:eastAsia="Arial" w:hAnsi="Arial"/>
          <w:sz w:val="22"/>
          <w:szCs w:val="22"/>
          <w:color w:val="auto"/>
        </w:rPr>
      </w:pPr>
    </w:p>
    <w:p>
      <w:pPr>
        <w:ind w:right="100" w:firstLine="1305"/>
        <w:spacing w:after="0" w:line="294" w:lineRule="auto"/>
        <w:tabs>
          <w:tab w:leader="none" w:pos="1716" w:val="left"/>
        </w:tabs>
        <w:numPr>
          <w:ilvl w:val="1"/>
          <w:numId w:val="51"/>
        </w:numPr>
        <w:rPr>
          <w:rFonts w:ascii="Arial" w:cs="Arial" w:eastAsia="Arial" w:hAnsi="Arial"/>
          <w:sz w:val="19"/>
          <w:szCs w:val="19"/>
          <w:color w:val="auto"/>
        </w:rPr>
      </w:pPr>
      <w:r>
        <w:rPr>
          <w:rFonts w:ascii="Arial" w:cs="Arial" w:eastAsia="Arial" w:hAnsi="Arial"/>
          <w:sz w:val="19"/>
          <w:szCs w:val="19"/>
          <w:color w:val="auto"/>
        </w:rPr>
        <w:t>In the event the Employee is terminated involuntarily by Company without Cause, as defined below, or as a result of the Employee resigning for Good Reason, as defined below, and provided the Employee executes and does not revoke a full release of claims with the Company (in a form satisfactory to the Company) (the “Release”), the Employee will be entitled to receive the severance benefits set out in Section 3(b). “Cause” is defined as: (A) an act of material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w:t>
      </w:r>
    </w:p>
    <w:p>
      <w:pPr>
        <w:sectPr>
          <w:pgSz w:w="11900" w:h="16838" w:orient="portrait"/>
          <w:cols w:equalWidth="0" w:num="1">
            <w:col w:w="11420"/>
          </w:cols>
          <w:pgMar w:left="240" w:top="580" w:right="239" w:bottom="1440" w:gutter="0" w:footer="0" w:header="0"/>
        </w:sectPr>
      </w:pPr>
    </w:p>
    <w:bookmarkStart w:id="117" w:name="page118"/>
    <w:bookmarkEnd w:id="117"/>
    <w:p>
      <w:pPr>
        <w:spacing w:after="0" w:line="285" w:lineRule="auto"/>
        <w:rPr>
          <w:sz w:val="20"/>
          <w:szCs w:val="20"/>
          <w:color w:val="auto"/>
        </w:rPr>
      </w:pPr>
      <w:r>
        <w:rPr>
          <w:rFonts w:ascii="Arial" w:cs="Arial" w:eastAsia="Arial" w:hAnsi="Arial"/>
          <w:sz w:val="19"/>
          <w:szCs w:val="19"/>
          <w:color w:val="auto"/>
        </w:rPr>
        <w:t>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your cooperation; or (G) willful failure to substantially perform your duties with Company or Marvell (other than as a result of incapacity due to physical or mental illness); provided that the action or conduct described in this clause (G) will constitute “Cause” only if such failure continues after the Company’s Board of Directors or Chairman of the Board has provided you with a written demand for substantial performance setting forth in detail the specific respects in which the Company believes you have willfully failed to substantially perform your duties thereof and you have been provided a reasonable opportunity (to be not less than 20 days) to cure the same. “Good Reason” is defined as the occurrence of any of the following conditions without the Employee’s consent: (X) a change in the Employee’s position within the Company (or a parent or subsidiary employing the Employee) that materially reduces the Employee’s level of duties, authority or responsibilities; provided, however, that if there is a change in the Employee’s role after which the Employee does not have the role as chief executive officer with respect to a parent entity whose stock is publicly-traded, then such a change shall affirmatively constitute Good Reason; (Y) a reduction of 10% or greater in the Employee’s level of annual base salary or incentive compensation eligibility; or (Z) the Company requires (i) the Employee to relocate the principal place of performance of the Employee’s duties to a location more than 30 miles from the Employee’s principal place of performance and (ii) the relocation results in a greater commute by the Employee.</w:t>
      </w:r>
    </w:p>
    <w:p>
      <w:pPr>
        <w:spacing w:after="0" w:line="170" w:lineRule="exact"/>
        <w:rPr>
          <w:sz w:val="20"/>
          <w:szCs w:val="20"/>
          <w:color w:val="auto"/>
        </w:rPr>
      </w:pPr>
    </w:p>
    <w:p>
      <w:pPr>
        <w:ind w:right="80" w:firstLine="648"/>
        <w:spacing w:after="0" w:line="265" w:lineRule="auto"/>
        <w:rPr>
          <w:sz w:val="20"/>
          <w:szCs w:val="20"/>
          <w:color w:val="auto"/>
        </w:rPr>
      </w:pPr>
      <w:r>
        <w:rPr>
          <w:rFonts w:ascii="Arial" w:cs="Arial" w:eastAsia="Arial" w:hAnsi="Arial"/>
          <w:sz w:val="21"/>
          <w:szCs w:val="21"/>
          <w:color w:val="auto"/>
        </w:rPr>
        <w:t>The Employee’s resignation will not constitute a resignation for “Good Reason” unless the Employee first provides the Company (or a parent or subsidiary employing the Employee) with written notice of the acts or omissions constituting the grounds for “Good Reason” within 90 days of the initial existence of the grounds for “Good Reason” and provides the Company with 30 days following the date of such notice to cure the condition constituting “Good Reason.”</w:t>
      </w:r>
    </w:p>
    <w:p>
      <w:pPr>
        <w:spacing w:after="0" w:line="176" w:lineRule="exact"/>
        <w:rPr>
          <w:sz w:val="20"/>
          <w:szCs w:val="20"/>
          <w:color w:val="auto"/>
        </w:rPr>
      </w:pPr>
    </w:p>
    <w:p>
      <w:pPr>
        <w:ind w:right="20" w:firstLine="656"/>
        <w:spacing w:after="0" w:line="276" w:lineRule="auto"/>
        <w:tabs>
          <w:tab w:leader="none" w:pos="1080" w:val="left"/>
        </w:tabs>
        <w:numPr>
          <w:ilvl w:val="0"/>
          <w:numId w:val="52"/>
        </w:numPr>
        <w:rPr>
          <w:rFonts w:ascii="Arial" w:cs="Arial" w:eastAsia="Arial" w:hAnsi="Arial"/>
          <w:sz w:val="22"/>
          <w:szCs w:val="22"/>
          <w:color w:val="auto"/>
        </w:rPr>
      </w:pPr>
      <w:r>
        <w:rPr>
          <w:rFonts w:ascii="Arial" w:cs="Arial" w:eastAsia="Arial" w:hAnsi="Arial"/>
          <w:sz w:val="22"/>
          <w:szCs w:val="22"/>
          <w:u w:val="single" w:color="auto"/>
          <w:color w:val="auto"/>
        </w:rPr>
        <w:t>Benefits Provided</w:t>
      </w:r>
      <w:r>
        <w:rPr>
          <w:rFonts w:ascii="Arial" w:cs="Arial" w:eastAsia="Arial" w:hAnsi="Arial"/>
          <w:sz w:val="22"/>
          <w:szCs w:val="22"/>
          <w:color w:val="auto"/>
        </w:rPr>
        <w:t>. The Company shall provide the following payments and benefits to the Employee upon termination of employment in accordance with Section 3(a):</w:t>
      </w:r>
    </w:p>
    <w:p>
      <w:pPr>
        <w:spacing w:after="0" w:line="160" w:lineRule="exact"/>
        <w:rPr>
          <w:rFonts w:ascii="Arial" w:cs="Arial" w:eastAsia="Arial" w:hAnsi="Arial"/>
          <w:sz w:val="22"/>
          <w:szCs w:val="22"/>
          <w:color w:val="auto"/>
        </w:rPr>
      </w:pPr>
    </w:p>
    <w:p>
      <w:pPr>
        <w:ind w:right="400" w:firstLine="1953"/>
        <w:spacing w:after="0" w:line="276" w:lineRule="auto"/>
        <w:tabs>
          <w:tab w:leader="none" w:pos="2329" w:val="left"/>
        </w:tabs>
        <w:numPr>
          <w:ilvl w:val="1"/>
          <w:numId w:val="52"/>
        </w:numPr>
        <w:rPr>
          <w:rFonts w:ascii="Arial" w:cs="Arial" w:eastAsia="Arial" w:hAnsi="Arial"/>
          <w:sz w:val="22"/>
          <w:szCs w:val="22"/>
          <w:color w:val="auto"/>
        </w:rPr>
      </w:pPr>
      <w:r>
        <w:rPr>
          <w:rFonts w:ascii="Arial" w:cs="Arial" w:eastAsia="Arial" w:hAnsi="Arial"/>
          <w:sz w:val="22"/>
          <w:szCs w:val="22"/>
          <w:color w:val="auto"/>
        </w:rPr>
        <w:t>A cash payment in a lump sum (less any withholding taxes) equal to 12 months of base salary (as in effect immediately prior to the termination); and</w:t>
      </w:r>
    </w:p>
    <w:p>
      <w:pPr>
        <w:spacing w:after="0" w:line="160" w:lineRule="exact"/>
        <w:rPr>
          <w:rFonts w:ascii="Arial" w:cs="Arial" w:eastAsia="Arial" w:hAnsi="Arial"/>
          <w:sz w:val="22"/>
          <w:szCs w:val="22"/>
          <w:color w:val="auto"/>
        </w:rPr>
      </w:pPr>
    </w:p>
    <w:p>
      <w:pPr>
        <w:ind w:right="520" w:firstLine="1953"/>
        <w:spacing w:after="0" w:line="358" w:lineRule="auto"/>
        <w:tabs>
          <w:tab w:leader="none" w:pos="2389" w:val="left"/>
        </w:tabs>
        <w:numPr>
          <w:ilvl w:val="1"/>
          <w:numId w:val="52"/>
        </w:numPr>
        <w:rPr>
          <w:rFonts w:ascii="Arial" w:cs="Arial" w:eastAsia="Arial" w:hAnsi="Arial"/>
          <w:sz w:val="19"/>
          <w:szCs w:val="19"/>
          <w:color w:val="auto"/>
        </w:rPr>
      </w:pPr>
      <w:r>
        <w:rPr>
          <w:rFonts w:ascii="Arial" w:cs="Arial" w:eastAsia="Arial" w:hAnsi="Arial"/>
          <w:sz w:val="19"/>
          <w:szCs w:val="19"/>
          <w:color w:val="auto"/>
        </w:rPr>
        <w:t>A cash payment in a lump sum (less any withholding taxes) equal to the Employee’s annual target incentive bonus (as in effect immediately prior to the termination) which is currently 75% of 12 months of base salary; and</w:t>
      </w:r>
    </w:p>
    <w:p>
      <w:pPr>
        <w:spacing w:after="0" w:line="90" w:lineRule="exact"/>
        <w:rPr>
          <w:rFonts w:ascii="Arial" w:cs="Arial" w:eastAsia="Arial" w:hAnsi="Arial"/>
          <w:sz w:val="19"/>
          <w:szCs w:val="19"/>
          <w:color w:val="auto"/>
        </w:rPr>
      </w:pPr>
    </w:p>
    <w:p>
      <w:pPr>
        <w:ind w:right="120" w:firstLine="1953"/>
        <w:spacing w:after="0" w:line="251" w:lineRule="auto"/>
        <w:tabs>
          <w:tab w:leader="none" w:pos="2449" w:val="left"/>
        </w:tabs>
        <w:numPr>
          <w:ilvl w:val="1"/>
          <w:numId w:val="52"/>
        </w:numPr>
        <w:rPr>
          <w:rFonts w:ascii="Arial" w:cs="Arial" w:eastAsia="Arial" w:hAnsi="Arial"/>
          <w:sz w:val="22"/>
          <w:szCs w:val="22"/>
          <w:color w:val="auto"/>
        </w:rPr>
      </w:pPr>
      <w:r>
        <w:rPr>
          <w:rFonts w:ascii="Arial" w:cs="Arial" w:eastAsia="Arial" w:hAnsi="Arial"/>
          <w:sz w:val="22"/>
          <w:szCs w:val="22"/>
          <w:color w:val="auto"/>
        </w:rPr>
        <w:t>If the Employee, and any spouse and/or dependents of the Employee (“Family Members”) has coverage on the date of the Employee’s employment termination under a group health plan sponsored by the Company, the Company will reimburse the Employee the total applicable premium cost for continued group health plan coverage under the Consolidated Omnibus Budget Reconciliation Act of 1985, as amended (“COBRA”) for a period of twelve (12) months following the Employee’s employment termination, provided that</w:t>
      </w:r>
    </w:p>
    <w:p>
      <w:pPr>
        <w:spacing w:after="0" w:line="217"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380"/>
          </w:cols>
          <w:pgMar w:left="240" w:top="591" w:right="279" w:bottom="1440" w:gutter="0" w:footer="0" w:header="0"/>
        </w:sectPr>
      </w:pPr>
    </w:p>
    <w:bookmarkStart w:id="118" w:name="page119"/>
    <w:bookmarkEnd w:id="118"/>
    <w:p>
      <w:pPr>
        <w:spacing w:after="0" w:line="290" w:lineRule="auto"/>
        <w:rPr>
          <w:sz w:val="20"/>
          <w:szCs w:val="20"/>
          <w:color w:val="auto"/>
        </w:rPr>
      </w:pPr>
      <w:r>
        <w:rPr>
          <w:rFonts w:ascii="Arial" w:cs="Arial" w:eastAsia="Arial" w:hAnsi="Arial"/>
          <w:sz w:val="19"/>
          <w:szCs w:val="19"/>
          <w:color w:val="auto"/>
        </w:rPr>
        <w:t>the Employee validly elects and is eligible to continue coverage under COBRA for the Employee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Employee a monthly payment in an amount equal to the monthly COBRA premium (on an after-tax basis) that the Employee would be required to pay to continue the group health coverage in effect on the date of the Employee’s termination of employment (which amount will be based on the premium for the first month of COBRA coverage) for such twelve-month period, which payments will be made regardless of whether the Employee elects COBRA continuation coverage.</w:t>
      </w:r>
    </w:p>
    <w:p>
      <w:pPr>
        <w:spacing w:after="0" w:line="157" w:lineRule="exact"/>
        <w:rPr>
          <w:sz w:val="20"/>
          <w:szCs w:val="20"/>
          <w:color w:val="auto"/>
        </w:rPr>
      </w:pPr>
    </w:p>
    <w:p>
      <w:pPr>
        <w:ind w:right="200" w:firstLine="656"/>
        <w:spacing w:after="0" w:line="260" w:lineRule="auto"/>
        <w:tabs>
          <w:tab w:leader="none" w:pos="1068" w:val="left"/>
        </w:tabs>
        <w:numPr>
          <w:ilvl w:val="1"/>
          <w:numId w:val="53"/>
        </w:numPr>
        <w:rPr>
          <w:rFonts w:ascii="Arial" w:cs="Arial" w:eastAsia="Arial" w:hAnsi="Arial"/>
          <w:sz w:val="22"/>
          <w:szCs w:val="22"/>
          <w:color w:val="auto"/>
        </w:rPr>
      </w:pPr>
      <w:r>
        <w:rPr>
          <w:rFonts w:ascii="Arial" w:cs="Arial" w:eastAsia="Arial" w:hAnsi="Arial"/>
          <w:sz w:val="22"/>
          <w:szCs w:val="22"/>
          <w:u w:val="single" w:color="auto"/>
          <w:color w:val="auto"/>
        </w:rPr>
        <w:t>Release Effectiveness</w:t>
      </w:r>
      <w:r>
        <w:rPr>
          <w:rFonts w:ascii="Arial" w:cs="Arial" w:eastAsia="Arial" w:hAnsi="Arial"/>
          <w:sz w:val="22"/>
          <w:szCs w:val="22"/>
          <w:i w:val="1"/>
          <w:iCs w:val="1"/>
          <w:color w:val="auto"/>
        </w:rPr>
        <w:t>.</w:t>
      </w:r>
      <w:r>
        <w:rPr>
          <w:rFonts w:ascii="Arial" w:cs="Arial" w:eastAsia="Arial" w:hAnsi="Arial"/>
          <w:sz w:val="22"/>
          <w:szCs w:val="22"/>
          <w:color w:val="auto"/>
        </w:rPr>
        <w:t xml:space="preserve"> The receipt of any severance pursuant to Section 3(b) will be subject to Employee signing and not revoking the Release and further subject to the Release becoming effective within sixty (60) days following Employee’s termination of employment (the “Release Deadline Date”).</w:t>
      </w:r>
    </w:p>
    <w:p>
      <w:pPr>
        <w:spacing w:after="0" w:line="177" w:lineRule="exact"/>
        <w:rPr>
          <w:rFonts w:ascii="Arial" w:cs="Arial" w:eastAsia="Arial" w:hAnsi="Arial"/>
          <w:sz w:val="22"/>
          <w:szCs w:val="22"/>
          <w:color w:val="auto"/>
        </w:rPr>
      </w:pPr>
    </w:p>
    <w:p>
      <w:pPr>
        <w:ind w:right="260" w:firstLine="656"/>
        <w:spacing w:after="0" w:line="260" w:lineRule="auto"/>
        <w:tabs>
          <w:tab w:leader="none" w:pos="1080" w:val="left"/>
        </w:tabs>
        <w:numPr>
          <w:ilvl w:val="1"/>
          <w:numId w:val="53"/>
        </w:numPr>
        <w:rPr>
          <w:rFonts w:ascii="Arial" w:cs="Arial" w:eastAsia="Arial" w:hAnsi="Arial"/>
          <w:sz w:val="22"/>
          <w:szCs w:val="22"/>
          <w:color w:val="auto"/>
        </w:rPr>
      </w:pPr>
      <w:r>
        <w:rPr>
          <w:rFonts w:ascii="Arial" w:cs="Arial" w:eastAsia="Arial" w:hAnsi="Arial"/>
          <w:sz w:val="22"/>
          <w:szCs w:val="22"/>
          <w:u w:val="single" w:color="auto"/>
          <w:color w:val="auto"/>
        </w:rPr>
        <w:t>Timing of Severance Payments</w:t>
      </w:r>
      <w:r>
        <w:rPr>
          <w:rFonts w:ascii="Arial" w:cs="Arial" w:eastAsia="Arial" w:hAnsi="Arial"/>
          <w:sz w:val="22"/>
          <w:szCs w:val="22"/>
          <w:color w:val="auto"/>
        </w:rPr>
        <w:t>. Any cash severance payment to which Employee is entitled shall be paid by the Company to Employee in a single lump sum in cash on the first Company payroll after the Release Deadline Date, subject to any delay required by Section 3(f).</w:t>
      </w:r>
    </w:p>
    <w:p>
      <w:pPr>
        <w:spacing w:after="0" w:line="177" w:lineRule="exact"/>
        <w:rPr>
          <w:rFonts w:ascii="Arial" w:cs="Arial" w:eastAsia="Arial" w:hAnsi="Arial"/>
          <w:sz w:val="22"/>
          <w:szCs w:val="22"/>
          <w:color w:val="auto"/>
        </w:rPr>
      </w:pPr>
    </w:p>
    <w:p>
      <w:pPr>
        <w:ind w:right="260" w:firstLine="656"/>
        <w:spacing w:after="0" w:line="260" w:lineRule="auto"/>
        <w:tabs>
          <w:tab w:leader="none" w:pos="1068" w:val="left"/>
        </w:tabs>
        <w:numPr>
          <w:ilvl w:val="1"/>
          <w:numId w:val="53"/>
        </w:numPr>
        <w:rPr>
          <w:rFonts w:ascii="Arial" w:cs="Arial" w:eastAsia="Arial" w:hAnsi="Arial"/>
          <w:sz w:val="22"/>
          <w:szCs w:val="22"/>
          <w:color w:val="auto"/>
        </w:rPr>
      </w:pPr>
      <w:r>
        <w:rPr>
          <w:rFonts w:ascii="Arial" w:cs="Arial" w:eastAsia="Arial" w:hAnsi="Arial"/>
          <w:sz w:val="22"/>
          <w:szCs w:val="22"/>
          <w:u w:val="single" w:color="auto"/>
          <w:color w:val="auto"/>
        </w:rPr>
        <w:t>Change of Control Benefits</w:t>
      </w:r>
      <w:r>
        <w:rPr>
          <w:rFonts w:ascii="Arial" w:cs="Arial" w:eastAsia="Arial" w:hAnsi="Arial"/>
          <w:sz w:val="22"/>
          <w:szCs w:val="22"/>
          <w:color w:val="auto"/>
        </w:rPr>
        <w:t>. In the event the Employee receives severance and other benefits pursuant to a change in control agreement that are greater than or equal to the amounts payable hereunder, then the Employee shall not be entitled to receive severance or any other benefits under this Agreement.</w:t>
      </w:r>
    </w:p>
    <w:p>
      <w:pPr>
        <w:spacing w:after="0" w:line="177" w:lineRule="exact"/>
        <w:rPr>
          <w:rFonts w:ascii="Arial" w:cs="Arial" w:eastAsia="Arial" w:hAnsi="Arial"/>
          <w:sz w:val="22"/>
          <w:szCs w:val="22"/>
          <w:color w:val="auto"/>
        </w:rPr>
      </w:pPr>
    </w:p>
    <w:p>
      <w:pPr>
        <w:ind w:left="1060" w:hanging="404"/>
        <w:spacing w:after="0"/>
        <w:tabs>
          <w:tab w:leader="none" w:pos="1060" w:val="left"/>
        </w:tabs>
        <w:numPr>
          <w:ilvl w:val="1"/>
          <w:numId w:val="53"/>
        </w:numPr>
        <w:rPr>
          <w:rFonts w:ascii="Arial" w:cs="Arial" w:eastAsia="Arial" w:hAnsi="Arial"/>
          <w:sz w:val="22"/>
          <w:szCs w:val="22"/>
          <w:color w:val="auto"/>
        </w:rPr>
      </w:pPr>
      <w:r>
        <w:rPr>
          <w:rFonts w:ascii="Arial" w:cs="Arial" w:eastAsia="Arial" w:hAnsi="Arial"/>
          <w:sz w:val="22"/>
          <w:szCs w:val="22"/>
          <w:u w:val="single" w:color="auto"/>
          <w:color w:val="auto"/>
        </w:rPr>
        <w:t>Section 409A</w:t>
      </w:r>
      <w:r>
        <w:rPr>
          <w:rFonts w:ascii="Arial" w:cs="Arial" w:eastAsia="Arial" w:hAnsi="Arial"/>
          <w:sz w:val="22"/>
          <w:szCs w:val="22"/>
          <w:color w:val="auto"/>
        </w:rPr>
        <w:t>.</w:t>
      </w:r>
    </w:p>
    <w:p>
      <w:pPr>
        <w:spacing w:after="0" w:line="233" w:lineRule="exact"/>
        <w:rPr>
          <w:rFonts w:ascii="Arial" w:cs="Arial" w:eastAsia="Arial" w:hAnsi="Arial"/>
          <w:sz w:val="22"/>
          <w:szCs w:val="22"/>
          <w:color w:val="auto"/>
        </w:rPr>
      </w:pPr>
    </w:p>
    <w:p>
      <w:pPr>
        <w:ind w:right="140" w:firstLine="1305"/>
        <w:spacing w:after="0" w:line="286" w:lineRule="auto"/>
        <w:tabs>
          <w:tab w:leader="none" w:pos="1680" w:val="left"/>
        </w:tabs>
        <w:numPr>
          <w:ilvl w:val="2"/>
          <w:numId w:val="53"/>
        </w:numPr>
        <w:rPr>
          <w:rFonts w:ascii="Arial" w:cs="Arial" w:eastAsia="Arial" w:hAnsi="Arial"/>
          <w:sz w:val="19"/>
          <w:szCs w:val="19"/>
          <w:color w:val="auto"/>
        </w:rPr>
      </w:pPr>
      <w:r>
        <w:rPr>
          <w:rFonts w:ascii="Arial" w:cs="Arial" w:eastAsia="Arial" w:hAnsi="Arial"/>
          <w:sz w:val="19"/>
          <w:szCs w:val="19"/>
          <w:color w:val="auto"/>
        </w:rPr>
        <w:t>Notwithstanding anything to the contrary in this Agreement, if Employee is a “specified employee” within the meaning of Section 409A of the Internal Revenue Code of 1986, as amended (the “Code”) and the final regulations and any guidance promulgated thereunder (“Section 409A”) at the time of Employee’s termination (other than due to death) or resignation, then the severance payable to Employee, if any, pursuant to this Agreement, when considered together with any other severance payments or separation benefits that are considered deferred compensation under Section 409A (together, the “Deferred Compensation Separation Benefits”) that are payable within the first six (6) months following Employee’s termination of employment, will become payable on or within ten days following the first payroll date that occurs on or after the date six</w:t>
      </w:r>
    </w:p>
    <w:p>
      <w:pPr>
        <w:spacing w:after="0" w:line="5" w:lineRule="exact"/>
        <w:rPr>
          <w:rFonts w:ascii="Arial" w:cs="Arial" w:eastAsia="Arial" w:hAnsi="Arial"/>
          <w:sz w:val="19"/>
          <w:szCs w:val="19"/>
          <w:color w:val="auto"/>
        </w:rPr>
      </w:pPr>
    </w:p>
    <w:p>
      <w:pPr>
        <w:ind w:right="40" w:firstLine="8"/>
        <w:spacing w:after="0" w:line="290" w:lineRule="auto"/>
        <w:tabs>
          <w:tab w:leader="none" w:pos="306" w:val="left"/>
        </w:tabs>
        <w:numPr>
          <w:ilvl w:val="0"/>
          <w:numId w:val="54"/>
        </w:numPr>
        <w:rPr>
          <w:rFonts w:ascii="Arial" w:cs="Arial" w:eastAsia="Arial" w:hAnsi="Arial"/>
          <w:sz w:val="19"/>
          <w:szCs w:val="19"/>
          <w:color w:val="auto"/>
        </w:rPr>
      </w:pPr>
      <w:r>
        <w:rPr>
          <w:rFonts w:ascii="Arial" w:cs="Arial" w:eastAsia="Arial" w:hAnsi="Arial"/>
          <w:sz w:val="19"/>
          <w:szCs w:val="19"/>
          <w:color w:val="auto"/>
        </w:rPr>
        <w:t>months and one (1) day following the date of Employee’s termination of employment. All subsequent Deferred Compensation Separation Benefits, if any, will be payable in accordance with the payment schedule applicable to each payment or benefit. Notwithstanding anything herein to the contrary, if Employee dies following his termination but prior to the six (6) month anniversary of his termination, then any payments delayed in accordance with this paragraph will be payable in a lump sum as soon as administratively practicable after the date of Employee’s death and all other Deferred Compensation Separation Benefits will be payable in accordance with the payment schedule applicable to each payment or</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420"/>
          </w:cols>
          <w:pgMar w:left="240" w:top="591" w:right="239" w:bottom="1440" w:gutter="0" w:footer="0" w:header="0"/>
        </w:sectPr>
      </w:pPr>
    </w:p>
    <w:bookmarkStart w:id="119" w:name="page120"/>
    <w:bookmarkEnd w:id="119"/>
    <w:p>
      <w:pPr>
        <w:ind w:right="660"/>
        <w:spacing w:after="0" w:line="263" w:lineRule="auto"/>
        <w:rPr>
          <w:sz w:val="20"/>
          <w:szCs w:val="20"/>
          <w:color w:val="auto"/>
        </w:rPr>
      </w:pPr>
      <w:r>
        <w:rPr>
          <w:rFonts w:ascii="Arial" w:cs="Arial" w:eastAsia="Arial" w:hAnsi="Arial"/>
          <w:sz w:val="22"/>
          <w:szCs w:val="22"/>
          <w:color w:val="auto"/>
        </w:rPr>
        <w:t>benefit. Each payment and benefit payable under this Agreement is intended to constitute separate payments for purposes of Section 1.409A-2(b)(2) of the Treasury Regulations.</w:t>
      </w:r>
    </w:p>
    <w:p>
      <w:pPr>
        <w:spacing w:after="0" w:line="175" w:lineRule="exact"/>
        <w:rPr>
          <w:sz w:val="20"/>
          <w:szCs w:val="20"/>
          <w:color w:val="auto"/>
        </w:rPr>
      </w:pPr>
    </w:p>
    <w:p>
      <w:pPr>
        <w:jc w:val="both"/>
        <w:ind w:firstLine="1305"/>
        <w:spacing w:after="0" w:line="260" w:lineRule="auto"/>
        <w:tabs>
          <w:tab w:leader="none" w:pos="1741" w:val="left"/>
        </w:tabs>
        <w:numPr>
          <w:ilvl w:val="1"/>
          <w:numId w:val="55"/>
        </w:numPr>
        <w:rPr>
          <w:rFonts w:ascii="Arial" w:cs="Arial" w:eastAsia="Arial" w:hAnsi="Arial"/>
          <w:sz w:val="22"/>
          <w:szCs w:val="22"/>
          <w:color w:val="auto"/>
        </w:rPr>
      </w:pPr>
      <w:r>
        <w:rPr>
          <w:rFonts w:ascii="Arial" w:cs="Arial" w:eastAsia="Arial" w:hAnsi="Arial"/>
          <w:sz w:val="22"/>
          <w:szCs w:val="22"/>
          <w:color w:val="auto"/>
        </w:rPr>
        <w:t>Any amount paid under this Agreement that satisfies the requirements of the “short-term deferral” rule set forth in Section 1.409A-1(b)(4) of the Treasury Regulations shall not constitute Deferred Compensation Separation Benefits for purposes of clause (i) above.</w:t>
      </w:r>
    </w:p>
    <w:p>
      <w:pPr>
        <w:spacing w:after="0" w:line="177" w:lineRule="exact"/>
        <w:rPr>
          <w:rFonts w:ascii="Arial" w:cs="Arial" w:eastAsia="Arial" w:hAnsi="Arial"/>
          <w:sz w:val="22"/>
          <w:szCs w:val="22"/>
          <w:color w:val="auto"/>
        </w:rPr>
      </w:pPr>
    </w:p>
    <w:p>
      <w:pPr>
        <w:ind w:right="160" w:firstLine="1305"/>
        <w:spacing w:after="0" w:line="292" w:lineRule="auto"/>
        <w:tabs>
          <w:tab w:leader="none" w:pos="1800" w:val="left"/>
        </w:tabs>
        <w:numPr>
          <w:ilvl w:val="1"/>
          <w:numId w:val="55"/>
        </w:numPr>
        <w:rPr>
          <w:rFonts w:ascii="Arial" w:cs="Arial" w:eastAsia="Arial" w:hAnsi="Arial"/>
          <w:sz w:val="19"/>
          <w:szCs w:val="19"/>
          <w:color w:val="auto"/>
        </w:rPr>
      </w:pPr>
      <w:r>
        <w:rPr>
          <w:rFonts w:ascii="Arial" w:cs="Arial" w:eastAsia="Arial" w:hAnsi="Arial"/>
          <w:sz w:val="19"/>
          <w:szCs w:val="19"/>
          <w:color w:val="auto"/>
        </w:rPr>
        <w:t>Any amount paid under this Agreement that qualifies as a payment made as a result of an involuntary separation from service pursuant to Section 1.409A-1(b)(9)(iii) of the Treasury Regulations that do not exceed the Section 409A Limit shall not constitute Deferred Compensation Separation Benefits for purposes of clause (i) above. “Section 409A Limit” will mean the lesser of two (2) times: (i) Employee’s annualized compensation based upon the annual rate of pay paid to Employee during the Employee’s taxable year preceding the Employee’s taxable year of Employee’s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Employee’s employment is terminated.</w:t>
      </w:r>
    </w:p>
    <w:p>
      <w:pPr>
        <w:spacing w:after="0" w:line="155" w:lineRule="exact"/>
        <w:rPr>
          <w:rFonts w:ascii="Arial" w:cs="Arial" w:eastAsia="Arial" w:hAnsi="Arial"/>
          <w:sz w:val="19"/>
          <w:szCs w:val="19"/>
          <w:color w:val="auto"/>
        </w:rPr>
      </w:pPr>
    </w:p>
    <w:p>
      <w:pPr>
        <w:ind w:right="120" w:firstLine="1305"/>
        <w:spacing w:after="0" w:line="300" w:lineRule="auto"/>
        <w:tabs>
          <w:tab w:leader="none" w:pos="1788" w:val="left"/>
        </w:tabs>
        <w:numPr>
          <w:ilvl w:val="1"/>
          <w:numId w:val="55"/>
        </w:numPr>
        <w:rPr>
          <w:rFonts w:ascii="Arial" w:cs="Arial" w:eastAsia="Arial" w:hAnsi="Arial"/>
          <w:sz w:val="19"/>
          <w:szCs w:val="19"/>
          <w:color w:val="auto"/>
        </w:rPr>
      </w:pPr>
      <w:r>
        <w:rPr>
          <w:rFonts w:ascii="Arial" w:cs="Arial" w:eastAsia="Arial" w:hAnsi="Arial"/>
          <w:sz w:val="19"/>
          <w:szCs w:val="19"/>
          <w:color w:val="auto"/>
        </w:rPr>
        <w:t>The foregoing provisions are intended to comply with the requirements of Section 409A so that none of the severance payments and benefits to be provided hereunder will be subject to the additional tax imposed under Section 409A, and any ambiguities herein will be interpreted to so comply. The Company and Employee agree to work together in good faith to consider amendments to this Agreement and to take such reasonable actions which are necessary, appropriate or desirable to avoid imposition of any additional tax or income recognition prior to actual payment to Employee under Section 409A.</w:t>
      </w:r>
    </w:p>
    <w:p>
      <w:pPr>
        <w:spacing w:after="0" w:line="147" w:lineRule="exact"/>
        <w:rPr>
          <w:rFonts w:ascii="Arial" w:cs="Arial" w:eastAsia="Arial" w:hAnsi="Arial"/>
          <w:sz w:val="19"/>
          <w:szCs w:val="19"/>
          <w:color w:val="auto"/>
        </w:rPr>
      </w:pPr>
    </w:p>
    <w:p>
      <w:pPr>
        <w:ind w:left="1000" w:hanging="344"/>
        <w:spacing w:after="0"/>
        <w:tabs>
          <w:tab w:leader="none" w:pos="1000" w:val="left"/>
        </w:tabs>
        <w:numPr>
          <w:ilvl w:val="0"/>
          <w:numId w:val="56"/>
        </w:numPr>
        <w:rPr>
          <w:rFonts w:ascii="Arial" w:cs="Arial" w:eastAsia="Arial" w:hAnsi="Arial"/>
          <w:sz w:val="22"/>
          <w:szCs w:val="22"/>
          <w:color w:val="auto"/>
        </w:rPr>
      </w:pPr>
      <w:r>
        <w:rPr>
          <w:rFonts w:ascii="Arial" w:cs="Arial" w:eastAsia="Arial" w:hAnsi="Arial"/>
          <w:sz w:val="22"/>
          <w:szCs w:val="22"/>
          <w:u w:val="single" w:color="auto"/>
          <w:color w:val="auto"/>
        </w:rPr>
        <w:t>Successors</w:t>
      </w:r>
      <w:r>
        <w:rPr>
          <w:rFonts w:ascii="Arial" w:cs="Arial" w:eastAsia="Arial" w:hAnsi="Arial"/>
          <w:sz w:val="22"/>
          <w:szCs w:val="22"/>
          <w:color w:val="auto"/>
        </w:rPr>
        <w:t>.</w:t>
      </w:r>
    </w:p>
    <w:p>
      <w:pPr>
        <w:spacing w:after="0" w:line="233" w:lineRule="exact"/>
        <w:rPr>
          <w:sz w:val="20"/>
          <w:szCs w:val="20"/>
          <w:color w:val="auto"/>
        </w:rPr>
      </w:pPr>
    </w:p>
    <w:p>
      <w:pPr>
        <w:ind w:right="120" w:firstLine="656"/>
        <w:spacing w:after="0" w:line="261" w:lineRule="auto"/>
        <w:tabs>
          <w:tab w:leader="none" w:pos="1068" w:val="left"/>
        </w:tabs>
        <w:numPr>
          <w:ilvl w:val="0"/>
          <w:numId w:val="57"/>
        </w:numPr>
        <w:rPr>
          <w:rFonts w:ascii="Arial" w:cs="Arial" w:eastAsia="Arial" w:hAnsi="Arial"/>
          <w:sz w:val="21"/>
          <w:szCs w:val="21"/>
          <w:color w:val="auto"/>
        </w:rPr>
      </w:pPr>
      <w:r>
        <w:rPr>
          <w:rFonts w:ascii="Arial" w:cs="Arial" w:eastAsia="Arial" w:hAnsi="Arial"/>
          <w:sz w:val="21"/>
          <w:szCs w:val="21"/>
          <w:u w:val="single" w:color="auto"/>
          <w:color w:val="auto"/>
        </w:rPr>
        <w:t>The Company’s Successors</w:t>
      </w:r>
      <w:r>
        <w:rPr>
          <w:rFonts w:ascii="Arial" w:cs="Arial" w:eastAsia="Arial" w:hAnsi="Arial"/>
          <w:sz w:val="21"/>
          <w:szCs w:val="21"/>
          <w:color w:val="auto"/>
        </w:rPr>
        <w:t>. Any successor to the Company (whether direct or indirect and whether by purchase, merger, consolidation, liquidation or otherwise) to all or substantially all of the Company’s business and/or assets shall assume the obligations under this Agreement and agree expressly to perform the obligations under this Agreement in the same manner and to the same extent as the Company would be required to perform such obligations in the absence of a succession. For all purposes under this Agreement, the term “Company” shall include any successor to the Company’s business and/or assets which executes and delivers the assumption agreement described in this Section 4(a) or which becomes bound by the terms of this Agreement by operation of law. The term “Company” shall also include any direct or indirect subsidiary that is majority owned by the Company or Marvell.</w:t>
      </w:r>
    </w:p>
    <w:p>
      <w:pPr>
        <w:spacing w:after="0" w:line="181" w:lineRule="exact"/>
        <w:rPr>
          <w:rFonts w:ascii="Arial" w:cs="Arial" w:eastAsia="Arial" w:hAnsi="Arial"/>
          <w:sz w:val="21"/>
          <w:szCs w:val="21"/>
          <w:color w:val="auto"/>
        </w:rPr>
      </w:pPr>
    </w:p>
    <w:p>
      <w:pPr>
        <w:ind w:right="220" w:firstLine="656"/>
        <w:spacing w:after="0" w:line="260" w:lineRule="auto"/>
        <w:tabs>
          <w:tab w:leader="none" w:pos="1080" w:val="left"/>
        </w:tabs>
        <w:numPr>
          <w:ilvl w:val="0"/>
          <w:numId w:val="57"/>
        </w:numPr>
        <w:rPr>
          <w:rFonts w:ascii="Arial" w:cs="Arial" w:eastAsia="Arial" w:hAnsi="Arial"/>
          <w:sz w:val="22"/>
          <w:szCs w:val="22"/>
          <w:color w:val="auto"/>
        </w:rPr>
      </w:pPr>
      <w:r>
        <w:rPr>
          <w:rFonts w:ascii="Arial" w:cs="Arial" w:eastAsia="Arial" w:hAnsi="Arial"/>
          <w:sz w:val="22"/>
          <w:szCs w:val="22"/>
          <w:u w:val="single" w:color="auto"/>
          <w:color w:val="auto"/>
        </w:rPr>
        <w:t>The Employee’s Successors</w:t>
      </w:r>
      <w:r>
        <w:rPr>
          <w:rFonts w:ascii="Arial" w:cs="Arial" w:eastAsia="Arial" w:hAnsi="Arial"/>
          <w:sz w:val="22"/>
          <w:szCs w:val="22"/>
          <w:color w:val="auto"/>
        </w:rPr>
        <w:t>. The terms of this Agreement and all rights of the Employee hereunder shall inure to the benefit of, and be enforceable by, the Employee’s personal or legal representatives, executors, administrators, successors, heirs, distributees, devisees and legatees.</w:t>
      </w: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400"/>
          </w:cols>
          <w:pgMar w:left="240" w:top="591" w:right="259" w:bottom="1440" w:gutter="0" w:footer="0" w:header="0"/>
        </w:sectPr>
      </w:pPr>
    </w:p>
    <w:bookmarkStart w:id="120" w:name="page121"/>
    <w:bookmarkEnd w:id="120"/>
    <w:p>
      <w:pPr>
        <w:ind w:left="-8" w:firstLine="656"/>
        <w:spacing w:after="0" w:line="290" w:lineRule="auto"/>
        <w:tabs>
          <w:tab w:leader="none" w:pos="982" w:val="left"/>
        </w:tabs>
        <w:numPr>
          <w:ilvl w:val="1"/>
          <w:numId w:val="58"/>
        </w:numPr>
        <w:rPr>
          <w:rFonts w:ascii="Arial" w:cs="Arial" w:eastAsia="Arial" w:hAnsi="Arial"/>
          <w:sz w:val="19"/>
          <w:szCs w:val="19"/>
          <w:color w:val="auto"/>
        </w:rPr>
      </w:pPr>
      <w:r>
        <w:rPr>
          <w:rFonts w:ascii="Arial" w:cs="Arial" w:eastAsia="Arial" w:hAnsi="Arial"/>
          <w:sz w:val="19"/>
          <w:szCs w:val="19"/>
          <w:u w:val="single" w:color="auto"/>
          <w:color w:val="auto"/>
        </w:rPr>
        <w:t>Notice</w:t>
      </w:r>
      <w:r>
        <w:rPr>
          <w:rFonts w:ascii="Arial" w:cs="Arial" w:eastAsia="Arial" w:hAnsi="Arial"/>
          <w:sz w:val="19"/>
          <w:szCs w:val="19"/>
          <w:color w:val="auto"/>
        </w:rPr>
        <w:t>. All notices and other communications required or permitted hereunder shall be in writing, shall be effective when given, and shall in any event be deemed to be given upon receipt or, if earlier, (a) five (5) days after deposit with the U.S. Postal Service or other applicable postal service, if delivered by first class mail, postage prepaid, (b) upon delivery, if delivered by hand, (c) one (1) business day after the business day of deposit with Federal Express or similar overnight courier, freight prepaid or</w:t>
      </w:r>
    </w:p>
    <w:p>
      <w:pPr>
        <w:spacing w:after="0" w:line="1" w:lineRule="exact"/>
        <w:rPr>
          <w:rFonts w:ascii="Arial" w:cs="Arial" w:eastAsia="Arial" w:hAnsi="Arial"/>
          <w:sz w:val="19"/>
          <w:szCs w:val="19"/>
          <w:color w:val="auto"/>
        </w:rPr>
      </w:pPr>
    </w:p>
    <w:p>
      <w:pPr>
        <w:jc w:val="both"/>
        <w:ind w:left="-8" w:right="40" w:firstLine="8"/>
        <w:spacing w:after="0" w:line="295" w:lineRule="auto"/>
        <w:tabs>
          <w:tab w:leader="none" w:pos="298" w:val="left"/>
        </w:tabs>
        <w:numPr>
          <w:ilvl w:val="0"/>
          <w:numId w:val="59"/>
        </w:numPr>
        <w:rPr>
          <w:rFonts w:ascii="Arial" w:cs="Arial" w:eastAsia="Arial" w:hAnsi="Arial"/>
          <w:sz w:val="19"/>
          <w:szCs w:val="19"/>
          <w:color w:val="auto"/>
        </w:rPr>
      </w:pPr>
      <w:r>
        <w:rPr>
          <w:rFonts w:ascii="Arial" w:cs="Arial" w:eastAsia="Arial" w:hAnsi="Arial"/>
          <w:sz w:val="19"/>
          <w:szCs w:val="19"/>
          <w:color w:val="auto"/>
        </w:rPr>
        <w:t>one (1) business day after the business day of facsimile transmission, if delivered by facsimile transmission with copy by first class mail, postage prepaid, and shall be addressed (i) if to Employee, at his or her last known residential address and (ii) if to the Company, at the address of its principal corporate offices (attention: Secretary), or in any such case at such other address as a party may designate by ten (10) days’ advance written notice to the other party pursuant to the provisions above.</w:t>
      </w:r>
    </w:p>
    <w:p>
      <w:pPr>
        <w:spacing w:after="0" w:line="150" w:lineRule="exact"/>
        <w:rPr>
          <w:rFonts w:ascii="Arial" w:cs="Arial" w:eastAsia="Arial" w:hAnsi="Arial"/>
          <w:sz w:val="19"/>
          <w:szCs w:val="19"/>
          <w:color w:val="auto"/>
        </w:rPr>
      </w:pPr>
    </w:p>
    <w:p>
      <w:pPr>
        <w:ind w:left="992" w:hanging="344"/>
        <w:spacing w:after="0"/>
        <w:tabs>
          <w:tab w:leader="none" w:pos="992" w:val="left"/>
        </w:tabs>
        <w:numPr>
          <w:ilvl w:val="1"/>
          <w:numId w:val="59"/>
        </w:numPr>
        <w:rPr>
          <w:rFonts w:ascii="Arial" w:cs="Arial" w:eastAsia="Arial" w:hAnsi="Arial"/>
          <w:sz w:val="22"/>
          <w:szCs w:val="22"/>
          <w:color w:val="auto"/>
        </w:rPr>
      </w:pPr>
      <w:r>
        <w:rPr>
          <w:rFonts w:ascii="Arial" w:cs="Arial" w:eastAsia="Arial" w:hAnsi="Arial"/>
          <w:sz w:val="22"/>
          <w:szCs w:val="22"/>
          <w:u w:val="single" w:color="auto"/>
          <w:color w:val="auto"/>
        </w:rPr>
        <w:t>Miscellaneous Provisions</w:t>
      </w:r>
      <w:r>
        <w:rPr>
          <w:rFonts w:ascii="Arial" w:cs="Arial" w:eastAsia="Arial" w:hAnsi="Arial"/>
          <w:sz w:val="22"/>
          <w:szCs w:val="22"/>
          <w:color w:val="auto"/>
        </w:rPr>
        <w:t>.</w:t>
      </w:r>
    </w:p>
    <w:p>
      <w:pPr>
        <w:spacing w:after="0" w:line="233" w:lineRule="exact"/>
        <w:rPr>
          <w:sz w:val="20"/>
          <w:szCs w:val="20"/>
          <w:color w:val="auto"/>
        </w:rPr>
      </w:pPr>
    </w:p>
    <w:p>
      <w:pPr>
        <w:ind w:left="-8" w:right="60" w:firstLine="656"/>
        <w:spacing w:after="0" w:line="358" w:lineRule="auto"/>
        <w:tabs>
          <w:tab w:leader="none" w:pos="1060" w:val="left"/>
        </w:tabs>
        <w:numPr>
          <w:ilvl w:val="0"/>
          <w:numId w:val="60"/>
        </w:numPr>
        <w:rPr>
          <w:rFonts w:ascii="Arial" w:cs="Arial" w:eastAsia="Arial" w:hAnsi="Arial"/>
          <w:sz w:val="19"/>
          <w:szCs w:val="19"/>
          <w:color w:val="auto"/>
        </w:rPr>
      </w:pPr>
      <w:r>
        <w:rPr>
          <w:rFonts w:ascii="Arial" w:cs="Arial" w:eastAsia="Arial" w:hAnsi="Arial"/>
          <w:sz w:val="19"/>
          <w:szCs w:val="19"/>
          <w:u w:val="single" w:color="auto"/>
          <w:color w:val="auto"/>
        </w:rPr>
        <w:t>No Duty to Mitigate</w:t>
      </w:r>
      <w:r>
        <w:rPr>
          <w:rFonts w:ascii="Arial" w:cs="Arial" w:eastAsia="Arial" w:hAnsi="Arial"/>
          <w:sz w:val="19"/>
          <w:szCs w:val="19"/>
          <w:color w:val="auto"/>
        </w:rPr>
        <w:t>. The Employee shall not be required to mitigate the amount of any payment contemplated by this Agreement, nor shall any such payment be reduced by any earnings that the Employee may receive from any other source.</w:t>
      </w:r>
    </w:p>
    <w:p>
      <w:pPr>
        <w:spacing w:after="0" w:line="90" w:lineRule="exact"/>
        <w:rPr>
          <w:rFonts w:ascii="Arial" w:cs="Arial" w:eastAsia="Arial" w:hAnsi="Arial"/>
          <w:sz w:val="19"/>
          <w:szCs w:val="19"/>
          <w:color w:val="auto"/>
        </w:rPr>
      </w:pPr>
    </w:p>
    <w:p>
      <w:pPr>
        <w:ind w:left="-8" w:firstLine="656"/>
        <w:spacing w:after="0" w:line="307" w:lineRule="auto"/>
        <w:tabs>
          <w:tab w:leader="none" w:pos="1072" w:val="left"/>
        </w:tabs>
        <w:numPr>
          <w:ilvl w:val="0"/>
          <w:numId w:val="60"/>
        </w:numPr>
        <w:rPr>
          <w:rFonts w:ascii="Arial" w:cs="Arial" w:eastAsia="Arial" w:hAnsi="Arial"/>
          <w:sz w:val="19"/>
          <w:szCs w:val="19"/>
          <w:color w:val="auto"/>
        </w:rPr>
      </w:pPr>
      <w:r>
        <w:rPr>
          <w:rFonts w:ascii="Arial" w:cs="Arial" w:eastAsia="Arial" w:hAnsi="Arial"/>
          <w:sz w:val="19"/>
          <w:szCs w:val="19"/>
          <w:u w:val="single" w:color="auto"/>
          <w:color w:val="auto"/>
        </w:rPr>
        <w:t>Waiver</w:t>
      </w:r>
      <w:r>
        <w:rPr>
          <w:rFonts w:ascii="Arial" w:cs="Arial" w:eastAsia="Arial" w:hAnsi="Arial"/>
          <w:sz w:val="19"/>
          <w:szCs w:val="19"/>
          <w:color w:val="auto"/>
        </w:rPr>
        <w:t>. No provision of this Agreement shall be modified, waived or discharged unless the modification, waiver or discharge is agreed to in writing and signed by the Employee and by an authorized officer of the Company (other than the Employee). No waiver by either party of any breach of, or of compliance with, any condition or provision of this Agreement by the other party shall be considered a waiver of any other condition or provision or of the same condition or provision at another time.</w:t>
      </w:r>
    </w:p>
    <w:p>
      <w:pPr>
        <w:spacing w:after="0" w:line="138" w:lineRule="exact"/>
        <w:rPr>
          <w:rFonts w:ascii="Arial" w:cs="Arial" w:eastAsia="Arial" w:hAnsi="Arial"/>
          <w:sz w:val="19"/>
          <w:szCs w:val="19"/>
          <w:color w:val="auto"/>
        </w:rPr>
      </w:pPr>
    </w:p>
    <w:p>
      <w:pPr>
        <w:ind w:left="-8" w:right="40" w:firstLine="656"/>
        <w:spacing w:after="0" w:line="276" w:lineRule="auto"/>
        <w:tabs>
          <w:tab w:leader="none" w:pos="1060" w:val="left"/>
        </w:tabs>
        <w:numPr>
          <w:ilvl w:val="0"/>
          <w:numId w:val="60"/>
        </w:numPr>
        <w:rPr>
          <w:rFonts w:ascii="Arial" w:cs="Arial" w:eastAsia="Arial" w:hAnsi="Arial"/>
          <w:sz w:val="22"/>
          <w:szCs w:val="22"/>
          <w:color w:val="auto"/>
        </w:rPr>
      </w:pPr>
      <w:r>
        <w:rPr>
          <w:rFonts w:ascii="Arial" w:cs="Arial" w:eastAsia="Arial" w:hAnsi="Arial"/>
          <w:sz w:val="22"/>
          <w:szCs w:val="22"/>
          <w:u w:val="single" w:color="auto"/>
          <w:color w:val="auto"/>
        </w:rPr>
        <w:t>Headings</w:t>
      </w:r>
      <w:r>
        <w:rPr>
          <w:rFonts w:ascii="Arial" w:cs="Arial" w:eastAsia="Arial" w:hAnsi="Arial"/>
          <w:sz w:val="22"/>
          <w:szCs w:val="22"/>
          <w:color w:val="auto"/>
        </w:rPr>
        <w:t>. All captions and section headings used in this Agreement are for convenient reference only and do not form a part of this Agreement.</w:t>
      </w:r>
    </w:p>
    <w:p>
      <w:pPr>
        <w:spacing w:after="0" w:line="160" w:lineRule="exact"/>
        <w:rPr>
          <w:rFonts w:ascii="Arial" w:cs="Arial" w:eastAsia="Arial" w:hAnsi="Arial"/>
          <w:sz w:val="22"/>
          <w:szCs w:val="22"/>
          <w:color w:val="auto"/>
        </w:rPr>
      </w:pPr>
    </w:p>
    <w:p>
      <w:pPr>
        <w:ind w:left="-8" w:right="300" w:firstLine="656"/>
        <w:spacing w:after="0" w:line="307" w:lineRule="auto"/>
        <w:tabs>
          <w:tab w:leader="none" w:pos="1072" w:val="left"/>
        </w:tabs>
        <w:numPr>
          <w:ilvl w:val="0"/>
          <w:numId w:val="60"/>
        </w:numPr>
        <w:rPr>
          <w:rFonts w:ascii="Arial" w:cs="Arial" w:eastAsia="Arial" w:hAnsi="Arial"/>
          <w:sz w:val="19"/>
          <w:szCs w:val="19"/>
          <w:color w:val="auto"/>
        </w:rPr>
      </w:pPr>
      <w:r>
        <w:rPr>
          <w:rFonts w:ascii="Arial" w:cs="Arial" w:eastAsia="Arial" w:hAnsi="Arial"/>
          <w:sz w:val="19"/>
          <w:szCs w:val="19"/>
          <w:u w:val="single" w:color="auto"/>
          <w:color w:val="auto"/>
        </w:rPr>
        <w:t>Entire Agreement</w:t>
      </w:r>
      <w:r>
        <w:rPr>
          <w:rFonts w:ascii="Arial" w:cs="Arial" w:eastAsia="Arial" w:hAnsi="Arial"/>
          <w:sz w:val="19"/>
          <w:szCs w:val="19"/>
          <w:color w:val="auto"/>
        </w:rPr>
        <w:t>. This Agreement constitutes the entire agreement of the parties hereto and supersedes in their entirety all prior representations, understandings, undertakings or agreements (whether oral or written and whether expressed or implied) of the parties with respect to the subject matter hereof; provided, however, that any accelerated vesting related to termination of employment described in the Employment Agreement will continue to apply.</w:t>
      </w:r>
    </w:p>
    <w:p>
      <w:pPr>
        <w:spacing w:after="0" w:line="138" w:lineRule="exact"/>
        <w:rPr>
          <w:rFonts w:ascii="Arial" w:cs="Arial" w:eastAsia="Arial" w:hAnsi="Arial"/>
          <w:sz w:val="19"/>
          <w:szCs w:val="19"/>
          <w:color w:val="auto"/>
        </w:rPr>
      </w:pPr>
    </w:p>
    <w:p>
      <w:pPr>
        <w:jc w:val="both"/>
        <w:ind w:left="-8" w:right="120" w:firstLine="656"/>
        <w:spacing w:after="0" w:line="320" w:lineRule="auto"/>
        <w:tabs>
          <w:tab w:leader="none" w:pos="1060" w:val="left"/>
        </w:tabs>
        <w:numPr>
          <w:ilvl w:val="0"/>
          <w:numId w:val="60"/>
        </w:numPr>
        <w:rPr>
          <w:rFonts w:ascii="Arial" w:cs="Arial" w:eastAsia="Arial" w:hAnsi="Arial"/>
          <w:sz w:val="19"/>
          <w:szCs w:val="19"/>
          <w:color w:val="auto"/>
        </w:rPr>
      </w:pPr>
      <w:r>
        <w:rPr>
          <w:rFonts w:ascii="Arial" w:cs="Arial" w:eastAsia="Arial" w:hAnsi="Arial"/>
          <w:sz w:val="19"/>
          <w:szCs w:val="19"/>
          <w:u w:val="single" w:color="auto"/>
          <w:color w:val="auto"/>
        </w:rPr>
        <w:t>Choice of Law</w:t>
      </w:r>
      <w:r>
        <w:rPr>
          <w:rFonts w:ascii="Arial" w:cs="Arial" w:eastAsia="Arial" w:hAnsi="Arial"/>
          <w:sz w:val="19"/>
          <w:szCs w:val="19"/>
          <w:color w:val="auto"/>
        </w:rPr>
        <w:t>. The validity, interpretation, construction and performance of this Agreement shall be governed by the laws of the State of California. The Superior Court of Santa Clara County and/or the United States District Court for the Northern District of California shall have exclusive jurisdiction and venue over all controversies in connection with this Agreement.</w:t>
      </w:r>
    </w:p>
    <w:p>
      <w:pPr>
        <w:spacing w:after="0" w:line="125" w:lineRule="exact"/>
        <w:rPr>
          <w:rFonts w:ascii="Arial" w:cs="Arial" w:eastAsia="Arial" w:hAnsi="Arial"/>
          <w:sz w:val="19"/>
          <w:szCs w:val="19"/>
          <w:color w:val="auto"/>
        </w:rPr>
      </w:pPr>
    </w:p>
    <w:p>
      <w:pPr>
        <w:ind w:left="-8" w:right="300" w:firstLine="656"/>
        <w:spacing w:after="0" w:line="276" w:lineRule="auto"/>
        <w:tabs>
          <w:tab w:leader="none" w:pos="1036" w:val="left"/>
        </w:tabs>
        <w:numPr>
          <w:ilvl w:val="0"/>
          <w:numId w:val="60"/>
        </w:numPr>
        <w:rPr>
          <w:rFonts w:ascii="Arial" w:cs="Arial" w:eastAsia="Arial" w:hAnsi="Arial"/>
          <w:sz w:val="22"/>
          <w:szCs w:val="22"/>
          <w:color w:val="auto"/>
        </w:rPr>
      </w:pPr>
      <w:r>
        <w:rPr>
          <w:rFonts w:ascii="Arial" w:cs="Arial" w:eastAsia="Arial" w:hAnsi="Arial"/>
          <w:sz w:val="22"/>
          <w:szCs w:val="22"/>
          <w:u w:val="single" w:color="auto"/>
          <w:color w:val="auto"/>
        </w:rPr>
        <w:t>Severability</w:t>
      </w:r>
      <w:r>
        <w:rPr>
          <w:rFonts w:ascii="Arial" w:cs="Arial" w:eastAsia="Arial" w:hAnsi="Arial"/>
          <w:sz w:val="22"/>
          <w:szCs w:val="22"/>
          <w:color w:val="auto"/>
        </w:rPr>
        <w:t>. The invalidity or unenforceability of any provision or provisions of this Agreement shall not affect the validity or enforceability of any other provision hereof, which shall remain in full force and effect.</w:t>
      </w:r>
    </w:p>
    <w:p>
      <w:pPr>
        <w:spacing w:after="0" w:line="160" w:lineRule="exact"/>
        <w:rPr>
          <w:rFonts w:ascii="Arial" w:cs="Arial" w:eastAsia="Arial" w:hAnsi="Arial"/>
          <w:sz w:val="22"/>
          <w:szCs w:val="22"/>
          <w:color w:val="auto"/>
        </w:rPr>
      </w:pPr>
    </w:p>
    <w:p>
      <w:pPr>
        <w:ind w:left="-8" w:right="140" w:firstLine="656"/>
        <w:spacing w:after="0" w:line="276" w:lineRule="auto"/>
        <w:tabs>
          <w:tab w:leader="none" w:pos="1072" w:val="left"/>
        </w:tabs>
        <w:numPr>
          <w:ilvl w:val="0"/>
          <w:numId w:val="60"/>
        </w:numPr>
        <w:rPr>
          <w:rFonts w:ascii="Arial" w:cs="Arial" w:eastAsia="Arial" w:hAnsi="Arial"/>
          <w:sz w:val="22"/>
          <w:szCs w:val="22"/>
          <w:color w:val="auto"/>
        </w:rPr>
      </w:pPr>
      <w:r>
        <w:rPr>
          <w:rFonts w:ascii="Arial" w:cs="Arial" w:eastAsia="Arial" w:hAnsi="Arial"/>
          <w:sz w:val="22"/>
          <w:szCs w:val="22"/>
          <w:u w:val="single" w:color="auto"/>
          <w:color w:val="auto"/>
        </w:rPr>
        <w:t>Withholding</w:t>
      </w:r>
      <w:r>
        <w:rPr>
          <w:rFonts w:ascii="Arial" w:cs="Arial" w:eastAsia="Arial" w:hAnsi="Arial"/>
          <w:sz w:val="22"/>
          <w:szCs w:val="22"/>
          <w:color w:val="auto"/>
        </w:rPr>
        <w:t>. All payments made pursuant to this Agreement will be subject to withholding of applicable income and employment taxes.</w:t>
      </w:r>
    </w:p>
    <w:p>
      <w:pPr>
        <w:spacing w:after="0" w:line="188" w:lineRule="exact"/>
        <w:rPr>
          <w:sz w:val="20"/>
          <w:szCs w:val="20"/>
          <w:color w:val="auto"/>
        </w:rPr>
      </w:pPr>
    </w:p>
    <w:p>
      <w:pPr>
        <w:jc w:val="center"/>
        <w:ind w:right="-51"/>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1352"/>
          </w:cols>
          <w:pgMar w:left="248" w:top="591" w:right="299" w:bottom="1440" w:gutter="0" w:footer="0" w:header="0"/>
        </w:sectPr>
      </w:pPr>
    </w:p>
    <w:bookmarkStart w:id="121" w:name="page122"/>
    <w:bookmarkEnd w:id="121"/>
    <w:p>
      <w:pPr>
        <w:ind w:firstLine="656"/>
        <w:spacing w:after="0" w:line="276" w:lineRule="auto"/>
        <w:tabs>
          <w:tab w:leader="none" w:pos="1080" w:val="left"/>
        </w:tabs>
        <w:numPr>
          <w:ilvl w:val="0"/>
          <w:numId w:val="61"/>
        </w:numPr>
        <w:rPr>
          <w:rFonts w:ascii="Arial" w:cs="Arial" w:eastAsia="Arial" w:hAnsi="Arial"/>
          <w:sz w:val="22"/>
          <w:szCs w:val="22"/>
          <w:color w:val="auto"/>
        </w:rPr>
      </w:pPr>
      <w:r>
        <w:rPr>
          <w:rFonts w:ascii="Arial" w:cs="Arial" w:eastAsia="Arial" w:hAnsi="Arial"/>
          <w:sz w:val="22"/>
          <w:szCs w:val="22"/>
          <w:u w:val="single" w:color="auto"/>
          <w:color w:val="auto"/>
        </w:rPr>
        <w:t>Counterparts</w:t>
      </w:r>
      <w:r>
        <w:rPr>
          <w:rFonts w:ascii="Arial" w:cs="Arial" w:eastAsia="Arial" w:hAnsi="Arial"/>
          <w:sz w:val="22"/>
          <w:szCs w:val="22"/>
          <w:color w:val="auto"/>
        </w:rPr>
        <w:t>. This Agreement may be executed in counterparts, each of which shall be deemed an original, but all of which together will constitute one and the same instrument.</w:t>
      </w:r>
    </w:p>
    <w:p>
      <w:pPr>
        <w:spacing w:after="0" w:line="161" w:lineRule="exact"/>
        <w:rPr>
          <w:sz w:val="20"/>
          <w:szCs w:val="20"/>
          <w:color w:val="auto"/>
        </w:rPr>
      </w:pPr>
    </w:p>
    <w:p>
      <w:pPr>
        <w:ind w:right="580" w:firstLine="648"/>
        <w:spacing w:after="0" w:line="263" w:lineRule="auto"/>
        <w:rPr>
          <w:sz w:val="20"/>
          <w:szCs w:val="20"/>
          <w:color w:val="auto"/>
        </w:rPr>
      </w:pPr>
      <w:r>
        <w:rPr>
          <w:rFonts w:ascii="Arial" w:cs="Arial" w:eastAsia="Arial" w:hAnsi="Arial"/>
          <w:sz w:val="22"/>
          <w:szCs w:val="22"/>
          <w:color w:val="auto"/>
        </w:rPr>
        <w:t>IN WITNESS WHEREOF, each of the parties has executed this Agreement, in the case of the Company by its duly authorized officer, as of the day and year set forth below.</w: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spacing w:after="0"/>
        <w:tabs>
          <w:tab w:leader="none" w:pos="1260" w:val="left"/>
        </w:tabs>
        <w:rPr>
          <w:sz w:val="20"/>
          <w:szCs w:val="20"/>
          <w:color w:val="auto"/>
        </w:rPr>
      </w:pPr>
      <w:r>
        <w:rPr>
          <w:rFonts w:ascii="Arial" w:cs="Arial" w:eastAsia="Arial" w:hAnsi="Arial"/>
          <w:sz w:val="22"/>
          <w:szCs w:val="22"/>
          <w:color w:val="auto"/>
        </w:rPr>
        <w:t>COMPANY</w:t>
      </w:r>
      <w:r>
        <w:rPr>
          <w:sz w:val="20"/>
          <w:szCs w:val="20"/>
          <w:color w:val="auto"/>
        </w:rPr>
        <w:tab/>
      </w:r>
      <w:r>
        <w:rPr>
          <w:rFonts w:ascii="Arial" w:cs="Arial" w:eastAsia="Arial" w:hAnsi="Arial"/>
          <w:sz w:val="21"/>
          <w:szCs w:val="21"/>
          <w:color w:val="auto"/>
        </w:rPr>
        <w:t>MARVELL SEMICONDUCTOR, INC.</w:t>
      </w:r>
    </w:p>
    <w:p>
      <w:pPr>
        <w:spacing w:after="0" w:line="220" w:lineRule="exact"/>
        <w:rPr>
          <w:sz w:val="20"/>
          <w:szCs w:val="20"/>
          <w:color w:val="auto"/>
        </w:rPr>
      </w:pPr>
    </w:p>
    <w:p>
      <w:pPr>
        <w:ind w:left="3900"/>
        <w:spacing w:after="0"/>
        <w:tabs>
          <w:tab w:leader="none" w:pos="440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19"/>
          <w:szCs w:val="19"/>
          <w:color w:val="auto"/>
        </w:rPr>
        <w:t>/s/ Matthew J. Murphy</w:t>
      </w:r>
    </w:p>
    <w:p>
      <w:pPr>
        <w:spacing w:after="0" w:line="220" w:lineRule="exact"/>
        <w:rPr>
          <w:sz w:val="20"/>
          <w:szCs w:val="20"/>
          <w:color w:val="auto"/>
        </w:rPr>
      </w:pPr>
    </w:p>
    <w:p>
      <w:pPr>
        <w:ind w:left="3900"/>
        <w:spacing w:after="0"/>
        <w:tabs>
          <w:tab w:leader="none" w:pos="4720" w:val="left"/>
        </w:tabs>
        <w:rPr>
          <w:sz w:val="20"/>
          <w:szCs w:val="20"/>
          <w:color w:val="auto"/>
        </w:rPr>
      </w:pPr>
      <w:r>
        <w:rPr>
          <w:rFonts w:ascii="Arial" w:cs="Arial" w:eastAsia="Arial" w:hAnsi="Arial"/>
          <w:sz w:val="22"/>
          <w:szCs w:val="22"/>
          <w:color w:val="auto"/>
        </w:rPr>
        <w:t>Name:</w:t>
        <w:tab/>
        <w:t>Matthew J. Murphy</w:t>
      </w:r>
    </w:p>
    <w:p>
      <w:pPr>
        <w:spacing w:after="0" w:line="220"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Title: President and Chief Executive Officer</w:t>
      </w:r>
    </w:p>
    <w:p>
      <w:pPr>
        <w:spacing w:after="0" w:line="220"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Date: July 11, 2016</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spacing w:after="0"/>
        <w:tabs>
          <w:tab w:leader="none" w:pos="1360" w:val="left"/>
        </w:tabs>
        <w:rPr>
          <w:sz w:val="20"/>
          <w:szCs w:val="20"/>
          <w:color w:val="auto"/>
        </w:rPr>
      </w:pPr>
      <w:r>
        <w:rPr>
          <w:rFonts w:ascii="Arial" w:cs="Arial" w:eastAsia="Arial" w:hAnsi="Arial"/>
          <w:sz w:val="22"/>
          <w:szCs w:val="22"/>
          <w:color w:val="auto"/>
        </w:rPr>
        <w:t>EMPLOYEE</w:t>
      </w:r>
      <w:r>
        <w:rPr>
          <w:sz w:val="20"/>
          <w:szCs w:val="20"/>
          <w:color w:val="auto"/>
        </w:rPr>
        <w:tab/>
      </w:r>
      <w:r>
        <w:rPr>
          <w:rFonts w:ascii="Arial" w:cs="Arial" w:eastAsia="Arial" w:hAnsi="Arial"/>
          <w:sz w:val="19"/>
          <w:szCs w:val="19"/>
          <w:color w:val="auto"/>
        </w:rPr>
        <w:t>/s/ Mitchell Gaynor</w:t>
      </w:r>
    </w:p>
    <w:p>
      <w:pPr>
        <w:spacing w:after="0" w:line="22" w:lineRule="exact"/>
        <w:rPr>
          <w:sz w:val="20"/>
          <w:szCs w:val="20"/>
          <w:color w:val="auto"/>
        </w:rPr>
      </w:pPr>
    </w:p>
    <w:p>
      <w:pPr>
        <w:ind w:left="3900"/>
        <w:spacing w:after="0"/>
        <w:tabs>
          <w:tab w:leader="none" w:pos="4720" w:val="left"/>
        </w:tabs>
        <w:rPr>
          <w:sz w:val="20"/>
          <w:szCs w:val="20"/>
          <w:color w:val="auto"/>
        </w:rPr>
      </w:pPr>
      <w:r>
        <w:rPr>
          <w:rFonts w:ascii="Arial" w:cs="Arial" w:eastAsia="Arial" w:hAnsi="Arial"/>
          <w:sz w:val="22"/>
          <w:szCs w:val="22"/>
          <w:color w:val="auto"/>
        </w:rPr>
        <w:t>Name:</w:t>
        <w:tab/>
        <w:t>Mitchell Gaynor</w:t>
      </w:r>
    </w:p>
    <w:p>
      <w:pPr>
        <w:spacing w:after="0" w:line="202"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Date: July 11, 2016</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219"/>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200"/>
          </w:cols>
          <w:pgMar w:left="240" w:top="591" w:right="459" w:bottom="1440" w:gutter="0" w:footer="0" w:header="0"/>
        </w:sectPr>
      </w:pPr>
    </w:p>
    <w:bookmarkStart w:id="122" w:name="page123"/>
    <w:bookmarkEnd w:id="122"/>
    <w:tbl>
      <w:tblPr>
        <w:tblLayout w:type="fixed"/>
        <w:tblInd w:w="0" w:type="dxa"/>
        <w:tblCellMar>
          <w:top w:w="0" w:type="dxa"/>
          <w:left w:w="0" w:type="dxa"/>
          <w:bottom w:w="0" w:type="dxa"/>
          <w:right w:w="0" w:type="dxa"/>
        </w:tblCellMar>
      </w:tblPr>
      <w:tr>
        <w:trPr>
          <w:trHeight w:val="234"/>
        </w:trPr>
        <w:tc>
          <w:tcPr>
            <w:tcW w:w="66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4260" w:type="dxa"/>
            <w:vAlign w:val="bottom"/>
          </w:tcPr>
          <w:p>
            <w:pPr>
              <w:spacing w:after="0"/>
              <w:rPr>
                <w:sz w:val="20"/>
                <w:szCs w:val="20"/>
                <w:color w:val="auto"/>
              </w:rPr>
            </w:pPr>
          </w:p>
        </w:tc>
        <w:tc>
          <w:tcPr>
            <w:tcW w:w="2840" w:type="dxa"/>
            <w:vAlign w:val="bottom"/>
          </w:tcPr>
          <w:p>
            <w:pPr>
              <w:ind w:left="1900"/>
              <w:spacing w:after="0"/>
              <w:rPr>
                <w:sz w:val="20"/>
                <w:szCs w:val="20"/>
                <w:color w:val="auto"/>
              </w:rPr>
            </w:pPr>
            <w:r>
              <w:rPr>
                <w:rFonts w:ascii="Arial" w:cs="Arial" w:eastAsia="Arial" w:hAnsi="Arial"/>
                <w:sz w:val="18"/>
                <w:szCs w:val="18"/>
                <w:b w:val="1"/>
                <w:bCs w:val="1"/>
                <w:color w:val="auto"/>
                <w:w w:val="91"/>
              </w:rPr>
              <w:t>Exhibit 21.1</w:t>
            </w:r>
          </w:p>
        </w:tc>
        <w:tc>
          <w:tcPr>
            <w:tcW w:w="0" w:type="dxa"/>
            <w:vAlign w:val="bottom"/>
          </w:tcPr>
          <w:p>
            <w:pPr>
              <w:spacing w:after="0"/>
              <w:rPr>
                <w:sz w:val="1"/>
                <w:szCs w:val="1"/>
                <w:color w:val="auto"/>
              </w:rPr>
            </w:pPr>
          </w:p>
        </w:tc>
      </w:tr>
      <w:tr>
        <w:trPr>
          <w:trHeight w:val="648"/>
        </w:trPr>
        <w:tc>
          <w:tcPr>
            <w:tcW w:w="66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7100" w:type="dxa"/>
            <w:vAlign w:val="bottom"/>
            <w:gridSpan w:val="2"/>
          </w:tcPr>
          <w:p>
            <w:pPr>
              <w:ind w:left="140"/>
              <w:spacing w:after="0"/>
              <w:rPr>
                <w:sz w:val="20"/>
                <w:szCs w:val="20"/>
                <w:color w:val="auto"/>
              </w:rPr>
            </w:pPr>
            <w:r>
              <w:rPr>
                <w:rFonts w:ascii="Arial" w:cs="Arial" w:eastAsia="Arial" w:hAnsi="Arial"/>
                <w:sz w:val="18"/>
                <w:szCs w:val="18"/>
                <w:b w:val="1"/>
                <w:bCs w:val="1"/>
                <w:color w:val="auto"/>
              </w:rPr>
              <w:t>SUBSIDIARIES OF MARVELL</w:t>
            </w:r>
          </w:p>
        </w:tc>
        <w:tc>
          <w:tcPr>
            <w:tcW w:w="0" w:type="dxa"/>
            <w:vAlign w:val="bottom"/>
          </w:tcPr>
          <w:p>
            <w:pPr>
              <w:spacing w:after="0"/>
              <w:rPr>
                <w:sz w:val="1"/>
                <w:szCs w:val="1"/>
                <w:color w:val="auto"/>
              </w:rPr>
            </w:pPr>
          </w:p>
        </w:tc>
      </w:tr>
      <w:tr>
        <w:trPr>
          <w:trHeight w:val="594"/>
        </w:trPr>
        <w:tc>
          <w:tcPr>
            <w:tcW w:w="4280" w:type="dxa"/>
            <w:vAlign w:val="bottom"/>
            <w:gridSpan w:val="2"/>
          </w:tcPr>
          <w:p>
            <w:pPr>
              <w:spacing w:after="0"/>
              <w:rPr>
                <w:sz w:val="20"/>
                <w:szCs w:val="20"/>
                <w:color w:val="auto"/>
              </w:rPr>
            </w:pPr>
            <w:r>
              <w:rPr>
                <w:rFonts w:ascii="Arial" w:cs="Arial" w:eastAsia="Arial" w:hAnsi="Arial"/>
                <w:sz w:val="18"/>
                <w:szCs w:val="18"/>
                <w:b w:val="1"/>
                <w:bCs w:val="1"/>
                <w:color w:val="auto"/>
              </w:rPr>
              <w:t>Subsidiary</w:t>
            </w:r>
          </w:p>
        </w:tc>
        <w:tc>
          <w:tcPr>
            <w:tcW w:w="4260" w:type="dxa"/>
            <w:vAlign w:val="bottom"/>
          </w:tcPr>
          <w:p>
            <w:pPr>
              <w:spacing w:after="0"/>
              <w:rPr>
                <w:sz w:val="24"/>
                <w:szCs w:val="24"/>
                <w:color w:val="auto"/>
              </w:rPr>
            </w:pPr>
          </w:p>
        </w:tc>
        <w:tc>
          <w:tcPr>
            <w:tcW w:w="2840" w:type="dxa"/>
            <w:vAlign w:val="bottom"/>
          </w:tcPr>
          <w:p>
            <w:pPr>
              <w:ind w:left="20"/>
              <w:spacing w:after="0"/>
              <w:rPr>
                <w:sz w:val="20"/>
                <w:szCs w:val="20"/>
                <w:color w:val="auto"/>
              </w:rPr>
            </w:pPr>
            <w:r>
              <w:rPr>
                <w:rFonts w:ascii="Arial" w:cs="Arial" w:eastAsia="Arial" w:hAnsi="Arial"/>
                <w:sz w:val="18"/>
                <w:szCs w:val="18"/>
                <w:b w:val="1"/>
                <w:bCs w:val="1"/>
                <w:color w:val="auto"/>
              </w:rPr>
              <w:t>Jurisdiction of Organization</w:t>
            </w:r>
          </w:p>
        </w:tc>
        <w:tc>
          <w:tcPr>
            <w:tcW w:w="0" w:type="dxa"/>
            <w:vAlign w:val="bottom"/>
          </w:tcPr>
          <w:p>
            <w:pPr>
              <w:spacing w:after="0"/>
              <w:rPr>
                <w:sz w:val="1"/>
                <w:szCs w:val="1"/>
                <w:color w:val="auto"/>
              </w:rPr>
            </w:pPr>
          </w:p>
        </w:tc>
      </w:tr>
      <w:tr>
        <w:trPr>
          <w:trHeight w:val="20"/>
        </w:trPr>
        <w:tc>
          <w:tcPr>
            <w:tcW w:w="660" w:type="dxa"/>
            <w:vAlign w:val="bottom"/>
            <w:shd w:val="clear" w:color="auto" w:fill="000000"/>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426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8"/>
        </w:trPr>
        <w:tc>
          <w:tcPr>
            <w:tcW w:w="4280" w:type="dxa"/>
            <w:vAlign w:val="bottom"/>
            <w:gridSpan w:val="2"/>
            <w:vMerge w:val="restart"/>
          </w:tcPr>
          <w:p>
            <w:pPr>
              <w:spacing w:after="0"/>
              <w:rPr>
                <w:sz w:val="20"/>
                <w:szCs w:val="20"/>
                <w:color w:val="auto"/>
              </w:rPr>
            </w:pPr>
            <w:r>
              <w:rPr>
                <w:rFonts w:ascii="Arial" w:cs="Arial" w:eastAsia="Arial" w:hAnsi="Arial"/>
                <w:sz w:val="18"/>
                <w:szCs w:val="18"/>
                <w:color w:val="auto"/>
              </w:rPr>
              <w:t>Marvell International Ltd.</w:t>
            </w:r>
          </w:p>
        </w:tc>
        <w:tc>
          <w:tcPr>
            <w:tcW w:w="4260" w:type="dxa"/>
            <w:vAlign w:val="bottom"/>
          </w:tcPr>
          <w:p>
            <w:pPr>
              <w:spacing w:after="0"/>
              <w:rPr>
                <w:sz w:val="4"/>
                <w:szCs w:val="4"/>
                <w:color w:val="auto"/>
              </w:rPr>
            </w:pPr>
          </w:p>
        </w:tc>
        <w:tc>
          <w:tcPr>
            <w:tcW w:w="284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4280" w:type="dxa"/>
            <w:vAlign w:val="bottom"/>
            <w:gridSpan w:val="2"/>
            <w:vMerge w:val="continue"/>
          </w:tcPr>
          <w:p>
            <w:pPr>
              <w:spacing w:after="0"/>
              <w:rPr>
                <w:sz w:val="20"/>
                <w:szCs w:val="20"/>
                <w:color w:val="auto"/>
              </w:rPr>
            </w:pPr>
          </w:p>
        </w:tc>
        <w:tc>
          <w:tcPr>
            <w:tcW w:w="4260" w:type="dxa"/>
            <w:vAlign w:val="bottom"/>
          </w:tcPr>
          <w:p>
            <w:pPr>
              <w:spacing w:after="0"/>
              <w:rPr>
                <w:sz w:val="20"/>
                <w:szCs w:val="20"/>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Bermuda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Bermuda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Bermuda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MV Acquisition,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Bermuda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Nulinear,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Bermuda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United Kingdom</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Barbados</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Denmark ApS</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Denmark</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Germany</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Technologies Hungary Kft.</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Hungary</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Italy</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Netherlands</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Spain</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Sweden</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Switzerland</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Switzerland</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Israel</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India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PT Marvell Technology Indonesia</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Indonesia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Japan</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Japan</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Korea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Malaysia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Singapore</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Taiwan</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Hong Kong</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China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China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China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(Nanjing),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China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Canada</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California, United States</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California, United States</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Delaware, United States</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Delaware, United States</w:t>
            </w:r>
          </w:p>
        </w:tc>
        <w:tc>
          <w:tcPr>
            <w:tcW w:w="0" w:type="dxa"/>
            <w:vAlign w:val="bottom"/>
          </w:tcPr>
          <w:p>
            <w:pPr>
              <w:spacing w:after="0"/>
              <w:rPr>
                <w:sz w:val="1"/>
                <w:szCs w:val="1"/>
                <w:color w:val="auto"/>
              </w:rPr>
            </w:pPr>
          </w:p>
        </w:tc>
      </w:tr>
      <w:tr>
        <w:trPr>
          <w:trHeight w:val="270"/>
        </w:trPr>
        <w:tc>
          <w:tcPr>
            <w:tcW w:w="4280" w:type="dxa"/>
            <w:vAlign w:val="bottom"/>
            <w:gridSpan w:val="2"/>
          </w:tcPr>
          <w:p>
            <w:pPr>
              <w:spacing w:after="0"/>
              <w:rPr>
                <w:sz w:val="20"/>
                <w:szCs w:val="20"/>
                <w:color w:val="auto"/>
              </w:rPr>
            </w:pPr>
            <w:r>
              <w:rPr>
                <w:rFonts w:ascii="Arial" w:cs="Arial" w:eastAsia="Arial" w:hAnsi="Arial"/>
                <w:sz w:val="18"/>
                <w:szCs w:val="18"/>
                <w:color w:val="auto"/>
                <w:w w:val="97"/>
              </w:rPr>
              <w:t>Marvell Technology Vietnam Limited Liability Company</w:t>
            </w:r>
          </w:p>
        </w:tc>
        <w:tc>
          <w:tcPr>
            <w:tcW w:w="4260" w:type="dxa"/>
            <w:vAlign w:val="bottom"/>
          </w:tcPr>
          <w:p>
            <w:pPr>
              <w:spacing w:after="0"/>
              <w:rPr>
                <w:sz w:val="23"/>
                <w:szCs w:val="23"/>
                <w:color w:val="auto"/>
              </w:rPr>
            </w:pPr>
          </w:p>
        </w:tc>
        <w:tc>
          <w:tcPr>
            <w:tcW w:w="2840" w:type="dxa"/>
            <w:vAlign w:val="bottom"/>
          </w:tcPr>
          <w:p>
            <w:pPr>
              <w:ind w:left="20"/>
              <w:spacing w:after="0"/>
              <w:rPr>
                <w:sz w:val="20"/>
                <w:szCs w:val="20"/>
                <w:color w:val="auto"/>
              </w:rPr>
            </w:pPr>
            <w:r>
              <w:rPr>
                <w:rFonts w:ascii="Arial" w:cs="Arial" w:eastAsia="Arial" w:hAnsi="Arial"/>
                <w:sz w:val="18"/>
                <w:szCs w:val="18"/>
                <w:color w:val="auto"/>
              </w:rPr>
              <w:t>Vietnam</w:t>
            </w:r>
          </w:p>
        </w:tc>
        <w:tc>
          <w:tcPr>
            <w:tcW w:w="0" w:type="dxa"/>
            <w:vAlign w:val="bottom"/>
          </w:tcPr>
          <w:p>
            <w:pPr>
              <w:spacing w:after="0"/>
              <w:rPr>
                <w:sz w:val="1"/>
                <w:szCs w:val="1"/>
                <w:color w:val="auto"/>
              </w:rPr>
            </w:pPr>
          </w:p>
        </w:tc>
      </w:tr>
    </w:tbl>
    <w:p>
      <w:pPr>
        <w:sectPr>
          <w:pgSz w:w="11900" w:h="16838" w:orient="portrait"/>
          <w:cols w:equalWidth="0" w:num="1">
            <w:col w:w="11380"/>
          </w:cols>
          <w:pgMar w:left="280" w:top="580" w:right="239"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00"/>
        <w:spacing w:after="0" w:line="293" w:lineRule="auto"/>
        <w:rPr>
          <w:sz w:val="20"/>
          <w:szCs w:val="20"/>
          <w:color w:val="auto"/>
        </w:rPr>
      </w:pPr>
      <w:r>
        <w:rPr>
          <w:rFonts w:ascii="Arial" w:cs="Arial" w:eastAsia="Arial" w:hAnsi="Arial"/>
          <w:sz w:val="16"/>
          <w:szCs w:val="16"/>
          <w:color w:val="auto"/>
        </w:rPr>
        <w:t>We consent to the incorporation by reference in Registration Statements on Form S-8 (333-40152, 333-40154, 333-54188, 333-55974, 333-56322, 333-87322, 333-91124, 333-104925, 333-106683, 333-108334, 333-111133, 333-114434, 333-124072, 333-133281, 33-148621, 333-151816, 333-163644, 333-180412, 333-187641, 333-194865, 333-204730 and 333-213059) of our reports dated March 27, 2017, relating to the consolidated financial statements and financial statement schedule of Marvell Technology Group Ltd. (the “Company”), and the effectiveness of the Company’s internal control over financial reporting (which report expresses an adverse opinion on the effectiveness of the Company’s internal control over financial reporting because of material weaknesses), appearing in this Annual Report on Form 10-K of the Company for the year ended January 28, 2017.</w:t>
      </w:r>
    </w:p>
    <w:p>
      <w:pPr>
        <w:spacing w:after="0" w:line="111"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27, 2017</w:t>
      </w:r>
    </w:p>
    <w:p>
      <w:pPr>
        <w:sectPr>
          <w:pgSz w:w="11900" w:h="16838" w:orient="portrait"/>
          <w:cols w:equalWidth="0" w:num="1">
            <w:col w:w="11420"/>
          </w:cols>
          <w:pgMar w:left="240" w:top="364" w:right="239"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b w:val="1"/>
          <w:bCs w:val="1"/>
          <w:color w:val="auto"/>
        </w:rPr>
        <w:t>Exhibit 23.2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40" w:firstLine="392"/>
        <w:spacing w:after="0" w:line="297"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333-40152, 333-40154, 33-54188, 333-55974, 333-56322, 333-87322, 333-91124, 333-104925, 333-106683, 333-108334, 333-111133, 333-114434, 333-124072, 333-133281, 33-148621, 333-151816, 333-163644, 333-180412, 333-187641, 333-194865, 333-204730 and 333-213059) of Marvell Technology Group Ltd. of our report dated March 26, 2015, except for the effects of discontinued operations discussed in Note 2 to the consolidated financial statements, as to which the date is March 27, 2017 relating to the consolidated financial statements and financial statement schedule, which appears in this Form 10-K for the year ended January 28, 2017.</w:t>
      </w:r>
    </w:p>
    <w:p>
      <w:pPr>
        <w:spacing w:after="0" w:line="37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27, 2017</w:t>
      </w:r>
    </w:p>
    <w:p>
      <w:pPr>
        <w:sectPr>
          <w:pgSz w:w="11900" w:h="16838" w:orient="portrait"/>
          <w:cols w:equalWidth="0" w:num="1">
            <w:col w:w="11420"/>
          </w:cols>
          <w:pgMar w:left="240" w:top="364" w:right="239" w:bottom="1440" w:gutter="0" w:footer="0" w:header="0"/>
        </w:sectPr>
      </w:pPr>
    </w:p>
    <w:bookmarkStart w:id="125" w:name="page126"/>
    <w:bookmarkEnd w:id="125"/>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62"/>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62"/>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6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6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6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6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6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6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6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6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27,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126" w:name="page127"/>
    <w:bookmarkEnd w:id="126"/>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63"/>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6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6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6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6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6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6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6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6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27,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127" w:name="page128"/>
    <w:bookmarkEnd w:id="127"/>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40" w:hanging="316"/>
        <w:spacing w:after="0" w:line="277" w:lineRule="auto"/>
        <w:tabs>
          <w:tab w:leader="none" w:pos="5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28, 2017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64"/>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27,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128" w:name="page129"/>
    <w:bookmarkEnd w:id="128"/>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Jean Hu, the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40" w:hanging="316"/>
        <w:spacing w:after="0" w:line="277" w:lineRule="auto"/>
        <w:tabs>
          <w:tab w:leader="none" w:pos="54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quarter ended January 28, 2017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65"/>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27,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516DDE9"/>
    <w:multiLevelType w:val="hybridMultilevel"/>
    <w:lvl w:ilvl="0">
      <w:lvlJc w:val="left"/>
      <w:lvlText w:val="x"/>
      <w:numFmt w:val="bullet"/>
      <w:start w:val="1"/>
    </w:lvl>
  </w:abstractNum>
  <w:abstractNum w:abstractNumId="1">
    <w:nsid w:val="3006C83E"/>
    <w:multiLevelType w:val="hybridMultilevel"/>
    <w:lvl w:ilvl="0">
      <w:lvlJc w:val="left"/>
      <w:lvlText w:val="☐"/>
      <w:numFmt w:val="bullet"/>
      <w:start w:val="1"/>
    </w:lvl>
  </w:abstractNum>
  <w:abstractNum w:abstractNumId="2">
    <w:nsid w:val="614FD4A1"/>
    <w:multiLevelType w:val="hybridMultilevel"/>
    <w:lvl w:ilvl="0">
      <w:lvlJc w:val="left"/>
      <w:lvlText w:val="•"/>
      <w:numFmt w:val="bullet"/>
      <w:start w:val="1"/>
    </w:lvl>
  </w:abstractNum>
  <w:abstractNum w:abstractNumId="3">
    <w:nsid w:val="419AC241"/>
    <w:multiLevelType w:val="hybridMultilevel"/>
    <w:lvl w:ilvl="0">
      <w:lvlJc w:val="left"/>
      <w:lvlText w:val="•"/>
      <w:numFmt w:val="bullet"/>
      <w:start w:val="1"/>
    </w:lvl>
  </w:abstractNum>
  <w:abstractNum w:abstractNumId="4">
    <w:nsid w:val="5577F8E1"/>
    <w:multiLevelType w:val="hybridMultilevel"/>
    <w:lvl w:ilvl="0">
      <w:lvlJc w:val="left"/>
      <w:lvlText w:val="•"/>
      <w:numFmt w:val="bullet"/>
      <w:start w:val="1"/>
    </w:lvl>
  </w:abstractNum>
  <w:abstractNum w:abstractNumId="5">
    <w:nsid w:val="440BADFC"/>
    <w:multiLevelType w:val="hybridMultilevel"/>
    <w:lvl w:ilvl="0">
      <w:lvlJc w:val="left"/>
      <w:lvlText w:val="•"/>
      <w:numFmt w:val="bullet"/>
      <w:start w:val="1"/>
    </w:lvl>
  </w:abstractNum>
  <w:abstractNum w:abstractNumId="6">
    <w:nsid w:val="5072367"/>
    <w:multiLevelType w:val="hybridMultilevel"/>
    <w:lvl w:ilvl="0">
      <w:lvlJc w:val="left"/>
      <w:lvlText w:val="*"/>
      <w:numFmt w:val="bullet"/>
      <w:start w:val="1"/>
    </w:lvl>
  </w:abstractNum>
  <w:abstractNum w:abstractNumId="7">
    <w:nsid w:val="3804823E"/>
    <w:multiLevelType w:val="hybridMultilevel"/>
    <w:lvl w:ilvl="0">
      <w:lvlJc w:val="left"/>
      <w:lvlText w:val="•"/>
      <w:numFmt w:val="bullet"/>
      <w:start w:val="1"/>
    </w:lvl>
  </w:abstractNum>
  <w:abstractNum w:abstractNumId="8">
    <w:nsid w:val="77465F01"/>
    <w:multiLevelType w:val="hybridMultilevel"/>
    <w:lvl w:ilvl="0">
      <w:lvlJc w:val="left"/>
      <w:lvlText w:val="•"/>
      <w:numFmt w:val="bullet"/>
      <w:start w:val="1"/>
    </w:lvl>
  </w:abstractNum>
  <w:abstractNum w:abstractNumId="9">
    <w:nsid w:val="7724C67E"/>
    <w:multiLevelType w:val="hybridMultilevel"/>
    <w:lvl w:ilvl="0">
      <w:lvlJc w:val="left"/>
      <w:lvlText w:val="•"/>
      <w:numFmt w:val="bullet"/>
      <w:start w:val="1"/>
    </w:lvl>
  </w:abstractNum>
  <w:abstractNum w:abstractNumId="10">
    <w:nsid w:val="5C482A97"/>
    <w:multiLevelType w:val="hybridMultilevel"/>
    <w:lvl w:ilvl="0">
      <w:lvlJc w:val="left"/>
      <w:lvlText w:val="•"/>
      <w:numFmt w:val="bullet"/>
      <w:start w:val="1"/>
    </w:lvl>
  </w:abstractNum>
  <w:abstractNum w:abstractNumId="11">
    <w:nsid w:val="2463B9EA"/>
    <w:multiLevelType w:val="hybridMultilevel"/>
    <w:lvl w:ilvl="0">
      <w:lvlJc w:val="left"/>
      <w:lvlText w:val="•"/>
      <w:numFmt w:val="bullet"/>
      <w:start w:val="1"/>
    </w:lvl>
  </w:abstractNum>
  <w:abstractNum w:abstractNumId="12">
    <w:nsid w:val="5E884ADC"/>
    <w:multiLevelType w:val="hybridMultilevel"/>
    <w:lvl w:ilvl="0">
      <w:lvlJc w:val="left"/>
      <w:lvlText w:val="•"/>
      <w:numFmt w:val="bullet"/>
      <w:start w:val="1"/>
    </w:lvl>
  </w:abstractNum>
  <w:abstractNum w:abstractNumId="13">
    <w:nsid w:val="51EAD36B"/>
    <w:multiLevelType w:val="hybridMultilevel"/>
    <w:lvl w:ilvl="0">
      <w:lvlJc w:val="left"/>
      <w:lvlText w:val="•"/>
      <w:numFmt w:val="bullet"/>
      <w:start w:val="1"/>
    </w:lvl>
  </w:abstractNum>
  <w:abstractNum w:abstractNumId="14">
    <w:nsid w:val="2D517796"/>
    <w:multiLevelType w:val="hybridMultilevel"/>
    <w:lvl w:ilvl="0">
      <w:lvlJc w:val="left"/>
      <w:lvlText w:val="•"/>
      <w:numFmt w:val="bullet"/>
      <w:start w:val="1"/>
    </w:lvl>
  </w:abstractNum>
  <w:abstractNum w:abstractNumId="15">
    <w:nsid w:val="580BD78F"/>
    <w:multiLevelType w:val="hybridMultilevel"/>
    <w:lvl w:ilvl="0">
      <w:lvlJc w:val="left"/>
      <w:lvlText w:val="•"/>
      <w:numFmt w:val="bullet"/>
      <w:start w:val="1"/>
    </w:lvl>
  </w:abstractNum>
  <w:abstractNum w:abstractNumId="16">
    <w:nsid w:val="153EA438"/>
    <w:multiLevelType w:val="hybridMultilevel"/>
    <w:lvl w:ilvl="0">
      <w:lvlJc w:val="left"/>
      <w:lvlText w:val="•"/>
      <w:numFmt w:val="bullet"/>
      <w:start w:val="1"/>
    </w:lvl>
  </w:abstractNum>
  <w:abstractNum w:abstractNumId="17">
    <w:nsid w:val="3855585C"/>
    <w:multiLevelType w:val="hybridMultilevel"/>
    <w:lvl w:ilvl="0">
      <w:lvlJc w:val="left"/>
      <w:lvlText w:val="•"/>
      <w:numFmt w:val="bullet"/>
      <w:start w:val="1"/>
    </w:lvl>
  </w:abstractNum>
  <w:abstractNum w:abstractNumId="18">
    <w:nsid w:val="70A64E2A"/>
    <w:multiLevelType w:val="hybridMultilevel"/>
    <w:lvl w:ilvl="0">
      <w:lvlJc w:val="left"/>
      <w:lvlText w:val="•"/>
      <w:numFmt w:val="bullet"/>
      <w:start w:val="1"/>
    </w:lvl>
  </w:abstractNum>
  <w:abstractNum w:abstractNumId="19">
    <w:nsid w:val="6A2342EC"/>
    <w:multiLevelType w:val="hybridMultilevel"/>
    <w:lvl w:ilvl="0">
      <w:lvlJc w:val="left"/>
      <w:lvlText w:val="(%1)"/>
      <w:numFmt w:val="decimal"/>
      <w:start w:val="1"/>
    </w:lvl>
  </w:abstractNum>
  <w:abstractNum w:abstractNumId="20">
    <w:nsid w:val="2A487CB0"/>
    <w:multiLevelType w:val="hybridMultilevel"/>
    <w:lvl w:ilvl="0">
      <w:lvlJc w:val="left"/>
      <w:lvlText w:val="(%1)"/>
      <w:numFmt w:val="decimal"/>
      <w:start w:val="1"/>
    </w:lvl>
  </w:abstractNum>
  <w:abstractNum w:abstractNumId="21">
    <w:nsid w:val="1D4ED43B"/>
    <w:multiLevelType w:val="hybridMultilevel"/>
    <w:lvl w:ilvl="0">
      <w:lvlJc w:val="left"/>
      <w:lvlText w:val="(%1)"/>
      <w:numFmt w:val="decimal"/>
      <w:start w:val="1"/>
    </w:lvl>
  </w:abstractNum>
  <w:abstractNum w:abstractNumId="22">
    <w:nsid w:val="725A06FB"/>
    <w:multiLevelType w:val="hybridMultilevel"/>
    <w:lvl w:ilvl="0">
      <w:lvlJc w:val="left"/>
      <w:lvlText w:val="•"/>
      <w:numFmt w:val="bullet"/>
      <w:start w:val="1"/>
    </w:lvl>
  </w:abstractNum>
  <w:abstractNum w:abstractNumId="23">
    <w:nsid w:val="2CD89A32"/>
    <w:multiLevelType w:val="hybridMultilevel"/>
    <w:lvl w:ilvl="0">
      <w:lvlJc w:val="left"/>
      <w:lvlText w:val="•"/>
      <w:numFmt w:val="bullet"/>
      <w:start w:val="1"/>
    </w:lvl>
  </w:abstractNum>
  <w:abstractNum w:abstractNumId="24">
    <w:nsid w:val="57E4CCAF"/>
    <w:multiLevelType w:val="hybridMultilevel"/>
    <w:lvl w:ilvl="0">
      <w:lvlJc w:val="left"/>
      <w:lvlText w:val="•"/>
      <w:numFmt w:val="bullet"/>
      <w:start w:val="1"/>
    </w:lvl>
  </w:abstractNum>
  <w:abstractNum w:abstractNumId="25">
    <w:nsid w:val="7A6D8D3C"/>
    <w:multiLevelType w:val="hybridMultilevel"/>
    <w:lvl w:ilvl="0">
      <w:lvlJc w:val="left"/>
      <w:lvlText w:val="(%1)"/>
      <w:numFmt w:val="decimal"/>
      <w:start w:val="1"/>
    </w:lvl>
  </w:abstractNum>
  <w:abstractNum w:abstractNumId="26">
    <w:nsid w:val="4B588F54"/>
    <w:multiLevelType w:val="hybridMultilevel"/>
    <w:lvl w:ilvl="0">
      <w:lvlJc w:val="left"/>
      <w:lvlText w:val="•"/>
      <w:numFmt w:val="bullet"/>
      <w:start w:val="1"/>
    </w:lvl>
  </w:abstractNum>
  <w:abstractNum w:abstractNumId="27">
    <w:nsid w:val="542289EC"/>
    <w:multiLevelType w:val="hybridMultilevel"/>
    <w:lvl w:ilvl="0">
      <w:lvlJc w:val="left"/>
      <w:lvlText w:val="*"/>
      <w:numFmt w:val="bullet"/>
      <w:start w:val="1"/>
    </w:lvl>
  </w:abstractNum>
  <w:abstractNum w:abstractNumId="28">
    <w:nsid w:val="6DE91B18"/>
    <w:multiLevelType w:val="hybridMultilevel"/>
    <w:lvl w:ilvl="0">
      <w:lvlJc w:val="left"/>
      <w:lvlText w:val="*"/>
      <w:numFmt w:val="bullet"/>
      <w:start w:val="1"/>
    </w:lvl>
  </w:abstractNum>
  <w:abstractNum w:abstractNumId="29">
    <w:nsid w:val="38437FDB"/>
    <w:multiLevelType w:val="hybridMultilevel"/>
    <w:lvl w:ilvl="0">
      <w:lvlJc w:val="left"/>
      <w:lvlText w:val="•"/>
      <w:numFmt w:val="bullet"/>
      <w:start w:val="1"/>
    </w:lvl>
  </w:abstractNum>
  <w:abstractNum w:abstractNumId="30">
    <w:nsid w:val="7644A45C"/>
    <w:multiLevelType w:val="hybridMultilevel"/>
    <w:lvl w:ilvl="0">
      <w:lvlJc w:val="left"/>
      <w:lvlText w:val="(%1)"/>
      <w:numFmt w:val="decimal"/>
      <w:start w:val="1"/>
    </w:lvl>
  </w:abstractNum>
  <w:abstractNum w:abstractNumId="31">
    <w:nsid w:val="32FFF902"/>
    <w:multiLevelType w:val="hybridMultilevel"/>
    <w:lvl w:ilvl="0">
      <w:lvlJc w:val="left"/>
      <w:lvlText w:val="(%1)"/>
      <w:numFmt w:val="lowerLetter"/>
      <w:start w:val="1"/>
    </w:lvl>
  </w:abstractNum>
  <w:abstractNum w:abstractNumId="32">
    <w:nsid w:val="684A481A"/>
    <w:multiLevelType w:val="hybridMultilevel"/>
    <w:lvl w:ilvl="0">
      <w:lvlJc w:val="left"/>
      <w:lvlText w:val="•"/>
      <w:numFmt w:val="bullet"/>
      <w:start w:val="1"/>
    </w:lvl>
  </w:abstractNum>
  <w:abstractNum w:abstractNumId="33">
    <w:nsid w:val="579478FE"/>
    <w:multiLevelType w:val="hybridMultilevel"/>
    <w:lvl w:ilvl="0">
      <w:lvlJc w:val="left"/>
      <w:lvlText w:val="(%1)"/>
      <w:numFmt w:val="lowerRoman"/>
      <w:start w:val="1"/>
    </w:lvl>
  </w:abstractNum>
  <w:abstractNum w:abstractNumId="34">
    <w:nsid w:val="749ABB43"/>
    <w:multiLevelType w:val="hybridMultilevel"/>
    <w:lvl w:ilvl="0">
      <w:lvlJc w:val="left"/>
      <w:lvlText w:val="•"/>
      <w:numFmt w:val="bullet"/>
      <w:start w:val="1"/>
    </w:lvl>
  </w:abstractNum>
  <w:abstractNum w:abstractNumId="35">
    <w:nsid w:val="3DC240FB"/>
    <w:multiLevelType w:val="hybridMultilevel"/>
    <w:lvl w:ilvl="0">
      <w:lvlJc w:val="left"/>
      <w:lvlText w:val="•"/>
      <w:numFmt w:val="bullet"/>
      <w:start w:val="1"/>
    </w:lvl>
    <w:lvl w:ilvl="1">
      <w:lvlJc w:val="left"/>
      <w:lvlText w:val="◦"/>
      <w:numFmt w:val="bullet"/>
      <w:start w:val="1"/>
    </w:lvl>
  </w:abstractNum>
  <w:abstractNum w:abstractNumId="36">
    <w:nsid w:val="1BA026FA"/>
    <w:multiLevelType w:val="hybridMultilevel"/>
    <w:lvl w:ilvl="0">
      <w:lvlJc w:val="left"/>
      <w:lvlText w:val="•"/>
      <w:numFmt w:val="bullet"/>
      <w:start w:val="1"/>
    </w:lvl>
  </w:abstractNum>
  <w:abstractNum w:abstractNumId="37">
    <w:nsid w:val="79A1DEAA"/>
    <w:multiLevelType w:val="hybridMultilevel"/>
    <w:lvl w:ilvl="0">
      <w:lvlJc w:val="left"/>
      <w:lvlText w:val="•"/>
      <w:numFmt w:val="bullet"/>
      <w:start w:val="1"/>
    </w:lvl>
  </w:abstractNum>
  <w:abstractNum w:abstractNumId="38">
    <w:nsid w:val="75C6C33A"/>
    <w:multiLevelType w:val="hybridMultilevel"/>
    <w:lvl w:ilvl="0">
      <w:lvlJc w:val="left"/>
      <w:lvlText w:val="(%1)"/>
      <w:numFmt w:val="decimal"/>
      <w:start w:val="1"/>
    </w:lvl>
  </w:abstractNum>
  <w:abstractNum w:abstractNumId="39">
    <w:nsid w:val="12E685FB"/>
    <w:multiLevelType w:val="hybridMultilevel"/>
    <w:lvl w:ilvl="0">
      <w:lvlJc w:val="left"/>
      <w:lvlText w:val="%1."/>
      <w:numFmt w:val="decimal"/>
      <w:start w:val="1"/>
    </w:lvl>
  </w:abstractNum>
  <w:abstractNum w:abstractNumId="40">
    <w:nsid w:val="70C6A529"/>
    <w:multiLevelType w:val="hybridMultilevel"/>
    <w:lvl w:ilvl="0">
      <w:lvlJc w:val="left"/>
      <w:lvlText w:val="%1."/>
      <w:numFmt w:val="decimal"/>
      <w:start w:val="2"/>
    </w:lvl>
  </w:abstractNum>
  <w:abstractNum w:abstractNumId="41">
    <w:nsid w:val="520EEDD1"/>
    <w:multiLevelType w:val="hybridMultilevel"/>
    <w:lvl w:ilvl="0">
      <w:lvlJc w:val="left"/>
      <w:lvlText w:val="%1."/>
      <w:numFmt w:val="decimal"/>
      <w:start w:val="3"/>
    </w:lvl>
  </w:abstractNum>
  <w:abstractNum w:abstractNumId="42">
    <w:nsid w:val="374A3FE6"/>
    <w:multiLevelType w:val="hybridMultilevel"/>
    <w:lvl w:ilvl="0">
      <w:lvlJc w:val="left"/>
      <w:lvlText w:val="#"/>
      <w:numFmt w:val="bullet"/>
      <w:start w:val="1"/>
    </w:lvl>
  </w:abstractNum>
  <w:abstractNum w:abstractNumId="43">
    <w:nsid w:val="4F4EF005"/>
    <w:multiLevelType w:val="hybridMultilevel"/>
    <w:lvl w:ilvl="0">
      <w:lvlJc w:val="left"/>
      <w:lvlText w:val="*"/>
      <w:numFmt w:val="bullet"/>
      <w:start w:val="1"/>
    </w:lvl>
  </w:abstractNum>
  <w:abstractNum w:abstractNumId="44">
    <w:nsid w:val="23F9C13C"/>
    <w:multiLevelType w:val="hybridMultilevel"/>
    <w:lvl w:ilvl="0">
      <w:lvlJc w:val="left"/>
      <w:lvlText w:val="•"/>
      <w:numFmt w:val="bullet"/>
      <w:start w:val="1"/>
    </w:lvl>
  </w:abstractNum>
  <w:abstractNum w:abstractNumId="45">
    <w:nsid w:val="649BB77C"/>
    <w:multiLevelType w:val="hybridMultilevel"/>
    <w:lvl w:ilvl="0">
      <w:lvlJc w:val="left"/>
      <w:lvlText w:val="•"/>
      <w:numFmt w:val="bullet"/>
      <w:start w:val="1"/>
    </w:lvl>
  </w:abstractNum>
  <w:abstractNum w:abstractNumId="46">
    <w:nsid w:val="275AC794"/>
    <w:multiLevelType w:val="hybridMultilevel"/>
    <w:lvl w:ilvl="0">
      <w:lvlJc w:val="left"/>
      <w:lvlText w:val="•"/>
      <w:numFmt w:val="bullet"/>
      <w:start w:val="1"/>
    </w:lvl>
  </w:abstractNum>
  <w:abstractNum w:abstractNumId="47">
    <w:nsid w:val="39386575"/>
    <w:multiLevelType w:val="hybridMultilevel"/>
    <w:lvl w:ilvl="0">
      <w:lvlJc w:val="left"/>
      <w:lvlText w:val="•"/>
      <w:numFmt w:val="bullet"/>
      <w:start w:val="1"/>
    </w:lvl>
  </w:abstractNum>
  <w:abstractNum w:abstractNumId="48">
    <w:nsid w:val="1CF10FD8"/>
    <w:multiLevelType w:val="hybridMultilevel"/>
    <w:lvl w:ilvl="0">
      <w:lvlJc w:val="left"/>
      <w:lvlText w:val="%1."/>
      <w:numFmt w:val="decimal"/>
      <w:start w:val="1"/>
    </w:lvl>
  </w:abstractNum>
  <w:abstractNum w:abstractNumId="49">
    <w:nsid w:val="180115BE"/>
    <w:multiLevelType w:val="hybridMultilevel"/>
    <w:lvl w:ilvl="0">
      <w:lvlJc w:val="left"/>
      <w:lvlText w:val="%1."/>
      <w:numFmt w:val="decimal"/>
      <w:start w:val="2"/>
    </w:lvl>
  </w:abstractNum>
  <w:abstractNum w:abstractNumId="50">
    <w:nsid w:val="235BA861"/>
    <w:multiLevelType w:val="hybridMultilevel"/>
    <w:lvl w:ilvl="0">
      <w:lvlJc w:val="left"/>
      <w:lvlText w:val="%1."/>
      <w:numFmt w:val="decimal"/>
      <w:start w:val="1"/>
    </w:lvl>
    <w:lvl w:ilvl="1">
      <w:lvlJc w:val="left"/>
      <w:lvlText w:val="(%2)"/>
      <w:numFmt w:val="lowerLetter"/>
      <w:start w:val="1"/>
    </w:lvl>
  </w:abstractNum>
  <w:abstractNum w:abstractNumId="51">
    <w:nsid w:val="47398C89"/>
    <w:multiLevelType w:val="hybridMultilevel"/>
    <w:lvl w:ilvl="0">
      <w:lvlJc w:val="left"/>
      <w:lvlText w:val="(%1)"/>
      <w:numFmt w:val="lowerLetter"/>
      <w:start w:val="2"/>
    </w:lvl>
    <w:lvl w:ilvl="1">
      <w:lvlJc w:val="left"/>
      <w:lvlText w:val="(%2)"/>
      <w:numFmt w:val="lowerRoman"/>
      <w:start w:val="1"/>
    </w:lvl>
  </w:abstractNum>
  <w:abstractNum w:abstractNumId="52">
    <w:nsid w:val="354FE9F9"/>
    <w:multiLevelType w:val="hybridMultilevel"/>
    <w:lvl w:ilvl="0">
      <w:lvlJc w:val="left"/>
      <w:lvlText w:val="%1"/>
      <w:numFmt w:val="decimal"/>
      <w:start w:val="1"/>
    </w:lvl>
    <w:lvl w:ilvl="1">
      <w:lvlJc w:val="left"/>
      <w:lvlText w:val="(%2)"/>
      <w:numFmt w:val="lowerLetter"/>
      <w:start w:val="3"/>
    </w:lvl>
    <w:lvl w:ilvl="2">
      <w:lvlJc w:val="left"/>
      <w:lvlText w:val="(%3)"/>
      <w:numFmt w:val="lowerLetter"/>
      <w:start w:val="9"/>
    </w:lvl>
  </w:abstractNum>
  <w:abstractNum w:abstractNumId="53">
    <w:nsid w:val="15B5AF5C"/>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abstractNum>
  <w:abstractNum w:abstractNumId="54">
    <w:nsid w:val="741226BB"/>
    <w:multiLevelType w:val="hybridMultilevel"/>
    <w:lvl w:ilvl="0">
      <w:lvlJc w:val="left"/>
      <w:lvlText w:val="%1"/>
      <w:numFmt w:val="decimal"/>
      <w:start w:val="1"/>
    </w:lvl>
    <w:lvl w:ilvl="1">
      <w:lvlJc w:val="left"/>
      <w:lvlText w:val="(%2)"/>
      <w:numFmt w:val="lowerRoman"/>
      <w:start w:val="2"/>
    </w:lvl>
  </w:abstractNum>
  <w:abstractNum w:abstractNumId="55">
    <w:nsid w:val="D34B6A8"/>
    <w:multiLevelType w:val="hybridMultilevel"/>
    <w:lvl w:ilvl="0">
      <w:lvlJc w:val="left"/>
      <w:lvlText w:val="%1."/>
      <w:numFmt w:val="decimal"/>
      <w:start w:val="4"/>
    </w:lvl>
    <w:lvl w:ilvl="1">
      <w:lvlJc w:val="left"/>
      <w:lvlText w:val="%2"/>
      <w:numFmt w:val="lowerRoman"/>
      <w:start w:val="1"/>
    </w:lvl>
  </w:abstractNum>
  <w:abstractNum w:abstractNumId="56">
    <w:nsid w:val="10233C99"/>
    <w:multiLevelType w:val="hybridMultilevel"/>
    <w:lvl w:ilvl="0">
      <w:lvlJc w:val="left"/>
      <w:lvlText w:val="(%1)"/>
      <w:numFmt w:val="lowerLetter"/>
      <w:start w:val="1"/>
    </w:lvl>
  </w:abstractNum>
  <w:abstractNum w:abstractNumId="57">
    <w:nsid w:val="3F6AB60F"/>
    <w:multiLevelType w:val="hybridMultilevel"/>
    <w:lvl w:ilvl="0">
      <w:lvlJc w:val="left"/>
      <w:lvlText w:val="%1"/>
      <w:numFmt w:val="lowerLetter"/>
      <w:start w:val="1"/>
    </w:lvl>
    <w:lvl w:ilvl="1">
      <w:lvlJc w:val="left"/>
      <w:lvlText w:val="%2."/>
      <w:numFmt w:val="decimal"/>
      <w:start w:val="5"/>
    </w:lvl>
  </w:abstractNum>
  <w:abstractNum w:abstractNumId="58">
    <w:nsid w:val="61574095"/>
    <w:multiLevelType w:val="hybridMultilevel"/>
    <w:lvl w:ilvl="0">
      <w:lvlJc w:val="left"/>
      <w:lvlText w:val="(%1)"/>
      <w:numFmt w:val="lowerLetter"/>
      <w:start w:val="4"/>
    </w:lvl>
    <w:lvl w:ilvl="1">
      <w:lvlJc w:val="left"/>
      <w:lvlText w:val="%2."/>
      <w:numFmt w:val="decimal"/>
      <w:start w:val="6"/>
    </w:lvl>
  </w:abstractNum>
  <w:abstractNum w:abstractNumId="59">
    <w:nsid w:val="7E0C57B1"/>
    <w:multiLevelType w:val="hybridMultilevel"/>
    <w:lvl w:ilvl="0">
      <w:lvlJc w:val="left"/>
      <w:lvlText w:val="(%1)"/>
      <w:numFmt w:val="lowerLetter"/>
      <w:start w:val="1"/>
    </w:lvl>
  </w:abstractNum>
  <w:abstractNum w:abstractNumId="60">
    <w:nsid w:val="77AE35EB"/>
    <w:multiLevelType w:val="hybridMultilevel"/>
    <w:lvl w:ilvl="0">
      <w:lvlJc w:val="left"/>
      <w:lvlText w:val="(%1)"/>
      <w:numFmt w:val="lowerLetter"/>
      <w:start w:val="8"/>
    </w:lvl>
  </w:abstractNum>
  <w:abstractNum w:abstractNumId="61">
    <w:nsid w:val="579BE4F1"/>
    <w:multiLevelType w:val="hybridMultilevel"/>
    <w:lvl w:ilvl="0">
      <w:lvlJc w:val="left"/>
      <w:lvlText w:val="%1."/>
      <w:numFmt w:val="decimal"/>
      <w:start w:val="1"/>
    </w:lvl>
    <w:lvl w:ilvl="1">
      <w:lvlJc w:val="left"/>
      <w:lvlText w:val="%2)"/>
      <w:numFmt w:val="lowerLetter"/>
      <w:start w:val="1"/>
    </w:lvl>
  </w:abstractNum>
  <w:abstractNum w:abstractNumId="62">
    <w:nsid w:val="310C50B3"/>
    <w:multiLevelType w:val="hybridMultilevel"/>
    <w:lvl w:ilvl="0">
      <w:lvlJc w:val="left"/>
      <w:lvlText w:val="%1."/>
      <w:numFmt w:val="decimal"/>
      <w:start w:val="1"/>
    </w:lvl>
    <w:lvl w:ilvl="1">
      <w:lvlJc w:val="left"/>
      <w:lvlText w:val="%2)"/>
      <w:numFmt w:val="lowerLetter"/>
      <w:start w:val="1"/>
    </w:lvl>
  </w:abstractNum>
  <w:abstractNum w:abstractNumId="63">
    <w:nsid w:val="5FF87E05"/>
    <w:multiLevelType w:val="hybridMultilevel"/>
    <w:lvl w:ilvl="0">
      <w:lvlJc w:val="left"/>
      <w:lvlText w:val="(%1)"/>
      <w:numFmt w:val="lowerRoman"/>
      <w:start w:val="1"/>
    </w:lvl>
  </w:abstractNum>
  <w:abstractNum w:abstractNumId="64">
    <w:nsid w:val="2F305DEF"/>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2019-12-29T06:50:15Z</dcterms:created>
  <dcterms:modified xsi:type="dcterms:W3CDTF">2019-12-29T06:50:15Z</dcterms:modified>
</cp:coreProperties>
</file>