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1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8" w:lineRule="exact"/>
        <w:rPr>
          <w:sz w:val="24"/>
          <w:szCs w:val="24"/>
          <w:color w:val="auto"/>
        </w:rPr>
      </w:pPr>
    </w:p>
    <w:p>
      <w:pPr>
        <w:ind w:left="380"/>
        <w:spacing w:after="0" w:line="238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-243205</wp:posOffset>
            </wp:positionV>
            <wp:extent cx="136525" cy="136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5" cy="136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4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60" w:type="dxa"/>
            <w:vAlign w:val="bottom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60" w:type="dxa"/>
            <w:vAlign w:val="bottom"/>
            <w:vMerge w:val="restart"/>
          </w:tcPr>
          <w:p>
            <w:pPr>
              <w:jc w:val="center"/>
              <w:ind w:right="173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60" w:type="dxa"/>
            <w:vAlign w:val="bottom"/>
            <w:vMerge w:val="restart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6560" w:type="dxa"/>
            <w:vAlign w:val="bottom"/>
            <w:vMerge w:val="restart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6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5481955</wp:posOffset>
            </wp:positionH>
            <wp:positionV relativeFrom="paragraph">
              <wp:posOffset>-651510</wp:posOffset>
            </wp:positionV>
            <wp:extent cx="59690" cy="66484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4152265</wp:posOffset>
            </wp:positionH>
            <wp:positionV relativeFrom="paragraph">
              <wp:posOffset>-651510</wp:posOffset>
            </wp:positionV>
            <wp:extent cx="59690" cy="66484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-1696720</wp:posOffset>
            </wp:positionH>
            <wp:positionV relativeFrom="paragraph">
              <wp:posOffset>20955</wp:posOffset>
            </wp:positionV>
            <wp:extent cx="7323455" cy="511556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51155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5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60" w:space="300"/>
            <w:col w:w="8860"/>
          </w:cols>
          <w:pgMar w:left="240" w:top="225" w:right="13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Christman Dan</w:t>
        </w:r>
      </w:hyperlink>
    </w:p>
    <w:p>
      <w:pPr>
        <w:spacing w:after="0" w:line="325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8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4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780" w:type="dxa"/>
            <w:vAlign w:val="bottom"/>
            <w:tcBorders>
              <w:bottom w:val="single" w:sz="8" w:color="0000EE"/>
            </w:tcBorders>
            <w:gridSpan w:val="2"/>
          </w:tcPr>
          <w:p>
            <w:pPr>
              <w:spacing w:after="0" w:line="210" w:lineRule="exact"/>
              <w:rPr>
                <w:rFonts w:ascii="Arial" w:cs="Arial" w:eastAsia="Arial" w:hAnsi="Arial"/>
                <w:sz w:val="21"/>
                <w:szCs w:val="21"/>
                <w:color w:val="0000EE"/>
                <w:w w:val="99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  <w:w w:val="99"/>
                </w:rPr>
                <w:t>MARVELL TECHNOLOGY GROUP LTD</w:t>
              </w:r>
            </w:hyperlink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94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>[</w:t>
            </w:r>
          </w:p>
        </w:tc>
        <w:tc>
          <w:tcPr>
            <w:tcW w:w="378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MRVL </w:t>
            </w:r>
            <w:r>
              <w:rPr>
                <w:rFonts w:ascii="Arial" w:cs="Arial" w:eastAsia="Arial" w:hAnsi="Arial"/>
                <w:sz w:val="21"/>
                <w:szCs w:val="21"/>
                <w:color w:val="000000"/>
              </w:rPr>
              <w:t>]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ind w:left="1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00" w:type="dxa"/>
            <w:vAlign w:val="bottom"/>
          </w:tcPr>
          <w:p>
            <w:pPr>
              <w:ind w:left="3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4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8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7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0"/>
        </w:trPr>
        <w:tc>
          <w:tcPr>
            <w:tcW w:w="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EVP, Strategic Planning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384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04/15/2017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3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40"/>
        <w:spacing w:after="0" w:line="236" w:lineRule="auto"/>
        <w:tabs>
          <w:tab w:leader="none" w:pos="45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4"/>
          <w:szCs w:val="24"/>
          <w:color w:val="auto"/>
        </w:rPr>
      </w:pPr>
    </w:p>
    <w:p>
      <w:pPr>
        <w:ind w:left="4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5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900" w:space="100"/>
            <w:col w:w="7520"/>
          </w:cols>
          <w:pgMar w:left="240" w:top="225" w:right="13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3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40" w:type="dxa"/>
            <w:vAlign w:val="bottom"/>
            <w:gridSpan w:val="2"/>
          </w:tcPr>
          <w:p>
            <w:pPr>
              <w:ind w:left="8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20" w:type="dxa"/>
            <w:vAlign w:val="bottom"/>
            <w:gridSpan w:val="3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8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820" w:type="dxa"/>
            <w:vAlign w:val="bottom"/>
            <w:gridSpan w:val="3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40" w:type="dxa"/>
            <w:vAlign w:val="bottom"/>
            <w:gridSpan w:val="2"/>
          </w:tcPr>
          <w:p>
            <w:pPr>
              <w:ind w:left="8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60" w:type="dxa"/>
            <w:vAlign w:val="bottom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4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00" w:type="dxa"/>
            <w:vAlign w:val="bottom"/>
          </w:tcPr>
          <w:p>
            <w:pPr>
              <w:ind w:left="3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60" w:type="dxa"/>
            <w:vAlign w:val="bottom"/>
            <w:vMerge w:val="restart"/>
          </w:tcPr>
          <w:p>
            <w:pPr>
              <w:jc w:val="right"/>
              <w:ind w:right="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0" w:type="dxa"/>
            <w:vAlign w:val="bottom"/>
            <w:gridSpan w:val="3"/>
          </w:tcPr>
          <w:p>
            <w:pPr>
              <w:ind w:left="5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1,659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2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0" w:type="dxa"/>
            <w:vAlign w:val="bottom"/>
            <w:tcBorders>
              <w:bottom w:val="single" w:sz="8" w:color="2C2C2C"/>
            </w:tcBorders>
            <w:gridSpan w:val="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60" w:type="dxa"/>
            <w:vAlign w:val="bottom"/>
            <w:tcBorders>
              <w:top w:val="single" w:sz="8" w:color="2C2C2C"/>
            </w:tcBorders>
            <w:gridSpan w:val="1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80" w:type="dxa"/>
            <w:vAlign w:val="bottom"/>
            <w:gridSpan w:val="10"/>
          </w:tcPr>
          <w:p>
            <w:pPr>
              <w:jc w:val="right"/>
              <w:ind w:right="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Transaction</w:t>
            </w:r>
          </w:p>
        </w:tc>
        <w:tc>
          <w:tcPr>
            <w:tcW w:w="60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2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Code (Instr.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20" w:type="dxa"/>
            <w:vAlign w:val="bottom"/>
            <w:gridSpan w:val="4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2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60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</w:t>
            </w:r>
          </w:p>
        </w:tc>
        <w:tc>
          <w:tcPr>
            <w:tcW w:w="3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25,069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right"/>
              <w:ind w:right="138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04/15/2017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1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</w:t>
            </w:r>
          </w:p>
        </w:tc>
        <w:tc>
          <w:tcPr>
            <w:tcW w:w="600" w:type="dxa"/>
            <w:vAlign w:val="bottom"/>
          </w:tcPr>
          <w:p>
            <w:pPr>
              <w:ind w:left="1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25,069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2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620" w:type="dxa"/>
            <w:vAlign w:val="bottom"/>
          </w:tcPr>
          <w:p>
            <w:pPr>
              <w:ind w:left="2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25,069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acquire)</w:t>
      </w:r>
    </w:p>
    <w:p>
      <w:pPr>
        <w:sectPr>
          <w:pgSz w:w="11900" w:h="16838" w:orient="portrait"/>
          <w:cols w:equalWidth="0" w:num="1">
            <w:col w:w="11520"/>
          </w:cols>
          <w:pgMar w:left="240" w:top="225" w:right="139" w:bottom="1440" w:gutter="0" w:footer="0" w:header="0"/>
          <w:type w:val="continuous"/>
        </w:sectPr>
      </w:pPr>
    </w:p>
    <w:p>
      <w:pPr>
        <w:spacing w:after="0" w:line="101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8" w:lineRule="exact"/>
        <w:rPr>
          <w:sz w:val="24"/>
          <w:szCs w:val="24"/>
          <w:color w:val="auto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("RSU") represented a contingent right to receive one Marvell common share.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RSUs vest as to 33% on April 15, 2018, 33% on April 15, 2019 and 34% on April 15, 2020.</w:t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51" w:lineRule="exact"/>
        <w:rPr>
          <w:sz w:val="24"/>
          <w:szCs w:val="24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0000FF"/>
        </w:rPr>
        <w:t>Dan Christman by Mary Ahern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4361815</wp:posOffset>
            </wp:positionH>
            <wp:positionV relativeFrom="paragraph">
              <wp:posOffset>0</wp:posOffset>
            </wp:positionV>
            <wp:extent cx="1384935" cy="825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93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8" w:lineRule="exact"/>
        <w:rPr>
          <w:sz w:val="24"/>
          <w:szCs w:val="24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his attorney-in-fact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4361815</wp:posOffset>
            </wp:positionH>
            <wp:positionV relativeFrom="paragraph">
              <wp:posOffset>-11430</wp:posOffset>
            </wp:positionV>
            <wp:extent cx="846455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645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54" w:lineRule="exact"/>
        <w:rPr>
          <w:sz w:val="24"/>
          <w:szCs w:val="24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37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04/18/2017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-5080</wp:posOffset>
            </wp:positionH>
            <wp:positionV relativeFrom="paragraph">
              <wp:posOffset>6350</wp:posOffset>
            </wp:positionV>
            <wp:extent cx="504825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91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5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9060" w:space="100"/>
            <w:col w:w="2360"/>
          </w:cols>
          <w:pgMar w:left="240" w:top="225" w:right="13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8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2" w:lineRule="exact"/>
        <w:rPr>
          <w:sz w:val="24"/>
          <w:szCs w:val="24"/>
          <w:color w:val="auto"/>
        </w:rPr>
      </w:pPr>
    </w:p>
    <w:p>
      <w:pPr>
        <w:jc w:val="both"/>
        <w:ind w:left="40" w:right="3720" w:firstLine="8"/>
        <w:spacing w:after="0" w:line="321" w:lineRule="auto"/>
        <w:tabs>
          <w:tab w:leader="none" w:pos="182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5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2" Type="http://schemas.openxmlformats.org/officeDocument/2006/relationships/hyperlink" Target="http://www.sec.gov/cgi-bin/browse-edgar?action=getcompany&amp;CIK=0001697033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2019-12-04T00:05:28Z</dcterms:created>
  <dcterms:modified xsi:type="dcterms:W3CDTF">2019-12-04T00:05:28Z</dcterms:modified>
</cp:coreProperties>
</file>