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6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ind w:left="380"/>
        <w:spacing w:after="0" w:line="233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36830</wp:posOffset>
            </wp:positionH>
            <wp:positionV relativeFrom="paragraph">
              <wp:posOffset>-238125</wp:posOffset>
            </wp:positionV>
            <wp:extent cx="133985" cy="13398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85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9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9"/>
        </w:trPr>
        <w:tc>
          <w:tcPr>
            <w:tcW w:w="6500" w:type="dxa"/>
            <w:vAlign w:val="bottom"/>
          </w:tcPr>
          <w:p>
            <w:pPr>
              <w:jc w:val="center"/>
              <w:ind w:right="23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9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00" w:type="dxa"/>
            <w:vAlign w:val="bottom"/>
            <w:vMerge w:val="restart"/>
          </w:tcPr>
          <w:p>
            <w:pPr>
              <w:jc w:val="center"/>
              <w:ind w:right="214"/>
              <w:spacing w:after="0" w:line="13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65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7"/>
        </w:trPr>
        <w:tc>
          <w:tcPr>
            <w:tcW w:w="65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00" w:type="dxa"/>
            <w:vAlign w:val="bottom"/>
            <w:vMerge w:val="restart"/>
          </w:tcPr>
          <w:p>
            <w:pPr>
              <w:jc w:val="center"/>
              <w:ind w:right="214"/>
              <w:spacing w:after="0" w:line="1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9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1"/>
        </w:trPr>
        <w:tc>
          <w:tcPr>
            <w:tcW w:w="65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"/>
        </w:trPr>
        <w:tc>
          <w:tcPr>
            <w:tcW w:w="65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6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6500" w:type="dxa"/>
            <w:vAlign w:val="bottom"/>
            <w:vMerge w:val="restart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800" w:type="dxa"/>
            <w:vAlign w:val="bottom"/>
          </w:tcPr>
          <w:p>
            <w:pPr>
              <w:jc w:val="right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5459095</wp:posOffset>
            </wp:positionH>
            <wp:positionV relativeFrom="paragraph">
              <wp:posOffset>-640080</wp:posOffset>
            </wp:positionV>
            <wp:extent cx="59055" cy="65341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3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4119880</wp:posOffset>
            </wp:positionH>
            <wp:positionV relativeFrom="paragraph">
              <wp:posOffset>-640080</wp:posOffset>
            </wp:positionV>
            <wp:extent cx="59055" cy="65341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3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-1723390</wp:posOffset>
            </wp:positionH>
            <wp:positionV relativeFrom="paragraph">
              <wp:posOffset>18415</wp:posOffset>
            </wp:positionV>
            <wp:extent cx="7324725" cy="55340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725" cy="5534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20" w:space="380"/>
            <w:col w:w="8820"/>
          </w:cols>
          <w:pgMar w:left="240" w:top="224" w:right="139" w:bottom="1440" w:gutter="0" w:footer="0" w:header="0"/>
        </w:sectPr>
      </w:pP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Thakur Randhir</w:t>
        </w:r>
      </w:hyperlink>
    </w:p>
    <w:p>
      <w:pPr>
        <w:spacing w:after="0" w:line="31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7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28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07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62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3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4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8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920" w:type="dxa"/>
            <w:vAlign w:val="bottom"/>
            <w:gridSpan w:val="3"/>
          </w:tcPr>
          <w:p>
            <w:pPr>
              <w:spacing w:after="0" w:line="206" w:lineRule="exact"/>
              <w:rPr>
                <w:rFonts w:ascii="Arial" w:cs="Arial" w:eastAsia="Arial" w:hAnsi="Arial"/>
                <w:sz w:val="21"/>
                <w:szCs w:val="21"/>
                <w:color w:val="0000EE"/>
                <w:w w:val="99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  <w:w w:val="99"/>
                </w:rPr>
                <w:t xml:space="preserve">MARVELL TECHNOLOGY GROUP LTD </w:t>
              </w:r>
            </w:hyperlink>
            <w:r>
              <w:rPr>
                <w:rFonts w:ascii="Arial" w:cs="Arial" w:eastAsia="Arial" w:hAnsi="Arial"/>
                <w:sz w:val="21"/>
                <w:szCs w:val="21"/>
                <w:color w:val="000000"/>
                <w:w w:val="99"/>
              </w:rPr>
              <w:t>[</w:t>
            </w:r>
          </w:p>
        </w:tc>
        <w:tc>
          <w:tcPr>
            <w:tcW w:w="19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720" w:type="dxa"/>
            <w:vAlign w:val="bottom"/>
            <w:gridSpan w:val="2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2"/>
                <w:szCs w:val="2"/>
                <w:color w:val="0000FF"/>
              </w:rPr>
            </w:pPr>
            <w:hyperlink r:id="rId13">
              <w:r>
                <w:rPr>
                  <w:rFonts w:ascii="Arial" w:cs="Arial" w:eastAsia="Arial" w:hAnsi="Arial"/>
                  <w:sz w:val="2"/>
                  <w:szCs w:val="2"/>
                  <w:color w:val="0000FF"/>
                </w:rPr>
                <w:t xml:space="preserve">MRVL </w:t>
              </w:r>
              <w:r>
                <w:rPr>
                  <w:rFonts w:ascii="Arial" w:cs="Arial" w:eastAsia="Arial" w:hAnsi="Arial"/>
                  <w:sz w:val="3"/>
                  <w:szCs w:val="3"/>
                  <w:color w:val="000000"/>
                </w:rPr>
                <w:t>]</w:t>
              </w:r>
            </w:hyperlink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ind w:left="6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7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7"/>
        </w:trPr>
        <w:tc>
          <w:tcPr>
            <w:tcW w:w="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5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2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0"/>
        </w:trPr>
        <w:tc>
          <w:tcPr>
            <w:tcW w:w="20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</w:t>
            </w:r>
          </w:p>
        </w:tc>
        <w:tc>
          <w:tcPr>
            <w:tcW w:w="378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1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1520" w:type="dxa"/>
            <w:vAlign w:val="bottom"/>
          </w:tcPr>
          <w:p>
            <w:pPr>
              <w:ind w:left="340"/>
              <w:spacing w:after="0" w:line="11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7"/>
        </w:trPr>
        <w:tc>
          <w:tcPr>
            <w:tcW w:w="37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06/15/2017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7"/>
        </w:trPr>
        <w:tc>
          <w:tcPr>
            <w:tcW w:w="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60"/>
        <w:spacing w:after="0" w:line="226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0" w:lineRule="exact"/>
        <w:rPr>
          <w:sz w:val="20"/>
          <w:szCs w:val="20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08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4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20" w:type="dxa"/>
            <w:vAlign w:val="bottom"/>
            <w:gridSpan w:val="3"/>
          </w:tcPr>
          <w:p>
            <w:pPr>
              <w:ind w:left="8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980" w:type="dxa"/>
            <w:vAlign w:val="bottom"/>
            <w:gridSpan w:val="4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  <w:gridSpan w:val="2"/>
          </w:tcPr>
          <w:p>
            <w:pPr>
              <w:ind w:left="8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Transaction</w:t>
            </w:r>
          </w:p>
        </w:tc>
        <w:tc>
          <w:tcPr>
            <w:tcW w:w="1980" w:type="dxa"/>
            <w:vAlign w:val="bottom"/>
            <w:gridSpan w:val="4"/>
          </w:tcPr>
          <w:p>
            <w:pPr>
              <w:jc w:val="center"/>
              <w:ind w:left="16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Disposed Of (D) (Instr. 3, 4 and 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20" w:type="dxa"/>
            <w:vAlign w:val="bottom"/>
            <w:gridSpan w:val="3"/>
          </w:tcPr>
          <w:p>
            <w:pPr>
              <w:jc w:val="center"/>
              <w:ind w:left="713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5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  <w:vMerge w:val="restart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60" w:type="dxa"/>
            <w:vAlign w:val="bottom"/>
          </w:tcPr>
          <w:p>
            <w:pPr>
              <w:ind w:left="2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920" w:type="dxa"/>
            <w:vAlign w:val="bottom"/>
            <w:gridSpan w:val="3"/>
            <w:vMerge w:val="restart"/>
          </w:tcPr>
          <w:p>
            <w:pPr>
              <w:jc w:val="center"/>
              <w:ind w:left="7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06/15/2017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6"/>
              </w:rPr>
              <w:t>17,322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8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8"/>
              </w:rPr>
              <w:t>0.00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  <w:vMerge w:val="restart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65,400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9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7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3"/>
            <w:vMerge w:val="continue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80" w:type="dxa"/>
            <w:vAlign w:val="bottom"/>
            <w:gridSpan w:val="1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760" w:type="dxa"/>
            <w:vAlign w:val="bottom"/>
            <w:gridSpan w:val="11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 of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4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6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6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40" w:type="dxa"/>
            <w:vAlign w:val="bottom"/>
            <w:gridSpan w:val="3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derivative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6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6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6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6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 (A) or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or Indirect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(Instr. 3, 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Following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restart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5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5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6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9"/>
              </w:rPr>
              <w:t>17,322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jc w:val="right"/>
              <w:ind w:right="178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06/15/2017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jc w:val="center"/>
              <w:ind w:right="339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17,322</w:t>
            </w: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11/08/2026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1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jc w:val="right"/>
              <w:ind w:right="59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3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center"/>
              <w:ind w:right="17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2"/>
              </w:rPr>
              <w:t>Shares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9"/>
              </w:rPr>
              <w:t>12,636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jc w:val="right"/>
              <w:ind w:right="178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06/15/2017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jc w:val="center"/>
              <w:ind w:right="359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520" w:type="dxa"/>
            <w:vAlign w:val="bottom"/>
          </w:tcPr>
          <w:p>
            <w:pPr>
              <w:ind w:left="1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12,636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06/15/2027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1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jc w:val="right"/>
              <w:ind w:right="221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12,636</w:t>
            </w:r>
          </w:p>
        </w:tc>
        <w:tc>
          <w:tcPr>
            <w:tcW w:w="660" w:type="dxa"/>
            <w:vAlign w:val="bottom"/>
          </w:tcPr>
          <w:p>
            <w:pPr>
              <w:ind w:left="3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center"/>
              <w:ind w:right="17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2"/>
              </w:rPr>
              <w:t>Shares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ectPr>
          <w:pgSz w:w="11900" w:h="16838" w:orient="portrait"/>
          <w:cols w:equalWidth="0" w:num="1">
            <w:col w:w="11520"/>
          </w:cols>
          <w:pgMar w:left="240" w:top="224" w:right="139" w:bottom="1440" w:gutter="0" w:footer="0" w:header="0"/>
          <w:type w:val="continuous"/>
        </w:sectPr>
      </w:pPr>
    </w:p>
    <w:p>
      <w:pPr>
        <w:spacing w:after="0" w:line="96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6" w:lineRule="exact"/>
        <w:rPr>
          <w:sz w:val="20"/>
          <w:szCs w:val="20"/>
          <w:color w:val="auto"/>
        </w:rPr>
      </w:pPr>
    </w:p>
    <w:p>
      <w:pPr>
        <w:ind w:left="180" w:hanging="135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By The Thakur Family Revocable Trust DTD 6/7/99.</w:t>
      </w:r>
    </w:p>
    <w:p>
      <w:pPr>
        <w:spacing w:after="0" w:line="48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5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("RSU") represented a contingent right to receive one Marvell common share.</w:t>
      </w:r>
    </w:p>
    <w:p>
      <w:pPr>
        <w:spacing w:after="0" w:line="48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5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These RSUs vested as to 100% of the shares on June 15, 2017.</w:t>
      </w:r>
    </w:p>
    <w:p>
      <w:pPr>
        <w:spacing w:after="0" w:line="48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5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Vests 100% of shares on the earlier of the next annual general meeting of Marvell or the one year anniversary of the restricted stock unit grant.</w:t>
      </w:r>
    </w:p>
    <w:p>
      <w:pPr>
        <w:spacing w:after="0" w:line="40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43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0000FF"/>
        </w:rPr>
        <w:t>Randhir Thakur by Mary Ahern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4356735</wp:posOffset>
            </wp:positionH>
            <wp:positionV relativeFrom="paragraph">
              <wp:posOffset>-1905</wp:posOffset>
            </wp:positionV>
            <wp:extent cx="1390015" cy="82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3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as attorney-in-fact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4356735</wp:posOffset>
            </wp:positionH>
            <wp:positionV relativeFrom="paragraph">
              <wp:posOffset>-12700</wp:posOffset>
            </wp:positionV>
            <wp:extent cx="794385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438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0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8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06/16/2017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-2540</wp:posOffset>
            </wp:positionH>
            <wp:positionV relativeFrom="paragraph">
              <wp:posOffset>4445</wp:posOffset>
            </wp:positionV>
            <wp:extent cx="495935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93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85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8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9060" w:space="100"/>
            <w:col w:w="2360"/>
          </w:cols>
          <w:pgMar w:left="240" w:top="224" w:right="13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4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8" w:lineRule="exact"/>
        <w:rPr>
          <w:sz w:val="20"/>
          <w:szCs w:val="20"/>
          <w:color w:val="auto"/>
        </w:rPr>
      </w:pPr>
    </w:p>
    <w:p>
      <w:pPr>
        <w:jc w:val="both"/>
        <w:ind w:left="40" w:right="3860" w:firstLine="5"/>
        <w:spacing w:after="0" w:line="315" w:lineRule="auto"/>
        <w:tabs>
          <w:tab w:leader="none" w:pos="179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 w:line="1" w:lineRule="exact"/>
        <w:rPr>
          <w:rFonts w:ascii="Arial" w:cs="Arial" w:eastAsia="Arial" w:hAnsi="Arial"/>
          <w:sz w:val="13"/>
          <w:szCs w:val="13"/>
          <w:color w:val="auto"/>
        </w:rPr>
      </w:pP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4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2" Type="http://schemas.openxmlformats.org/officeDocument/2006/relationships/hyperlink" Target="http://www.sec.gov/cgi-bin/browse-edgar?action=getcompany&amp;CIK=0001322349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2019-12-04T00:05:49Z</dcterms:created>
  <dcterms:modified xsi:type="dcterms:W3CDTF">2019-12-04T00:05:49Z</dcterms:modified>
</cp:coreProperties>
</file>