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right"/>
        <w:spacing w:after="0"/>
        <w:rPr>
          <w:sz w:val="20"/>
          <w:szCs w:val="20"/>
          <w:color w:val="auto"/>
        </w:rPr>
      </w:pPr>
      <w:r>
        <w:rPr>
          <w:rFonts w:ascii="Arial" w:cs="Arial" w:eastAsia="Arial" w:hAnsi="Arial"/>
          <w:sz w:val="18"/>
          <w:szCs w:val="18"/>
          <w:color w:val="auto"/>
        </w:rPr>
        <w:t>Filed by Marvell Technology Group Ltd.</w:t>
      </w:r>
    </w:p>
    <w:p>
      <w:pPr>
        <w:spacing w:after="0" w:line="23" w:lineRule="exact"/>
        <w:rPr>
          <w:sz w:val="24"/>
          <w:szCs w:val="24"/>
          <w:color w:val="auto"/>
        </w:rPr>
      </w:pPr>
    </w:p>
    <w:p>
      <w:pPr>
        <w:jc w:val="right"/>
        <w:spacing w:after="0"/>
        <w:rPr>
          <w:sz w:val="20"/>
          <w:szCs w:val="20"/>
          <w:color w:val="auto"/>
        </w:rPr>
      </w:pPr>
      <w:r>
        <w:rPr>
          <w:rFonts w:ascii="Arial" w:cs="Arial" w:eastAsia="Arial" w:hAnsi="Arial"/>
          <w:sz w:val="18"/>
          <w:szCs w:val="18"/>
          <w:color w:val="auto"/>
        </w:rPr>
        <w:t>Pursuant to Rule 425 under the Securities Act of 1933</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color w:val="auto"/>
        </w:rPr>
        <w:t>and deemed filed pursuant to Rule 14a-12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color w:val="auto"/>
        </w:rPr>
        <w:t>under the Securities Exchange Act of 1934</w:t>
      </w:r>
    </w:p>
    <w:p>
      <w:pPr>
        <w:spacing w:after="0" w:line="211" w:lineRule="exact"/>
        <w:rPr>
          <w:sz w:val="24"/>
          <w:szCs w:val="24"/>
          <w:color w:val="auto"/>
        </w:rPr>
      </w:pPr>
    </w:p>
    <w:p>
      <w:pPr>
        <w:ind w:left="9100"/>
        <w:spacing w:after="0"/>
        <w:rPr>
          <w:sz w:val="20"/>
          <w:szCs w:val="20"/>
          <w:color w:val="auto"/>
        </w:rPr>
      </w:pPr>
      <w:r>
        <w:rPr>
          <w:rFonts w:ascii="Arial" w:cs="Arial" w:eastAsia="Arial" w:hAnsi="Arial"/>
          <w:sz w:val="16"/>
          <w:szCs w:val="16"/>
          <w:color w:val="auto"/>
        </w:rPr>
        <w:t>Subject Company: Cavium, Inc.</w:t>
      </w:r>
    </w:p>
    <w:p>
      <w:pPr>
        <w:spacing w:after="0" w:line="46" w:lineRule="exact"/>
        <w:rPr>
          <w:sz w:val="24"/>
          <w:szCs w:val="24"/>
          <w:color w:val="auto"/>
        </w:rPr>
      </w:pPr>
    </w:p>
    <w:p>
      <w:pPr>
        <w:ind w:left="9060"/>
        <w:spacing w:after="0"/>
        <w:rPr>
          <w:sz w:val="20"/>
          <w:szCs w:val="20"/>
          <w:color w:val="auto"/>
        </w:rPr>
      </w:pPr>
      <w:r>
        <w:rPr>
          <w:rFonts w:ascii="Arial" w:cs="Arial" w:eastAsia="Arial" w:hAnsi="Arial"/>
          <w:sz w:val="16"/>
          <w:szCs w:val="16"/>
          <w:color w:val="auto"/>
        </w:rPr>
        <w:t>Commission File No. 001-33435</w:t>
      </w:r>
    </w:p>
    <w:p>
      <w:pPr>
        <w:spacing w:after="0" w:line="234" w:lineRule="exact"/>
        <w:rPr>
          <w:sz w:val="24"/>
          <w:szCs w:val="24"/>
          <w:color w:val="auto"/>
        </w:rPr>
      </w:pPr>
    </w:p>
    <w:p>
      <w:pPr>
        <w:spacing w:after="0"/>
        <w:rPr>
          <w:sz w:val="20"/>
          <w:szCs w:val="20"/>
          <w:color w:val="auto"/>
        </w:rPr>
      </w:pPr>
      <w:r>
        <w:rPr>
          <w:rFonts w:ascii="Arial" w:cs="Arial" w:eastAsia="Arial" w:hAnsi="Arial"/>
          <w:sz w:val="18"/>
          <w:szCs w:val="18"/>
          <w:color w:val="auto"/>
        </w:rPr>
        <w:t>The following email communication was sent by the President and CEO of Marvell Technology Group Ltd. to employees of Cavium, Inc.</w:t>
      </w:r>
    </w:p>
    <w:p>
      <w:pPr>
        <w:spacing w:after="0" w:line="333" w:lineRule="exact"/>
        <w:rPr>
          <w:sz w:val="24"/>
          <w:szCs w:val="24"/>
          <w:color w:val="auto"/>
        </w:rPr>
      </w:pPr>
    </w:p>
    <w:p>
      <w:pPr>
        <w:spacing w:after="0"/>
        <w:rPr>
          <w:sz w:val="20"/>
          <w:szCs w:val="20"/>
          <w:color w:val="auto"/>
        </w:rPr>
      </w:pPr>
      <w:r>
        <w:rPr>
          <w:rFonts w:ascii="Arial" w:cs="Arial" w:eastAsia="Arial" w:hAnsi="Arial"/>
          <w:sz w:val="18"/>
          <w:szCs w:val="18"/>
          <w:color w:val="auto"/>
        </w:rPr>
        <w:t>November 20, 2017</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Cavium Team:</w:t>
      </w:r>
    </w:p>
    <w:p>
      <w:pPr>
        <w:spacing w:after="0" w:line="117" w:lineRule="exact"/>
        <w:rPr>
          <w:sz w:val="24"/>
          <w:szCs w:val="24"/>
          <w:color w:val="auto"/>
        </w:rPr>
      </w:pPr>
    </w:p>
    <w:p>
      <w:pPr>
        <w:spacing w:after="0"/>
        <w:rPr>
          <w:sz w:val="20"/>
          <w:szCs w:val="20"/>
          <w:color w:val="auto"/>
        </w:rPr>
      </w:pPr>
      <w:r>
        <w:rPr>
          <w:rFonts w:ascii="Arial" w:cs="Arial" w:eastAsia="Arial" w:hAnsi="Arial"/>
          <w:sz w:val="18"/>
          <w:szCs w:val="18"/>
          <w:color w:val="auto"/>
        </w:rPr>
        <w:t>I’m very excited that Marvell has signed a definitive agreement to merge with Cavium to create an infrastructure solutions powerhouse.</w:t>
      </w:r>
    </w:p>
    <w:p>
      <w:pPr>
        <w:spacing w:after="0" w:line="225" w:lineRule="exact"/>
        <w:rPr>
          <w:sz w:val="24"/>
          <w:szCs w:val="24"/>
          <w:color w:val="auto"/>
        </w:rPr>
      </w:pPr>
    </w:p>
    <w:p>
      <w:pPr>
        <w:ind w:right="180"/>
        <w:spacing w:after="0" w:line="277" w:lineRule="auto"/>
        <w:rPr>
          <w:sz w:val="20"/>
          <w:szCs w:val="20"/>
          <w:color w:val="auto"/>
        </w:rPr>
      </w:pPr>
      <w:r>
        <w:rPr>
          <w:rFonts w:ascii="Arial" w:cs="Arial" w:eastAsia="Arial" w:hAnsi="Arial"/>
          <w:sz w:val="18"/>
          <w:szCs w:val="18"/>
          <w:color w:val="auto"/>
        </w:rPr>
        <w:t>Our portfolios are highly complementary, and the combined company will be uniquely positioned to offer end-to-end solutions that address the massive and growing demand for data storage, heterogeneous computing and high-speed connectivity.</w:t>
      </w:r>
    </w:p>
    <w:p>
      <w:pPr>
        <w:spacing w:after="0" w:line="170" w:lineRule="exact"/>
        <w:rPr>
          <w:sz w:val="24"/>
          <w:szCs w:val="24"/>
          <w:color w:val="auto"/>
        </w:rPr>
      </w:pPr>
    </w:p>
    <w:p>
      <w:pPr>
        <w:ind w:right="340"/>
        <w:spacing w:after="0" w:line="264" w:lineRule="auto"/>
        <w:rPr>
          <w:sz w:val="20"/>
          <w:szCs w:val="20"/>
          <w:color w:val="auto"/>
        </w:rPr>
      </w:pPr>
      <w:r>
        <w:rPr>
          <w:rFonts w:ascii="Arial" w:cs="Arial" w:eastAsia="Arial" w:hAnsi="Arial"/>
          <w:sz w:val="18"/>
          <w:szCs w:val="18"/>
          <w:color w:val="auto"/>
        </w:rPr>
        <w:t>Over the last few weeks, I have had the pleasure of getting to know Syed Ali and your management team. It’s clear that both our organizations are closely aligned in culture, talent and work ethic. Accordingly, I see this announcement as a combination of two great companies, and we will build a single, integrated team that includes leaders from both companies in key management roles.</w:t>
      </w:r>
    </w:p>
    <w:p>
      <w:pPr>
        <w:spacing w:after="0" w:line="181" w:lineRule="exact"/>
        <w:rPr>
          <w:sz w:val="24"/>
          <w:szCs w:val="24"/>
          <w:color w:val="auto"/>
        </w:rPr>
      </w:pPr>
    </w:p>
    <w:p>
      <w:pPr>
        <w:ind w:right="140"/>
        <w:spacing w:after="0" w:line="308" w:lineRule="auto"/>
        <w:rPr>
          <w:sz w:val="20"/>
          <w:szCs w:val="20"/>
          <w:color w:val="auto"/>
        </w:rPr>
      </w:pPr>
      <w:r>
        <w:rPr>
          <w:rFonts w:ascii="Arial" w:cs="Arial" w:eastAsia="Arial" w:hAnsi="Arial"/>
          <w:sz w:val="17"/>
          <w:szCs w:val="17"/>
          <w:color w:val="auto"/>
        </w:rPr>
        <w:t>Both companies also have strong brand reputations with their respective customers, and we will honor these reputations within the new company. While it is still very early, we do intend to create a new, unified company brand, one that captures and communicates the strength of our combination.</w:t>
      </w:r>
    </w:p>
    <w:p>
      <w:pPr>
        <w:spacing w:after="0" w:line="147" w:lineRule="exact"/>
        <w:rPr>
          <w:sz w:val="24"/>
          <w:szCs w:val="24"/>
          <w:color w:val="auto"/>
        </w:rPr>
      </w:pPr>
    </w:p>
    <w:p>
      <w:pPr>
        <w:ind w:right="40"/>
        <w:spacing w:after="0" w:line="264" w:lineRule="auto"/>
        <w:rPr>
          <w:sz w:val="20"/>
          <w:szCs w:val="20"/>
          <w:color w:val="auto"/>
        </w:rPr>
      </w:pPr>
      <w:r>
        <w:rPr>
          <w:rFonts w:ascii="Arial" w:cs="Arial" w:eastAsia="Arial" w:hAnsi="Arial"/>
          <w:sz w:val="18"/>
          <w:szCs w:val="18"/>
          <w:color w:val="auto"/>
        </w:rPr>
        <w:t>This merger is expected to close in mid-calendar 2018. Until then, we need to operate as two separate companies. Even so, I will be traveling to as many Cavium sites as I can for town halls with Syed and Raghib. Together, we will share our common vision – and answer your questions. You will also be hearing regularly from your leadership team as things progress.</w:t>
      </w:r>
    </w:p>
    <w:p>
      <w:pPr>
        <w:spacing w:after="0" w:line="181" w:lineRule="exact"/>
        <w:rPr>
          <w:sz w:val="24"/>
          <w:szCs w:val="24"/>
          <w:color w:val="auto"/>
        </w:rPr>
      </w:pPr>
    </w:p>
    <w:p>
      <w:pPr>
        <w:ind w:right="140"/>
        <w:spacing w:after="0" w:line="308" w:lineRule="auto"/>
        <w:rPr>
          <w:sz w:val="20"/>
          <w:szCs w:val="20"/>
          <w:color w:val="auto"/>
        </w:rPr>
      </w:pPr>
      <w:r>
        <w:rPr>
          <w:rFonts w:ascii="Arial" w:cs="Arial" w:eastAsia="Arial" w:hAnsi="Arial"/>
          <w:sz w:val="17"/>
          <w:szCs w:val="17"/>
          <w:color w:val="auto"/>
        </w:rPr>
        <w:t>Again, those of us at Marvell are so excited to join forces with Cavium, and look forward to getting to know you in the months ahead. Together, we’re going to create a new company that’s greater than the sum of its parts, accelerate innovation, and help our customers build a better future.</w:t>
      </w:r>
    </w:p>
    <w:p>
      <w:pPr>
        <w:spacing w:after="0" w:line="147" w:lineRule="exact"/>
        <w:rPr>
          <w:sz w:val="24"/>
          <w:szCs w:val="24"/>
          <w:color w:val="auto"/>
        </w:rPr>
      </w:pPr>
    </w:p>
    <w:p>
      <w:pPr>
        <w:spacing w:after="0"/>
        <w:rPr>
          <w:sz w:val="20"/>
          <w:szCs w:val="20"/>
          <w:color w:val="auto"/>
        </w:rPr>
      </w:pPr>
      <w:r>
        <w:rPr>
          <w:rFonts w:ascii="Arial" w:cs="Arial" w:eastAsia="Arial" w:hAnsi="Arial"/>
          <w:sz w:val="18"/>
          <w:szCs w:val="18"/>
          <w:color w:val="auto"/>
        </w:rPr>
        <w:t>Thanks,</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Matt Murphy</w:t>
      </w:r>
    </w:p>
    <w:p>
      <w:pPr>
        <w:spacing w:after="0" w:line="23" w:lineRule="exact"/>
        <w:rPr>
          <w:sz w:val="24"/>
          <w:szCs w:val="24"/>
          <w:color w:val="auto"/>
        </w:rPr>
      </w:pPr>
    </w:p>
    <w:p>
      <w:pPr>
        <w:spacing w:after="0"/>
        <w:rPr>
          <w:sz w:val="20"/>
          <w:szCs w:val="20"/>
          <w:color w:val="auto"/>
        </w:rPr>
      </w:pPr>
      <w:r>
        <w:rPr>
          <w:rFonts w:ascii="Arial" w:cs="Arial" w:eastAsia="Arial" w:hAnsi="Arial"/>
          <w:sz w:val="18"/>
          <w:szCs w:val="18"/>
          <w:color w:val="auto"/>
        </w:rPr>
        <w:t>President and CEO</w:t>
      </w:r>
    </w:p>
    <w:p>
      <w:pPr>
        <w:sectPr>
          <w:pgSz w:w="11900" w:h="16838" w:orient="portrait"/>
          <w:cols w:equalWidth="0" w:num="1">
            <w:col w:w="11420"/>
          </w:cols>
          <w:pgMar w:left="240" w:top="233" w:right="239" w:bottom="1440" w:gutter="0" w:footer="0" w:header="0"/>
        </w:sectPr>
      </w:pPr>
    </w:p>
    <w:bookmarkStart w:id="1" w:name="page2"/>
    <w:bookmarkEnd w:id="1"/>
    <w:p>
      <w:pPr>
        <w:spacing w:after="0"/>
        <w:rPr>
          <w:sz w:val="20"/>
          <w:szCs w:val="20"/>
          <w:color w:val="auto"/>
        </w:rPr>
      </w:pPr>
      <w:r>
        <w:rPr>
          <w:rFonts w:ascii="Arial" w:cs="Arial" w:eastAsia="Arial" w:hAnsi="Arial"/>
          <w:sz w:val="18"/>
          <w:szCs w:val="18"/>
          <w:b w:val="1"/>
          <w:bCs w:val="1"/>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Additional Information and Where to Find It</w:t>
      </w:r>
    </w:p>
    <w:p>
      <w:pPr>
        <w:spacing w:after="0" w:line="117" w:lineRule="exact"/>
        <w:rPr>
          <w:sz w:val="20"/>
          <w:szCs w:val="20"/>
          <w:color w:val="auto"/>
        </w:rPr>
      </w:pPr>
    </w:p>
    <w:p>
      <w:pPr>
        <w:spacing w:after="0" w:line="270" w:lineRule="auto"/>
        <w:rPr>
          <w:sz w:val="20"/>
          <w:szCs w:val="20"/>
          <w:color w:val="auto"/>
        </w:rPr>
      </w:pPr>
      <w:r>
        <w:rPr>
          <w:rFonts w:ascii="Arial" w:cs="Arial" w:eastAsia="Arial" w:hAnsi="Arial"/>
          <w:sz w:val="17"/>
          <w:szCs w:val="17"/>
          <w:i w:val="1"/>
          <w:iCs w:val="1"/>
          <w:color w:val="auto"/>
        </w:rPr>
        <w:t>This document relates to a proposed transaction between Marvell and Cavium. This document does not constitute an offer to sell or exchange, or the solicitation of an offer to buy or exchange, any securities, nor shall there be any sale of securities in any jurisdiction in which such offer, sale or exchange would be unlawful prior to registration or qualification under the securities laws of any such jurisdiction. Marvell intends to file a registration statement on Form S-4 with the SEC, which will include a document that serves as a prospectus of Marvell and a joint proxy statement of Cavium and Marvell referred to as a joint proxy statement/prospectus. A joint proxy statement/prospectus will be sent to all Cavium stockholders and all Marvell shareholders. Each party also will file other documents regarding the proposed transaction with the SEC. Before making any voting decision, investors and security holders of Cavium and investors and security holders of Marvell are urged to read the registration statement, the joint proxy statement/prospectus and all other relevant documents filed or that will be filed with the SEC in connection with the proposed transaction as they become available because they will contain important information about the proposed transaction.</w:t>
      </w:r>
    </w:p>
    <w:p>
      <w:pPr>
        <w:spacing w:after="0" w:line="182" w:lineRule="exact"/>
        <w:rPr>
          <w:sz w:val="20"/>
          <w:szCs w:val="20"/>
          <w:color w:val="auto"/>
        </w:rPr>
      </w:pPr>
    </w:p>
    <w:p>
      <w:pPr>
        <w:ind w:right="400"/>
        <w:spacing w:after="0" w:line="308" w:lineRule="auto"/>
        <w:rPr>
          <w:sz w:val="20"/>
          <w:szCs w:val="20"/>
          <w:color w:val="auto"/>
        </w:rPr>
      </w:pPr>
      <w:r>
        <w:rPr>
          <w:rFonts w:ascii="Arial" w:cs="Arial" w:eastAsia="Arial" w:hAnsi="Arial"/>
          <w:sz w:val="17"/>
          <w:szCs w:val="17"/>
          <w:i w:val="1"/>
          <w:iCs w:val="1"/>
          <w:color w:val="auto"/>
        </w:rPr>
        <w:t>Investors and security holders will be able to obtain free copies of the registration statement, the joint proxy statement/prospectus and all other relevant documents filed or that will be filed with the SEC by Marvell or Cavium through the website maintained by the SEC at www.sec.gov.</w:t>
      </w:r>
    </w:p>
    <w:p>
      <w:pPr>
        <w:spacing w:after="0" w:line="147" w:lineRule="exact"/>
        <w:rPr>
          <w:sz w:val="20"/>
          <w:szCs w:val="20"/>
          <w:color w:val="auto"/>
        </w:rPr>
      </w:pPr>
    </w:p>
    <w:p>
      <w:pPr>
        <w:ind w:right="520"/>
        <w:spacing w:after="0" w:line="277" w:lineRule="auto"/>
        <w:rPr>
          <w:sz w:val="20"/>
          <w:szCs w:val="20"/>
          <w:color w:val="auto"/>
        </w:rPr>
      </w:pPr>
      <w:r>
        <w:rPr>
          <w:rFonts w:ascii="Arial" w:cs="Arial" w:eastAsia="Arial" w:hAnsi="Arial"/>
          <w:sz w:val="18"/>
          <w:szCs w:val="18"/>
          <w:i w:val="1"/>
          <w:iCs w:val="1"/>
          <w:color w:val="auto"/>
        </w:rPr>
        <w:t>The documents filed by Marvell with the SEC also may be obtained free of charge at Marvell’s website at www.marvell.com or upon written request to Marvell at 5488 Marvell Lane, Santa Clara, CA 95054.</w:t>
      </w:r>
    </w:p>
    <w:p>
      <w:pPr>
        <w:spacing w:after="0" w:line="170"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i w:val="1"/>
          <w:iCs w:val="1"/>
          <w:color w:val="auto"/>
        </w:rPr>
        <w:t>The documents filed by Cavium with the SEC also may be obtained free of charge at Cavium’s website at www.cavium.com or upon written request to 2315 North First Street, San Jose, CA 95131.</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 xml:space="preserve">For more information, investors are encouraged to visit </w:t>
      </w:r>
      <w:r>
        <w:rPr>
          <w:rFonts w:ascii="Arial" w:cs="Arial" w:eastAsia="Arial" w:hAnsi="Arial"/>
          <w:sz w:val="18"/>
          <w:szCs w:val="18"/>
          <w:i w:val="1"/>
          <w:iCs w:val="1"/>
          <w:u w:val="single" w:color="auto"/>
          <w:color w:val="auto"/>
        </w:rPr>
        <w:t>http://MarvellCavium.transactionannouncement.com</w:t>
      </w:r>
      <w:r>
        <w:rPr>
          <w:rFonts w:ascii="Arial" w:cs="Arial" w:eastAsia="Arial" w:hAnsi="Arial"/>
          <w:sz w:val="18"/>
          <w:szCs w:val="18"/>
          <w:i w:val="1"/>
          <w:iCs w:val="1"/>
          <w:color w:val="auto"/>
        </w:rPr>
        <w:t>.</w:t>
      </w:r>
    </w:p>
    <w:p>
      <w:pPr>
        <w:sectPr>
          <w:pgSz w:w="11900" w:h="16838" w:orient="portrait"/>
          <w:cols w:equalWidth="0" w:num="1">
            <w:col w:w="11340"/>
          </w:cols>
          <w:pgMar w:left="240" w:top="274" w:right="319" w:bottom="1440" w:gutter="0" w:footer="0" w:header="0"/>
        </w:sectPr>
      </w:pPr>
    </w:p>
    <w:bookmarkStart w:id="2" w:name="page3"/>
    <w:bookmarkEnd w:id="2"/>
    <w:p>
      <w:pPr>
        <w:spacing w:after="0"/>
        <w:rPr>
          <w:sz w:val="20"/>
          <w:szCs w:val="20"/>
          <w:color w:val="auto"/>
        </w:rPr>
      </w:pPr>
      <w:r>
        <w:rPr>
          <w:rFonts w:ascii="Arial" w:cs="Arial" w:eastAsia="Arial" w:hAnsi="Arial"/>
          <w:sz w:val="18"/>
          <w:szCs w:val="18"/>
          <w:b w:val="1"/>
          <w:bCs w:val="1"/>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Participants in the Solicitation</w:t>
      </w:r>
    </w:p>
    <w:p>
      <w:pPr>
        <w:spacing w:after="0" w:line="117" w:lineRule="exact"/>
        <w:rPr>
          <w:sz w:val="20"/>
          <w:szCs w:val="20"/>
          <w:color w:val="auto"/>
        </w:rPr>
      </w:pPr>
    </w:p>
    <w:p>
      <w:pPr>
        <w:ind w:right="140"/>
        <w:spacing w:after="0" w:line="270" w:lineRule="auto"/>
        <w:rPr>
          <w:sz w:val="20"/>
          <w:szCs w:val="20"/>
          <w:color w:val="auto"/>
        </w:rPr>
      </w:pPr>
      <w:r>
        <w:rPr>
          <w:rFonts w:ascii="Arial" w:cs="Arial" w:eastAsia="Arial" w:hAnsi="Arial"/>
          <w:sz w:val="17"/>
          <w:szCs w:val="17"/>
          <w:i w:val="1"/>
          <w:iCs w:val="1"/>
          <w:color w:val="auto"/>
        </w:rPr>
        <w:t>Marvell, Cavium and their respective directors and executive officers may be deemed to be participants in the solicitation of proxies from Cavium’s stockholders and from Marvell’s shareholders in connection with the proposed transaction. Information about Cavium’s directors and executive officers and their ownership of Cavium’s common stock is set forth in Cavium’s proxy statement for its 2017 Annual Meeting of Stockholders on Schedule 14A filed with the SEC on April 27, 2017. To the extent that holdings of Cavium’s securities have changed since the amounts printed in Cavium’s proxy statement, such changes have been or will be reflected on Statements of Change in Ownership on Form 4 filed with the SEC. Information about Marvell’s directors and executive officers is set forth in Marvell’s proxy statement for its 2017 Annual Meeting of Shareholders on Schedule 14A filed with the SEC on May 3, 2017. Additional information regarding the interests of those persons and other persons who may be deemed participants in the proposed transaction may be obtained by reading the proxy statement/prospectus regarding the proposed transaction when it becomes available. You may obtain free copies of these documents as described in the preceding paragraph.</w:t>
      </w:r>
    </w:p>
    <w:p>
      <w:pPr>
        <w:spacing w:after="0" w:line="29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Cautionary Statement Regarding Forward Looking Statements</w:t>
      </w:r>
    </w:p>
    <w:p>
      <w:pPr>
        <w:spacing w:after="0" w:line="117" w:lineRule="exact"/>
        <w:rPr>
          <w:sz w:val="20"/>
          <w:szCs w:val="20"/>
          <w:color w:val="auto"/>
        </w:rPr>
      </w:pPr>
    </w:p>
    <w:p>
      <w:pPr>
        <w:spacing w:after="0" w:line="269" w:lineRule="auto"/>
        <w:rPr>
          <w:sz w:val="20"/>
          <w:szCs w:val="20"/>
          <w:color w:val="auto"/>
        </w:rPr>
      </w:pPr>
      <w:r>
        <w:rPr>
          <w:rFonts w:ascii="Arial" w:cs="Arial" w:eastAsia="Arial" w:hAnsi="Arial"/>
          <w:sz w:val="17"/>
          <w:szCs w:val="17"/>
          <w:i w:val="1"/>
          <w:iCs w:val="1"/>
          <w:color w:val="auto"/>
        </w:rPr>
        <w:t>This document contains certain forward-looking statements within the meaning of the federal securities laws with respect to the proposed transaction between Marvell and Cavium, including statements regarding the benefits of the transaction, the anticipated timing of the transaction and the products and markets of each company.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document, including but not limited to: (i) the risk that the transaction may not be completed in a timely manner or at all, which may adversely affect Cavium’s business and the price of its common stock and/or Marvell’s business and the price of its common shares, (ii) the failure to satisfy the conditions to the consummation of the transaction, including the adoption of the merger agreement by the stockholders of Cavium, the approval of the issuance of Marvell shares in the transaction by the shareholders of Marvell, and the receipt of certain governmental and regulatory approvals, (iii) the failure of Marvell to obtain the necessary financing pursuant to the arrangements set forth in the debt commitment letters delivered pursuant to the merger agreement or otherwise, (iv) the</w:t>
      </w:r>
    </w:p>
    <w:p>
      <w:pPr>
        <w:sectPr>
          <w:pgSz w:w="11900" w:h="16838" w:orient="portrait"/>
          <w:cols w:equalWidth="0" w:num="1">
            <w:col w:w="11400"/>
          </w:cols>
          <w:pgMar w:left="240" w:top="274" w:right="259" w:bottom="1440" w:gutter="0" w:footer="0" w:header="0"/>
        </w:sectPr>
      </w:pPr>
    </w:p>
    <w:bookmarkStart w:id="3" w:name="page4"/>
    <w:bookmarkEnd w:id="3"/>
    <w:p>
      <w:pPr>
        <w:spacing w:after="0" w:line="268" w:lineRule="auto"/>
        <w:rPr>
          <w:sz w:val="20"/>
          <w:szCs w:val="20"/>
          <w:color w:val="auto"/>
        </w:rPr>
      </w:pPr>
      <w:r>
        <w:rPr>
          <w:rFonts w:ascii="Arial" w:cs="Arial" w:eastAsia="Arial" w:hAnsi="Arial"/>
          <w:sz w:val="17"/>
          <w:szCs w:val="17"/>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occurrence of any event, change or other circumstance that could give rise to the termination of the merger agreement, (v) the effect of the announcement or pendency of the transaction on Cavium’s business relationships, operating results, and business generally, (vi) risks that the proposed transaction disrupts current plans and operations of Cavium or Marvell and potential difficulties in Cavium employee retention as a result of the transaction, (vii) risks related to diverting management’s attention from Cavium’s ongoing business operations, (viii) the outcome of any legal proceedings that may be instituted against Marvell or against Cavium related to the merger agreement or the transaction, (ix) the ability of Marvell to successfully integrate Cavium’s operations and product lines, (x) the ability of Marvell to implement its plans, forecasts, and other expectations with respect to Cavium’s business after the completion of the proposed merger and realize the anticipated synergies and cost savings in the time frame anticipated or at all, and identify and realize additional opportunities, and (xi) the risk of downturns in the highly cyclical semiconductor industry. The foregoing list of factors is not exhaustive. You should carefully consider the foregoing factors and the other risks and uncertainties that affect the businesses of Marvell and Cavium described in the “Risk Factors” section of their respective Annual Reports on Form 10-K, Quarterly Reports on Form 10-Q and other documents filed by either of them from time to time with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Marvell and Cavium assume no obligation and do not intend to update or revise these forward-looking statements, whether as a result of new information, future events, or otherwise. Neither Marvell nor Cavium gives any assurance that either Marvell or Cavium will achieve its expectations.</w:t>
      </w:r>
    </w:p>
    <w:sectPr>
      <w:pgSz w:w="11900" w:h="16838" w:orient="portrait"/>
      <w:cols w:equalWidth="0" w:num="1">
        <w:col w:w="11360"/>
      </w:cols>
      <w:pgMar w:left="240" w:top="274" w:right="2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2019-12-06T09:04:08Z</dcterms:created>
  <dcterms:modified xsi:type="dcterms:W3CDTF">2019-12-06T09:04:08Z</dcterms:modified>
</cp:coreProperties>
</file>