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under the Securities Exchange Act of 1934</w:t>
      </w:r>
    </w:p>
    <w:p>
      <w:pPr>
        <w:spacing w:after="0" w:line="211" w:lineRule="exact"/>
        <w:rPr>
          <w:sz w:val="24"/>
          <w:szCs w:val="24"/>
          <w:color w:val="auto"/>
        </w:rPr>
      </w:pPr>
    </w:p>
    <w:p>
      <w:pPr>
        <w:ind w:left="91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ind w:left="9060"/>
        <w:spacing w:after="0"/>
        <w:rPr>
          <w:sz w:val="20"/>
          <w:szCs w:val="20"/>
          <w:color w:val="auto"/>
        </w:rPr>
      </w:pPr>
      <w:r>
        <w:rPr>
          <w:rFonts w:ascii="Arial" w:cs="Arial" w:eastAsia="Arial" w:hAnsi="Arial"/>
          <w:sz w:val="16"/>
          <w:szCs w:val="16"/>
          <w:color w:val="auto"/>
        </w:rPr>
        <w:t>Commission File No. 001-33435</w:t>
      </w: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The following joint press release was issued by Marvell Technology Group Ltd. and Cavium, Inc.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5373370</wp:posOffset>
            </wp:positionH>
            <wp:positionV relativeFrom="paragraph">
              <wp:posOffset>169545</wp:posOffset>
            </wp:positionV>
            <wp:extent cx="1878330" cy="1714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78330" cy="17145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5"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Marvell and Cavium to Combine Creating an Infrastructure Solutions Powerhouse</w:t>
      </w:r>
    </w:p>
    <w:p>
      <w:pPr>
        <w:spacing w:after="0" w:line="107" w:lineRule="exact"/>
        <w:rPr>
          <w:sz w:val="24"/>
          <w:szCs w:val="24"/>
          <w:color w:val="auto"/>
        </w:rPr>
      </w:pPr>
    </w:p>
    <w:p>
      <w:pPr>
        <w:ind w:left="2840" w:hanging="101"/>
        <w:spacing w:after="0"/>
        <w:tabs>
          <w:tab w:leader="none" w:pos="2840" w:val="left"/>
        </w:tabs>
        <w:numPr>
          <w:ilvl w:val="1"/>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Complementary portfolios and scale enable world-class end-to-end solutions</w:t>
      </w:r>
    </w:p>
    <w:p>
      <w:pPr>
        <w:spacing w:after="0" w:line="27" w:lineRule="exact"/>
        <w:rPr>
          <w:rFonts w:ascii="Arial" w:cs="Arial" w:eastAsia="Arial" w:hAnsi="Arial"/>
          <w:sz w:val="18"/>
          <w:szCs w:val="18"/>
          <w:b w:val="1"/>
          <w:bCs w:val="1"/>
          <w:color w:val="auto"/>
        </w:rPr>
      </w:pPr>
    </w:p>
    <w:p>
      <w:pPr>
        <w:ind w:left="2980" w:hanging="106"/>
        <w:spacing w:after="0"/>
        <w:tabs>
          <w:tab w:leader="none" w:pos="2980" w:val="left"/>
        </w:tabs>
        <w:numPr>
          <w:ilvl w:val="2"/>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Diversifies revenue base and end markets; increases SAM to $16 billion+</w:t>
      </w:r>
    </w:p>
    <w:p>
      <w:pPr>
        <w:spacing w:after="0" w:line="9" w:lineRule="exact"/>
        <w:rPr>
          <w:rFonts w:ascii="Arial" w:cs="Arial" w:eastAsia="Arial" w:hAnsi="Arial"/>
          <w:sz w:val="18"/>
          <w:szCs w:val="18"/>
          <w:b w:val="1"/>
          <w:bCs w:val="1"/>
          <w:color w:val="auto"/>
        </w:rPr>
      </w:pPr>
    </w:p>
    <w:p>
      <w:pPr>
        <w:ind w:left="2600" w:hanging="99"/>
        <w:spacing w:after="0"/>
        <w:tabs>
          <w:tab w:leader="none" w:pos="260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Combined R&amp;D innovation engine and IP portfolio accelerates product leadership</w:t>
      </w:r>
    </w:p>
    <w:p>
      <w:pPr>
        <w:spacing w:after="0" w:line="9" w:lineRule="exact"/>
        <w:rPr>
          <w:rFonts w:ascii="Arial" w:cs="Arial" w:eastAsia="Arial" w:hAnsi="Arial"/>
          <w:sz w:val="18"/>
          <w:szCs w:val="18"/>
          <w:b w:val="1"/>
          <w:bCs w:val="1"/>
          <w:color w:val="auto"/>
        </w:rPr>
      </w:pPr>
    </w:p>
    <w:p>
      <w:pPr>
        <w:ind w:left="4360" w:hanging="99"/>
        <w:spacing w:after="0"/>
        <w:tabs>
          <w:tab w:leader="none" w:pos="4360" w:val="left"/>
        </w:tabs>
        <w:numPr>
          <w:ilvl w:val="3"/>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Creates best-in-class financial model</w:t>
      </w:r>
    </w:p>
    <w:p>
      <w:pPr>
        <w:spacing w:after="0" w:line="207" w:lineRule="exact"/>
        <w:rPr>
          <w:sz w:val="24"/>
          <w:szCs w:val="24"/>
          <w:color w:val="auto"/>
        </w:rPr>
      </w:pPr>
    </w:p>
    <w:p>
      <w:pPr>
        <w:ind w:right="60"/>
        <w:spacing w:after="0" w:line="303" w:lineRule="auto"/>
        <w:rPr>
          <w:sz w:val="20"/>
          <w:szCs w:val="20"/>
          <w:color w:val="auto"/>
        </w:rPr>
      </w:pPr>
      <w:r>
        <w:rPr>
          <w:rFonts w:ascii="Arial" w:cs="Arial" w:eastAsia="Arial" w:hAnsi="Arial"/>
          <w:sz w:val="16"/>
          <w:szCs w:val="16"/>
          <w:b w:val="1"/>
          <w:bCs w:val="1"/>
          <w:color w:val="auto"/>
        </w:rPr>
        <w:t xml:space="preserve">Santa Clara, and San Jose Calif. (November 20, 2017) </w:t>
      </w:r>
      <w:r>
        <w:rPr>
          <w:rFonts w:ascii="Arial" w:cs="Arial" w:eastAsia="Arial" w:hAnsi="Arial"/>
          <w:sz w:val="16"/>
          <w:szCs w:val="16"/>
          <w:color w:val="auto"/>
        </w:rPr>
        <w:t>- Marvell Technology Group Ltd. (NASDAQ: MRVL) and Cavium, Inc. (NASDAQ: CAVM) today</w:t>
      </w:r>
      <w:r>
        <w:rPr>
          <w:rFonts w:ascii="Arial" w:cs="Arial" w:eastAsia="Arial" w:hAnsi="Arial"/>
          <w:sz w:val="16"/>
          <w:szCs w:val="16"/>
          <w:b w:val="1"/>
          <w:bCs w:val="1"/>
          <w:color w:val="auto"/>
        </w:rPr>
        <w:t xml:space="preserve"> </w:t>
      </w:r>
      <w:r>
        <w:rPr>
          <w:rFonts w:ascii="Arial" w:cs="Arial" w:eastAsia="Arial" w:hAnsi="Arial"/>
          <w:sz w:val="16"/>
          <w:szCs w:val="16"/>
          <w:color w:val="auto"/>
        </w:rPr>
        <w:t>announced a definitive agreement, unanimously approved by the boards of directors of both companies, under which Marvell will acquire all outstanding shares of Cavium common stock in exchange for consideration of $40.00 per share in cash and 2.1757 Marvell common shares for each Cavium share. Upon completion of the transaction, Marvell will become a leader in infrastructure solutions with approximately $3.4 billion</w:t>
      </w:r>
      <w:r>
        <w:rPr>
          <w:rFonts w:ascii="Arial" w:cs="Arial" w:eastAsia="Arial" w:hAnsi="Arial"/>
          <w:sz w:val="13"/>
          <w:szCs w:val="13"/>
          <w:color w:val="auto"/>
        </w:rPr>
        <w:t>1</w:t>
      </w:r>
      <w:r>
        <w:rPr>
          <w:rFonts w:ascii="Arial" w:cs="Arial" w:eastAsia="Arial" w:hAnsi="Arial"/>
          <w:sz w:val="16"/>
          <w:szCs w:val="16"/>
          <w:color w:val="auto"/>
        </w:rPr>
        <w:t xml:space="preserve"> in annual revenue.</w:t>
      </w:r>
    </w:p>
    <w:p>
      <w:pPr>
        <w:spacing w:after="0" w:line="155" w:lineRule="exact"/>
        <w:rPr>
          <w:sz w:val="24"/>
          <w:szCs w:val="24"/>
          <w:color w:val="auto"/>
        </w:rPr>
      </w:pPr>
    </w:p>
    <w:p>
      <w:pPr>
        <w:ind w:right="80"/>
        <w:spacing w:after="0" w:line="253" w:lineRule="auto"/>
        <w:rPr>
          <w:sz w:val="20"/>
          <w:szCs w:val="20"/>
          <w:color w:val="auto"/>
        </w:rPr>
      </w:pPr>
      <w:r>
        <w:rPr>
          <w:rFonts w:ascii="Arial" w:cs="Arial" w:eastAsia="Arial" w:hAnsi="Arial"/>
          <w:sz w:val="18"/>
          <w:szCs w:val="18"/>
          <w:color w:val="auto"/>
        </w:rPr>
        <w:t>The transaction combines Marvell’s portfolio of leading HDD and SSD storage controllers, networking solutions and high-performance wireless connectivity products with Cavium’s portfolio of leading multi-core processing, networking communications, storage connectivity and security solutions. The combined product portfolios provide the scale and breadth to deliver comprehensive end-to-end solutions for customers across the cloud data center, enterprise and service provider markets, and expands Marvell’s serviceable addressable market to more than $16 billion. This transaction also creates an R&amp;D innovation engine to accelerate product</w:t>
      </w:r>
    </w:p>
    <w:p>
      <w:pPr>
        <w:spacing w:after="0" w:line="4" w:lineRule="exact"/>
        <w:rPr>
          <w:sz w:val="24"/>
          <w:szCs w:val="24"/>
          <w:color w:val="auto"/>
        </w:rPr>
      </w:pPr>
    </w:p>
    <w:p>
      <w:pPr>
        <w:spacing w:after="0"/>
        <w:rPr>
          <w:sz w:val="20"/>
          <w:szCs w:val="20"/>
          <w:color w:val="auto"/>
        </w:rPr>
      </w:pPr>
      <w:r>
        <w:rPr>
          <w:rFonts w:ascii="Arial" w:cs="Arial" w:eastAsia="Arial" w:hAnsi="Arial"/>
          <w:sz w:val="16"/>
          <w:szCs w:val="16"/>
          <w:color w:val="auto"/>
        </w:rPr>
        <w:t>development, positioning the company to meet today’s massive and growing demand for data storage, heterogeneous computing and high-speed connectivity.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260350</wp:posOffset>
            </wp:positionV>
            <wp:extent cx="72898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4"/>
          <w:szCs w:val="24"/>
          <w:color w:val="auto"/>
        </w:rPr>
      </w:pPr>
    </w:p>
    <w:p>
      <w:pPr>
        <w:spacing w:after="0" w:line="230" w:lineRule="exact"/>
        <w:rPr>
          <w:sz w:val="24"/>
          <w:szCs w:val="24"/>
          <w:color w:val="auto"/>
        </w:rPr>
      </w:pPr>
    </w:p>
    <w:p>
      <w:pPr>
        <w:ind w:left="220" w:hanging="212"/>
        <w:spacing w:after="0"/>
        <w:tabs>
          <w:tab w:leader="none" w:pos="220" w:val="left"/>
        </w:tabs>
        <w:numPr>
          <w:ilvl w:val="0"/>
          <w:numId w:val="2"/>
        </w:numPr>
        <w:rPr>
          <w:rFonts w:ascii="Arial" w:cs="Arial" w:eastAsia="Arial" w:hAnsi="Arial"/>
          <w:sz w:val="15"/>
          <w:szCs w:val="15"/>
          <w:color w:val="auto"/>
        </w:rPr>
      </w:pPr>
      <w:r>
        <w:rPr>
          <w:rFonts w:ascii="Arial" w:cs="Arial" w:eastAsia="Arial" w:hAnsi="Arial"/>
          <w:sz w:val="18"/>
          <w:szCs w:val="18"/>
          <w:color w:val="auto"/>
        </w:rPr>
        <w:t>Based on last quarter annualized revenues as of 7/29/2017 for Marvell and 9/30/2017 for Cavium.</w:t>
      </w:r>
    </w:p>
    <w:p>
      <w:pPr>
        <w:sectPr>
          <w:pgSz w:w="11900" w:h="16838" w:orient="portrait"/>
          <w:cols w:equalWidth="0" w:num="1">
            <w:col w:w="11420"/>
          </w:cols>
          <w:pgMar w:left="240" w:top="233" w:right="239" w:bottom="1440" w:gutter="0" w:footer="0" w:header="0"/>
        </w:sectPr>
      </w:pPr>
    </w:p>
    <w:bookmarkStart w:id="1" w:name="page2"/>
    <w:bookmarkEnd w:id="1"/>
    <w:p>
      <w:pPr>
        <w:ind w:right="6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“This is an exciting combination of two very complementary companies that together equal more than the sum of their parts,” said Marvell President and Chief Executive Officer, Matt Murphy. “This combination expands and diversifies our revenue base and end markets, and enables us to deliver a broader set of differentiated solutions to our customers. Syed Ali has built an outstanding company, and I’m excited that he is joining the Board. I’m equally excited that Cavium’s Co-founder Raghib Hussain and Vice President of IC Engineering Anil Jain will also join my senior leadership team. Together, we all will be able to deliver immediate and long-term value to our customers, employees and shareholders.”</w:t>
      </w:r>
    </w:p>
    <w:p>
      <w:pPr>
        <w:spacing w:after="0" w:line="173"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“Individually, our businesses are exceptionally strong, but together, we will be one of the few companies in the world capable of delivering such a comprehensive set of end-to-end solutions to our combined customer base,” said Cavium Co-founder and Chief Executive Officer, Syed Ali. “Our potential is huge. We look forward to working closely with the Marvell team to ensure a smooth transition and to start unlocking the significant opportunities that our combination creates.”</w:t>
      </w:r>
    </w:p>
    <w:p>
      <w:pPr>
        <w:spacing w:after="0" w:line="187"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transaction is expected to generate at least $150 to $175 million of annual run-rate synergies within 18 months post close and to be significantly accretive to revenue growth, margins and non-GAAP EPS.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Transaction Structure and Terms</w:t>
      </w:r>
    </w:p>
    <w:p>
      <w:pPr>
        <w:spacing w:after="0" w:line="121" w:lineRule="exact"/>
        <w:rPr>
          <w:sz w:val="20"/>
          <w:szCs w:val="20"/>
          <w:color w:val="auto"/>
        </w:rPr>
      </w:pPr>
    </w:p>
    <w:p>
      <w:pPr>
        <w:ind w:right="300"/>
        <w:spacing w:after="0" w:line="259" w:lineRule="auto"/>
        <w:rPr>
          <w:sz w:val="20"/>
          <w:szCs w:val="20"/>
          <w:color w:val="auto"/>
        </w:rPr>
      </w:pPr>
      <w:r>
        <w:rPr>
          <w:rFonts w:ascii="Arial" w:cs="Arial" w:eastAsia="Arial" w:hAnsi="Arial"/>
          <w:sz w:val="18"/>
          <w:szCs w:val="18"/>
          <w:color w:val="auto"/>
        </w:rPr>
        <w:t>Under the terms of the definitive agreement, Marvell will pay Cavium shareholders $40.00 in cash and 2.1757 Marvell common shares for each share of Cavium common stock. The exchange ratio was based on a purchase price of $80 per share, using Marvell’s undisturbed price prior to November 3, when media reports of the transaction first surfaced. This represents a transaction value of approximately $6 billion. Cavium shareholders are expected to own approximately 25% of the combined company on a pro forma basis.</w:t>
      </w:r>
    </w:p>
    <w:p>
      <w:pPr>
        <w:spacing w:after="0" w:line="187" w:lineRule="exact"/>
        <w:rPr>
          <w:sz w:val="20"/>
          <w:szCs w:val="20"/>
          <w:color w:val="auto"/>
        </w:rPr>
      </w:pPr>
    </w:p>
    <w:p>
      <w:pPr>
        <w:spacing w:after="0" w:line="312" w:lineRule="auto"/>
        <w:rPr>
          <w:sz w:val="20"/>
          <w:szCs w:val="20"/>
          <w:color w:val="auto"/>
        </w:rPr>
      </w:pPr>
      <w:r>
        <w:rPr>
          <w:rFonts w:ascii="Arial" w:cs="Arial" w:eastAsia="Arial" w:hAnsi="Arial"/>
          <w:sz w:val="16"/>
          <w:szCs w:val="16"/>
          <w:color w:val="auto"/>
        </w:rPr>
        <w:t>Marvell intends to fund the cash consideration with a combination of cash on hand from the combined companies and $1.75 billion in debt financing. Marvell has obtained commitments consisting of an $850 million bridge loan commitment and a $900 million committed term loan from Goldman Sachs Bank USA and Bank of America Merrill Lynch, in each case, subject to customary terms and conditions. The transaction is not subject to any financing condition.</w:t>
      </w:r>
    </w:p>
    <w:p>
      <w:pPr>
        <w:sectPr>
          <w:pgSz w:w="11900" w:h="16838" w:orient="portrait"/>
          <w:cols w:equalWidth="0" w:num="1">
            <w:col w:w="11380"/>
          </w:cols>
          <w:pgMar w:left="240" w:top="274" w:right="279" w:bottom="1440" w:gutter="0" w:footer="0" w:header="0"/>
        </w:sectPr>
      </w:pPr>
    </w:p>
    <w:bookmarkStart w:id="2" w:name="page3"/>
    <w:bookmarkEnd w:id="2"/>
    <w:p>
      <w:pPr>
        <w:jc w:val="both"/>
        <w:ind w:right="5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transaction is expected to close in mid-calendar 2018, subject to regulatory approval as well as other customary closing conditions, including the adoption by Cavium shareholders of the merger agreement and the approval by Marvell shareholders of the issuance of Marvell common shares in the transaction.</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 and Board of Directors</w:t>
      </w:r>
    </w:p>
    <w:p>
      <w:pPr>
        <w:spacing w:after="0" w:line="121"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Matt Murphy will lead the combined company, and the leadership team will have strong representation from both companies, including Marvell’s current Chief Financial Officer Jean Hu, Cavium’s Co-founder and Chief Operating Officer Raghib Hussain and Cavium’s Vice President of IC Engineering Anil Jain. In addition, Cavium’s Co-founder and Chief Executive Officer, Syed Ali, will continue with the combined company as a strategic advisor and will join Marvell’s Board of Directors, along with two additional board members from Cavium’s Board of Directors, effective upon closing of the transaction.</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Advisors</w:t>
      </w:r>
    </w:p>
    <w:p>
      <w:pPr>
        <w:spacing w:after="0" w:line="121" w:lineRule="exact"/>
        <w:rPr>
          <w:sz w:val="20"/>
          <w:szCs w:val="20"/>
          <w:color w:val="auto"/>
        </w:rPr>
      </w:pPr>
    </w:p>
    <w:p>
      <w:pPr>
        <w:spacing w:after="0" w:line="308" w:lineRule="auto"/>
        <w:rPr>
          <w:sz w:val="20"/>
          <w:szCs w:val="20"/>
          <w:color w:val="auto"/>
        </w:rPr>
      </w:pPr>
      <w:r>
        <w:rPr>
          <w:rFonts w:ascii="Arial" w:cs="Arial" w:eastAsia="Arial" w:hAnsi="Arial"/>
          <w:sz w:val="17"/>
          <w:szCs w:val="17"/>
          <w:color w:val="auto"/>
        </w:rPr>
        <w:t>Goldman Sachs &amp; Co. LLC served as the exclusive financial advisor to Marvell and Hogan Lovells US LLP served as legal advisor. Qatalyst Partners LP and J.P. Morgan Securities LLC served as financial advisors to Cavium and Skadden, Arps, Slate, Meagher &amp; Flom LLP served as legal advisor.</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Preliminary Third Fiscal Quarter Results</w:t>
      </w:r>
    </w:p>
    <w:p>
      <w:pPr>
        <w:spacing w:after="0" w:line="121" w:lineRule="exact"/>
        <w:rPr>
          <w:sz w:val="20"/>
          <w:szCs w:val="20"/>
          <w:color w:val="auto"/>
        </w:rPr>
      </w:pPr>
    </w:p>
    <w:p>
      <w:pPr>
        <w:ind w:right="320"/>
        <w:spacing w:after="0" w:line="264" w:lineRule="auto"/>
        <w:rPr>
          <w:sz w:val="20"/>
          <w:szCs w:val="20"/>
          <w:color w:val="auto"/>
        </w:rPr>
      </w:pPr>
      <w:r>
        <w:rPr>
          <w:rFonts w:ascii="Arial" w:cs="Arial" w:eastAsia="Arial" w:hAnsi="Arial"/>
          <w:sz w:val="18"/>
          <w:szCs w:val="18"/>
          <w:color w:val="auto"/>
        </w:rPr>
        <w:t>Based on preliminary financial information, Marvell expects revenue of $610 to $620 million and non-GAAP earnings per share to be between $0.32 and $0.34, above the mid-point of guidance provided on August 24, 2017. Further information regarding third fiscal quarter results will be released on November 28, 2017 at 1:45 p.m. Pacific Time.</w:t>
      </w:r>
    </w:p>
    <w:p>
      <w:pPr>
        <w:sectPr>
          <w:pgSz w:w="11900" w:h="16838" w:orient="portrait"/>
          <w:cols w:equalWidth="0" w:num="1">
            <w:col w:w="11380"/>
          </w:cols>
          <w:pgMar w:left="240" w:top="274" w:right="279" w:bottom="1440"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Transaction Website</w:t>
      </w:r>
    </w:p>
    <w:p>
      <w:pPr>
        <w:spacing w:after="0" w:line="12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 xml:space="preserve">For more information, 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 which will be used by Marvell and Cavium to disclose information about the transaction and comply with Regulation FD.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Call/Webcast to Discuss Transaction</w:t>
      </w:r>
    </w:p>
    <w:p>
      <w:pPr>
        <w:spacing w:after="0" w:line="121"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Interested parties may join a conference call Monday, November 20, 2017 at 5:00 a.m. Pacific Time to discuss the transaction by dialing 1 (866) 547-1509 in the U.S. or +1 (920) 663-6208 internationally, with the conference ID 6386325. A webcast of the call can be accessed by visiting Marvell’s investor relations website. A replay will be available until December 4, 2017 by dialing 1 (800) 585-8367, replay ID 6386325.</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Cavium</w:t>
      </w:r>
    </w:p>
    <w:p>
      <w:pPr>
        <w:spacing w:after="0" w:line="121"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 xml:space="preserve">Cavium, Inc., offers a broad portfolio of infrastructure solutions for compute, security, storage, switching, connectivity and baseband processing. Cavium’s highly integrated multi-core SoC products deliver software compatible solutions across low to high performance points enabling secure and intelligent functionality in Enterprise, Data Center and Service Provider Equipment. Cavium processors and solutions are supported by an extensive ecosystem of operating systems, tools, application stacks, hardware-reference designs and other products. Cavium is headquartered in San Jose, CA with design centers in California, Massachusetts, India, Israel, China and Taiwan. For more information, please visit: </w:t>
      </w:r>
      <w:r>
        <w:rPr>
          <w:rFonts w:ascii="Arial" w:cs="Arial" w:eastAsia="Arial" w:hAnsi="Arial"/>
          <w:sz w:val="17"/>
          <w:szCs w:val="17"/>
          <w:u w:val="single" w:color="auto"/>
          <w:color w:val="auto"/>
        </w:rPr>
        <w:t>http://www.cavium.com</w:t>
      </w:r>
      <w:r>
        <w:rPr>
          <w:rFonts w:ascii="Arial" w:cs="Arial" w:eastAsia="Arial" w:hAnsi="Arial"/>
          <w:sz w:val="17"/>
          <w:szCs w:val="17"/>
          <w:color w:val="auto"/>
        </w:rPr>
        <w:t>.</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w:t>
      </w:r>
    </w:p>
    <w:p>
      <w:pPr>
        <w:sectPr>
          <w:pgSz w:w="11900" w:h="16838" w:orient="portrait"/>
          <w:cols w:equalWidth="0" w:num="1">
            <w:col w:w="11320"/>
          </w:cols>
          <w:pgMar w:left="240" w:top="270" w:right="339" w:bottom="1440" w:gutter="0" w:footer="0" w:header="0"/>
        </w:sectPr>
      </w:pPr>
    </w:p>
    <w:bookmarkStart w:id="4" w:name="page5"/>
    <w:bookmarkEnd w:id="4"/>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9" w:lineRule="exact"/>
        <w:rPr>
          <w:sz w:val="20"/>
          <w:szCs w:val="20"/>
          <w:color w:val="auto"/>
        </w:rPr>
      </w:pPr>
    </w:p>
    <w:p>
      <w:pPr>
        <w:ind w:right="520"/>
        <w:spacing w:after="0" w:line="308" w:lineRule="auto"/>
        <w:rPr>
          <w:sz w:val="20"/>
          <w:szCs w:val="20"/>
          <w:color w:val="auto"/>
        </w:rPr>
      </w:pPr>
      <w:r>
        <w:rPr>
          <w:rFonts w:ascii="Arial" w:cs="Arial" w:eastAsia="Arial" w:hAnsi="Arial"/>
          <w:sz w:val="17"/>
          <w:szCs w:val="17"/>
          <w:color w:val="auto"/>
        </w:rPr>
        <w:t>Investors and security holders will be able to obtain free copies of the registration statement, the joint proxy statement/prospectus and all other relevant documents filed or that will be filed with the SEC by Marvell or Cavium through the website maintained by the SEC at www.sec.gov.</w:t>
      </w:r>
    </w:p>
    <w:p>
      <w:pPr>
        <w:spacing w:after="0" w:line="147" w:lineRule="exact"/>
        <w:rPr>
          <w:sz w:val="20"/>
          <w:szCs w:val="20"/>
          <w:color w:val="auto"/>
        </w:rPr>
      </w:pPr>
    </w:p>
    <w:p>
      <w:pPr>
        <w:ind w:right="50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at 5488 Marvell Lane, Santa Clara, CA 95054.</w:t>
      </w:r>
    </w:p>
    <w:p>
      <w:pPr>
        <w:spacing w:after="0" w:line="170"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documents filed by Cavium with the SEC also may be obtained free of charge at Cavium’s website at www.cavium.com or upon written request to 2315 North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For more information, 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w:t>
      </w:r>
    </w:p>
    <w:p>
      <w:pPr>
        <w:spacing w:after="0" w:line="225"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ectPr>
          <w:pgSz w:w="11900" w:h="16838" w:orient="portrait"/>
          <w:cols w:equalWidth="0" w:num="1">
            <w:col w:w="11400"/>
          </w:cols>
          <w:pgMar w:left="240" w:top="274" w:right="25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w:t>
      </w:r>
    </w:p>
    <w:p>
      <w:pPr>
        <w:spacing w:after="0" w:line="5" w:lineRule="exact"/>
        <w:rPr>
          <w:sz w:val="20"/>
          <w:szCs w:val="20"/>
          <w:color w:val="auto"/>
        </w:rPr>
      </w:pPr>
    </w:p>
    <w:p>
      <w:pPr>
        <w:ind w:right="160" w:firstLine="8"/>
        <w:spacing w:after="0" w:line="281" w:lineRule="auto"/>
        <w:tabs>
          <w:tab w:leader="none" w:pos="305"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w:t>
      </w:r>
    </w:p>
    <w:p>
      <w:pPr>
        <w:spacing w:after="0" w:line="2" w:lineRule="exact"/>
        <w:rPr>
          <w:rFonts w:ascii="Arial" w:cs="Arial" w:eastAsia="Arial" w:hAnsi="Arial"/>
          <w:sz w:val="16"/>
          <w:szCs w:val="16"/>
          <w:color w:val="auto"/>
        </w:rPr>
      </w:pPr>
    </w:p>
    <w:p>
      <w:pPr>
        <w:ind w:right="120" w:firstLine="8"/>
        <w:spacing w:after="0" w:line="292" w:lineRule="auto"/>
        <w:tabs>
          <w:tab w:leader="none" w:pos="355" w:val="left"/>
        </w:tabs>
        <w:numPr>
          <w:ilvl w:val="0"/>
          <w:numId w:val="4"/>
        </w:numPr>
        <w:rPr>
          <w:rFonts w:ascii="Arial" w:cs="Arial" w:eastAsia="Arial" w:hAnsi="Arial"/>
          <w:sz w:val="16"/>
          <w:szCs w:val="16"/>
          <w:color w:val="auto"/>
        </w:rPr>
      </w:pPr>
      <w:r>
        <w:rPr>
          <w:rFonts w:ascii="Arial" w:cs="Arial" w:eastAsia="Arial" w:hAnsi="Arial"/>
          <w:sz w:val="16"/>
          <w:szCs w:val="16"/>
          <w:color w:val="auto"/>
        </w:rPr>
        <w:t>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 (x)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w:t>
      </w:r>
    </w:p>
    <w:p>
      <w:pPr>
        <w:sectPr>
          <w:pgSz w:w="11900" w:h="16838" w:orient="portrait"/>
          <w:cols w:equalWidth="0" w:num="1">
            <w:col w:w="11400"/>
          </w:cols>
          <w:pgMar w:left="240" w:top="270" w:right="259" w:bottom="1440" w:gutter="0" w:footer="0" w:header="0"/>
        </w:sectPr>
      </w:pPr>
    </w:p>
    <w:bookmarkStart w:id="6" w:name="page7"/>
    <w:bookmarkEnd w:id="6"/>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97" w:lineRule="exact"/>
        <w:rPr>
          <w:sz w:val="20"/>
          <w:szCs w:val="20"/>
          <w:color w:val="auto"/>
        </w:rPr>
      </w:pPr>
    </w:p>
    <w:p>
      <w:pPr>
        <w:jc w:val="center"/>
        <w:ind w:right="-39"/>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jc w:val="right"/>
        <w:ind w:right="10200" w:firstLine="8"/>
        <w:spacing w:after="0" w:line="323" w:lineRule="auto"/>
        <w:tabs>
          <w:tab w:leader="none" w:pos="435" w:val="left"/>
        </w:tabs>
        <w:numPr>
          <w:ilvl w:val="0"/>
          <w:numId w:val="5"/>
        </w:numPr>
        <w:rPr>
          <w:rFonts w:ascii="Arial" w:cs="Arial" w:eastAsia="Arial" w:hAnsi="Arial"/>
          <w:sz w:val="16"/>
          <w:szCs w:val="16"/>
          <w:color w:val="auto"/>
        </w:rPr>
      </w:pPr>
      <w:r>
        <w:rPr>
          <w:rFonts w:ascii="Arial" w:cs="Arial" w:eastAsia="Arial" w:hAnsi="Arial"/>
          <w:sz w:val="16"/>
          <w:szCs w:val="16"/>
          <w:color w:val="auto"/>
        </w:rPr>
        <w:t xml:space="preserve">222-0777 </w:t>
      </w:r>
      <w:r>
        <w:rPr>
          <w:rFonts w:ascii="Arial" w:cs="Arial" w:eastAsia="Arial" w:hAnsi="Arial"/>
          <w:sz w:val="16"/>
          <w:szCs w:val="16"/>
          <w:u w:val="single" w:color="auto"/>
          <w:color w:val="auto"/>
        </w:rPr>
        <w:t>ir@marvell.com</w:t>
      </w:r>
    </w:p>
    <w:sectPr>
      <w:pgSz w:w="11900" w:h="16838" w:orient="portrait"/>
      <w:cols w:equalWidth="0" w:num="1">
        <w:col w:w="11380"/>
      </w:cols>
      <w:pgMar w:left="240" w:top="274"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lvl w:ilvl="1">
      <w:lvlJc w:val="left"/>
      <w:lvlText w:val="-"/>
      <w:numFmt w:val="bullet"/>
      <w:start w:val="1"/>
    </w:lvl>
    <w:lvl w:ilvl="2">
      <w:lvlJc w:val="left"/>
      <w:lvlText w:val="-"/>
      <w:numFmt w:val="bullet"/>
      <w:start w:val="1"/>
    </w:lvl>
    <w:lvl w:ilvl="3">
      <w:lvlJc w:val="left"/>
      <w:lvlText w:val="-"/>
      <w:numFmt w:val="bullet"/>
      <w:start w:val="1"/>
    </w:lvl>
  </w:abstractNum>
  <w:abstractNum w:abstractNumId="1">
    <w:nsid w:val="2AE8944A"/>
    <w:multiLevelType w:val="hybridMultilevel"/>
    <w:lvl w:ilvl="0">
      <w:lvlJc w:val="left"/>
      <w:lvlText w:val="1"/>
      <w:numFmt w:val="bullet"/>
      <w:start w:val="1"/>
    </w:lvl>
  </w:abstractNum>
  <w:abstractNum w:abstractNumId="2">
    <w:nsid w:val="625558EC"/>
    <w:multiLevelType w:val="hybridMultilevel"/>
    <w:lvl w:ilvl="0">
      <w:lvlJc w:val="left"/>
      <w:lvlText w:val="(%1)"/>
      <w:numFmt w:val="lowerRoman"/>
      <w:start w:val="4"/>
    </w:lvl>
  </w:abstractNum>
  <w:abstractNum w:abstractNumId="3">
    <w:nsid w:val="238E1F29"/>
    <w:multiLevelType w:val="hybridMultilevel"/>
    <w:lvl w:ilvl="0">
      <w:lvlJc w:val="left"/>
      <w:lvlText w:val="(%1)"/>
      <w:numFmt w:val="lowerRoman"/>
      <w:start w:val="7"/>
    </w:lvl>
  </w:abstractNum>
  <w:abstractNum w:abstractNumId="4">
    <w:nsid w:val="46E87CCD"/>
    <w:multiLevelType w:val="hybridMultilevel"/>
    <w:lvl w:ilvl="0">
      <w:lvlJc w:val="left"/>
      <w:lvlText w:val="(%1)"/>
      <w:numFmt w:val="decimal"/>
      <w:start w:val="408"/>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2019-12-06T08:48:26Z</dcterms:created>
  <dcterms:modified xsi:type="dcterms:W3CDTF">2019-12-06T08:48:26Z</dcterms:modified>
</cp:coreProperties>
</file>