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09/28/2017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40" w:type="dxa"/>
            <w:vAlign w:val="bottom"/>
            <w:gridSpan w:val="2"/>
          </w:tcPr>
          <w:p>
            <w:pPr>
              <w:ind w:left="44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2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440"/>
              <w:spacing w:after="0" w:line="133" w:lineRule="exact"/>
              <w:rPr>
                <w:sz w:val="20"/>
                <w:szCs w:val="20"/>
                <w:color w:val="auto"/>
              </w:rPr>
            </w:pPr>
            <w:r>
              <w:rPr>
                <w:rFonts w:ascii="Arial" w:cs="Arial" w:eastAsia="Arial" w:hAnsi="Arial"/>
                <w:sz w:val="12"/>
                <w:szCs w:val="12"/>
                <w:b w:val="1"/>
                <w:bCs w:val="1"/>
                <w:color w:val="auto"/>
              </w:rPr>
              <w:t>Date</w:t>
            </w:r>
          </w:p>
        </w:tc>
        <w:tc>
          <w:tcPr>
            <w:tcW w:w="420" w:type="dxa"/>
            <w:vAlign w:val="bottom"/>
          </w:tcPr>
          <w:p>
            <w:pPr>
              <w:spacing w:after="0"/>
              <w:rPr>
                <w:sz w:val="11"/>
                <w:szCs w:val="11"/>
                <w:color w:val="auto"/>
              </w:rPr>
            </w:pPr>
          </w:p>
        </w:tc>
        <w:tc>
          <w:tcPr>
            <w:tcW w:w="114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19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40" w:type="dxa"/>
            <w:vAlign w:val="bottom"/>
            <w:gridSpan w:val="2"/>
          </w:tcPr>
          <w:p>
            <w:pPr>
              <w:ind w:left="44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40" w:type="dxa"/>
            <w:vAlign w:val="bottom"/>
            <w:gridSpan w:val="6"/>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2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6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60" w:type="dxa"/>
            <w:vAlign w:val="bottom"/>
            <w:gridSpan w:val="2"/>
            <w:vMerge w:val="continue"/>
          </w:tcPr>
          <w:p>
            <w:pPr>
              <w:spacing w:after="0"/>
              <w:rPr>
                <w:sz w:val="8"/>
                <w:szCs w:val="8"/>
                <w:color w:val="auto"/>
              </w:rPr>
            </w:pPr>
          </w:p>
        </w:tc>
        <w:tc>
          <w:tcPr>
            <w:tcW w:w="26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40" w:type="dxa"/>
            <w:vAlign w:val="bottom"/>
            <w:gridSpan w:val="2"/>
          </w:tcPr>
          <w:p>
            <w:pPr>
              <w:ind w:left="540"/>
              <w:spacing w:after="0"/>
              <w:rPr>
                <w:sz w:val="20"/>
                <w:szCs w:val="20"/>
                <w:color w:val="auto"/>
              </w:rPr>
            </w:pPr>
            <w:r>
              <w:rPr>
                <w:rFonts w:ascii="Arial" w:cs="Arial" w:eastAsia="Arial" w:hAnsi="Arial"/>
                <w:sz w:val="18"/>
                <w:szCs w:val="18"/>
                <w:color w:val="0000FF"/>
              </w:rPr>
              <w:t>09/28/2017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172"/>
              <w:spacing w:after="0"/>
              <w:rPr>
                <w:sz w:val="20"/>
                <w:szCs w:val="20"/>
                <w:color w:val="auto"/>
              </w:rPr>
            </w:pPr>
            <w:r>
              <w:rPr>
                <w:rFonts w:ascii="Arial" w:cs="Arial" w:eastAsia="Arial" w:hAnsi="Arial"/>
                <w:sz w:val="18"/>
                <w:szCs w:val="18"/>
                <w:color w:val="0000FF"/>
              </w:rPr>
              <w:t>3,490</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3"/>
          </w:tcPr>
          <w:p>
            <w:pPr>
              <w:ind w:left="60"/>
              <w:spacing w:after="0" w:line="217" w:lineRule="exact"/>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18.0075</w:t>
            </w:r>
            <w:r>
              <w:rPr>
                <w:rFonts w:ascii="Arial" w:cs="Arial" w:eastAsia="Arial" w:hAnsi="Arial"/>
                <w:sz w:val="22"/>
                <w:szCs w:val="22"/>
                <w:color w:val="008000"/>
                <w:w w:val="90"/>
                <w:vertAlign w:val="superscript"/>
              </w:rPr>
              <w:t>(1)</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40,135,958</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40" w:type="dxa"/>
            <w:vAlign w:val="bottom"/>
            <w:gridSpan w:val="2"/>
          </w:tcPr>
          <w:p>
            <w:pPr>
              <w:ind w:left="540"/>
              <w:spacing w:after="0"/>
              <w:rPr>
                <w:sz w:val="20"/>
                <w:szCs w:val="20"/>
                <w:color w:val="auto"/>
              </w:rPr>
            </w:pPr>
            <w:r>
              <w:rPr>
                <w:rFonts w:ascii="Arial" w:cs="Arial" w:eastAsia="Arial" w:hAnsi="Arial"/>
                <w:sz w:val="18"/>
                <w:szCs w:val="18"/>
                <w:color w:val="0000FF"/>
              </w:rPr>
              <w:t>09/29/2017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132"/>
              <w:spacing w:after="0"/>
              <w:rPr>
                <w:sz w:val="20"/>
                <w:szCs w:val="20"/>
                <w:color w:val="auto"/>
              </w:rPr>
            </w:pPr>
            <w:r>
              <w:rPr>
                <w:rFonts w:ascii="Arial" w:cs="Arial" w:eastAsia="Arial" w:hAnsi="Arial"/>
                <w:sz w:val="18"/>
                <w:szCs w:val="18"/>
                <w:color w:val="0000FF"/>
              </w:rPr>
              <w:t>90,405</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3"/>
          </w:tcPr>
          <w:p>
            <w:pPr>
              <w:ind w:left="60"/>
              <w:spacing w:after="0" w:line="217" w:lineRule="exact"/>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18.0199</w:t>
            </w:r>
            <w:r>
              <w:rPr>
                <w:rFonts w:ascii="Arial" w:cs="Arial" w:eastAsia="Arial" w:hAnsi="Arial"/>
                <w:sz w:val="22"/>
                <w:szCs w:val="22"/>
                <w:color w:val="008000"/>
                <w:w w:val="90"/>
                <w:vertAlign w:val="superscript"/>
              </w:rPr>
              <w:t>(4)</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40,045,553</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17,700,834</w:t>
            </w:r>
            <w:r>
              <w:rPr>
                <w:rFonts w:ascii="Arial" w:cs="Arial" w:eastAsia="Arial" w:hAnsi="Arial"/>
                <w:sz w:val="22"/>
                <w:szCs w:val="22"/>
                <w:color w:val="008000"/>
                <w:w w:val="85"/>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20" w:type="dxa"/>
            <w:vAlign w:val="bottom"/>
            <w:tcBorders>
              <w:top w:val="single" w:sz="8" w:color="2C2C2C"/>
              <w:bottom w:val="single" w:sz="8" w:color="2C2C2C"/>
            </w:tcBorders>
          </w:tcPr>
          <w:p>
            <w:pPr>
              <w:spacing w:after="0"/>
              <w:rPr>
                <w:sz w:val="24"/>
                <w:szCs w:val="24"/>
                <w:color w:val="auto"/>
              </w:rPr>
            </w:pPr>
          </w:p>
        </w:tc>
        <w:tc>
          <w:tcPr>
            <w:tcW w:w="18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4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2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260" w:type="dxa"/>
            <w:vAlign w:val="bottom"/>
            <w:tcBorders>
              <w:top w:val="single" w:sz="8" w:color="2C2C2C"/>
              <w:bottom w:val="single" w:sz="8" w:color="2C2C2C"/>
            </w:tcBorders>
          </w:tcPr>
          <w:p>
            <w:pPr>
              <w:spacing w:after="0"/>
              <w:rPr>
                <w:sz w:val="24"/>
                <w:szCs w:val="24"/>
                <w:color w:val="auto"/>
              </w:rPr>
            </w:pPr>
          </w:p>
        </w:tc>
        <w:tc>
          <w:tcPr>
            <w:tcW w:w="126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3,468,895</w:t>
            </w:r>
            <w:r>
              <w:rPr>
                <w:rFonts w:ascii="Arial" w:cs="Arial" w:eastAsia="Arial" w:hAnsi="Arial"/>
                <w:sz w:val="22"/>
                <w:szCs w:val="22"/>
                <w:color w:val="008000"/>
                <w:w w:val="85"/>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6"/>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60" w:type="dxa"/>
            <w:vAlign w:val="bottom"/>
            <w:gridSpan w:val="13"/>
          </w:tcPr>
          <w:p>
            <w:pPr>
              <w:ind w:left="56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40"/>
              <w:spacing w:after="0"/>
              <w:rPr>
                <w:sz w:val="20"/>
                <w:szCs w:val="20"/>
                <w:color w:val="auto"/>
              </w:rPr>
            </w:pPr>
            <w:r>
              <w:rPr>
                <w:rFonts w:ascii="Arial" w:cs="Arial" w:eastAsia="Arial" w:hAnsi="Arial"/>
                <w:sz w:val="12"/>
                <w:szCs w:val="12"/>
                <w:b w:val="1"/>
                <w:bCs w:val="1"/>
                <w:color w:val="auto"/>
              </w:rPr>
              <w:t>6. Date Exercisable and</w:t>
            </w:r>
          </w:p>
        </w:tc>
        <w:tc>
          <w:tcPr>
            <w:tcW w:w="1160" w:type="dxa"/>
            <w:vAlign w:val="bottom"/>
            <w:gridSpan w:val="3"/>
          </w:tcPr>
          <w:p>
            <w:pPr>
              <w:ind w:left="80"/>
              <w:spacing w:after="0"/>
              <w:rPr>
                <w:sz w:val="20"/>
                <w:szCs w:val="20"/>
                <w:color w:val="auto"/>
              </w:rPr>
            </w:pPr>
            <w:r>
              <w:rPr>
                <w:rFonts w:ascii="Arial" w:cs="Arial" w:eastAsia="Arial" w:hAnsi="Arial"/>
                <w:sz w:val="12"/>
                <w:szCs w:val="12"/>
                <w:b w:val="1"/>
                <w:bCs w:val="1"/>
                <w:color w:val="auto"/>
              </w:rPr>
              <w:t>7. Title and</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16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Expiration Date</w:t>
            </w:r>
          </w:p>
        </w:tc>
        <w:tc>
          <w:tcPr>
            <w:tcW w:w="11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Amount</w:t>
            </w: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4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2"/>
          </w:tcPr>
          <w:p>
            <w:pPr>
              <w:ind w:left="40"/>
              <w:spacing w:after="0"/>
              <w:rPr>
                <w:sz w:val="20"/>
                <w:szCs w:val="20"/>
                <w:color w:val="auto"/>
              </w:rPr>
            </w:pPr>
            <w:r>
              <w:rPr>
                <w:rFonts w:ascii="Arial" w:cs="Arial" w:eastAsia="Arial" w:hAnsi="Arial"/>
                <w:sz w:val="12"/>
                <w:szCs w:val="12"/>
                <w:b w:val="1"/>
                <w:bCs w:val="1"/>
                <w:color w:val="auto"/>
              </w:rPr>
              <w:t>Shares</w:t>
            </w:r>
          </w:p>
        </w:tc>
        <w:tc>
          <w:tcPr>
            <w:tcW w:w="2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20" w:type="dxa"/>
            <w:vAlign w:val="bottom"/>
            <w:tcBorders>
              <w:top w:val="single" w:sz="8" w:color="2C2C2C"/>
            </w:tcBorders>
          </w:tcPr>
          <w:p>
            <w:pPr>
              <w:spacing w:after="0"/>
              <w:rPr>
                <w:sz w:val="21"/>
                <w:szCs w:val="21"/>
                <w:color w:val="auto"/>
              </w:rPr>
            </w:pPr>
          </w:p>
        </w:tc>
        <w:tc>
          <w:tcPr>
            <w:tcW w:w="18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8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8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8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40" w:type="dxa"/>
            <w:vAlign w:val="bottom"/>
          </w:tcPr>
          <w:p>
            <w:pPr>
              <w:spacing w:after="0"/>
              <w:rPr>
                <w:sz w:val="7"/>
                <w:szCs w:val="7"/>
                <w:color w:val="auto"/>
              </w:rPr>
            </w:pPr>
          </w:p>
        </w:tc>
        <w:tc>
          <w:tcPr>
            <w:tcW w:w="26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8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420" w:type="dxa"/>
            <w:vAlign w:val="bottom"/>
            <w:tcBorders>
              <w:bottom w:val="single" w:sz="8" w:color="9A9A9A"/>
            </w:tcBorders>
          </w:tcPr>
          <w:p>
            <w:pPr>
              <w:spacing w:after="0"/>
              <w:rPr>
                <w:sz w:val="24"/>
                <w:szCs w:val="24"/>
                <w:color w:val="auto"/>
              </w:rPr>
            </w:pPr>
          </w:p>
        </w:tc>
        <w:tc>
          <w:tcPr>
            <w:tcW w:w="120" w:type="dxa"/>
            <w:vAlign w:val="bottom"/>
            <w:tcBorders>
              <w:bottom w:val="single" w:sz="8" w:color="9A9A9A"/>
            </w:tcBorders>
          </w:tcPr>
          <w:p>
            <w:pPr>
              <w:spacing w:after="0"/>
              <w:rPr>
                <w:sz w:val="24"/>
                <w:szCs w:val="24"/>
                <w:color w:val="auto"/>
              </w:rPr>
            </w:pPr>
          </w:p>
        </w:tc>
        <w:tc>
          <w:tcPr>
            <w:tcW w:w="1180" w:type="dxa"/>
            <w:vAlign w:val="bottom"/>
            <w:tcBorders>
              <w:bottom w:val="single" w:sz="8" w:color="9A9A9A"/>
            </w:tcBorders>
          </w:tcPr>
          <w:p>
            <w:pPr>
              <w:spacing w:after="0"/>
              <w:rPr>
                <w:sz w:val="24"/>
                <w:szCs w:val="24"/>
                <w:color w:val="auto"/>
              </w:rPr>
            </w:pPr>
          </w:p>
        </w:tc>
        <w:tc>
          <w:tcPr>
            <w:tcW w:w="1120" w:type="dxa"/>
            <w:vAlign w:val="bottom"/>
            <w:tcBorders>
              <w:bottom w:val="single" w:sz="8" w:color="9A9A9A"/>
            </w:tcBorders>
          </w:tcPr>
          <w:p>
            <w:pPr>
              <w:spacing w:after="0"/>
              <w:rPr>
                <w:sz w:val="24"/>
                <w:szCs w:val="24"/>
                <w:color w:val="auto"/>
              </w:rPr>
            </w:pPr>
          </w:p>
        </w:tc>
        <w:tc>
          <w:tcPr>
            <w:tcW w:w="42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sectPr>
          <w:pgSz w:w="11900" w:h="16838" w:orient="portrait"/>
          <w:cols w:equalWidth="0" w:num="1">
            <w:col w:w="11420"/>
          </w:cols>
          <w:pgMar w:left="240" w:top="226" w:right="239" w:bottom="0" w:gutter="0" w:footer="0" w:header="0"/>
          <w:type w:val="continuous"/>
        </w:sect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1841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18415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$18.00 to $18.05,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SSWD LLC, a Delaware limited liability company.</w:t>
      </w:r>
    </w:p>
    <w:p>
      <w:pPr>
        <w:spacing w:after="0" w:line="41" w:lineRule="exact"/>
        <w:rPr>
          <w:rFonts w:ascii="Arial" w:cs="Arial" w:eastAsia="Arial" w:hAnsi="Arial"/>
          <w:sz w:val="14"/>
          <w:szCs w:val="14"/>
          <w:color w:val="008000"/>
        </w:rPr>
      </w:pPr>
    </w:p>
    <w:p>
      <w:pPr>
        <w:ind w:right="100"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$18.00 to $18.07, inclusive. The reporting person undertakes to provide Marvell Marvel, any security holder of Marvell, or the staff of the SEC, upon request, full information regarding the number of shares sold at each separate price within the range set forth in this footnote 4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Sutardja Family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10/02/2017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10/02/2017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40"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2019-12-04T00:00:51Z</dcterms:created>
  <dcterms:modified xsi:type="dcterms:W3CDTF">2019-12-04T00:00:51Z</dcterms:modified>
</cp:coreProperties>
</file>