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59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166370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208915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 SECURITIES AND EXCHANGE COMMISSION</w:t>
      </w:r>
    </w:p>
    <w:p>
      <w:pPr>
        <w:spacing w:after="0" w:line="34" w:lineRule="exact"/>
        <w:rPr>
          <w:sz w:val="24"/>
          <w:szCs w:val="24"/>
          <w:color w:val="auto"/>
        </w:rPr>
      </w:pPr>
    </w:p>
    <w:p>
      <w:pPr>
        <w:ind w:left="4600"/>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227330</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27" w:lineRule="exact"/>
        <w:rPr>
          <w:sz w:val="24"/>
          <w:szCs w:val="24"/>
          <w:color w:val="auto"/>
        </w:rPr>
      </w:pPr>
    </w:p>
    <w:p>
      <w:pPr>
        <w:ind w:left="5080"/>
        <w:spacing w:after="0"/>
        <w:rPr>
          <w:sz w:val="20"/>
          <w:szCs w:val="20"/>
          <w:color w:val="auto"/>
        </w:rPr>
      </w:pPr>
      <w:r>
        <w:rPr>
          <w:rFonts w:ascii="Arial" w:cs="Arial" w:eastAsia="Arial" w:hAnsi="Arial"/>
          <w:sz w:val="32"/>
          <w:szCs w:val="32"/>
          <w:b w:val="1"/>
          <w:bCs w:val="1"/>
          <w:color w:val="auto"/>
        </w:rPr>
        <w:t>Form SD</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247015</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71" w:lineRule="exact"/>
        <w:rPr>
          <w:sz w:val="24"/>
          <w:szCs w:val="24"/>
          <w:color w:val="auto"/>
        </w:rPr>
      </w:pPr>
    </w:p>
    <w:p>
      <w:pPr>
        <w:ind w:left="3780"/>
        <w:spacing w:after="0"/>
        <w:rPr>
          <w:sz w:val="20"/>
          <w:szCs w:val="20"/>
          <w:color w:val="auto"/>
        </w:rPr>
      </w:pPr>
      <w:r>
        <w:rPr>
          <w:rFonts w:ascii="Arial" w:cs="Arial" w:eastAsia="Arial" w:hAnsi="Arial"/>
          <w:sz w:val="22"/>
          <w:szCs w:val="22"/>
          <w:b w:val="1"/>
          <w:bCs w:val="1"/>
          <w:color w:val="auto"/>
        </w:rPr>
        <w:t>SPECIALIZED DISCLOSURE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234315</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35" w:lineRule="exact"/>
        <w:rPr>
          <w:sz w:val="24"/>
          <w:szCs w:val="24"/>
          <w:color w:val="auto"/>
        </w:rPr>
      </w:pPr>
    </w:p>
    <w:p>
      <w:pPr>
        <w:jc w:val="center"/>
        <w:ind w:right="-599"/>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4"/>
          <w:szCs w:val="24"/>
          <w:color w:val="auto"/>
        </w:rPr>
      </w:pPr>
    </w:p>
    <w:p>
      <w:pPr>
        <w:ind w:left="3720"/>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236220</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0840"/>
          </w:cols>
          <w:pgMar w:left="240" w:top="368" w:right="819" w:bottom="144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37" w:lineRule="exact"/>
        <w:rPr>
          <w:sz w:val="24"/>
          <w:szCs w:val="24"/>
          <w:color w:val="auto"/>
        </w:rPr>
      </w:pPr>
    </w:p>
    <w:p>
      <w:pPr>
        <w:ind w:left="158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jc w:val="center"/>
        <w:ind w:right="2200"/>
        <w:spacing w:after="0"/>
        <w:rPr>
          <w:sz w:val="20"/>
          <w:szCs w:val="20"/>
          <w:color w:val="auto"/>
        </w:rPr>
      </w:pPr>
      <w:r>
        <w:rPr>
          <w:rFonts w:ascii="Arial" w:cs="Arial" w:eastAsia="Arial" w:hAnsi="Arial"/>
          <w:sz w:val="16"/>
          <w:szCs w:val="16"/>
          <w:b w:val="1"/>
          <w:bCs w:val="1"/>
          <w:color w:val="auto"/>
        </w:rPr>
        <w:t>000-30877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spacing w:after="0"/>
        <w:rPr>
          <w:sz w:val="20"/>
          <w:szCs w:val="20"/>
          <w:color w:val="auto"/>
        </w:rPr>
      </w:pPr>
      <w:r>
        <w:rPr>
          <w:rFonts w:ascii="Arial" w:cs="Arial" w:eastAsia="Arial" w:hAnsi="Arial"/>
          <w:sz w:val="16"/>
          <w:szCs w:val="16"/>
          <w:b w:val="1"/>
          <w:bCs w:val="1"/>
          <w:color w:val="auto"/>
        </w:rPr>
        <w:t>77-0481679</w:t>
      </w:r>
    </w:p>
    <w:p>
      <w:pPr>
        <w:spacing w:after="0" w:line="50" w:lineRule="exact"/>
        <w:rPr>
          <w:sz w:val="24"/>
          <w:szCs w:val="24"/>
          <w:color w:val="auto"/>
        </w:rPr>
      </w:pPr>
    </w:p>
    <w:p>
      <w:pPr>
        <w:sectPr>
          <w:pgSz w:w="11900" w:h="16838" w:orient="portrait"/>
          <w:cols w:equalWidth="0" w:num="3">
            <w:col w:w="4740" w:space="720"/>
            <w:col w:w="2980" w:space="720"/>
            <w:col w:w="1680"/>
          </w:cols>
          <w:pgMar w:left="240" w:top="368" w:right="819" w:bottom="1440" w:gutter="0" w:footer="0" w:header="0"/>
          <w:type w:val="continuous"/>
        </w:sectPr>
      </w:pPr>
    </w:p>
    <w:p>
      <w:pPr>
        <w:ind w:left="1040"/>
        <w:spacing w:after="0"/>
        <w:rPr>
          <w:sz w:val="20"/>
          <w:szCs w:val="20"/>
          <w:color w:val="auto"/>
        </w:rPr>
      </w:pPr>
      <w:r>
        <w:rPr>
          <w:rFonts w:ascii="Arial" w:cs="Arial" w:eastAsia="Arial" w:hAnsi="Arial"/>
          <w:sz w:val="13"/>
          <w:szCs w:val="13"/>
          <w:b w:val="1"/>
          <w:bCs w:val="1"/>
          <w:color w:val="auto"/>
        </w:rPr>
        <w:t>(State or other jurisdiction of</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2"/>
          <w:szCs w:val="12"/>
          <w:b w:val="1"/>
          <w:bCs w:val="1"/>
          <w:color w:val="auto"/>
        </w:rPr>
        <w:t>(Commission File No.)</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3"/>
          <w:szCs w:val="13"/>
          <w:b w:val="1"/>
          <w:bCs w:val="1"/>
          <w:color w:val="auto"/>
        </w:rPr>
        <w:t>(I.R.S. Employer Identification No.)</w:t>
      </w:r>
    </w:p>
    <w:p>
      <w:pPr>
        <w:spacing w:after="0" w:line="2" w:lineRule="exact"/>
        <w:rPr>
          <w:sz w:val="24"/>
          <w:szCs w:val="24"/>
          <w:color w:val="auto"/>
        </w:rPr>
      </w:pPr>
    </w:p>
    <w:p>
      <w:pPr>
        <w:sectPr>
          <w:pgSz w:w="11900" w:h="16838" w:orient="portrait"/>
          <w:cols w:equalWidth="0" w:num="3">
            <w:col w:w="4440" w:space="720"/>
            <w:col w:w="2620" w:space="720"/>
            <w:col w:w="2340"/>
          </w:cols>
          <w:pgMar w:left="240" w:top="368" w:right="819" w:bottom="1440" w:gutter="0" w:footer="0" w:header="0"/>
          <w:type w:val="continuous"/>
        </w:sectPr>
      </w:pPr>
    </w:p>
    <w:p>
      <w:pPr>
        <w:ind w:left="1000"/>
        <w:spacing w:after="0"/>
        <w:rPr>
          <w:sz w:val="20"/>
          <w:szCs w:val="20"/>
          <w:color w:val="auto"/>
        </w:rPr>
      </w:pPr>
      <w:r>
        <w:rPr>
          <w:rFonts w:ascii="Arial" w:cs="Arial" w:eastAsia="Arial" w:hAnsi="Arial"/>
          <w:sz w:val="14"/>
          <w:szCs w:val="14"/>
          <w:b w:val="1"/>
          <w:bCs w:val="1"/>
          <w:color w:val="auto"/>
        </w:rPr>
        <w:t>incorporation or organization)</w:t>
      </w:r>
    </w:p>
    <w:p>
      <w:pPr>
        <w:spacing w:after="0" w:line="196" w:lineRule="exact"/>
        <w:rPr>
          <w:sz w:val="24"/>
          <w:szCs w:val="24"/>
          <w:color w:val="auto"/>
        </w:rPr>
      </w:pPr>
    </w:p>
    <w:p>
      <w:pPr>
        <w:jc w:val="center"/>
        <w:ind w:right="-57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57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579"/>
        <w:spacing w:after="0"/>
        <w:rPr>
          <w:sz w:val="20"/>
          <w:szCs w:val="20"/>
          <w:color w:val="auto"/>
        </w:rPr>
      </w:pPr>
      <w:r>
        <w:rPr>
          <w:rFonts w:ascii="Arial" w:cs="Arial" w:eastAsia="Arial" w:hAnsi="Arial"/>
          <w:sz w:val="18"/>
          <w:szCs w:val="18"/>
          <w:b w:val="1"/>
          <w:bCs w:val="1"/>
          <w:color w:val="auto"/>
        </w:rPr>
        <w:t>Hamilton HM 12, Bermuda</w:t>
      </w:r>
    </w:p>
    <w:p>
      <w:pPr>
        <w:spacing w:after="0" w:line="2" w:lineRule="exact"/>
        <w:rPr>
          <w:sz w:val="24"/>
          <w:szCs w:val="24"/>
          <w:color w:val="auto"/>
        </w:rPr>
      </w:pPr>
    </w:p>
    <w:p>
      <w:pPr>
        <w:ind w:left="4520"/>
        <w:spacing w:after="0"/>
        <w:rPr>
          <w:sz w:val="20"/>
          <w:szCs w:val="20"/>
          <w:color w:val="auto"/>
        </w:rPr>
      </w:pPr>
      <w:r>
        <w:rPr>
          <w:rFonts w:ascii="Arial" w:cs="Arial" w:eastAsia="Arial" w:hAnsi="Arial"/>
          <w:sz w:val="12"/>
          <w:szCs w:val="12"/>
          <w:b w:val="1"/>
          <w:bCs w:val="1"/>
          <w:color w:val="auto"/>
        </w:rPr>
        <w:t>(Address of principal executive offices)</w:t>
      </w:r>
    </w:p>
    <w:p>
      <w:pPr>
        <w:sectPr>
          <w:pgSz w:w="11900" w:h="16838" w:orient="portrait"/>
          <w:cols w:equalWidth="0" w:num="1">
            <w:col w:w="10840"/>
          </w:cols>
          <w:pgMar w:left="240" w:top="368" w:right="819" w:bottom="1440" w:gutter="0" w:footer="0" w:header="0"/>
          <w:type w:val="continuous"/>
        </w:sectPr>
      </w:pPr>
    </w:p>
    <w:p>
      <w:pPr>
        <w:spacing w:after="0" w:line="215" w:lineRule="exact"/>
        <w:rPr>
          <w:sz w:val="24"/>
          <w:szCs w:val="24"/>
          <w:color w:val="auto"/>
        </w:rPr>
      </w:pPr>
    </w:p>
    <w:p>
      <w:pPr>
        <w:ind w:left="4980"/>
        <w:spacing w:after="0"/>
        <w:rPr>
          <w:sz w:val="20"/>
          <w:szCs w:val="20"/>
          <w:color w:val="auto"/>
        </w:rPr>
      </w:pPr>
      <w:r>
        <w:rPr>
          <w:rFonts w:ascii="Arial" w:cs="Arial" w:eastAsia="Arial" w:hAnsi="Arial"/>
          <w:sz w:val="18"/>
          <w:szCs w:val="18"/>
          <w:b w:val="1"/>
          <w:bCs w:val="1"/>
          <w:color w:val="auto"/>
        </w:rPr>
        <w:t>Mitchell L. Gaynor</w:t>
      </w:r>
    </w:p>
    <w:p>
      <w:pPr>
        <w:spacing w:after="0" w:line="27" w:lineRule="exact"/>
        <w:rPr>
          <w:sz w:val="24"/>
          <w:szCs w:val="24"/>
          <w:color w:val="auto"/>
        </w:rPr>
      </w:pPr>
    </w:p>
    <w:p>
      <w:pPr>
        <w:ind w:left="3420"/>
        <w:spacing w:after="0"/>
        <w:rPr>
          <w:sz w:val="20"/>
          <w:szCs w:val="20"/>
          <w:color w:val="auto"/>
        </w:rPr>
      </w:pPr>
      <w:r>
        <w:rPr>
          <w:rFonts w:ascii="Arial" w:cs="Arial" w:eastAsia="Arial" w:hAnsi="Arial"/>
          <w:sz w:val="16"/>
          <w:szCs w:val="16"/>
          <w:b w:val="1"/>
          <w:bCs w:val="1"/>
          <w:color w:val="auto"/>
        </w:rPr>
        <w:t>Executive Vice President, Chief Legal Officer</w:t>
      </w:r>
    </w:p>
    <w:p>
      <w:pPr>
        <w:spacing w:after="0" w:line="32" w:lineRule="exact"/>
        <w:rPr>
          <w:sz w:val="24"/>
          <w:szCs w:val="24"/>
          <w:color w:val="auto"/>
        </w:rPr>
      </w:pPr>
    </w:p>
    <w:p>
      <w:pPr>
        <w:ind w:left="5160"/>
        <w:spacing w:after="0"/>
        <w:rPr>
          <w:sz w:val="20"/>
          <w:szCs w:val="20"/>
          <w:color w:val="auto"/>
        </w:rPr>
      </w:pPr>
      <w:r>
        <w:rPr>
          <w:rFonts w:ascii="Arial" w:cs="Arial" w:eastAsia="Arial" w:hAnsi="Arial"/>
          <w:sz w:val="18"/>
          <w:szCs w:val="18"/>
          <w:b w:val="1"/>
          <w:bCs w:val="1"/>
          <w:color w:val="auto"/>
        </w:rPr>
        <w:t>(408) 222-2500</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11" w:lineRule="exact"/>
        <w:rPr>
          <w:sz w:val="24"/>
          <w:szCs w:val="24"/>
          <w:color w:val="auto"/>
        </w:rPr>
      </w:pPr>
    </w:p>
    <w:p>
      <w:pPr>
        <w:spacing w:after="0"/>
        <w:rPr>
          <w:sz w:val="20"/>
          <w:szCs w:val="20"/>
          <w:color w:val="auto"/>
        </w:rPr>
      </w:pPr>
      <w:r>
        <w:rPr>
          <w:rFonts w:ascii="Arial" w:cs="Arial" w:eastAsia="Arial" w:hAnsi="Arial"/>
          <w:sz w:val="16"/>
          <w:szCs w:val="16"/>
          <w:b w:val="1"/>
          <w:bCs w:val="1"/>
          <w:color w:val="auto"/>
        </w:rPr>
        <w:t>and Secretary</w:t>
      </w:r>
    </w:p>
    <w:p>
      <w:pPr>
        <w:spacing w:after="0" w:line="266" w:lineRule="exact"/>
        <w:rPr>
          <w:sz w:val="24"/>
          <w:szCs w:val="24"/>
          <w:color w:val="auto"/>
        </w:rPr>
      </w:pPr>
    </w:p>
    <w:p>
      <w:pPr>
        <w:sectPr>
          <w:pgSz w:w="11900" w:h="16838" w:orient="portrait"/>
          <w:cols w:equalWidth="0" w:num="2">
            <w:col w:w="6900" w:space="40"/>
            <w:col w:w="3900"/>
          </w:cols>
          <w:pgMar w:left="240" w:top="368" w:right="819" w:bottom="1440" w:gutter="0" w:footer="0" w:header="0"/>
          <w:type w:val="continuous"/>
        </w:sectPr>
      </w:pPr>
    </w:p>
    <w:p>
      <w:pPr>
        <w:jc w:val="center"/>
        <w:ind w:right="-599"/>
        <w:spacing w:after="0"/>
        <w:rPr>
          <w:sz w:val="20"/>
          <w:szCs w:val="20"/>
          <w:color w:val="auto"/>
        </w:rPr>
      </w:pPr>
      <w:r>
        <w:rPr>
          <w:rFonts w:ascii="Arial" w:cs="Arial" w:eastAsia="Arial" w:hAnsi="Arial"/>
          <w:sz w:val="12"/>
          <w:szCs w:val="12"/>
          <w:b w:val="1"/>
          <w:bCs w:val="1"/>
          <w:color w:val="auto"/>
        </w:rPr>
        <w:t>(Name and telephone number, including area code, of</w:t>
      </w:r>
    </w:p>
    <w:p>
      <w:pPr>
        <w:spacing w:after="0" w:line="4" w:lineRule="exact"/>
        <w:rPr>
          <w:sz w:val="24"/>
          <w:szCs w:val="24"/>
          <w:color w:val="auto"/>
        </w:rPr>
      </w:pPr>
    </w:p>
    <w:p>
      <w:pPr>
        <w:jc w:val="center"/>
        <w:ind w:right="-599"/>
        <w:spacing w:after="0"/>
        <w:rPr>
          <w:sz w:val="20"/>
          <w:szCs w:val="20"/>
          <w:color w:val="auto"/>
        </w:rPr>
      </w:pPr>
      <w:r>
        <w:rPr>
          <w:rFonts w:ascii="Arial" w:cs="Arial" w:eastAsia="Arial" w:hAnsi="Arial"/>
          <w:sz w:val="14"/>
          <w:szCs w:val="14"/>
          <w:b w:val="1"/>
          <w:bCs w:val="1"/>
          <w:color w:val="auto"/>
        </w:rPr>
        <w:t>person to contact in connection with this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227965</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0840"/>
          </w:cols>
          <w:pgMar w:left="240" w:top="368" w:right="819" w:bottom="1440" w:gutter="0" w:footer="0" w:header="0"/>
          <w:type w:val="continuous"/>
        </w:sectPr>
      </w:pPr>
    </w:p>
    <w:p>
      <w:pPr>
        <w:spacing w:after="0" w:line="200" w:lineRule="exact"/>
        <w:rPr>
          <w:sz w:val="24"/>
          <w:szCs w:val="24"/>
          <w:color w:val="auto"/>
        </w:rPr>
      </w:pPr>
    </w:p>
    <w:p>
      <w:pPr>
        <w:spacing w:after="0" w:line="374" w:lineRule="exact"/>
        <w:rPr>
          <w:sz w:val="24"/>
          <w:szCs w:val="24"/>
          <w:color w:val="auto"/>
        </w:rPr>
      </w:pPr>
    </w:p>
    <w:p>
      <w:pPr>
        <w:spacing w:after="0" w:line="277" w:lineRule="auto"/>
        <w:rPr>
          <w:sz w:val="20"/>
          <w:szCs w:val="20"/>
          <w:color w:val="auto"/>
        </w:rPr>
      </w:pPr>
      <w:r>
        <w:rPr>
          <w:rFonts w:ascii="Arial" w:cs="Arial" w:eastAsia="Arial" w:hAnsi="Arial"/>
          <w:sz w:val="18"/>
          <w:szCs w:val="18"/>
          <w:color w:val="auto"/>
        </w:rPr>
        <w:t>Check the appropriate box to indicate the rule pursuant to which this form is being filed, and provide the period to which the information in this report applies:</w:t>
      </w:r>
    </w:p>
    <w:p>
      <w:pPr>
        <w:spacing w:after="0" w:line="76"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7"/>
          <w:szCs w:val="17"/>
          <w:color w:val="auto"/>
        </w:rPr>
      </w:pPr>
      <w:r>
        <w:rPr>
          <w:rFonts w:ascii="Arial" w:cs="Arial" w:eastAsia="Arial" w:hAnsi="Arial"/>
          <w:sz w:val="17"/>
          <w:szCs w:val="17"/>
          <w:color w:val="auto"/>
        </w:rPr>
        <w:t>Rule 13p-1 under the Securities Exchange Act (17 CFR 240.13p-1) for the reporting period January 1, 2015 to December 31, 2015.</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168275</wp:posOffset>
            </wp:positionV>
            <wp:extent cx="724662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210820</wp:posOffset>
            </wp:positionV>
            <wp:extent cx="724662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0840"/>
          </w:cols>
          <w:pgMar w:left="240" w:top="368" w:right="819" w:bottom="1440" w:gutter="0" w:footer="0" w:header="0"/>
          <w:type w:val="continuous"/>
        </w:sectPr>
      </w:pPr>
    </w:p>
    <w:bookmarkStart w:id="1" w:name="page2"/>
    <w:bookmarkEnd w:id="1"/>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1.01. Conflict Minerals Disclosure and Report.</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Conflict Minerals Disclosure</w:t>
      </w:r>
    </w:p>
    <w:p>
      <w:pPr>
        <w:spacing w:after="0" w:line="121" w:lineRule="exact"/>
        <w:rPr>
          <w:sz w:val="20"/>
          <w:szCs w:val="20"/>
          <w:color w:val="auto"/>
        </w:rPr>
      </w:pPr>
    </w:p>
    <w:p>
      <w:pPr>
        <w:jc w:val="both"/>
        <w:ind w:firstLine="456"/>
        <w:spacing w:after="0" w:line="264" w:lineRule="auto"/>
        <w:rPr>
          <w:sz w:val="20"/>
          <w:szCs w:val="20"/>
          <w:color w:val="auto"/>
        </w:rPr>
      </w:pPr>
      <w:r>
        <w:rPr>
          <w:rFonts w:ascii="Arial" w:cs="Arial" w:eastAsia="Arial" w:hAnsi="Arial"/>
          <w:sz w:val="18"/>
          <w:szCs w:val="18"/>
          <w:color w:val="auto"/>
        </w:rPr>
        <w:t>A copy of the Conflict Minerals Report of Marvell Technology Group Ltd. (the “Company”) for the reporting period January 1, 2015 to December 31, 2015 is filed as Exhibit 1.01 to this specialized disclosure report on Form SD and is also available at the Company’s website at www.marvell.com under the heading “Investor Relations - Corporate Governance and Social Responsibility.”</w:t>
      </w:r>
    </w:p>
    <w:p>
      <w:pPr>
        <w:spacing w:after="0" w:line="28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1.02. Exhibit.</w:t>
      </w:r>
    </w:p>
    <w:p>
      <w:pPr>
        <w:spacing w:after="0" w:line="12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As noted in Item 1.01, the Company is filing its Conflict Minerals Report as Exhibit 1.01 to this report.</w:t>
      </w:r>
    </w:p>
    <w:p>
      <w:pPr>
        <w:spacing w:after="0" w:line="32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2.01. Exhibit.</w:t>
      </w:r>
    </w:p>
    <w:p>
      <w:pPr>
        <w:spacing w:after="0" w:line="12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exhibit is filed as a part of this report:</w:t>
      </w:r>
    </w:p>
    <w:p>
      <w:pPr>
        <w:spacing w:after="0" w:line="244" w:lineRule="exact"/>
        <w:rPr>
          <w:sz w:val="20"/>
          <w:szCs w:val="20"/>
          <w:color w:val="auto"/>
        </w:rPr>
      </w:pPr>
    </w:p>
    <w:tbl>
      <w:tblPr>
        <w:tblLayout w:type="fixed"/>
        <w:tblInd w:w="560" w:type="dxa"/>
        <w:tblCellMar>
          <w:top w:w="0" w:type="dxa"/>
          <w:left w:w="0" w:type="dxa"/>
          <w:bottom w:w="0" w:type="dxa"/>
          <w:right w:w="0" w:type="dxa"/>
        </w:tblCellMar>
      </w:tblPr>
      <w:tr>
        <w:trPr>
          <w:trHeight w:val="178"/>
        </w:trPr>
        <w:tc>
          <w:tcPr>
            <w:tcW w:w="128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5"/>
              </w:rPr>
              <w:t>Exhibit No.</w:t>
            </w:r>
          </w:p>
        </w:tc>
        <w:tc>
          <w:tcPr>
            <w:tcW w:w="420" w:type="dxa"/>
            <w:vAlign w:val="bottom"/>
          </w:tcPr>
          <w:p>
            <w:pPr>
              <w:spacing w:after="0"/>
              <w:rPr>
                <w:sz w:val="15"/>
                <w:szCs w:val="15"/>
                <w:color w:val="auto"/>
              </w:rPr>
            </w:pPr>
          </w:p>
        </w:tc>
        <w:tc>
          <w:tcPr>
            <w:tcW w:w="870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rPr>
              <w:t>Description</w:t>
            </w:r>
          </w:p>
        </w:tc>
      </w:tr>
      <w:tr>
        <w:trPr>
          <w:trHeight w:val="296"/>
        </w:trPr>
        <w:tc>
          <w:tcPr>
            <w:tcW w:w="1280" w:type="dxa"/>
            <w:vAlign w:val="bottom"/>
          </w:tcPr>
          <w:p>
            <w:pPr>
              <w:jc w:val="right"/>
              <w:ind w:right="399"/>
              <w:spacing w:after="0"/>
              <w:rPr>
                <w:sz w:val="20"/>
                <w:szCs w:val="20"/>
                <w:color w:val="auto"/>
              </w:rPr>
            </w:pPr>
            <w:r>
              <w:rPr>
                <w:rFonts w:ascii="Arial" w:cs="Arial" w:eastAsia="Arial" w:hAnsi="Arial"/>
                <w:sz w:val="18"/>
                <w:szCs w:val="18"/>
                <w:color w:val="auto"/>
              </w:rPr>
              <w:t>1.01</w:t>
            </w:r>
          </w:p>
        </w:tc>
        <w:tc>
          <w:tcPr>
            <w:tcW w:w="9120" w:type="dxa"/>
            <w:vAlign w:val="bottom"/>
            <w:gridSpan w:val="2"/>
          </w:tcPr>
          <w:p>
            <w:pPr>
              <w:ind w:left="420"/>
              <w:spacing w:after="0"/>
              <w:rPr>
                <w:sz w:val="20"/>
                <w:szCs w:val="20"/>
                <w:color w:val="auto"/>
              </w:rPr>
            </w:pPr>
            <w:r>
              <w:rPr>
                <w:rFonts w:ascii="Arial" w:cs="Arial" w:eastAsia="Arial" w:hAnsi="Arial"/>
                <w:sz w:val="18"/>
                <w:szCs w:val="18"/>
                <w:color w:val="auto"/>
                <w:w w:val="94"/>
              </w:rPr>
              <w:t>Conflict Minerals Report of Marvell Technology Group Ltd. for the reporting period January 1, 2015 to December 31,</w:t>
            </w:r>
          </w:p>
        </w:tc>
      </w:tr>
      <w:tr>
        <w:trPr>
          <w:trHeight w:val="230"/>
        </w:trPr>
        <w:tc>
          <w:tcPr>
            <w:tcW w:w="1280" w:type="dxa"/>
            <w:vAlign w:val="bottom"/>
          </w:tcPr>
          <w:p>
            <w:pPr>
              <w:spacing w:after="0"/>
              <w:rPr>
                <w:sz w:val="20"/>
                <w:szCs w:val="20"/>
                <w:color w:val="auto"/>
              </w:rPr>
            </w:pPr>
          </w:p>
        </w:tc>
        <w:tc>
          <w:tcPr>
            <w:tcW w:w="9120" w:type="dxa"/>
            <w:vAlign w:val="bottom"/>
            <w:gridSpan w:val="2"/>
          </w:tcPr>
          <w:p>
            <w:pPr>
              <w:ind w:left="420"/>
              <w:spacing w:after="0"/>
              <w:rPr>
                <w:sz w:val="20"/>
                <w:szCs w:val="20"/>
                <w:color w:val="auto"/>
              </w:rPr>
            </w:pPr>
            <w:r>
              <w:rPr>
                <w:rFonts w:ascii="Arial" w:cs="Arial" w:eastAsia="Arial" w:hAnsi="Arial"/>
                <w:sz w:val="18"/>
                <w:szCs w:val="18"/>
                <w:color w:val="auto"/>
              </w:rPr>
              <w:t>2015.</w:t>
            </w:r>
          </w:p>
        </w:tc>
      </w:tr>
      <w:tr>
        <w:trPr>
          <w:trHeight w:val="365"/>
        </w:trPr>
        <w:tc>
          <w:tcPr>
            <w:tcW w:w="1280" w:type="dxa"/>
            <w:vAlign w:val="bottom"/>
          </w:tcPr>
          <w:p>
            <w:pPr>
              <w:spacing w:after="0"/>
              <w:rPr>
                <w:sz w:val="24"/>
                <w:szCs w:val="24"/>
                <w:color w:val="auto"/>
              </w:rPr>
            </w:pPr>
          </w:p>
        </w:tc>
        <w:tc>
          <w:tcPr>
            <w:tcW w:w="9120" w:type="dxa"/>
            <w:vAlign w:val="bottom"/>
            <w:gridSpan w:val="2"/>
          </w:tcPr>
          <w:p>
            <w:pPr>
              <w:jc w:val="right"/>
              <w:ind w:right="5128"/>
              <w:spacing w:after="0"/>
              <w:rPr>
                <w:sz w:val="20"/>
                <w:szCs w:val="20"/>
                <w:color w:val="auto"/>
              </w:rPr>
            </w:pPr>
            <w:r>
              <w:rPr>
                <w:rFonts w:ascii="Arial" w:cs="Arial" w:eastAsia="Arial" w:hAnsi="Arial"/>
                <w:sz w:val="18"/>
                <w:szCs w:val="18"/>
                <w:color w:val="auto"/>
              </w:rPr>
              <w:t>2</w:t>
            </w:r>
          </w:p>
        </w:tc>
      </w:tr>
    </w:tbl>
    <w:p>
      <w:pPr>
        <w:sectPr>
          <w:pgSz w:w="11900" w:h="16838" w:orient="portrait"/>
          <w:cols w:equalWidth="0" w:num="1">
            <w:col w:w="11300"/>
          </w:cols>
          <w:pgMar w:left="240" w:top="270" w:right="359" w:bottom="1440" w:gutter="0" w:footer="0" w:header="0"/>
        </w:sectPr>
      </w:pPr>
    </w:p>
    <w:bookmarkStart w:id="2" w:name="page3"/>
    <w:bookmarkEnd w:id="2"/>
    <w:p>
      <w:pPr>
        <w:jc w:val="center"/>
        <w:ind w:right="-3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SIGNATURES</w:t>
      </w:r>
    </w:p>
    <w:p>
      <w:pPr>
        <w:spacing w:after="0" w:line="229" w:lineRule="exact"/>
        <w:rPr>
          <w:sz w:val="20"/>
          <w:szCs w:val="20"/>
          <w:color w:val="auto"/>
        </w:rPr>
      </w:pPr>
    </w:p>
    <w:p>
      <w:pPr>
        <w:ind w:firstLine="456"/>
        <w:spacing w:after="0" w:line="277" w:lineRule="auto"/>
        <w:rPr>
          <w:sz w:val="20"/>
          <w:szCs w:val="20"/>
          <w:color w:val="auto"/>
        </w:rPr>
      </w:pPr>
      <w:r>
        <w:rPr>
          <w:rFonts w:ascii="Arial" w:cs="Arial" w:eastAsia="Arial" w:hAnsi="Arial"/>
          <w:sz w:val="18"/>
          <w:szCs w:val="18"/>
          <w:color w:val="auto"/>
        </w:rPr>
        <w:t>Pursuant to the requirements of the Securities Exchange Act of 1934, the registrant has duly caused this report to be signed on its behalf by the duly authorized undersigned.</w:t>
      </w:r>
    </w:p>
    <w:p>
      <w:pPr>
        <w:spacing w:after="0" w:line="279" w:lineRule="exact"/>
        <w:rPr>
          <w:sz w:val="20"/>
          <w:szCs w:val="20"/>
          <w:color w:val="auto"/>
        </w:rPr>
      </w:pPr>
    </w:p>
    <w:p>
      <w:pPr>
        <w:spacing w:after="0"/>
        <w:rPr>
          <w:sz w:val="20"/>
          <w:szCs w:val="20"/>
          <w:color w:val="auto"/>
        </w:rPr>
      </w:pPr>
      <w:r>
        <w:rPr>
          <w:rFonts w:ascii="Arial" w:cs="Arial" w:eastAsia="Arial" w:hAnsi="Arial"/>
          <w:sz w:val="18"/>
          <w:szCs w:val="18"/>
          <w:color w:val="auto"/>
        </w:rPr>
        <w:t>Date: May 31, 2016</w:t>
      </w:r>
    </w:p>
    <w:p>
      <w:pPr>
        <w:spacing w:after="0" w:line="248" w:lineRule="exact"/>
        <w:rPr>
          <w:sz w:val="20"/>
          <w:szCs w:val="20"/>
          <w:color w:val="auto"/>
        </w:rPr>
      </w:pPr>
    </w:p>
    <w:p>
      <w:pPr>
        <w:ind w:left="6860"/>
        <w:spacing w:after="0"/>
        <w:rPr>
          <w:sz w:val="20"/>
          <w:szCs w:val="20"/>
          <w:color w:val="auto"/>
        </w:rPr>
      </w:pPr>
      <w:r>
        <w:rPr>
          <w:rFonts w:ascii="Arial" w:cs="Arial" w:eastAsia="Arial" w:hAnsi="Arial"/>
          <w:sz w:val="18"/>
          <w:szCs w:val="18"/>
          <w:b w:val="1"/>
          <w:bCs w:val="1"/>
          <w:color w:val="auto"/>
        </w:rPr>
        <w:t>Marvell Technology Group Ltd.</w:t>
      </w:r>
    </w:p>
    <w:p>
      <w:pPr>
        <w:spacing w:after="0" w:line="229"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By:  /s/ David Eichler</w:t>
      </w:r>
    </w:p>
    <w:p>
      <w:pPr>
        <w:spacing w:after="0" w:line="23" w:lineRule="exact"/>
        <w:rPr>
          <w:sz w:val="20"/>
          <w:szCs w:val="20"/>
          <w:color w:val="auto"/>
        </w:rPr>
      </w:pPr>
    </w:p>
    <w:p>
      <w:pPr>
        <w:ind w:left="7240"/>
        <w:spacing w:after="0"/>
        <w:rPr>
          <w:sz w:val="20"/>
          <w:szCs w:val="20"/>
          <w:color w:val="auto"/>
        </w:rPr>
      </w:pPr>
      <w:r>
        <w:rPr>
          <w:rFonts w:ascii="Arial" w:cs="Arial" w:eastAsia="Arial" w:hAnsi="Arial"/>
          <w:sz w:val="18"/>
          <w:szCs w:val="18"/>
          <w:color w:val="auto"/>
        </w:rPr>
        <w:t>David Eichler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4533265</wp:posOffset>
            </wp:positionH>
            <wp:positionV relativeFrom="paragraph">
              <wp:posOffset>-130810</wp:posOffset>
            </wp:positionV>
            <wp:extent cx="2718435"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2718435" cy="8890"/>
                    </a:xfrm>
                    <a:prstGeom prst="rect">
                      <a:avLst/>
                    </a:prstGeom>
                    <a:noFill/>
                  </pic:spPr>
                </pic:pic>
              </a:graphicData>
            </a:graphic>
          </wp:anchor>
        </w:drawing>
      </w:r>
    </w:p>
    <w:p>
      <w:pPr>
        <w:spacing w:after="0" w:line="3" w:lineRule="exact"/>
        <w:rPr>
          <w:sz w:val="20"/>
          <w:szCs w:val="20"/>
          <w:color w:val="auto"/>
        </w:rPr>
      </w:pPr>
    </w:p>
    <w:p>
      <w:pPr>
        <w:ind w:left="7240"/>
        <w:spacing w:after="0"/>
        <w:rPr>
          <w:sz w:val="20"/>
          <w:szCs w:val="20"/>
          <w:color w:val="auto"/>
        </w:rPr>
      </w:pPr>
      <w:r>
        <w:rPr>
          <w:rFonts w:ascii="Arial" w:cs="Arial" w:eastAsia="Arial" w:hAnsi="Arial"/>
          <w:sz w:val="18"/>
          <w:szCs w:val="18"/>
          <w:color w:val="auto"/>
        </w:rPr>
        <w:t>Interim Chief Financial Officer</w:t>
      </w:r>
    </w:p>
    <w:p>
      <w:pPr>
        <w:spacing w:after="0" w:line="143" w:lineRule="exact"/>
        <w:rPr>
          <w:sz w:val="20"/>
          <w:szCs w:val="20"/>
          <w:color w:val="auto"/>
        </w:rPr>
      </w:pPr>
    </w:p>
    <w:p>
      <w:pPr>
        <w:jc w:val="center"/>
        <w:ind w:right="-31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100"/>
          </w:cols>
          <w:pgMar w:left="240" w:top="270" w:right="559" w:bottom="1440" w:gutter="0" w:footer="0" w:header="0"/>
        </w:sectPr>
      </w:pPr>
    </w:p>
    <w:bookmarkStart w:id="3" w:name="page4"/>
    <w:bookmarkEnd w:id="3"/>
    <w:tbl>
      <w:tblPr>
        <w:tblLayout w:type="fixed"/>
        <w:tblInd w:w="0" w:type="dxa"/>
        <w:tblCellMar>
          <w:top w:w="0" w:type="dxa"/>
          <w:left w:w="0" w:type="dxa"/>
          <w:bottom w:w="0" w:type="dxa"/>
          <w:right w:w="0" w:type="dxa"/>
        </w:tblCellMar>
      </w:tblPr>
      <w:tr>
        <w:trPr>
          <w:trHeight w:val="234"/>
        </w:trPr>
        <w:tc>
          <w:tcPr>
            <w:tcW w:w="1260" w:type="dxa"/>
            <w:vAlign w:val="bottom"/>
          </w:tcPr>
          <w:p>
            <w:pPr>
              <w:spacing w:after="0"/>
              <w:rPr>
                <w:sz w:val="20"/>
                <w:szCs w:val="20"/>
                <w:color w:val="auto"/>
              </w:rPr>
            </w:pPr>
          </w:p>
        </w:tc>
        <w:tc>
          <w:tcPr>
            <w:tcW w:w="460" w:type="dxa"/>
            <w:vAlign w:val="bottom"/>
          </w:tcPr>
          <w:p>
            <w:pPr>
              <w:spacing w:after="0"/>
              <w:rPr>
                <w:sz w:val="20"/>
                <w:szCs w:val="20"/>
                <w:color w:val="auto"/>
              </w:rPr>
            </w:pPr>
          </w:p>
        </w:tc>
        <w:tc>
          <w:tcPr>
            <w:tcW w:w="9580" w:type="dxa"/>
            <w:vAlign w:val="bottom"/>
          </w:tcPr>
          <w:p>
            <w:pPr>
              <w:jc w:val="center"/>
              <w:ind w:right="1736"/>
              <w:spacing w:after="0"/>
              <w:rPr>
                <w:sz w:val="20"/>
                <w:szCs w:val="20"/>
                <w:color w:val="auto"/>
              </w:rPr>
            </w:pPr>
            <w:r>
              <w:rPr>
                <w:rFonts w:ascii="Arial" w:cs="Arial" w:eastAsia="Arial" w:hAnsi="Arial"/>
                <w:sz w:val="18"/>
                <w:szCs w:val="18"/>
                <w:b w:val="1"/>
                <w:bCs w:val="1"/>
                <w:color w:val="auto"/>
              </w:rPr>
              <w:t>EXHIBIT INDEX</w:t>
            </w:r>
          </w:p>
        </w:tc>
      </w:tr>
      <w:tr>
        <w:trPr>
          <w:trHeight w:val="399"/>
        </w:trPr>
        <w:tc>
          <w:tcPr>
            <w:tcW w:w="126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5"/>
              </w:rPr>
              <w:t>Exhibit No.</w:t>
            </w:r>
          </w:p>
        </w:tc>
        <w:tc>
          <w:tcPr>
            <w:tcW w:w="460" w:type="dxa"/>
            <w:vAlign w:val="bottom"/>
          </w:tcPr>
          <w:p>
            <w:pPr>
              <w:spacing w:after="0"/>
              <w:rPr>
                <w:sz w:val="24"/>
                <w:szCs w:val="24"/>
                <w:color w:val="auto"/>
              </w:rPr>
            </w:pPr>
          </w:p>
        </w:tc>
        <w:tc>
          <w:tcPr>
            <w:tcW w:w="958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rPr>
              <w:t>Description</w:t>
            </w:r>
          </w:p>
        </w:tc>
      </w:tr>
      <w:tr>
        <w:trPr>
          <w:trHeight w:val="311"/>
        </w:trPr>
        <w:tc>
          <w:tcPr>
            <w:tcW w:w="1260" w:type="dxa"/>
            <w:vAlign w:val="bottom"/>
          </w:tcPr>
          <w:p>
            <w:pPr>
              <w:jc w:val="right"/>
              <w:ind w:right="399"/>
              <w:spacing w:after="0"/>
              <w:rPr>
                <w:sz w:val="20"/>
                <w:szCs w:val="20"/>
                <w:color w:val="auto"/>
              </w:rPr>
            </w:pPr>
            <w:r>
              <w:rPr>
                <w:rFonts w:ascii="Arial" w:cs="Arial" w:eastAsia="Arial" w:hAnsi="Arial"/>
                <w:sz w:val="18"/>
                <w:szCs w:val="18"/>
                <w:color w:val="auto"/>
              </w:rPr>
              <w:t>1.01</w:t>
            </w:r>
          </w:p>
        </w:tc>
        <w:tc>
          <w:tcPr>
            <w:tcW w:w="460" w:type="dxa"/>
            <w:vAlign w:val="bottom"/>
          </w:tcPr>
          <w:p>
            <w:pPr>
              <w:spacing w:after="0"/>
              <w:rPr>
                <w:sz w:val="24"/>
                <w:szCs w:val="24"/>
                <w:color w:val="auto"/>
              </w:rPr>
            </w:pPr>
          </w:p>
        </w:tc>
        <w:tc>
          <w:tcPr>
            <w:tcW w:w="9580" w:type="dxa"/>
            <w:vAlign w:val="bottom"/>
          </w:tcPr>
          <w:p>
            <w:pPr>
              <w:spacing w:after="0"/>
              <w:rPr>
                <w:sz w:val="20"/>
                <w:szCs w:val="20"/>
                <w:color w:val="auto"/>
              </w:rPr>
            </w:pPr>
            <w:r>
              <w:rPr>
                <w:rFonts w:ascii="Arial" w:cs="Arial" w:eastAsia="Arial" w:hAnsi="Arial"/>
                <w:sz w:val="18"/>
                <w:szCs w:val="18"/>
                <w:color w:val="auto"/>
                <w:w w:val="98"/>
              </w:rPr>
              <w:t>Conflict Minerals Report of Marvell Technology Group Ltd. for the reporting period January 1, 2015 to December 31, 2015.</w:t>
            </w:r>
          </w:p>
        </w:tc>
      </w:tr>
      <w:tr>
        <w:trPr>
          <w:trHeight w:val="365"/>
        </w:trPr>
        <w:tc>
          <w:tcPr>
            <w:tcW w:w="1260" w:type="dxa"/>
            <w:vAlign w:val="bottom"/>
          </w:tcPr>
          <w:p>
            <w:pPr>
              <w:spacing w:after="0"/>
              <w:rPr>
                <w:sz w:val="24"/>
                <w:szCs w:val="24"/>
                <w:color w:val="auto"/>
              </w:rPr>
            </w:pPr>
          </w:p>
        </w:tc>
        <w:tc>
          <w:tcPr>
            <w:tcW w:w="10040" w:type="dxa"/>
            <w:vAlign w:val="bottom"/>
            <w:gridSpan w:val="2"/>
          </w:tcPr>
          <w:p>
            <w:pPr>
              <w:jc w:val="right"/>
              <w:ind w:right="5576"/>
              <w:spacing w:after="0"/>
              <w:rPr>
                <w:sz w:val="20"/>
                <w:szCs w:val="20"/>
                <w:color w:val="auto"/>
              </w:rPr>
            </w:pPr>
            <w:r>
              <w:rPr>
                <w:rFonts w:ascii="Arial" w:cs="Arial" w:eastAsia="Arial" w:hAnsi="Arial"/>
                <w:sz w:val="18"/>
                <w:szCs w:val="18"/>
                <w:color w:val="auto"/>
              </w:rPr>
              <w:t>4</w:t>
            </w:r>
          </w:p>
        </w:tc>
      </w:tr>
    </w:tbl>
    <w:p>
      <w:pPr>
        <w:jc w:val="right"/>
        <w:ind w:right="5576"/>
        <w:spacing w:after="0"/>
        <w:rPr>
          <w:sz w:val="20"/>
          <w:szCs w:val="20"/>
          <w:color w:val="auto"/>
        </w:rPr>
        <w:sectPr>
          <w:pgSz w:w="11900" w:h="16838" w:orient="portrait"/>
          <w:cols w:equalWidth="0" w:num="1">
            <w:col w:w="11300"/>
          </w:cols>
          <w:pgMar w:left="360" w:top="270" w:right="239" w:bottom="1440" w:gutter="0" w:footer="0" w:header="0"/>
        </w:sectPr>
      </w:pPr>
      <w:r>
        <w:rPr>
          <w:sz w:val="20"/>
          <w:szCs w:val="20"/>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p>
    <w:bookmarkStart w:id="4" w:name="page5"/>
    <w:bookmarkEnd w:id="4"/>
    <w:p>
      <w:pPr>
        <w:jc w:val="right"/>
        <w:spacing w:after="0"/>
        <w:rPr>
          <w:sz w:val="20"/>
          <w:szCs w:val="20"/>
          <w:color w:val="auto"/>
        </w:rPr>
      </w:pPr>
      <w:r>
        <w:rPr>
          <w:rFonts w:ascii="Arial" w:cs="Arial" w:eastAsia="Arial" w:hAnsi="Arial"/>
          <w:sz w:val="18"/>
          <w:szCs w:val="18"/>
          <w:u w:val="single" w:color="auto"/>
          <w:color w:val="auto"/>
        </w:rPr>
        <w:t>Exhibit 1.01</w:t>
      </w:r>
    </w:p>
    <w:p>
      <w:pPr>
        <w:spacing w:after="0" w:line="2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CONFLICT MINERALS REPORT</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(For the reporting period January 1, 2015 to December 31, 2015)</w:t>
      </w:r>
    </w:p>
    <w:p>
      <w:pPr>
        <w:spacing w:after="0" w:line="211" w:lineRule="exact"/>
        <w:rPr>
          <w:sz w:val="20"/>
          <w:szCs w:val="20"/>
          <w:color w:val="auto"/>
        </w:rPr>
      </w:pPr>
    </w:p>
    <w:p>
      <w:pPr>
        <w:ind w:right="100" w:firstLine="456"/>
        <w:spacing w:after="0" w:line="308" w:lineRule="auto"/>
        <w:rPr>
          <w:sz w:val="20"/>
          <w:szCs w:val="20"/>
          <w:color w:val="auto"/>
        </w:rPr>
      </w:pPr>
      <w:r>
        <w:rPr>
          <w:rFonts w:ascii="Arial" w:cs="Arial" w:eastAsia="Arial" w:hAnsi="Arial"/>
          <w:sz w:val="17"/>
          <w:szCs w:val="17"/>
          <w:color w:val="auto"/>
        </w:rPr>
        <w:t>This Conflict Minerals Report (this “Report”) of Marvell Technology Group Ltd. has been prepared pursuant to Rule 13p-1 and Form SD promulgated under the Securities Exchange Act of 1934 (collectively, the “Rule”) for the reporting period January 1, 2015 to December 31, 2015.</w:t>
      </w:r>
    </w:p>
    <w:p>
      <w:pPr>
        <w:spacing w:after="0" w:line="147" w:lineRule="exact"/>
        <w:rPr>
          <w:sz w:val="20"/>
          <w:szCs w:val="20"/>
          <w:color w:val="auto"/>
        </w:rPr>
      </w:pPr>
    </w:p>
    <w:p>
      <w:pPr>
        <w:ind w:right="40" w:firstLine="456"/>
        <w:spacing w:after="0" w:line="273" w:lineRule="auto"/>
        <w:rPr>
          <w:sz w:val="20"/>
          <w:szCs w:val="20"/>
          <w:color w:val="auto"/>
        </w:rPr>
      </w:pPr>
      <w:r>
        <w:rPr>
          <w:rFonts w:ascii="Arial" w:cs="Arial" w:eastAsia="Arial" w:hAnsi="Arial"/>
          <w:sz w:val="17"/>
          <w:szCs w:val="17"/>
          <w:color w:val="auto"/>
        </w:rPr>
        <w:t>The Rule imposes certain reporting obligations on Securities and Exchange Commission (“SEC”) registrants whose manufactured products contain certain minerals that are necessary to the functionality or production of their products. The specified minerals, which are collectively referred to in this Report as “Conflict Minerals,” are gold, columbite-tantalite (coltan), cassiterite and wolframite, including their derivatives, which the SEC has currently limited to tantalum, tin and tungsten. The “Covered Countries” for purposes of the Rule and this Report are the Democratic Republic of the Congo, the Republic of the Congo, Central African Republic, South Sudan, Uganda, Rwanda, Burundi, Tanzania, Zambia and Angola. For purposes of this Report, references to “Marvell,” “we,” “us,” “our” or the “Company” mean Marvell Technology Group Ltd. and its consolidated subsidiaries.</w:t>
      </w:r>
    </w:p>
    <w:p>
      <w:pPr>
        <w:spacing w:after="0" w:line="178" w:lineRule="exact"/>
        <w:rPr>
          <w:sz w:val="20"/>
          <w:szCs w:val="20"/>
          <w:color w:val="auto"/>
        </w:rPr>
      </w:pPr>
    </w:p>
    <w:p>
      <w:pPr>
        <w:jc w:val="both"/>
        <w:ind w:right="320" w:firstLine="456"/>
        <w:spacing w:after="0" w:line="312" w:lineRule="auto"/>
        <w:rPr>
          <w:sz w:val="20"/>
          <w:szCs w:val="20"/>
          <w:color w:val="auto"/>
        </w:rPr>
      </w:pPr>
      <w:r>
        <w:rPr>
          <w:rFonts w:ascii="Arial" w:cs="Arial" w:eastAsia="Arial" w:hAnsi="Arial"/>
          <w:sz w:val="16"/>
          <w:szCs w:val="16"/>
          <w:color w:val="auto"/>
        </w:rPr>
        <w:t>To comply with the Rule, we conducted due diligence on the origin, source and chain of custody of the Conflict Minerals that were necessary to the functionality or production of the products that we manufactured or contracted to manufacture to ascertain whether these Conflict Minerals originated in a Covered Country and financed or benefited armed groups (as defined in Section 1, Item 1.01(d)(2) of Form SD) in any of these countries.</w:t>
      </w:r>
    </w:p>
    <w:p>
      <w:pPr>
        <w:spacing w:after="0" w:line="147" w:lineRule="exact"/>
        <w:rPr>
          <w:sz w:val="20"/>
          <w:szCs w:val="20"/>
          <w:color w:val="auto"/>
        </w:rPr>
      </w:pPr>
    </w:p>
    <w:p>
      <w:pPr>
        <w:jc w:val="both"/>
        <w:ind w:firstLine="456"/>
        <w:spacing w:after="0" w:line="286" w:lineRule="auto"/>
        <w:rPr>
          <w:sz w:val="20"/>
          <w:szCs w:val="20"/>
          <w:color w:val="auto"/>
        </w:rPr>
      </w:pPr>
      <w:r>
        <w:rPr>
          <w:rFonts w:ascii="Arial" w:cs="Arial" w:eastAsia="Arial" w:hAnsi="Arial"/>
          <w:sz w:val="17"/>
          <w:szCs w:val="17"/>
          <w:color w:val="auto"/>
        </w:rPr>
        <w:t>Pursuant to SEC guidance issued April 29, 2014 and the SEC order issued May 2, 2014, Marvell is not required to describe any of its products as “DRC conflict free” (as defined in Section 1, Item 1.01(d)(4) of Form SD), “DRC conflict undeterminable” (as defined in Section 1, Item 1.01(d)(5) of Form SD) or “having not been found to be ‘DRC conflict free,’” and therefore makes no conclusion in this regard in the report presented herein.</w:t>
      </w:r>
    </w:p>
    <w:p>
      <w:pPr>
        <w:spacing w:after="0" w:line="270" w:lineRule="exact"/>
        <w:rPr>
          <w:sz w:val="20"/>
          <w:szCs w:val="20"/>
          <w:color w:val="auto"/>
        </w:rPr>
      </w:pPr>
    </w:p>
    <w:p>
      <w:pPr>
        <w:ind w:left="460"/>
        <w:spacing w:after="0"/>
        <w:tabs>
          <w:tab w:leader="none" w:pos="740" w:val="left"/>
        </w:tabs>
        <w:rPr>
          <w:sz w:val="20"/>
          <w:szCs w:val="20"/>
          <w:color w:val="auto"/>
        </w:rPr>
      </w:pPr>
      <w:r>
        <w:rPr>
          <w:rFonts w:ascii="Arial" w:cs="Arial" w:eastAsia="Arial" w:hAnsi="Arial"/>
          <w:sz w:val="18"/>
          <w:szCs w:val="18"/>
          <w:b w:val="1"/>
          <w:bCs w:val="1"/>
          <w:color w:val="auto"/>
        </w:rPr>
        <w:t>I.</w:t>
      </w:r>
      <w:r>
        <w:rPr>
          <w:sz w:val="20"/>
          <w:szCs w:val="20"/>
          <w:color w:val="auto"/>
        </w:rPr>
        <w:tab/>
      </w:r>
      <w:r>
        <w:rPr>
          <w:rFonts w:ascii="Arial" w:cs="Arial" w:eastAsia="Arial" w:hAnsi="Arial"/>
          <w:sz w:val="16"/>
          <w:szCs w:val="16"/>
          <w:b w:val="1"/>
          <w:bCs w:val="1"/>
          <w:color w:val="auto"/>
        </w:rPr>
        <w:t>Marvell and Its Products</w:t>
      </w:r>
    </w:p>
    <w:p>
      <w:pPr>
        <w:spacing w:after="0" w:line="121" w:lineRule="exact"/>
        <w:rPr>
          <w:sz w:val="20"/>
          <w:szCs w:val="20"/>
          <w:color w:val="auto"/>
        </w:rPr>
      </w:pPr>
    </w:p>
    <w:p>
      <w:pPr>
        <w:ind w:right="40" w:firstLine="456"/>
        <w:spacing w:after="0" w:line="293" w:lineRule="auto"/>
        <w:rPr>
          <w:sz w:val="20"/>
          <w:szCs w:val="20"/>
          <w:color w:val="auto"/>
        </w:rPr>
      </w:pPr>
      <w:r>
        <w:rPr>
          <w:rFonts w:ascii="Arial" w:cs="Arial" w:eastAsia="Arial" w:hAnsi="Arial"/>
          <w:sz w:val="16"/>
          <w:szCs w:val="16"/>
          <w:color w:val="auto"/>
        </w:rPr>
        <w:t>We are a fabless provider of fully integrated platform solutions. Our core strength is the development of complex system-on-a-chip (“SoC”), leveraging our extensive portfolio of intellectual property components in integrated hardware along with software that incorporates digital, analog and mixed-signal computing and communication technologies, designed and configured to provide an optimized solution compared to individual components. Our solutions have become increasingly integrated, with more and more components resulting in an all-in-one solution for a given customer’s end product. The demand for such highly integrated platform solutions is generally driven by technological changes and anticipation of the future needs of device manufacturers and end users, as well as, to an increasing extent, service providers, including cellular network carriers and Internet based applications providers.</w:t>
      </w:r>
    </w:p>
    <w:p>
      <w:pPr>
        <w:spacing w:after="0" w:line="165" w:lineRule="exact"/>
        <w:rPr>
          <w:sz w:val="20"/>
          <w:szCs w:val="20"/>
          <w:color w:val="auto"/>
        </w:rPr>
      </w:pPr>
    </w:p>
    <w:p>
      <w:pPr>
        <w:ind w:left="460"/>
        <w:spacing w:after="0"/>
        <w:rPr>
          <w:sz w:val="20"/>
          <w:szCs w:val="20"/>
          <w:color w:val="auto"/>
        </w:rPr>
      </w:pPr>
      <w:r>
        <w:rPr>
          <w:rFonts w:ascii="Arial" w:cs="Arial" w:eastAsia="Arial" w:hAnsi="Arial"/>
          <w:sz w:val="18"/>
          <w:szCs w:val="18"/>
          <w:color w:val="auto"/>
        </w:rPr>
        <w:t>Our current product offerings are primarily in three broad end markets: storage, networking, and mobile and wireless.</w:t>
      </w:r>
    </w:p>
    <w:p>
      <w:pPr>
        <w:spacing w:after="0" w:line="225" w:lineRule="exact"/>
        <w:rPr>
          <w:sz w:val="20"/>
          <w:szCs w:val="20"/>
          <w:color w:val="auto"/>
        </w:rPr>
      </w:pPr>
    </w:p>
    <w:p>
      <w:pPr>
        <w:ind w:left="460"/>
        <w:spacing w:after="0"/>
        <w:rPr>
          <w:sz w:val="20"/>
          <w:szCs w:val="20"/>
          <w:color w:val="auto"/>
        </w:rPr>
      </w:pPr>
      <w:r>
        <w:rPr>
          <w:rFonts w:ascii="Arial" w:cs="Arial" w:eastAsia="Arial" w:hAnsi="Arial"/>
          <w:sz w:val="16"/>
          <w:szCs w:val="16"/>
          <w:b w:val="1"/>
          <w:bCs w:val="1"/>
          <w:i w:val="1"/>
          <w:iCs w:val="1"/>
          <w:color w:val="auto"/>
        </w:rPr>
        <w:t>Storage Products</w:t>
      </w:r>
      <w:r>
        <w:rPr>
          <w:rFonts w:ascii="Arial" w:cs="Arial" w:eastAsia="Arial" w:hAnsi="Arial"/>
          <w:sz w:val="16"/>
          <w:szCs w:val="16"/>
          <w:color w:val="auto"/>
        </w:rPr>
        <w:t>. We offer a broad range of integrated data storage products that operate across all major technologies. Our storage products include:</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hard disk drive controllers, solid-state drive controllers, and integrated SoCs for storage markets.</w:t>
      </w:r>
    </w:p>
    <w:p>
      <w:pPr>
        <w:spacing w:after="0" w:line="211" w:lineRule="exact"/>
        <w:rPr>
          <w:sz w:val="20"/>
          <w:szCs w:val="20"/>
          <w:color w:val="auto"/>
        </w:rPr>
      </w:pPr>
    </w:p>
    <w:p>
      <w:pPr>
        <w:ind w:right="20" w:firstLine="456"/>
        <w:spacing w:after="0" w:line="264" w:lineRule="auto"/>
        <w:rPr>
          <w:sz w:val="20"/>
          <w:szCs w:val="20"/>
          <w:color w:val="auto"/>
        </w:rPr>
      </w:pPr>
      <w:r>
        <w:rPr>
          <w:rFonts w:ascii="Arial" w:cs="Arial" w:eastAsia="Arial" w:hAnsi="Arial"/>
          <w:sz w:val="18"/>
          <w:szCs w:val="18"/>
          <w:b w:val="1"/>
          <w:bCs w:val="1"/>
          <w:i w:val="1"/>
          <w:iCs w:val="1"/>
          <w:color w:val="auto"/>
        </w:rPr>
        <w:t>Networking Products</w:t>
      </w:r>
      <w:r>
        <w:rPr>
          <w:rFonts w:ascii="Arial" w:cs="Arial" w:eastAsia="Arial" w:hAnsi="Arial"/>
          <w:sz w:val="18"/>
          <w:szCs w:val="18"/>
          <w:color w:val="auto"/>
        </w:rPr>
        <w:t>. We offer several families of products supporting the build-out of new network architectures for residential, enterprise and</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service provider networks. These products include Ethernet solutions, embedded communication processors, network processors and a variety of platform and SoC solutions, as well as switches, transceivers and other connectivity products.</w:t>
      </w:r>
    </w:p>
    <w:p>
      <w:pPr>
        <w:sectPr>
          <w:pgSz w:w="11900" w:h="16838" w:orient="portrait"/>
          <w:cols w:equalWidth="0" w:num="1">
            <w:col w:w="11420"/>
          </w:cols>
          <w:pgMar w:left="240" w:top="125" w:right="239" w:bottom="1440" w:gutter="0" w:footer="0" w:header="0"/>
        </w:sectPr>
      </w:pPr>
    </w:p>
    <w:bookmarkStart w:id="5" w:name="page6"/>
    <w:bookmarkEnd w:id="5"/>
    <w:p>
      <w:pPr>
        <w:ind w:firstLine="456"/>
        <w:spacing w:after="0" w:line="257" w:lineRule="auto"/>
        <w:rPr>
          <w:sz w:val="20"/>
          <w:szCs w:val="20"/>
          <w:color w:val="auto"/>
        </w:rPr>
      </w:pPr>
      <w:r>
        <w:rPr>
          <w:rFonts w:ascii="Arial" w:cs="Arial" w:eastAsia="Arial" w:hAnsi="Arial"/>
          <w:sz w:val="18"/>
          <w:szCs w:val="18"/>
          <w:b w:val="1"/>
          <w:bCs w:val="1"/>
          <w:i w:val="1"/>
          <w:i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Other Products</w:t>
      </w:r>
      <w:r>
        <w:rPr>
          <w:rFonts w:ascii="Arial" w:cs="Arial" w:eastAsia="Arial" w:hAnsi="Arial"/>
          <w:sz w:val="18"/>
          <w:szCs w:val="18"/>
          <w:color w:val="auto"/>
        </w:rPr>
        <w:t>. We also offer cloud services products for the cloud services and infrastructure end market and a range of silicon and software solutions</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for the Internet of Things (IoT) end market, including our Kinoma hardware products and other products designed to enable the next generation of connected consumer platforms. Due to the fact that (i) the Company began selling our Kinoma hardware products commercially during calendar year 2015, and (ii) the manufacturing of such products was completed during calendar year 2015, this Report is the Company’s first Conflict Minerals Report that includes our Kinoma hardware products.</w:t>
      </w:r>
    </w:p>
    <w:p>
      <w:pPr>
        <w:spacing w:after="0" w:line="188" w:lineRule="exact"/>
        <w:rPr>
          <w:sz w:val="20"/>
          <w:szCs w:val="20"/>
          <w:color w:val="auto"/>
        </w:rPr>
      </w:pPr>
    </w:p>
    <w:p>
      <w:pPr>
        <w:ind w:right="80" w:firstLine="456"/>
        <w:spacing w:after="0" w:line="257" w:lineRule="auto"/>
        <w:rPr>
          <w:sz w:val="20"/>
          <w:szCs w:val="20"/>
          <w:color w:val="auto"/>
        </w:rPr>
      </w:pPr>
      <w:r>
        <w:rPr>
          <w:rFonts w:ascii="Arial" w:cs="Arial" w:eastAsia="Arial" w:hAnsi="Arial"/>
          <w:sz w:val="18"/>
          <w:szCs w:val="18"/>
          <w:b w:val="1"/>
          <w:bCs w:val="1"/>
          <w:i w:val="1"/>
          <w:iCs w:val="1"/>
          <w:color w:val="auto"/>
        </w:rPr>
        <w:t>Products Covered by this Report</w:t>
      </w:r>
      <w:r>
        <w:rPr>
          <w:rFonts w:ascii="Arial" w:cs="Arial" w:eastAsia="Arial" w:hAnsi="Arial"/>
          <w:sz w:val="18"/>
          <w:szCs w:val="18"/>
          <w:color w:val="auto"/>
        </w:rPr>
        <w:t>. All of the products contracted by the Company to be manufactured for which manufacturing was completed during</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calendar year 2015 consisted of integrated circuits or products incorporating integrated circuits and contained small amounts of gold, tantalum, tin and tungsten. These Conflict Minerals are necessary to the functionality or production of each of our integrated circuit products and components. For purposes of this Report, therefore, “products” refers to the products in the product categories listed above for which the manufacturing was completed during calendar year 2015, and “suppliers” refers to our product suppliers.</w:t>
      </w:r>
    </w:p>
    <w:p>
      <w:pPr>
        <w:spacing w:after="0" w:line="292" w:lineRule="exact"/>
        <w:rPr>
          <w:sz w:val="20"/>
          <w:szCs w:val="20"/>
          <w:color w:val="auto"/>
        </w:rPr>
      </w:pPr>
    </w:p>
    <w:p>
      <w:pPr>
        <w:ind w:left="460"/>
        <w:spacing w:after="0"/>
        <w:tabs>
          <w:tab w:leader="none" w:pos="800" w:val="left"/>
        </w:tabs>
        <w:rPr>
          <w:sz w:val="20"/>
          <w:szCs w:val="20"/>
          <w:color w:val="auto"/>
        </w:rPr>
      </w:pPr>
      <w:r>
        <w:rPr>
          <w:rFonts w:ascii="Arial" w:cs="Arial" w:eastAsia="Arial" w:hAnsi="Arial"/>
          <w:sz w:val="18"/>
          <w:szCs w:val="18"/>
          <w:b w:val="1"/>
          <w:bCs w:val="1"/>
          <w:color w:val="auto"/>
        </w:rPr>
        <w:t>II.</w:t>
      </w:r>
      <w:r>
        <w:rPr>
          <w:sz w:val="20"/>
          <w:szCs w:val="20"/>
          <w:color w:val="auto"/>
        </w:rPr>
        <w:tab/>
      </w:r>
      <w:r>
        <w:rPr>
          <w:rFonts w:ascii="Arial" w:cs="Arial" w:eastAsia="Arial" w:hAnsi="Arial"/>
          <w:sz w:val="16"/>
          <w:szCs w:val="16"/>
          <w:b w:val="1"/>
          <w:bCs w:val="1"/>
          <w:color w:val="auto"/>
        </w:rPr>
        <w:t>Manufacturing and Supply Chain</w:t>
      </w:r>
    </w:p>
    <w:p>
      <w:pPr>
        <w:spacing w:after="0" w:line="121" w:lineRule="exact"/>
        <w:rPr>
          <w:sz w:val="20"/>
          <w:szCs w:val="20"/>
          <w:color w:val="auto"/>
        </w:rPr>
      </w:pPr>
    </w:p>
    <w:p>
      <w:pPr>
        <w:ind w:right="680" w:firstLine="456"/>
        <w:spacing w:after="0" w:line="264" w:lineRule="auto"/>
        <w:rPr>
          <w:sz w:val="20"/>
          <w:szCs w:val="20"/>
          <w:color w:val="auto"/>
        </w:rPr>
      </w:pPr>
      <w:r>
        <w:rPr>
          <w:rFonts w:ascii="Arial" w:cs="Arial" w:eastAsia="Arial" w:hAnsi="Arial"/>
          <w:sz w:val="18"/>
          <w:szCs w:val="18"/>
          <w:color w:val="auto"/>
        </w:rPr>
        <w:t>We employ a “fabless” model for the manufacture, assembly and testing of our integrated circuits. We do not own or operate foundries or manufacturing facilities. We outsource our integrated circuit manufacturing to third-party foundries, primarily in Asia. We also outsource all product assembly, packaging and testing of our products to several assembly and test subcontractors in Asia.</w:t>
      </w:r>
    </w:p>
    <w:p>
      <w:pPr>
        <w:spacing w:after="0" w:line="181" w:lineRule="exact"/>
        <w:rPr>
          <w:sz w:val="20"/>
          <w:szCs w:val="20"/>
          <w:color w:val="auto"/>
        </w:rPr>
      </w:pPr>
    </w:p>
    <w:p>
      <w:pPr>
        <w:ind w:right="40" w:firstLine="456"/>
        <w:spacing w:after="0" w:line="255" w:lineRule="auto"/>
        <w:rPr>
          <w:sz w:val="20"/>
          <w:szCs w:val="20"/>
          <w:color w:val="auto"/>
        </w:rPr>
      </w:pPr>
      <w:r>
        <w:rPr>
          <w:rFonts w:ascii="Arial" w:cs="Arial" w:eastAsia="Arial" w:hAnsi="Arial"/>
          <w:sz w:val="18"/>
          <w:szCs w:val="18"/>
          <w:color w:val="auto"/>
        </w:rPr>
        <w:t>As a result of our fabless model, we are a downstream actor in a complex supply chain. Our semiconductor products typically contain many parts and components obtained from a global network of direct suppliers. Furthermore, we often do not have meaningful leverage over upstream actors in the supply chain, as there are multiple tiers of suppliers between us and the ultimate sources of the raw materials used in the manufacture of our integrated circuit products and our other products that incorporate integrated circuits. Raw materials purchased by our direct and indirect suppliers contain gold, tantalum, tin and tungsten obtained from smelters and refiners that, in turn, source those minerals from traders and mines in various countries. Because we do not purchase materials directly from any of these processing facilities, we have relied on our direct suppliers, and on information available from industry sources, for purposes of this Report.</w:t>
      </w:r>
    </w:p>
    <w:p>
      <w:pPr>
        <w:spacing w:after="0" w:line="293" w:lineRule="exact"/>
        <w:rPr>
          <w:sz w:val="20"/>
          <w:szCs w:val="20"/>
          <w:color w:val="auto"/>
        </w:rPr>
      </w:pPr>
    </w:p>
    <w:p>
      <w:pPr>
        <w:ind w:left="460"/>
        <w:spacing w:after="0"/>
        <w:tabs>
          <w:tab w:leader="none" w:pos="880" w:val="left"/>
        </w:tabs>
        <w:rPr>
          <w:sz w:val="20"/>
          <w:szCs w:val="20"/>
          <w:color w:val="auto"/>
        </w:rPr>
      </w:pPr>
      <w:r>
        <w:rPr>
          <w:rFonts w:ascii="Arial" w:cs="Arial" w:eastAsia="Arial" w:hAnsi="Arial"/>
          <w:sz w:val="18"/>
          <w:szCs w:val="18"/>
          <w:b w:val="1"/>
          <w:bCs w:val="1"/>
          <w:color w:val="auto"/>
        </w:rPr>
        <w:t>III.</w:t>
      </w:r>
      <w:r>
        <w:rPr>
          <w:sz w:val="20"/>
          <w:szCs w:val="20"/>
          <w:color w:val="auto"/>
        </w:rPr>
        <w:tab/>
      </w:r>
      <w:r>
        <w:rPr>
          <w:rFonts w:ascii="Arial" w:cs="Arial" w:eastAsia="Arial" w:hAnsi="Arial"/>
          <w:sz w:val="16"/>
          <w:szCs w:val="16"/>
          <w:b w:val="1"/>
          <w:bCs w:val="1"/>
          <w:color w:val="auto"/>
        </w:rPr>
        <w:t>Reasonable Country of Origin Inquiry</w:t>
      </w:r>
    </w:p>
    <w:p>
      <w:pPr>
        <w:spacing w:after="0" w:line="121" w:lineRule="exact"/>
        <w:rPr>
          <w:sz w:val="20"/>
          <w:szCs w:val="20"/>
          <w:color w:val="auto"/>
        </w:rPr>
      </w:pPr>
    </w:p>
    <w:p>
      <w:pPr>
        <w:jc w:val="both"/>
        <w:ind w:right="500" w:firstLine="456"/>
        <w:spacing w:after="0" w:line="312" w:lineRule="auto"/>
        <w:rPr>
          <w:sz w:val="20"/>
          <w:szCs w:val="20"/>
          <w:color w:val="auto"/>
        </w:rPr>
      </w:pPr>
      <w:r>
        <w:rPr>
          <w:rFonts w:ascii="Arial" w:cs="Arial" w:eastAsia="Arial" w:hAnsi="Arial"/>
          <w:sz w:val="16"/>
          <w:szCs w:val="16"/>
          <w:color w:val="auto"/>
        </w:rPr>
        <w:t>We requested that our direct suppliers complete in full the Electronics Industry Citizenship Coalition (“EICC”)–Global e-Sustainability Initiative (“GeSI”) Conflict Minerals Reporting Template (the “CMRT”). The CMRT is designed to request from suppliers sufficient information regarding such suppliers’ practices with respect to the sourcing of Conflict Minerals to enable Marvell to comply with its requirements under the Rule.</w:t>
      </w:r>
    </w:p>
    <w:p>
      <w:pPr>
        <w:spacing w:after="0" w:line="147" w:lineRule="exact"/>
        <w:rPr>
          <w:sz w:val="20"/>
          <w:szCs w:val="20"/>
          <w:color w:val="auto"/>
        </w:rPr>
      </w:pPr>
    </w:p>
    <w:p>
      <w:pPr>
        <w:ind w:firstLine="456"/>
        <w:spacing w:after="0" w:line="264" w:lineRule="auto"/>
        <w:rPr>
          <w:sz w:val="20"/>
          <w:szCs w:val="20"/>
          <w:color w:val="auto"/>
        </w:rPr>
      </w:pPr>
      <w:r>
        <w:rPr>
          <w:rFonts w:ascii="Arial" w:cs="Arial" w:eastAsia="Arial" w:hAnsi="Arial"/>
          <w:sz w:val="18"/>
          <w:szCs w:val="18"/>
          <w:color w:val="auto"/>
        </w:rPr>
        <w:t>Based on the results of our reasonable country of origin inquiry (“RCOI”), we have reason to believe that some of the Conflict Minerals present in our products may have originated in the Covered Countries. We are therefore required by the Rule to file with the SEC a Form SD and a Conflict Minerals Report as an exhibit thereto.</w:t>
      </w:r>
    </w:p>
    <w:p>
      <w:pPr>
        <w:spacing w:after="0" w:line="285" w:lineRule="exact"/>
        <w:rPr>
          <w:sz w:val="20"/>
          <w:szCs w:val="20"/>
          <w:color w:val="auto"/>
        </w:rPr>
      </w:pPr>
    </w:p>
    <w:p>
      <w:pPr>
        <w:ind w:left="460"/>
        <w:spacing w:after="0"/>
        <w:tabs>
          <w:tab w:leader="none" w:pos="840" w:val="left"/>
        </w:tabs>
        <w:rPr>
          <w:sz w:val="20"/>
          <w:szCs w:val="20"/>
          <w:color w:val="auto"/>
        </w:rPr>
      </w:pPr>
      <w:r>
        <w:rPr>
          <w:rFonts w:ascii="Arial" w:cs="Arial" w:eastAsia="Arial" w:hAnsi="Arial"/>
          <w:sz w:val="18"/>
          <w:szCs w:val="18"/>
          <w:b w:val="1"/>
          <w:bCs w:val="1"/>
          <w:color w:val="auto"/>
        </w:rPr>
        <w:t>IV.</w:t>
      </w:r>
      <w:r>
        <w:rPr>
          <w:sz w:val="20"/>
          <w:szCs w:val="20"/>
          <w:color w:val="auto"/>
        </w:rPr>
        <w:tab/>
      </w:r>
      <w:r>
        <w:rPr>
          <w:rFonts w:ascii="Arial" w:cs="Arial" w:eastAsia="Arial" w:hAnsi="Arial"/>
          <w:sz w:val="16"/>
          <w:szCs w:val="16"/>
          <w:b w:val="1"/>
          <w:bCs w:val="1"/>
          <w:color w:val="auto"/>
        </w:rPr>
        <w:t>Due Diligence Design</w:t>
      </w:r>
    </w:p>
    <w:p>
      <w:pPr>
        <w:spacing w:after="0" w:line="121" w:lineRule="exact"/>
        <w:rPr>
          <w:sz w:val="20"/>
          <w:szCs w:val="20"/>
          <w:color w:val="auto"/>
        </w:rPr>
      </w:pPr>
    </w:p>
    <w:p>
      <w:pPr>
        <w:ind w:right="40" w:firstLine="456"/>
        <w:spacing w:after="0" w:line="291" w:lineRule="auto"/>
        <w:rPr>
          <w:sz w:val="20"/>
          <w:szCs w:val="20"/>
          <w:color w:val="auto"/>
        </w:rPr>
      </w:pPr>
      <w:r>
        <w:rPr>
          <w:rFonts w:ascii="Arial" w:cs="Arial" w:eastAsia="Arial" w:hAnsi="Arial"/>
          <w:sz w:val="16"/>
          <w:szCs w:val="16"/>
          <w:color w:val="auto"/>
        </w:rPr>
        <w:t xml:space="preserve">On the basis of the information obtained as a result of our RCOI, we conducted a broader due diligence investigation regarding the source and chain of custody of the Conflict Minerals contained in our products. There is significant overlap between our RCOI and due diligence processes, and the due diligence measures that we put in place are an extension of the CMRT-based RCOI process. These due diligence measures have been designed to conform, in all material respects, with the framework specified in the </w:t>
      </w:r>
      <w:r>
        <w:rPr>
          <w:rFonts w:ascii="Arial" w:cs="Arial" w:eastAsia="Arial" w:hAnsi="Arial"/>
          <w:sz w:val="16"/>
          <w:szCs w:val="16"/>
          <w:i w:val="1"/>
          <w:iCs w:val="1"/>
          <w:color w:val="auto"/>
        </w:rPr>
        <w:t>Organization for Economic Co-operation and Development Due Diligence Guidance for Responsible</w:t>
      </w:r>
      <w:r>
        <w:rPr>
          <w:rFonts w:ascii="Arial" w:cs="Arial" w:eastAsia="Arial" w:hAnsi="Arial"/>
          <w:sz w:val="16"/>
          <w:szCs w:val="16"/>
          <w:color w:val="auto"/>
        </w:rPr>
        <w:t xml:space="preserve"> </w:t>
      </w:r>
      <w:r>
        <w:rPr>
          <w:rFonts w:ascii="Arial" w:cs="Arial" w:eastAsia="Arial" w:hAnsi="Arial"/>
          <w:sz w:val="16"/>
          <w:szCs w:val="16"/>
          <w:i w:val="1"/>
          <w:iCs w:val="1"/>
          <w:color w:val="auto"/>
        </w:rPr>
        <w:t>Supply Chains of Minerals from Conflict-Affected and High Risk Areas, Second Edition</w:t>
      </w:r>
      <w:r>
        <w:rPr>
          <w:rFonts w:ascii="Arial" w:cs="Arial" w:eastAsia="Arial" w:hAnsi="Arial"/>
          <w:sz w:val="16"/>
          <w:szCs w:val="16"/>
          <w:color w:val="auto"/>
        </w:rPr>
        <w:t>, including the related supplements on gold, tin, tantalum and tungsten</w:t>
      </w:r>
      <w:r>
        <w:rPr>
          <w:rFonts w:ascii="Arial" w:cs="Arial" w:eastAsia="Arial" w:hAnsi="Arial"/>
          <w:sz w:val="16"/>
          <w:szCs w:val="16"/>
          <w:i w:val="1"/>
          <w:iCs w:val="1"/>
          <w:color w:val="auto"/>
        </w:rPr>
        <w:t xml:space="preserve"> </w:t>
      </w:r>
      <w:r>
        <w:rPr>
          <w:rFonts w:ascii="Arial" w:cs="Arial" w:eastAsia="Arial" w:hAnsi="Arial"/>
          <w:sz w:val="16"/>
          <w:szCs w:val="16"/>
          <w:color w:val="auto"/>
        </w:rPr>
        <w:t>(the “OECD Guidance”), specifically as the OECD Guidance pertains to downstream purchasers in the minerals supply chain. The OECD Guidance specifies a five-step framework for risk-based due diligence for responsible supply chains of minerals sourced from conflict-affected and high-risk areas.</w:t>
      </w:r>
    </w:p>
    <w:p>
      <w:pPr>
        <w:spacing w:after="0" w:line="10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400"/>
          </w:cols>
          <w:pgMar w:left="240" w:top="274" w:right="259" w:bottom="1440" w:gutter="0" w:footer="0" w:header="0"/>
        </w:sectPr>
      </w:pPr>
    </w:p>
    <w:bookmarkStart w:id="6" w:name="page7"/>
    <w:bookmarkEnd w:id="6"/>
    <w:p>
      <w:pPr>
        <w:ind w:left="2"/>
        <w:spacing w:after="0"/>
        <w:tabs>
          <w:tab w:leader="none" w:pos="321"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V.</w:t>
      </w:r>
      <w:r>
        <w:rPr>
          <w:sz w:val="20"/>
          <w:szCs w:val="20"/>
          <w:color w:val="auto"/>
        </w:rPr>
        <w:tab/>
      </w:r>
      <w:r>
        <w:rPr>
          <w:rFonts w:ascii="Arial" w:cs="Arial" w:eastAsia="Arial" w:hAnsi="Arial"/>
          <w:sz w:val="16"/>
          <w:szCs w:val="16"/>
          <w:b w:val="1"/>
          <w:bCs w:val="1"/>
          <w:color w:val="auto"/>
        </w:rPr>
        <w:t>Due Diligence Performed</w:t>
      </w:r>
    </w:p>
    <w:p>
      <w:pPr>
        <w:spacing w:after="0" w:line="121" w:lineRule="exact"/>
        <w:rPr>
          <w:sz w:val="20"/>
          <w:szCs w:val="20"/>
          <w:color w:val="auto"/>
        </w:rPr>
      </w:pPr>
    </w:p>
    <w:p>
      <w:pPr>
        <w:ind w:left="2"/>
        <w:spacing w:after="0"/>
        <w:rPr>
          <w:sz w:val="20"/>
          <w:szCs w:val="20"/>
          <w:color w:val="auto"/>
        </w:rPr>
      </w:pPr>
      <w:r>
        <w:rPr>
          <w:rFonts w:ascii="Arial" w:cs="Arial" w:eastAsia="Arial" w:hAnsi="Arial"/>
          <w:sz w:val="18"/>
          <w:szCs w:val="18"/>
          <w:b w:val="1"/>
          <w:bCs w:val="1"/>
          <w:i w:val="1"/>
          <w:iCs w:val="1"/>
          <w:color w:val="auto"/>
        </w:rPr>
        <w:t>Step 1: Establish Strong Company Management Systems.</w:t>
      </w:r>
    </w:p>
    <w:p>
      <w:pPr>
        <w:spacing w:after="0" w:line="131" w:lineRule="exact"/>
        <w:rPr>
          <w:sz w:val="20"/>
          <w:szCs w:val="20"/>
          <w:color w:val="auto"/>
        </w:rPr>
      </w:pPr>
    </w:p>
    <w:p>
      <w:pPr>
        <w:ind w:left="442" w:right="80" w:hanging="325"/>
        <w:spacing w:after="0" w:line="259" w:lineRule="auto"/>
        <w:tabs>
          <w:tab w:leader="none" w:pos="442" w:val="left"/>
        </w:tabs>
        <w:numPr>
          <w:ilvl w:val="0"/>
          <w:numId w:val="2"/>
        </w:numPr>
        <w:rPr>
          <w:rFonts w:ascii="Arial" w:cs="Arial" w:eastAsia="Arial" w:hAnsi="Arial"/>
          <w:sz w:val="18"/>
          <w:szCs w:val="18"/>
          <w:color w:val="auto"/>
        </w:rPr>
      </w:pPr>
      <w:r>
        <w:rPr>
          <w:rFonts w:ascii="Arial" w:cs="Arial" w:eastAsia="Arial" w:hAnsi="Arial"/>
          <w:sz w:val="18"/>
          <w:szCs w:val="18"/>
          <w:color w:val="auto"/>
        </w:rPr>
        <w:t>Marvell maintains a Policy Statement on Conflict Minerals (the “Conflict Minerals Policy”), which provides that Marvell does not support the use of Conflict Minerals that are mined, transported or traded to fund human rights violations, social unrest, political repression or conflict or the use of metal derived from such Conflict Minerals. The Conflict Minerals Policy has been posted on our website at www.marvell.com under the heading “Investor Relations - Corporate Governance and Social Responsibility.”</w:t>
      </w:r>
    </w:p>
    <w:p>
      <w:pPr>
        <w:spacing w:after="0" w:line="92" w:lineRule="exact"/>
        <w:rPr>
          <w:rFonts w:ascii="Arial" w:cs="Arial" w:eastAsia="Arial" w:hAnsi="Arial"/>
          <w:sz w:val="18"/>
          <w:szCs w:val="18"/>
          <w:color w:val="auto"/>
        </w:rPr>
      </w:pPr>
    </w:p>
    <w:p>
      <w:pPr>
        <w:ind w:left="442" w:right="120" w:hanging="325"/>
        <w:spacing w:after="0" w:line="286" w:lineRule="auto"/>
        <w:tabs>
          <w:tab w:leader="none" w:pos="442" w:val="left"/>
        </w:tabs>
        <w:numPr>
          <w:ilvl w:val="0"/>
          <w:numId w:val="2"/>
        </w:numPr>
        <w:rPr>
          <w:rFonts w:ascii="Arial" w:cs="Arial" w:eastAsia="Arial" w:hAnsi="Arial"/>
          <w:sz w:val="17"/>
          <w:szCs w:val="17"/>
          <w:color w:val="auto"/>
        </w:rPr>
      </w:pPr>
      <w:r>
        <w:rPr>
          <w:rFonts w:ascii="Arial" w:cs="Arial" w:eastAsia="Arial" w:hAnsi="Arial"/>
          <w:sz w:val="17"/>
          <w:szCs w:val="17"/>
          <w:color w:val="auto"/>
        </w:rPr>
        <w:t>Marvell also maintains a Supplier Code of Conduct that, among other things, requires our suppliers to comply with the Conflict Minerals Policy, as well as with the Marvell Code of Ethics and the EICC Code of Conduct. The Supplier Code of Conduct is also posted on our website at www.marvell.com under the heading “Investor Relations - Corporate Governance and Social Responsibility.”</w:t>
      </w:r>
    </w:p>
    <w:p>
      <w:pPr>
        <w:spacing w:after="0" w:line="70" w:lineRule="exact"/>
        <w:rPr>
          <w:rFonts w:ascii="Arial" w:cs="Arial" w:eastAsia="Arial" w:hAnsi="Arial"/>
          <w:sz w:val="17"/>
          <w:szCs w:val="17"/>
          <w:color w:val="auto"/>
        </w:rPr>
      </w:pPr>
    </w:p>
    <w:p>
      <w:pPr>
        <w:ind w:left="442" w:right="20" w:hanging="325"/>
        <w:spacing w:after="0" w:line="272" w:lineRule="auto"/>
        <w:tabs>
          <w:tab w:leader="none" w:pos="442" w:val="left"/>
        </w:tabs>
        <w:numPr>
          <w:ilvl w:val="0"/>
          <w:numId w:val="2"/>
        </w:numPr>
        <w:rPr>
          <w:rFonts w:ascii="Arial" w:cs="Arial" w:eastAsia="Arial" w:hAnsi="Arial"/>
          <w:sz w:val="17"/>
          <w:szCs w:val="17"/>
          <w:color w:val="auto"/>
        </w:rPr>
      </w:pPr>
      <w:r>
        <w:rPr>
          <w:rFonts w:ascii="Arial" w:cs="Arial" w:eastAsia="Arial" w:hAnsi="Arial"/>
          <w:sz w:val="17"/>
          <w:szCs w:val="17"/>
          <w:color w:val="auto"/>
        </w:rPr>
        <w:t>The implementation of Marvell’s RCOI and the conducting of due diligence on the source and chain of custody of Marvell’s necessary Conflict Minerals are managed by a cross-functional Conflict Minerals Working Group under the direction of the Corporate Social Responsibility section of our Legal Department and with oversight by our Corporate Social Responsibility Committee (the “ CSR Committee”). The Conflict Minerals Working Group, comprised of subject matter experts from the Quality Systems group within our Operations organization and from our Legal Department, reports its activities to the CSR Committee at each of its meetings, and a representative of the CSR Committee reports at least once a year to the Audit Committee of our Board of Directors. The CSR Committee includes representatives from our Finance, Human Resources, Internal Audit, Legal, Operations and Sales Departments.</w:t>
      </w:r>
    </w:p>
    <w:p>
      <w:pPr>
        <w:spacing w:after="0" w:line="83" w:lineRule="exact"/>
        <w:rPr>
          <w:rFonts w:ascii="Arial" w:cs="Arial" w:eastAsia="Arial" w:hAnsi="Arial"/>
          <w:sz w:val="17"/>
          <w:szCs w:val="17"/>
          <w:color w:val="auto"/>
        </w:rPr>
      </w:pPr>
    </w:p>
    <w:p>
      <w:pPr>
        <w:ind w:left="442" w:hanging="325"/>
        <w:spacing w:after="0" w:line="297" w:lineRule="auto"/>
        <w:tabs>
          <w:tab w:leader="none" w:pos="442" w:val="left"/>
        </w:tabs>
        <w:numPr>
          <w:ilvl w:val="0"/>
          <w:numId w:val="2"/>
        </w:numPr>
        <w:rPr>
          <w:rFonts w:ascii="Arial" w:cs="Arial" w:eastAsia="Arial" w:hAnsi="Arial"/>
          <w:sz w:val="16"/>
          <w:szCs w:val="16"/>
          <w:color w:val="auto"/>
        </w:rPr>
      </w:pPr>
      <w:r>
        <w:rPr>
          <w:rFonts w:ascii="Arial" w:cs="Arial" w:eastAsia="Arial" w:hAnsi="Arial"/>
          <w:sz w:val="16"/>
          <w:szCs w:val="16"/>
          <w:color w:val="auto"/>
        </w:rPr>
        <w:t>We used a multi-layer approach to convey our supplier responsibility expectations to our direct suppliers. All of our direct suppliers have been provided with our Conflict Minerals Policy, Supplier Code of Conduct and Product and Manufacturing Specifications, and these documents are provided to new suppliers as part of our Conflict Minerals due diligence process. Marvell’s Product and Manufacturing Specifications contain provisions requiring that suppliers (i) comply with the Conflict Minerals Policy and the Supplier Code of Conduct and (ii) cooperate with Marvell in providing the information required by the CMRT, and also stipulate the consequences of breaching such provisions.</w:t>
      </w:r>
    </w:p>
    <w:p>
      <w:pPr>
        <w:spacing w:after="0" w:line="63" w:lineRule="exact"/>
        <w:rPr>
          <w:rFonts w:ascii="Arial" w:cs="Arial" w:eastAsia="Arial" w:hAnsi="Arial"/>
          <w:sz w:val="16"/>
          <w:szCs w:val="16"/>
          <w:color w:val="auto"/>
        </w:rPr>
      </w:pPr>
    </w:p>
    <w:p>
      <w:pPr>
        <w:ind w:left="442" w:right="240" w:hanging="325"/>
        <w:spacing w:after="0" w:line="277" w:lineRule="auto"/>
        <w:tabs>
          <w:tab w:leader="none" w:pos="442" w:val="left"/>
        </w:tabs>
        <w:numPr>
          <w:ilvl w:val="0"/>
          <w:numId w:val="2"/>
        </w:numPr>
        <w:rPr>
          <w:rFonts w:ascii="Arial" w:cs="Arial" w:eastAsia="Arial" w:hAnsi="Arial"/>
          <w:sz w:val="18"/>
          <w:szCs w:val="18"/>
          <w:color w:val="auto"/>
        </w:rPr>
      </w:pPr>
      <w:r>
        <w:rPr>
          <w:rFonts w:ascii="Arial" w:cs="Arial" w:eastAsia="Arial" w:hAnsi="Arial"/>
          <w:sz w:val="18"/>
          <w:szCs w:val="18"/>
          <w:color w:val="auto"/>
        </w:rPr>
        <w:t>We maintain a data retention policy to retain material conflict-minerals related records electronically for a period of at least five (5) years from the date of creation.</w:t>
      </w:r>
    </w:p>
    <w:p>
      <w:pPr>
        <w:spacing w:after="0" w:line="75" w:lineRule="exact"/>
        <w:rPr>
          <w:rFonts w:ascii="Arial" w:cs="Arial" w:eastAsia="Arial" w:hAnsi="Arial"/>
          <w:sz w:val="18"/>
          <w:szCs w:val="18"/>
          <w:color w:val="auto"/>
        </w:rPr>
      </w:pPr>
    </w:p>
    <w:p>
      <w:pPr>
        <w:ind w:left="442" w:right="200" w:hanging="325"/>
        <w:spacing w:after="0" w:line="286" w:lineRule="auto"/>
        <w:tabs>
          <w:tab w:leader="none" w:pos="442" w:val="left"/>
        </w:tabs>
        <w:numPr>
          <w:ilvl w:val="0"/>
          <w:numId w:val="2"/>
        </w:numPr>
        <w:rPr>
          <w:rFonts w:ascii="Arial" w:cs="Arial" w:eastAsia="Arial" w:hAnsi="Arial"/>
          <w:sz w:val="17"/>
          <w:szCs w:val="17"/>
          <w:color w:val="auto"/>
        </w:rPr>
      </w:pPr>
      <w:r>
        <w:rPr>
          <w:rFonts w:ascii="Arial" w:cs="Arial" w:eastAsia="Arial" w:hAnsi="Arial"/>
          <w:sz w:val="17"/>
          <w:szCs w:val="17"/>
          <w:color w:val="auto"/>
        </w:rPr>
        <w:t>We maintain our Marvell Concern Line, managed by an independent firm, which is available to our employees and the general public to enable them to anonymously ask questions regarding compliance and ethical issues and to report illegal and unethical activities, including general inquiries and grievances. Access to the Marvell Concern Line has been specifically extended to our direct suppliers.</w:t>
      </w:r>
    </w:p>
    <w:p>
      <w:pPr>
        <w:spacing w:after="0" w:line="274" w:lineRule="exact"/>
        <w:rPr>
          <w:sz w:val="20"/>
          <w:szCs w:val="20"/>
          <w:color w:val="auto"/>
        </w:rPr>
      </w:pPr>
    </w:p>
    <w:p>
      <w:pPr>
        <w:ind w:left="2"/>
        <w:spacing w:after="0"/>
        <w:rPr>
          <w:sz w:val="20"/>
          <w:szCs w:val="20"/>
          <w:color w:val="auto"/>
        </w:rPr>
      </w:pPr>
      <w:r>
        <w:rPr>
          <w:rFonts w:ascii="Arial" w:cs="Arial" w:eastAsia="Arial" w:hAnsi="Arial"/>
          <w:sz w:val="18"/>
          <w:szCs w:val="18"/>
          <w:b w:val="1"/>
          <w:bCs w:val="1"/>
          <w:i w:val="1"/>
          <w:iCs w:val="1"/>
          <w:color w:val="auto"/>
        </w:rPr>
        <w:t>Step 2: Identify and Assess Risk in the Supply Chain.</w:t>
      </w:r>
    </w:p>
    <w:p>
      <w:pPr>
        <w:spacing w:after="0" w:line="131" w:lineRule="exact"/>
        <w:rPr>
          <w:sz w:val="20"/>
          <w:szCs w:val="20"/>
          <w:color w:val="auto"/>
        </w:rPr>
      </w:pPr>
    </w:p>
    <w:p>
      <w:pPr>
        <w:ind w:left="442" w:right="300" w:hanging="325"/>
        <w:spacing w:after="0" w:line="277" w:lineRule="auto"/>
        <w:tabs>
          <w:tab w:leader="none" w:pos="442" w:val="left"/>
        </w:tabs>
        <w:numPr>
          <w:ilvl w:val="1"/>
          <w:numId w:val="3"/>
        </w:numPr>
        <w:rPr>
          <w:rFonts w:ascii="Arial" w:cs="Arial" w:eastAsia="Arial" w:hAnsi="Arial"/>
          <w:sz w:val="18"/>
          <w:szCs w:val="18"/>
          <w:color w:val="auto"/>
        </w:rPr>
      </w:pPr>
      <w:r>
        <w:rPr>
          <w:rFonts w:ascii="Arial" w:cs="Arial" w:eastAsia="Arial" w:hAnsi="Arial"/>
          <w:sz w:val="18"/>
          <w:szCs w:val="18"/>
          <w:color w:val="auto"/>
        </w:rPr>
        <w:t>We received completed CMRTs from 100% of our direct suppliers and used our suppliers’ completed CMRTs to identify smelters and refiners and determine mine and country of origin.</w:t>
      </w:r>
    </w:p>
    <w:p>
      <w:pPr>
        <w:spacing w:after="0" w:line="75" w:lineRule="exact"/>
        <w:rPr>
          <w:rFonts w:ascii="Arial" w:cs="Arial" w:eastAsia="Arial" w:hAnsi="Arial"/>
          <w:sz w:val="18"/>
          <w:szCs w:val="18"/>
          <w:color w:val="auto"/>
        </w:rPr>
      </w:pPr>
    </w:p>
    <w:p>
      <w:pPr>
        <w:ind w:left="282" w:hanging="282"/>
        <w:spacing w:after="0"/>
        <w:tabs>
          <w:tab w:leader="none" w:pos="282" w:val="left"/>
        </w:tabs>
        <w:numPr>
          <w:ilvl w:val="0"/>
          <w:numId w:val="3"/>
        </w:numPr>
        <w:rPr>
          <w:rFonts w:ascii="Arial" w:cs="Arial" w:eastAsia="Arial" w:hAnsi="Arial"/>
          <w:sz w:val="18"/>
          <w:szCs w:val="18"/>
          <w:color w:val="auto"/>
        </w:rPr>
      </w:pPr>
      <w:r>
        <w:rPr>
          <w:rFonts w:ascii="Arial" w:cs="Arial" w:eastAsia="Arial" w:hAnsi="Arial"/>
          <w:sz w:val="18"/>
          <w:szCs w:val="18"/>
          <w:color w:val="auto"/>
        </w:rPr>
        <w:t>We are a member of the EICC and the EICC and GeSI Conflict-Free Sourcing Initiative (“CFSI”) working groups. As 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6008370</wp:posOffset>
            </wp:positionH>
            <wp:positionV relativeFrom="paragraph">
              <wp:posOffset>-121920</wp:posOffset>
            </wp:positionV>
            <wp:extent cx="702945" cy="72898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02945" cy="728980"/>
                    </a:xfrm>
                    <a:prstGeom prst="rect">
                      <a:avLst/>
                    </a:prstGeom>
                    <a:noFill/>
                  </pic:spPr>
                </pic:pic>
              </a:graphicData>
            </a:graphic>
          </wp:anchor>
        </w:drawing>
      </w:r>
    </w:p>
    <w:p>
      <w:pPr>
        <w:spacing w:after="0" w:line="3" w:lineRule="exact"/>
        <w:rPr>
          <w:sz w:val="20"/>
          <w:szCs w:val="20"/>
          <w:color w:val="auto"/>
        </w:rPr>
      </w:pPr>
    </w:p>
    <w:p>
      <w:pPr>
        <w:ind w:left="302" w:right="1800"/>
        <w:spacing w:after="0" w:line="255" w:lineRule="auto"/>
        <w:rPr>
          <w:sz w:val="20"/>
          <w:szCs w:val="20"/>
          <w:color w:val="auto"/>
        </w:rPr>
      </w:pPr>
      <w:r>
        <w:rPr>
          <w:rFonts w:ascii="Arial" w:cs="Arial" w:eastAsia="Arial" w:hAnsi="Arial"/>
          <w:sz w:val="18"/>
          <w:szCs w:val="18"/>
          <w:color w:val="auto"/>
        </w:rPr>
        <w:t>member of the CFSI, a leading industry program that helps its members to manage risk by improving supply chain transparency with respect to Conflict Minerals, Marvell has access to CFSI RCOI data that aids us in determining the mine or location of origin of the Conflict Minerals in our supply chain.</w:t>
      </w:r>
    </w:p>
    <w:p>
      <w:pPr>
        <w:spacing w:after="0" w:line="200" w:lineRule="exact"/>
        <w:rPr>
          <w:sz w:val="20"/>
          <w:szCs w:val="20"/>
          <w:color w:val="auto"/>
        </w:rPr>
      </w:pPr>
    </w:p>
    <w:p>
      <w:pPr>
        <w:spacing w:after="0" w:line="260" w:lineRule="exact"/>
        <w:rPr>
          <w:sz w:val="20"/>
          <w:szCs w:val="20"/>
          <w:color w:val="auto"/>
        </w:rPr>
      </w:pPr>
    </w:p>
    <w:p>
      <w:pPr>
        <w:jc w:val="center"/>
        <w:ind w:right="458"/>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0962"/>
          </w:cols>
          <w:pgMar w:left="698" w:top="270" w:right="239" w:bottom="1440" w:gutter="0" w:footer="0" w:header="0"/>
        </w:sectPr>
      </w:pPr>
    </w:p>
    <w:bookmarkStart w:id="7" w:name="page8"/>
    <w:bookmarkEnd w:id="7"/>
    <w:p>
      <w:pPr>
        <w:ind w:left="900" w:right="180" w:hanging="325"/>
        <w:spacing w:after="0" w:line="279" w:lineRule="auto"/>
        <w:tabs>
          <w:tab w:leader="none" w:pos="900" w:val="left"/>
        </w:tabs>
        <w:numPr>
          <w:ilvl w:val="0"/>
          <w:numId w:val="4"/>
        </w:numPr>
        <w:rPr>
          <w:rFonts w:ascii="Arial" w:cs="Arial" w:eastAsia="Arial" w:hAnsi="Arial"/>
          <w:sz w:val="17"/>
          <w:szCs w:val="17"/>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We cross-checked information received from our suppliers against data made available by these industry organizations and against additional information obtained from our customers and our own research to determine whether such facilities are validated by the Conflict-Free Sourcing Program (the “CFSP”) developed by the CFSI. When necessary, we engaged with smelters and refiners that we identified as high-risk to encourage such facilities to obtain a “conflict-free” designation from an independent, third-party audit program.</w:t>
      </w:r>
    </w:p>
    <w:p>
      <w:pPr>
        <w:spacing w:after="0" w:line="280"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Step 3: Design and Implement a Strategy to Respond to Identified Risks.</w:t>
      </w:r>
    </w:p>
    <w:p>
      <w:pPr>
        <w:spacing w:after="0" w:line="131" w:lineRule="exact"/>
        <w:rPr>
          <w:sz w:val="20"/>
          <w:szCs w:val="20"/>
          <w:color w:val="auto"/>
        </w:rPr>
      </w:pPr>
    </w:p>
    <w:p>
      <w:pPr>
        <w:ind w:left="900" w:right="20" w:hanging="325"/>
        <w:spacing w:after="0" w:line="277" w:lineRule="auto"/>
        <w:tabs>
          <w:tab w:leader="none" w:pos="900" w:val="left"/>
        </w:tabs>
        <w:numPr>
          <w:ilvl w:val="0"/>
          <w:numId w:val="5"/>
        </w:numPr>
        <w:rPr>
          <w:rFonts w:ascii="Arial" w:cs="Arial" w:eastAsia="Arial" w:hAnsi="Arial"/>
          <w:sz w:val="18"/>
          <w:szCs w:val="18"/>
          <w:color w:val="auto"/>
        </w:rPr>
      </w:pPr>
      <w:r>
        <w:rPr>
          <w:rFonts w:ascii="Arial" w:cs="Arial" w:eastAsia="Arial" w:hAnsi="Arial"/>
          <w:sz w:val="18"/>
          <w:szCs w:val="18"/>
          <w:color w:val="auto"/>
        </w:rPr>
        <w:t>We have developed procedures for sending CMRTs to our suppliers on a bi-annual basis, reviewing their responses, consolidating the information in a central database and following up with the suppliers to address any incomplete or inconsistent responses.</w:t>
      </w:r>
    </w:p>
    <w:p>
      <w:pPr>
        <w:spacing w:after="0" w:line="75" w:lineRule="exact"/>
        <w:rPr>
          <w:rFonts w:ascii="Arial" w:cs="Arial" w:eastAsia="Arial" w:hAnsi="Arial"/>
          <w:sz w:val="18"/>
          <w:szCs w:val="18"/>
          <w:color w:val="auto"/>
        </w:rPr>
      </w:pPr>
    </w:p>
    <w:p>
      <w:pPr>
        <w:ind w:left="900" w:right="600" w:hanging="325"/>
        <w:spacing w:after="0" w:line="342" w:lineRule="auto"/>
        <w:tabs>
          <w:tab w:leader="none" w:pos="900" w:val="left"/>
        </w:tabs>
        <w:numPr>
          <w:ilvl w:val="0"/>
          <w:numId w:val="5"/>
        </w:numPr>
        <w:rPr>
          <w:rFonts w:ascii="Arial" w:cs="Arial" w:eastAsia="Arial" w:hAnsi="Arial"/>
          <w:sz w:val="16"/>
          <w:szCs w:val="16"/>
          <w:color w:val="auto"/>
        </w:rPr>
      </w:pPr>
      <w:r>
        <w:rPr>
          <w:rFonts w:ascii="Arial" w:cs="Arial" w:eastAsia="Arial" w:hAnsi="Arial"/>
          <w:sz w:val="16"/>
          <w:szCs w:val="16"/>
          <w:color w:val="auto"/>
        </w:rPr>
        <w:t>We surveyed our suppliers to gain further insights into their conflict minerals due diligence programs and processes, reviewing responses, assessing risk and following up with suppliers to address any inconsistencies, insufficient responses or insufficient documentation.</w:t>
      </w:r>
    </w:p>
    <w:p>
      <w:pPr>
        <w:spacing w:after="0" w:line="29" w:lineRule="exact"/>
        <w:rPr>
          <w:rFonts w:ascii="Arial" w:cs="Arial" w:eastAsia="Arial" w:hAnsi="Arial"/>
          <w:sz w:val="16"/>
          <w:szCs w:val="16"/>
          <w:color w:val="auto"/>
        </w:rPr>
      </w:pPr>
    </w:p>
    <w:p>
      <w:pPr>
        <w:ind w:left="900" w:right="180" w:hanging="325"/>
        <w:spacing w:after="0" w:line="277" w:lineRule="auto"/>
        <w:tabs>
          <w:tab w:leader="none" w:pos="900" w:val="left"/>
        </w:tabs>
        <w:numPr>
          <w:ilvl w:val="0"/>
          <w:numId w:val="5"/>
        </w:numPr>
        <w:rPr>
          <w:rFonts w:ascii="Arial" w:cs="Arial" w:eastAsia="Arial" w:hAnsi="Arial"/>
          <w:sz w:val="18"/>
          <w:szCs w:val="18"/>
          <w:color w:val="auto"/>
        </w:rPr>
      </w:pPr>
      <w:r>
        <w:rPr>
          <w:rFonts w:ascii="Arial" w:cs="Arial" w:eastAsia="Arial" w:hAnsi="Arial"/>
          <w:sz w:val="18"/>
          <w:szCs w:val="18"/>
          <w:color w:val="auto"/>
        </w:rPr>
        <w:t>We encouraged our suppliers to conduct investigations of any smelters or refiners that we identified as high-risk, and worked with our suppliers to mitigate such risk and, where unsuccessful, transition their processing to CFSP-validated smelters or refiners.</w:t>
      </w:r>
    </w:p>
    <w:p>
      <w:pPr>
        <w:spacing w:after="0" w:line="75" w:lineRule="exact"/>
        <w:rPr>
          <w:rFonts w:ascii="Arial" w:cs="Arial" w:eastAsia="Arial" w:hAnsi="Arial"/>
          <w:sz w:val="18"/>
          <w:szCs w:val="18"/>
          <w:color w:val="auto"/>
        </w:rPr>
      </w:pPr>
    </w:p>
    <w:p>
      <w:pPr>
        <w:ind w:left="900" w:hanging="325"/>
        <w:spacing w:after="0"/>
        <w:tabs>
          <w:tab w:leader="none" w:pos="900" w:val="left"/>
        </w:tabs>
        <w:numPr>
          <w:ilvl w:val="0"/>
          <w:numId w:val="5"/>
        </w:numPr>
        <w:rPr>
          <w:rFonts w:ascii="Arial" w:cs="Arial" w:eastAsia="Arial" w:hAnsi="Arial"/>
          <w:sz w:val="18"/>
          <w:szCs w:val="18"/>
          <w:color w:val="auto"/>
        </w:rPr>
      </w:pPr>
      <w:r>
        <w:rPr>
          <w:rFonts w:ascii="Arial" w:cs="Arial" w:eastAsia="Arial" w:hAnsi="Arial"/>
          <w:sz w:val="18"/>
          <w:szCs w:val="18"/>
          <w:color w:val="auto"/>
        </w:rPr>
        <w:t>We shared with our suppliers our expectations regarding sourcing from “conflict-free” designated smelters and refiners.</w:t>
      </w:r>
    </w:p>
    <w:p>
      <w:pPr>
        <w:spacing w:after="0" w:line="130" w:lineRule="exact"/>
        <w:rPr>
          <w:rFonts w:ascii="Arial" w:cs="Arial" w:eastAsia="Arial" w:hAnsi="Arial"/>
          <w:sz w:val="18"/>
          <w:szCs w:val="18"/>
          <w:color w:val="auto"/>
        </w:rPr>
      </w:pPr>
    </w:p>
    <w:p>
      <w:pPr>
        <w:ind w:left="900" w:right="120" w:hanging="325"/>
        <w:spacing w:after="0" w:line="264" w:lineRule="auto"/>
        <w:tabs>
          <w:tab w:leader="none" w:pos="900" w:val="left"/>
        </w:tabs>
        <w:numPr>
          <w:ilvl w:val="0"/>
          <w:numId w:val="5"/>
        </w:numPr>
        <w:rPr>
          <w:rFonts w:ascii="Arial" w:cs="Arial" w:eastAsia="Arial" w:hAnsi="Arial"/>
          <w:sz w:val="18"/>
          <w:szCs w:val="18"/>
          <w:color w:val="auto"/>
        </w:rPr>
      </w:pPr>
      <w:r>
        <w:rPr>
          <w:rFonts w:ascii="Arial" w:cs="Arial" w:eastAsia="Arial" w:hAnsi="Arial"/>
          <w:sz w:val="18"/>
          <w:szCs w:val="18"/>
          <w:color w:val="auto"/>
        </w:rPr>
        <w:t>When necessary, we directly encouraged the smelters and refiners from which our suppliers source Conflict Minerals to maintain their “conflict-free” designation, to complete action items required to obtain a “conflict-free” designation or to participate in an independent third-party audit program.</w:t>
      </w:r>
    </w:p>
    <w:p>
      <w:pPr>
        <w:spacing w:after="0" w:line="86" w:lineRule="exact"/>
        <w:rPr>
          <w:rFonts w:ascii="Arial" w:cs="Arial" w:eastAsia="Arial" w:hAnsi="Arial"/>
          <w:sz w:val="18"/>
          <w:szCs w:val="18"/>
          <w:color w:val="auto"/>
        </w:rPr>
      </w:pPr>
    </w:p>
    <w:p>
      <w:pPr>
        <w:ind w:left="900" w:right="60" w:hanging="325"/>
        <w:spacing w:after="0" w:line="259" w:lineRule="auto"/>
        <w:tabs>
          <w:tab w:leader="none" w:pos="900" w:val="left"/>
        </w:tabs>
        <w:numPr>
          <w:ilvl w:val="0"/>
          <w:numId w:val="5"/>
        </w:numPr>
        <w:rPr>
          <w:rFonts w:ascii="Arial" w:cs="Arial" w:eastAsia="Arial" w:hAnsi="Arial"/>
          <w:sz w:val="18"/>
          <w:szCs w:val="18"/>
          <w:color w:val="auto"/>
        </w:rPr>
      </w:pPr>
      <w:r>
        <w:rPr>
          <w:rFonts w:ascii="Arial" w:cs="Arial" w:eastAsia="Arial" w:hAnsi="Arial"/>
          <w:sz w:val="18"/>
          <w:szCs w:val="18"/>
          <w:color w:val="auto"/>
        </w:rPr>
        <w:t>If, on the basis of issues that are identified as a result of either (i) the supplier data acquisition or engagement processes or (ii) the receipt of information from other sources, Marvell determines that there is a reasonable risk that a supplier is sourcing Conflict Minerals that are directly or indirectly financing or benefiting armed groups, Marvell will enforce the Conflict Minerals Policy and the Supplier Code of Conduct and the other policies incorporated therein by means of a series of escalations.</w:t>
      </w:r>
    </w:p>
    <w:p>
      <w:pPr>
        <w:spacing w:after="0" w:line="92" w:lineRule="exact"/>
        <w:rPr>
          <w:rFonts w:ascii="Arial" w:cs="Arial" w:eastAsia="Arial" w:hAnsi="Arial"/>
          <w:sz w:val="18"/>
          <w:szCs w:val="18"/>
          <w:color w:val="auto"/>
        </w:rPr>
      </w:pPr>
    </w:p>
    <w:p>
      <w:pPr>
        <w:ind w:left="900" w:hanging="325"/>
        <w:spacing w:after="0" w:line="279" w:lineRule="auto"/>
        <w:tabs>
          <w:tab w:leader="none" w:pos="900" w:val="left"/>
        </w:tabs>
        <w:numPr>
          <w:ilvl w:val="0"/>
          <w:numId w:val="5"/>
        </w:numPr>
        <w:rPr>
          <w:rFonts w:ascii="Arial" w:cs="Arial" w:eastAsia="Arial" w:hAnsi="Arial"/>
          <w:sz w:val="17"/>
          <w:szCs w:val="17"/>
          <w:color w:val="auto"/>
        </w:rPr>
      </w:pPr>
      <w:r>
        <w:rPr>
          <w:rFonts w:ascii="Arial" w:cs="Arial" w:eastAsia="Arial" w:hAnsi="Arial"/>
          <w:sz w:val="17"/>
          <w:szCs w:val="17"/>
          <w:color w:val="auto"/>
        </w:rPr>
        <w:t>Such escalations shall be determined at the discretion of the Conflict Minerals Working Group and, as appropriate, of the CSR Committee and the Audit Committee of the Board of Directors, and may range from prompt engagement with the supplier to resolve the sourcing issue, to requiring such supplier to implement a risk management plan (which plan may involve, as appropriate, remedial action up to and including disengagement from upstream suppliers), to disengagement by Marvell from the applicable supplier.</w:t>
      </w:r>
    </w:p>
    <w:p>
      <w:pPr>
        <w:spacing w:after="0" w:line="280"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Step 4: Carry Out Independent Third-Party Audit of Supply Chain Due Diligence.</w:t>
      </w:r>
    </w:p>
    <w:p>
      <w:pPr>
        <w:spacing w:after="0" w:line="117" w:lineRule="exact"/>
        <w:rPr>
          <w:sz w:val="20"/>
          <w:szCs w:val="20"/>
          <w:color w:val="auto"/>
        </w:rPr>
      </w:pPr>
    </w:p>
    <w:p>
      <w:pPr>
        <w:ind w:right="240" w:firstLine="456"/>
        <w:spacing w:after="0" w:line="264" w:lineRule="auto"/>
        <w:rPr>
          <w:sz w:val="20"/>
          <w:szCs w:val="20"/>
          <w:color w:val="auto"/>
        </w:rPr>
      </w:pPr>
      <w:r>
        <w:rPr>
          <w:rFonts w:ascii="Arial" w:cs="Arial" w:eastAsia="Arial" w:hAnsi="Arial"/>
          <w:sz w:val="18"/>
          <w:szCs w:val="18"/>
          <w:color w:val="auto"/>
        </w:rPr>
        <w:t>Given that we do not source Conflict Minerals directly from smelters and refiners, we rely on third parties, including the CFSI, to coordinate and conduct third-party audits of these facilities. We rely on the published results of these third-party audits to validate the responsible sourcing practices of the smelters and refiners in our supply chain.</w:t>
      </w:r>
    </w:p>
    <w:p>
      <w:pPr>
        <w:spacing w:after="0" w:line="289"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Step 5: Report on Supply Chain Due Diligence.</w:t>
      </w:r>
    </w:p>
    <w:p>
      <w:pPr>
        <w:spacing w:after="0" w:line="117" w:lineRule="exact"/>
        <w:rPr>
          <w:sz w:val="20"/>
          <w:szCs w:val="20"/>
          <w:color w:val="auto"/>
        </w:rPr>
      </w:pPr>
    </w:p>
    <w:p>
      <w:pPr>
        <w:jc w:val="both"/>
        <w:ind w:right="40" w:firstLine="456"/>
        <w:spacing w:after="0" w:line="264" w:lineRule="auto"/>
        <w:rPr>
          <w:sz w:val="20"/>
          <w:szCs w:val="20"/>
          <w:color w:val="auto"/>
        </w:rPr>
      </w:pPr>
      <w:r>
        <w:rPr>
          <w:rFonts w:ascii="Arial" w:cs="Arial" w:eastAsia="Arial" w:hAnsi="Arial"/>
          <w:sz w:val="18"/>
          <w:szCs w:val="18"/>
          <w:color w:val="auto"/>
        </w:rPr>
        <w:t>As required by the Rule, we have filed a Form SD and a Conflict Minerals Report as an exhibit thereto for the 2015 calendar year reporting period. The Form SD and Conflict Minerals Report are also available on our website at www.marvell.com under the heading “Investor Relations - Corporate Governance and Social Responsibility.”</w:t>
      </w:r>
    </w:p>
    <w:p>
      <w:pPr>
        <w:spacing w:after="0" w:line="11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420"/>
          </w:cols>
          <w:pgMar w:left="240" w:top="274" w:right="239" w:bottom="1440" w:gutter="0" w:footer="0" w:header="0"/>
        </w:sectPr>
      </w:pPr>
    </w:p>
    <w:bookmarkStart w:id="8" w:name="page9"/>
    <w:bookmarkEnd w:id="8"/>
    <w:p>
      <w:pPr>
        <w:ind w:left="460"/>
        <w:spacing w:after="0"/>
        <w:tabs>
          <w:tab w:leader="none" w:pos="86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VI.</w:t>
      </w:r>
      <w:r>
        <w:rPr>
          <w:sz w:val="20"/>
          <w:szCs w:val="20"/>
          <w:color w:val="auto"/>
        </w:rPr>
        <w:tab/>
      </w:r>
      <w:r>
        <w:rPr>
          <w:rFonts w:ascii="Arial" w:cs="Arial" w:eastAsia="Arial" w:hAnsi="Arial"/>
          <w:sz w:val="16"/>
          <w:szCs w:val="16"/>
          <w:b w:val="1"/>
          <w:bCs w:val="1"/>
          <w:color w:val="auto"/>
        </w:rPr>
        <w:t>Conflict Minerals Processing Facilities</w:t>
      </w:r>
    </w:p>
    <w:p>
      <w:pPr>
        <w:spacing w:after="0" w:line="121" w:lineRule="exact"/>
        <w:rPr>
          <w:sz w:val="20"/>
          <w:szCs w:val="20"/>
          <w:color w:val="auto"/>
        </w:rPr>
      </w:pPr>
    </w:p>
    <w:p>
      <w:pPr>
        <w:ind w:right="40" w:firstLine="456"/>
        <w:spacing w:after="0" w:line="259" w:lineRule="auto"/>
        <w:rPr>
          <w:sz w:val="20"/>
          <w:szCs w:val="20"/>
          <w:color w:val="auto"/>
        </w:rPr>
      </w:pPr>
      <w:r>
        <w:rPr>
          <w:rFonts w:ascii="Arial" w:cs="Arial" w:eastAsia="Arial" w:hAnsi="Arial"/>
          <w:sz w:val="18"/>
          <w:szCs w:val="18"/>
          <w:color w:val="auto"/>
        </w:rPr>
        <w:t>Based on the information provided by our direct suppliers, and otherwise obtained through the due diligence process described above, we have provided information regarding the processing facilities from which we source the Conflict Minerals contained in our products on Appendix A to this Report. Because some of our direct suppliers provided supply chain information on a company level rather than on a product level, this list may include facilities that did not actually process Conflict Minerals contained in our products.</w:t>
      </w:r>
    </w:p>
    <w:p>
      <w:pPr>
        <w:spacing w:after="0" w:line="291" w:lineRule="exact"/>
        <w:rPr>
          <w:sz w:val="20"/>
          <w:szCs w:val="20"/>
          <w:color w:val="auto"/>
        </w:rPr>
      </w:pPr>
    </w:p>
    <w:p>
      <w:pPr>
        <w:ind w:left="460"/>
        <w:spacing w:after="0"/>
        <w:tabs>
          <w:tab w:leader="none" w:pos="940" w:val="left"/>
        </w:tabs>
        <w:rPr>
          <w:sz w:val="20"/>
          <w:szCs w:val="20"/>
          <w:color w:val="auto"/>
        </w:rPr>
      </w:pPr>
      <w:r>
        <w:rPr>
          <w:rFonts w:ascii="Arial" w:cs="Arial" w:eastAsia="Arial" w:hAnsi="Arial"/>
          <w:sz w:val="18"/>
          <w:szCs w:val="18"/>
          <w:b w:val="1"/>
          <w:bCs w:val="1"/>
          <w:color w:val="auto"/>
        </w:rPr>
        <w:t>VII.</w:t>
      </w:r>
      <w:r>
        <w:rPr>
          <w:sz w:val="20"/>
          <w:szCs w:val="20"/>
          <w:color w:val="auto"/>
        </w:rPr>
        <w:tab/>
      </w:r>
      <w:r>
        <w:rPr>
          <w:rFonts w:ascii="Arial" w:cs="Arial" w:eastAsia="Arial" w:hAnsi="Arial"/>
          <w:sz w:val="16"/>
          <w:szCs w:val="16"/>
          <w:b w:val="1"/>
          <w:bCs w:val="1"/>
          <w:color w:val="auto"/>
        </w:rPr>
        <w:t>Country of Origin of Conflict Minerals</w:t>
      </w:r>
    </w:p>
    <w:p>
      <w:pPr>
        <w:spacing w:after="0" w:line="121" w:lineRule="exact"/>
        <w:rPr>
          <w:sz w:val="20"/>
          <w:szCs w:val="20"/>
          <w:color w:val="auto"/>
        </w:rPr>
      </w:pPr>
    </w:p>
    <w:p>
      <w:pPr>
        <w:ind w:right="180" w:firstLine="456"/>
        <w:spacing w:after="0" w:line="255" w:lineRule="auto"/>
        <w:rPr>
          <w:sz w:val="20"/>
          <w:szCs w:val="20"/>
          <w:color w:val="auto"/>
        </w:rPr>
      </w:pPr>
      <w:r>
        <w:rPr>
          <w:rFonts w:ascii="Arial" w:cs="Arial" w:eastAsia="Arial" w:hAnsi="Arial"/>
          <w:sz w:val="18"/>
          <w:szCs w:val="18"/>
          <w:color w:val="auto"/>
        </w:rPr>
        <w:t>Based on the information provided by our direct suppliers, and otherwise obtained through the due diligence process described above, some of the Conflict Minerals necessary to the functionality or production of our products may have originated from mines located in the Covered Countries. As shown on Appendix A, we determined during our due diligence that many of the smelters and refiners providing minerals to our direct suppliers that may have originated from mines located in the Covered Countries are CFSP-validated or actively engaged in the CFSP compliance process. For the CFSP “known smelters” whose status is unknown, we have not received information indicating or suggesting that our sourcing of necessary Conflict Minerals benefitted armed groups in any of the Covered Countries.</w:t>
      </w:r>
    </w:p>
    <w:p>
      <w:pPr>
        <w:spacing w:after="0" w:line="297" w:lineRule="exact"/>
        <w:rPr>
          <w:sz w:val="20"/>
          <w:szCs w:val="20"/>
          <w:color w:val="auto"/>
        </w:rPr>
      </w:pPr>
    </w:p>
    <w:p>
      <w:pPr>
        <w:ind w:left="460"/>
        <w:spacing w:after="0"/>
        <w:tabs>
          <w:tab w:leader="none" w:pos="1000" w:val="left"/>
        </w:tabs>
        <w:rPr>
          <w:sz w:val="20"/>
          <w:szCs w:val="20"/>
          <w:color w:val="auto"/>
        </w:rPr>
      </w:pPr>
      <w:r>
        <w:rPr>
          <w:rFonts w:ascii="Arial" w:cs="Arial" w:eastAsia="Arial" w:hAnsi="Arial"/>
          <w:sz w:val="18"/>
          <w:szCs w:val="18"/>
          <w:b w:val="1"/>
          <w:bCs w:val="1"/>
          <w:color w:val="auto"/>
        </w:rPr>
        <w:t>VIII.</w:t>
      </w:r>
      <w:r>
        <w:rPr>
          <w:sz w:val="20"/>
          <w:szCs w:val="20"/>
          <w:color w:val="auto"/>
        </w:rPr>
        <w:tab/>
      </w:r>
      <w:r>
        <w:rPr>
          <w:rFonts w:ascii="Arial" w:cs="Arial" w:eastAsia="Arial" w:hAnsi="Arial"/>
          <w:sz w:val="16"/>
          <w:szCs w:val="16"/>
          <w:b w:val="1"/>
          <w:bCs w:val="1"/>
          <w:color w:val="auto"/>
        </w:rPr>
        <w:t>Efforts to Determine Mine or Location of Origin</w:t>
      </w:r>
    </w:p>
    <w:p>
      <w:pPr>
        <w:spacing w:after="0" w:line="121" w:lineRule="exact"/>
        <w:rPr>
          <w:sz w:val="20"/>
          <w:szCs w:val="20"/>
          <w:color w:val="auto"/>
        </w:rPr>
      </w:pPr>
    </w:p>
    <w:p>
      <w:pPr>
        <w:jc w:val="both"/>
        <w:ind w:firstLine="456"/>
        <w:spacing w:after="0" w:line="257" w:lineRule="auto"/>
        <w:rPr>
          <w:sz w:val="20"/>
          <w:szCs w:val="20"/>
          <w:color w:val="auto"/>
        </w:rPr>
      </w:pPr>
      <w:r>
        <w:rPr>
          <w:rFonts w:ascii="Arial" w:cs="Arial" w:eastAsia="Arial" w:hAnsi="Arial"/>
          <w:sz w:val="18"/>
          <w:szCs w:val="18"/>
          <w:color w:val="auto"/>
        </w:rPr>
        <w:t>As a downstream company, the primary focus of our due diligence on the source and chain of custody of the Conflict Minerals in our supply chain was on the collection and assessment of the CMRT data provided by our direct suppliers. As described above, we supplemented that data using data obtained from the CFSI, our customers and our own research. We were unable to ascertain the country of origin of all necessary Conflict Minerals contained in our products because certain smelters and refiners had not yet received a “conflict-free” designation from an independent third-party audit program and did not respond to our requests for country of origin data.</w:t>
      </w:r>
    </w:p>
    <w:p>
      <w:pPr>
        <w:spacing w:after="0" w:line="292" w:lineRule="exact"/>
        <w:rPr>
          <w:sz w:val="20"/>
          <w:szCs w:val="20"/>
          <w:color w:val="auto"/>
        </w:rPr>
      </w:pPr>
    </w:p>
    <w:p>
      <w:pPr>
        <w:ind w:left="460"/>
        <w:spacing w:after="0"/>
        <w:tabs>
          <w:tab w:leader="none" w:pos="860" w:val="left"/>
        </w:tabs>
        <w:rPr>
          <w:sz w:val="20"/>
          <w:szCs w:val="20"/>
          <w:color w:val="auto"/>
        </w:rPr>
      </w:pPr>
      <w:r>
        <w:rPr>
          <w:rFonts w:ascii="Arial" w:cs="Arial" w:eastAsia="Arial" w:hAnsi="Arial"/>
          <w:sz w:val="18"/>
          <w:szCs w:val="18"/>
          <w:b w:val="1"/>
          <w:bCs w:val="1"/>
          <w:color w:val="auto"/>
        </w:rPr>
        <w:t>IX.</w:t>
      </w:r>
      <w:r>
        <w:rPr>
          <w:sz w:val="20"/>
          <w:szCs w:val="20"/>
          <w:color w:val="auto"/>
        </w:rPr>
        <w:tab/>
      </w:r>
      <w:r>
        <w:rPr>
          <w:rFonts w:ascii="Arial" w:cs="Arial" w:eastAsia="Arial" w:hAnsi="Arial"/>
          <w:sz w:val="16"/>
          <w:szCs w:val="16"/>
          <w:b w:val="1"/>
          <w:bCs w:val="1"/>
          <w:color w:val="auto"/>
        </w:rPr>
        <w:t>Results of Conflict Minerals Due Diligence</w:t>
      </w:r>
    </w:p>
    <w:p>
      <w:pPr>
        <w:spacing w:after="0" w:line="121" w:lineRule="exact"/>
        <w:rPr>
          <w:sz w:val="20"/>
          <w:szCs w:val="20"/>
          <w:color w:val="auto"/>
        </w:rPr>
      </w:pPr>
    </w:p>
    <w:p>
      <w:pPr>
        <w:jc w:val="both"/>
        <w:ind w:right="360" w:firstLine="456"/>
        <w:spacing w:after="0" w:line="264" w:lineRule="auto"/>
        <w:rPr>
          <w:sz w:val="20"/>
          <w:szCs w:val="20"/>
          <w:color w:val="auto"/>
        </w:rPr>
      </w:pPr>
      <w:r>
        <w:rPr>
          <w:rFonts w:ascii="Arial" w:cs="Arial" w:eastAsia="Arial" w:hAnsi="Arial"/>
          <w:sz w:val="18"/>
          <w:szCs w:val="18"/>
          <w:color w:val="auto"/>
        </w:rPr>
        <w:t>Based on the results of the due diligence process with respect to the source and chain of custody of the Conflict Minerals contained in our products conducted for the 2015 reporting year, we do not have sufficient information to determine whether or not the Conflict Minerals contained in our products directly or indirectly finance or benefit armed groups in the Covered Countries.</w:t>
      </w:r>
    </w:p>
    <w:p>
      <w:pPr>
        <w:spacing w:after="0" w:line="285" w:lineRule="exact"/>
        <w:rPr>
          <w:sz w:val="20"/>
          <w:szCs w:val="20"/>
          <w:color w:val="auto"/>
        </w:rPr>
      </w:pPr>
    </w:p>
    <w:p>
      <w:pPr>
        <w:ind w:left="460"/>
        <w:spacing w:after="0"/>
        <w:tabs>
          <w:tab w:leader="none" w:pos="800" w:val="left"/>
        </w:tabs>
        <w:rPr>
          <w:sz w:val="20"/>
          <w:szCs w:val="20"/>
          <w:color w:val="auto"/>
        </w:rPr>
      </w:pPr>
      <w:r>
        <w:rPr>
          <w:rFonts w:ascii="Arial" w:cs="Arial" w:eastAsia="Arial" w:hAnsi="Arial"/>
          <w:sz w:val="18"/>
          <w:szCs w:val="18"/>
          <w:b w:val="1"/>
          <w:bCs w:val="1"/>
          <w:color w:val="auto"/>
        </w:rPr>
        <w:t>X.</w:t>
      </w:r>
      <w:r>
        <w:rPr>
          <w:sz w:val="20"/>
          <w:szCs w:val="20"/>
          <w:color w:val="auto"/>
        </w:rPr>
        <w:tab/>
      </w:r>
      <w:r>
        <w:rPr>
          <w:rFonts w:ascii="Arial" w:cs="Arial" w:eastAsia="Arial" w:hAnsi="Arial"/>
          <w:sz w:val="16"/>
          <w:szCs w:val="16"/>
          <w:b w:val="1"/>
          <w:bCs w:val="1"/>
          <w:color w:val="auto"/>
        </w:rPr>
        <w:t>Independent Private Sector Audit</w:t>
      </w:r>
    </w:p>
    <w:p>
      <w:pPr>
        <w:spacing w:after="0" w:line="121" w:lineRule="exact"/>
        <w:rPr>
          <w:sz w:val="20"/>
          <w:szCs w:val="20"/>
          <w:color w:val="auto"/>
        </w:rPr>
      </w:pPr>
    </w:p>
    <w:p>
      <w:pPr>
        <w:ind w:right="80" w:firstLine="456"/>
        <w:spacing w:after="0" w:line="277" w:lineRule="auto"/>
        <w:rPr>
          <w:sz w:val="20"/>
          <w:szCs w:val="20"/>
          <w:color w:val="auto"/>
        </w:rPr>
      </w:pPr>
      <w:r>
        <w:rPr>
          <w:rFonts w:ascii="Arial" w:cs="Arial" w:eastAsia="Arial" w:hAnsi="Arial"/>
          <w:sz w:val="18"/>
          <w:szCs w:val="18"/>
          <w:color w:val="auto"/>
        </w:rPr>
        <w:t>Given that Marvell has not voluntarily elected to describe any of its products as “DRC conflict free,” an independent private sector audit of this Report has not been conducted.</w:t>
      </w:r>
    </w:p>
    <w:p>
      <w:pPr>
        <w:spacing w:after="0" w:line="275" w:lineRule="exact"/>
        <w:rPr>
          <w:sz w:val="20"/>
          <w:szCs w:val="20"/>
          <w:color w:val="auto"/>
        </w:rPr>
      </w:pPr>
    </w:p>
    <w:p>
      <w:pPr>
        <w:ind w:left="460"/>
        <w:spacing w:after="0"/>
        <w:tabs>
          <w:tab w:leader="none" w:pos="860" w:val="left"/>
        </w:tabs>
        <w:rPr>
          <w:sz w:val="20"/>
          <w:szCs w:val="20"/>
          <w:color w:val="auto"/>
        </w:rPr>
      </w:pPr>
      <w:r>
        <w:rPr>
          <w:rFonts w:ascii="Arial" w:cs="Arial" w:eastAsia="Arial" w:hAnsi="Arial"/>
          <w:sz w:val="18"/>
          <w:szCs w:val="18"/>
          <w:b w:val="1"/>
          <w:bCs w:val="1"/>
          <w:color w:val="auto"/>
        </w:rPr>
        <w:t>XI.</w:t>
      </w:r>
      <w:r>
        <w:rPr>
          <w:sz w:val="20"/>
          <w:szCs w:val="20"/>
          <w:color w:val="auto"/>
        </w:rPr>
        <w:tab/>
      </w:r>
      <w:r>
        <w:rPr>
          <w:rFonts w:ascii="Arial" w:cs="Arial" w:eastAsia="Arial" w:hAnsi="Arial"/>
          <w:sz w:val="16"/>
          <w:szCs w:val="16"/>
          <w:b w:val="1"/>
          <w:bCs w:val="1"/>
          <w:color w:val="auto"/>
        </w:rPr>
        <w:t>Steps to Mitigate Risk</w:t>
      </w:r>
    </w:p>
    <w:p>
      <w:pPr>
        <w:spacing w:after="0" w:line="121" w:lineRule="exact"/>
        <w:rPr>
          <w:sz w:val="20"/>
          <w:szCs w:val="20"/>
          <w:color w:val="auto"/>
        </w:rPr>
      </w:pPr>
    </w:p>
    <w:p>
      <w:pPr>
        <w:ind w:right="100" w:firstLine="456"/>
        <w:spacing w:after="0" w:line="277" w:lineRule="auto"/>
        <w:rPr>
          <w:sz w:val="20"/>
          <w:szCs w:val="20"/>
          <w:color w:val="auto"/>
        </w:rPr>
      </w:pPr>
      <w:r>
        <w:rPr>
          <w:rFonts w:ascii="Arial" w:cs="Arial" w:eastAsia="Arial" w:hAnsi="Arial"/>
          <w:sz w:val="18"/>
          <w:szCs w:val="18"/>
          <w:color w:val="auto"/>
        </w:rPr>
        <w:t>The Company intends to take the following steps, among others, to further mitigate the risk that the Conflict Minerals necessary to the functionality or production of our products benefit armed groups in the Covered Countries:</w:t>
      </w:r>
    </w:p>
    <w:p>
      <w:pPr>
        <w:spacing w:after="0" w:line="76" w:lineRule="exact"/>
        <w:rPr>
          <w:sz w:val="20"/>
          <w:szCs w:val="20"/>
          <w:color w:val="auto"/>
        </w:rPr>
      </w:pPr>
    </w:p>
    <w:p>
      <w:pPr>
        <w:ind w:left="900" w:right="180" w:hanging="325"/>
        <w:spacing w:after="0" w:line="277" w:lineRule="auto"/>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We intend to continue to monitor our direct suppliers’ Conflict Minerals sourcing practices to ensure that direct suppliers remain in compliance with our Conflict Minerals Policy and Supplier Code of Conduct.</w:t>
      </w:r>
    </w:p>
    <w:p>
      <w:pPr>
        <w:spacing w:after="0" w:line="75" w:lineRule="exact"/>
        <w:rPr>
          <w:rFonts w:ascii="Arial" w:cs="Arial" w:eastAsia="Arial" w:hAnsi="Arial"/>
          <w:sz w:val="18"/>
          <w:szCs w:val="18"/>
          <w:color w:val="auto"/>
        </w:rPr>
      </w:pPr>
    </w:p>
    <w:p>
      <w:pPr>
        <w:ind w:left="900" w:right="240" w:hanging="325"/>
        <w:spacing w:after="0" w:line="264" w:lineRule="auto"/>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We intend to continue to engage with our direct suppliers, and, when necessary, the smelters and refiners from which our suppliers source Conflict Minerals, to attempt to obtain updated information regarding our supply chain, including CFSI “known smelters” listed on the CFSI’s Standard Smelter List and the location of the mines from which the Conflict Minerals originate.</w:t>
      </w:r>
    </w:p>
    <w:p>
      <w:pPr>
        <w:spacing w:after="0" w:line="114"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400"/>
          </w:cols>
          <w:pgMar w:left="240" w:top="270" w:right="259" w:bottom="1440" w:gutter="0" w:footer="0" w:header="0"/>
        </w:sectPr>
      </w:pPr>
    </w:p>
    <w:bookmarkStart w:id="9" w:name="page10"/>
    <w:bookmarkEnd w:id="9"/>
    <w:p>
      <w:pPr>
        <w:ind w:left="900" w:hanging="325"/>
        <w:spacing w:after="0" w:line="277" w:lineRule="auto"/>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We intend to continue to engage with our direct suppliers to encourage their smelters and refiners to obtain a “conflict-free” designation from an independent third-party audit program.</w:t>
      </w:r>
    </w:p>
    <w:p>
      <w:pPr>
        <w:spacing w:after="0" w:line="75" w:lineRule="exact"/>
        <w:rPr>
          <w:rFonts w:ascii="Arial" w:cs="Arial" w:eastAsia="Arial" w:hAnsi="Arial"/>
          <w:sz w:val="18"/>
          <w:szCs w:val="18"/>
          <w:color w:val="auto"/>
        </w:rPr>
      </w:pPr>
    </w:p>
    <w:p>
      <w:pPr>
        <w:ind w:left="900" w:right="300" w:hanging="325"/>
        <w:spacing w:after="0" w:line="277" w:lineRule="auto"/>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We intend to continue to, when necessary, directly encourage the smelters and refiners from which our suppliers source Conflict Minerals to obtain a “conflict-free” designation from an independent third-party audit program.</w:t>
      </w:r>
    </w:p>
    <w:p>
      <w:pPr>
        <w:spacing w:after="0" w:line="75" w:lineRule="exact"/>
        <w:rPr>
          <w:rFonts w:ascii="Arial" w:cs="Arial" w:eastAsia="Arial" w:hAnsi="Arial"/>
          <w:sz w:val="18"/>
          <w:szCs w:val="18"/>
          <w:color w:val="auto"/>
        </w:rPr>
      </w:pPr>
    </w:p>
    <w:p>
      <w:pPr>
        <w:ind w:left="900" w:right="540" w:hanging="325"/>
        <w:spacing w:after="0" w:line="277" w:lineRule="auto"/>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We intend to advise any of our direct suppliers found to be sourcing from smelters or refiners that we identify as high-risk to establish an alternative source for Conflict Minerals.</w:t>
      </w:r>
    </w:p>
    <w:p>
      <w:pPr>
        <w:spacing w:after="0" w:line="75" w:lineRule="exact"/>
        <w:rPr>
          <w:rFonts w:ascii="Arial" w:cs="Arial" w:eastAsia="Arial" w:hAnsi="Arial"/>
          <w:sz w:val="18"/>
          <w:szCs w:val="18"/>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We intend to continue to engage in EICC, CSFI and other industry initiatives promoting “conflict-free” supply chains.</w:t>
      </w:r>
    </w:p>
    <w:p>
      <w:pPr>
        <w:spacing w:after="0" w:line="113" w:lineRule="exact"/>
        <w:rPr>
          <w:rFonts w:ascii="Arial" w:cs="Arial" w:eastAsia="Arial" w:hAnsi="Arial"/>
          <w:sz w:val="18"/>
          <w:szCs w:val="18"/>
          <w:color w:val="auto"/>
        </w:rPr>
      </w:pPr>
    </w:p>
    <w:p>
      <w:pPr>
        <w:ind w:left="5260"/>
        <w:spacing w:after="0"/>
        <w:rPr>
          <w:rFonts w:ascii="Arial" w:cs="Arial" w:eastAsia="Arial" w:hAnsi="Arial"/>
          <w:sz w:val="18"/>
          <w:szCs w:val="18"/>
          <w:color w:val="auto"/>
        </w:rPr>
      </w:pPr>
      <w:r>
        <w:rPr>
          <w:rFonts w:ascii="Arial" w:cs="Arial" w:eastAsia="Arial" w:hAnsi="Arial"/>
          <w:sz w:val="18"/>
          <w:szCs w:val="18"/>
          <w:b w:val="1"/>
          <w:bCs w:val="1"/>
          <w:color w:val="auto"/>
        </w:rPr>
        <w:t>*  *  *  *</w:t>
      </w:r>
    </w:p>
    <w:p>
      <w:pPr>
        <w:spacing w:after="0" w:line="337" w:lineRule="exact"/>
        <w:rPr>
          <w:sz w:val="20"/>
          <w:szCs w:val="20"/>
          <w:color w:val="auto"/>
        </w:rPr>
      </w:pPr>
    </w:p>
    <w:p>
      <w:pPr>
        <w:spacing w:after="0"/>
        <w:rPr>
          <w:sz w:val="20"/>
          <w:szCs w:val="20"/>
          <w:color w:val="auto"/>
        </w:rPr>
      </w:pPr>
      <w:r>
        <w:rPr>
          <w:rFonts w:ascii="Arial" w:cs="Arial" w:eastAsia="Arial" w:hAnsi="Arial"/>
          <w:sz w:val="18"/>
          <w:szCs w:val="18"/>
          <w:color w:val="auto"/>
        </w:rPr>
        <w:t>FORWARD LOOKING STATEMENTS</w:t>
      </w:r>
    </w:p>
    <w:p>
      <w:pPr>
        <w:spacing w:after="0" w:line="117" w:lineRule="exact"/>
        <w:rPr>
          <w:sz w:val="20"/>
          <w:szCs w:val="20"/>
          <w:color w:val="auto"/>
        </w:rPr>
      </w:pPr>
    </w:p>
    <w:p>
      <w:pPr>
        <w:ind w:right="240" w:firstLine="456"/>
        <w:spacing w:after="0" w:line="312" w:lineRule="auto"/>
        <w:rPr>
          <w:sz w:val="20"/>
          <w:szCs w:val="20"/>
          <w:color w:val="auto"/>
        </w:rPr>
      </w:pPr>
      <w:r>
        <w:rPr>
          <w:rFonts w:ascii="Arial" w:cs="Arial" w:eastAsia="Arial" w:hAnsi="Arial"/>
          <w:sz w:val="16"/>
          <w:szCs w:val="16"/>
          <w:color w:val="auto"/>
        </w:rPr>
        <w:t>Statements relating to due diligence improvements are forward-looking in nature and are based on Marvell’s management’s current expectations or beliefs. These forward-looking statements are not a guarantee of performance and are subject to a number of uncertainties and other factors that may be outside of Marvell’s control and that could cause actual events to differ materially from those expressed or implied by the statements made herein.</w:t>
      </w:r>
    </w:p>
    <w:p>
      <w:pPr>
        <w:spacing w:after="0" w:line="255" w:lineRule="exact"/>
        <w:rPr>
          <w:sz w:val="20"/>
          <w:szCs w:val="20"/>
          <w:color w:val="auto"/>
        </w:rPr>
      </w:pPr>
    </w:p>
    <w:p>
      <w:pPr>
        <w:spacing w:after="0"/>
        <w:rPr>
          <w:sz w:val="20"/>
          <w:szCs w:val="20"/>
          <w:color w:val="auto"/>
        </w:rPr>
      </w:pPr>
      <w:r>
        <w:rPr>
          <w:rFonts w:ascii="Arial" w:cs="Arial" w:eastAsia="Arial" w:hAnsi="Arial"/>
          <w:sz w:val="18"/>
          <w:szCs w:val="18"/>
          <w:color w:val="auto"/>
        </w:rPr>
        <w:t>DOCUMENTS INCORPORATED BY REFERENCE</w:t>
      </w:r>
    </w:p>
    <w:p>
      <w:pPr>
        <w:spacing w:after="0" w:line="117" w:lineRule="exact"/>
        <w:rPr>
          <w:sz w:val="20"/>
          <w:szCs w:val="20"/>
          <w:color w:val="auto"/>
        </w:rPr>
      </w:pPr>
    </w:p>
    <w:p>
      <w:pPr>
        <w:ind w:right="60" w:firstLine="456"/>
        <w:spacing w:after="0" w:line="277" w:lineRule="auto"/>
        <w:rPr>
          <w:sz w:val="20"/>
          <w:szCs w:val="20"/>
          <w:color w:val="auto"/>
        </w:rPr>
      </w:pPr>
      <w:r>
        <w:rPr>
          <w:rFonts w:ascii="Arial" w:cs="Arial" w:eastAsia="Arial" w:hAnsi="Arial"/>
          <w:sz w:val="18"/>
          <w:szCs w:val="18"/>
          <w:color w:val="auto"/>
        </w:rPr>
        <w:t>Unless otherwise stated herein, any documents, third-party materials or references to websites (including Marvell’s) are not incorporated by reference in, or considered to be a part of, this CMR, unless expressly incorporated by reference herein.</w:t>
      </w:r>
    </w:p>
    <w:p>
      <w:pPr>
        <w:spacing w:after="0" w:line="10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1300"/>
          </w:cols>
          <w:pgMar w:left="240" w:top="274" w:right="359" w:bottom="1440" w:gutter="0" w:footer="0" w:header="0"/>
        </w:sectPr>
      </w:pPr>
    </w:p>
    <w:bookmarkStart w:id="10" w:name="page11"/>
    <w:bookmarkEnd w:id="10"/>
    <w:p>
      <w:pPr>
        <w:jc w:val="center"/>
        <w:ind w:right="-1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Appendix A</w:t>
      </w:r>
    </w:p>
    <w:p>
      <w:pPr>
        <w:spacing w:after="0" w:line="225"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Conflict Minerals Processing Facilities as of May 3, 2016</w:t>
      </w:r>
    </w:p>
    <w:p>
      <w:pPr>
        <w:spacing w:after="0" w:line="229" w:lineRule="exact"/>
        <w:rPr>
          <w:sz w:val="20"/>
          <w:szCs w:val="20"/>
          <w:color w:val="auto"/>
        </w:rPr>
      </w:pPr>
    </w:p>
    <w:p>
      <w:pPr>
        <w:ind w:right="120" w:firstLine="456"/>
        <w:spacing w:after="0" w:line="312" w:lineRule="auto"/>
        <w:rPr>
          <w:sz w:val="20"/>
          <w:szCs w:val="20"/>
          <w:color w:val="auto"/>
        </w:rPr>
      </w:pPr>
      <w:r>
        <w:rPr>
          <w:rFonts w:ascii="Arial" w:cs="Arial" w:eastAsia="Arial" w:hAnsi="Arial"/>
          <w:sz w:val="16"/>
          <w:szCs w:val="16"/>
          <w:color w:val="auto"/>
        </w:rPr>
        <w:t>For the 2015 reporting year, our suppliers identified 290 smelters and refiners as potential sources of conflict minerals. Of such smelters and refiners, 211 have been validated as conflict-free by the CFSP or an independent third-party audit program, and 34 are active with the CFSP or participating in an independent third-party audit program, which represents a total of approximately 85 percent of the smelters and refiners in our supply chain.</w:t>
      </w:r>
    </w:p>
    <w:p>
      <w:pPr>
        <w:spacing w:after="0" w:line="147" w:lineRule="exact"/>
        <w:rPr>
          <w:sz w:val="20"/>
          <w:szCs w:val="20"/>
          <w:color w:val="auto"/>
        </w:rPr>
      </w:pPr>
    </w:p>
    <w:p>
      <w:pPr>
        <w:ind w:right="180" w:firstLine="456"/>
        <w:spacing w:after="0" w:line="302" w:lineRule="auto"/>
        <w:rPr>
          <w:sz w:val="20"/>
          <w:szCs w:val="20"/>
          <w:color w:val="auto"/>
        </w:rPr>
      </w:pPr>
      <w:r>
        <w:rPr>
          <w:rFonts w:ascii="Arial" w:cs="Arial" w:eastAsia="Arial" w:hAnsi="Arial"/>
          <w:sz w:val="16"/>
          <w:szCs w:val="16"/>
          <w:color w:val="auto"/>
        </w:rPr>
        <w:t>Excluding our suppliers providing components and materials for our Kinoma hardware products, the manufacturing spend for which represents less than one percent of our total manufacturing spend, our suppliers identified 165 smelters and refiners as potential sources of conflict minerals, and of such smelters and refiners, 163 have been validated as conflict-free by the CFSP or an independent third-party audit program, and 2 are active with the CFSP or participating in an independent third-party audit program, which represents a total of 100 percent of such smelters and refiners.</w:t>
      </w:r>
    </w:p>
    <w:p>
      <w:pPr>
        <w:spacing w:after="0" w:line="154" w:lineRule="exact"/>
        <w:rPr>
          <w:sz w:val="20"/>
          <w:szCs w:val="20"/>
          <w:color w:val="auto"/>
        </w:rPr>
      </w:pPr>
    </w:p>
    <w:p>
      <w:pPr>
        <w:ind w:right="240" w:firstLine="456"/>
        <w:spacing w:after="0" w:line="264" w:lineRule="auto"/>
        <w:rPr>
          <w:sz w:val="20"/>
          <w:szCs w:val="20"/>
          <w:color w:val="auto"/>
        </w:rPr>
      </w:pPr>
      <w:r>
        <w:rPr>
          <w:rFonts w:ascii="Arial" w:cs="Arial" w:eastAsia="Arial" w:hAnsi="Arial"/>
          <w:sz w:val="18"/>
          <w:szCs w:val="18"/>
          <w:color w:val="auto"/>
        </w:rPr>
        <w:t>Table 1 summarizes the validation status of smelters and refiner, including Kinoma Hardware Products, Table 2 summarizes the validation status of smelters and refiners, excluding Kinoma Hardware Products, and Table 3 contains the name and validation status of each smelter and refiner, including Kinoma Hardware Products. The validation statuses used in such tables have the following meanings:</w:t>
      </w:r>
    </w:p>
    <w:p>
      <w:pPr>
        <w:spacing w:after="0" w:line="87" w:lineRule="exact"/>
        <w:rPr>
          <w:sz w:val="20"/>
          <w:szCs w:val="20"/>
          <w:color w:val="auto"/>
        </w:rPr>
      </w:pPr>
    </w:p>
    <w:p>
      <w:pPr>
        <w:ind w:left="460" w:hanging="452"/>
        <w:spacing w:after="0" w:line="264" w:lineRule="auto"/>
        <w:tabs>
          <w:tab w:leader="none" w:pos="460" w:val="left"/>
        </w:tabs>
        <w:numPr>
          <w:ilvl w:val="0"/>
          <w:numId w:val="8"/>
        </w:numPr>
        <w:rPr>
          <w:rFonts w:ascii="Arial" w:cs="Arial" w:eastAsia="Arial" w:hAnsi="Arial"/>
          <w:sz w:val="18"/>
          <w:szCs w:val="18"/>
          <w:color w:val="auto"/>
        </w:rPr>
      </w:pPr>
      <w:r>
        <w:rPr>
          <w:rFonts w:ascii="Arial" w:cs="Arial" w:eastAsia="Arial" w:hAnsi="Arial"/>
          <w:sz w:val="18"/>
          <w:szCs w:val="18"/>
          <w:color w:val="auto"/>
        </w:rPr>
        <w:t>“Validated” means validated with the CFSP assessment and audit protocol or independent third-party audit program as a result of providing sufficient documentation to demonstrate with reasonable confidence that the Conflict Minerals they processed originated from conflict-free sources and have not benefitted armed groups;</w:t>
      </w:r>
    </w:p>
    <w:p>
      <w:pPr>
        <w:spacing w:after="0" w:line="86" w:lineRule="exact"/>
        <w:rPr>
          <w:rFonts w:ascii="Arial" w:cs="Arial" w:eastAsia="Arial" w:hAnsi="Arial"/>
          <w:sz w:val="18"/>
          <w:szCs w:val="18"/>
          <w:color w:val="auto"/>
        </w:rPr>
      </w:pPr>
    </w:p>
    <w:p>
      <w:pPr>
        <w:ind w:left="460" w:right="160" w:hanging="452"/>
        <w:spacing w:after="0" w:line="277" w:lineRule="auto"/>
        <w:tabs>
          <w:tab w:leader="none" w:pos="460" w:val="left"/>
        </w:tabs>
        <w:numPr>
          <w:ilvl w:val="0"/>
          <w:numId w:val="8"/>
        </w:numPr>
        <w:rPr>
          <w:rFonts w:ascii="Arial" w:cs="Arial" w:eastAsia="Arial" w:hAnsi="Arial"/>
          <w:sz w:val="18"/>
          <w:szCs w:val="18"/>
          <w:color w:val="auto"/>
        </w:rPr>
      </w:pPr>
      <w:r>
        <w:rPr>
          <w:rFonts w:ascii="Arial" w:cs="Arial" w:eastAsia="Arial" w:hAnsi="Arial"/>
          <w:sz w:val="18"/>
          <w:szCs w:val="18"/>
          <w:color w:val="auto"/>
        </w:rPr>
        <w:t>“Active” means active toward CFSP validation as a result of (i) committing to undergo a CFSP audit or (ii) participating in one or more of the cross-recognized certification programs; or</w:t>
      </w:r>
    </w:p>
    <w:p>
      <w:pPr>
        <w:spacing w:after="0" w:line="75" w:lineRule="exact"/>
        <w:rPr>
          <w:rFonts w:ascii="Arial" w:cs="Arial" w:eastAsia="Arial" w:hAnsi="Arial"/>
          <w:sz w:val="18"/>
          <w:szCs w:val="18"/>
          <w:color w:val="auto"/>
        </w:rPr>
      </w:pPr>
    </w:p>
    <w:p>
      <w:pPr>
        <w:ind w:left="460" w:hanging="452"/>
        <w:spacing w:after="0"/>
        <w:tabs>
          <w:tab w:leader="none" w:pos="460" w:val="left"/>
        </w:tabs>
        <w:numPr>
          <w:ilvl w:val="0"/>
          <w:numId w:val="8"/>
        </w:numPr>
        <w:rPr>
          <w:rFonts w:ascii="Arial" w:cs="Arial" w:eastAsia="Arial" w:hAnsi="Arial"/>
          <w:sz w:val="18"/>
          <w:szCs w:val="18"/>
          <w:color w:val="auto"/>
        </w:rPr>
      </w:pPr>
      <w:r>
        <w:rPr>
          <w:rFonts w:ascii="Arial" w:cs="Arial" w:eastAsia="Arial" w:hAnsi="Arial"/>
          <w:sz w:val="18"/>
          <w:szCs w:val="18"/>
          <w:color w:val="auto"/>
        </w:rPr>
        <w:t>“Not Active” means appearing on the CFSI’s Standard Smelter List but not having attained a “Validated” or “Active” status.</w:t>
      </w:r>
    </w:p>
    <w:p>
      <w:pPr>
        <w:spacing w:after="0" w:line="225" w:lineRule="exact"/>
        <w:rPr>
          <w:sz w:val="20"/>
          <w:szCs w:val="20"/>
          <w:color w:val="auto"/>
        </w:rPr>
      </w:pPr>
    </w:p>
    <w:p>
      <w:pPr>
        <w:ind w:left="460"/>
        <w:spacing w:after="0"/>
        <w:rPr>
          <w:sz w:val="20"/>
          <w:szCs w:val="20"/>
          <w:color w:val="auto"/>
        </w:rPr>
      </w:pPr>
      <w:r>
        <w:rPr>
          <w:rFonts w:ascii="Arial" w:cs="Arial" w:eastAsia="Arial" w:hAnsi="Arial"/>
          <w:sz w:val="16"/>
          <w:szCs w:val="16"/>
          <w:color w:val="auto"/>
        </w:rPr>
        <w:t>Our suppliers do not source from, and the tables below do not include, processing facilities that have not been identified as “known” smelters by the</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CFSI.</w:t>
      </w:r>
    </w:p>
    <w:p>
      <w:pPr>
        <w:spacing w:after="0" w:line="207" w:lineRule="exact"/>
        <w:rPr>
          <w:sz w:val="20"/>
          <w:szCs w:val="20"/>
          <w:color w:val="auto"/>
        </w:rPr>
      </w:pPr>
    </w:p>
    <w:p>
      <w:pPr>
        <w:ind w:left="460"/>
        <w:spacing w:after="0"/>
        <w:rPr>
          <w:sz w:val="20"/>
          <w:szCs w:val="20"/>
          <w:color w:val="auto"/>
        </w:rPr>
      </w:pPr>
      <w:r>
        <w:rPr>
          <w:rFonts w:ascii="Arial" w:cs="Arial" w:eastAsia="Arial" w:hAnsi="Arial"/>
          <w:sz w:val="18"/>
          <w:szCs w:val="18"/>
          <w:b w:val="1"/>
          <w:bCs w:val="1"/>
          <w:color w:val="auto"/>
        </w:rPr>
        <w:t xml:space="preserve">Table 1: </w:t>
      </w:r>
      <w:r>
        <w:rPr>
          <w:rFonts w:ascii="Arial" w:cs="Arial" w:eastAsia="Arial" w:hAnsi="Arial"/>
          <w:sz w:val="18"/>
          <w:szCs w:val="18"/>
          <w:color w:val="auto"/>
        </w:rPr>
        <w:t>Smelter and Refiner Validation Status Summary, including Kinoma Hardware Products</w:t>
      </w:r>
    </w:p>
    <w:p>
      <w:pPr>
        <w:spacing w:after="0" w:line="251" w:lineRule="exact"/>
        <w:rPr>
          <w:sz w:val="20"/>
          <w:szCs w:val="20"/>
          <w:color w:val="auto"/>
        </w:rPr>
      </w:pPr>
    </w:p>
    <w:tbl>
      <w:tblPr>
        <w:tblLayout w:type="fixed"/>
        <w:tblInd w:w="460" w:type="dxa"/>
        <w:tblCellMar>
          <w:top w:w="0" w:type="dxa"/>
          <w:left w:w="0" w:type="dxa"/>
          <w:bottom w:w="0" w:type="dxa"/>
          <w:right w:w="0" w:type="dxa"/>
        </w:tblCellMar>
      </w:tblPr>
      <w:tr>
        <w:trPr>
          <w:trHeight w:val="230"/>
        </w:trPr>
        <w:tc>
          <w:tcPr>
            <w:tcW w:w="480" w:type="dxa"/>
            <w:vAlign w:val="bottom"/>
            <w:tcBorders>
              <w:right w:val="single" w:sz="8" w:color="auto"/>
            </w:tcBorders>
          </w:tcPr>
          <w:p>
            <w:pPr>
              <w:spacing w:after="0"/>
              <w:rPr>
                <w:sz w:val="19"/>
                <w:szCs w:val="19"/>
                <w:color w:val="auto"/>
              </w:rPr>
            </w:pPr>
          </w:p>
        </w:tc>
        <w:tc>
          <w:tcPr>
            <w:tcW w:w="2100" w:type="dxa"/>
            <w:vAlign w:val="bottom"/>
            <w:tcBorders>
              <w:top w:val="single" w:sz="8" w:color="auto"/>
              <w:bottom w:val="single" w:sz="8" w:color="auto"/>
              <w:right w:val="single" w:sz="8" w:color="auto"/>
            </w:tcBorders>
          </w:tcPr>
          <w:p>
            <w:pPr>
              <w:spacing w:after="0"/>
              <w:rPr>
                <w:sz w:val="19"/>
                <w:szCs w:val="19"/>
                <w:color w:val="auto"/>
              </w:rPr>
            </w:pPr>
          </w:p>
        </w:tc>
        <w:tc>
          <w:tcPr>
            <w:tcW w:w="1020" w:type="dxa"/>
            <w:vAlign w:val="bottom"/>
            <w:tcBorders>
              <w:top w:val="single" w:sz="8" w:color="auto"/>
              <w:bottom w:val="single" w:sz="8" w:color="auto"/>
              <w:right w:val="single" w:sz="8" w:color="auto"/>
            </w:tcBorders>
          </w:tcPr>
          <w:p>
            <w:pPr>
              <w:ind w:left="380"/>
              <w:spacing w:after="0"/>
              <w:rPr>
                <w:sz w:val="20"/>
                <w:szCs w:val="20"/>
                <w:color w:val="auto"/>
              </w:rPr>
            </w:pPr>
            <w:r>
              <w:rPr>
                <w:rFonts w:ascii="Arial" w:cs="Arial" w:eastAsia="Arial" w:hAnsi="Arial"/>
                <w:sz w:val="18"/>
                <w:szCs w:val="18"/>
                <w:b w:val="1"/>
                <w:bCs w:val="1"/>
                <w:color w:val="auto"/>
              </w:rPr>
              <w:t>Gold</w:t>
            </w:r>
          </w:p>
        </w:tc>
        <w:tc>
          <w:tcPr>
            <w:tcW w:w="1820" w:type="dxa"/>
            <w:vAlign w:val="bottom"/>
            <w:tcBorders>
              <w:top w:val="single" w:sz="8" w:color="auto"/>
              <w:bottom w:val="single" w:sz="8" w:color="auto"/>
              <w:right w:val="single" w:sz="8" w:color="auto"/>
            </w:tcBorders>
          </w:tcPr>
          <w:p>
            <w:pPr>
              <w:ind w:left="580"/>
              <w:spacing w:after="0"/>
              <w:rPr>
                <w:sz w:val="20"/>
                <w:szCs w:val="20"/>
                <w:color w:val="auto"/>
              </w:rPr>
            </w:pPr>
            <w:r>
              <w:rPr>
                <w:rFonts w:ascii="Arial" w:cs="Arial" w:eastAsia="Arial" w:hAnsi="Arial"/>
                <w:sz w:val="18"/>
                <w:szCs w:val="18"/>
                <w:b w:val="1"/>
                <w:bCs w:val="1"/>
                <w:color w:val="auto"/>
              </w:rPr>
              <w:t>Tantalum</w:t>
            </w:r>
          </w:p>
        </w:tc>
        <w:tc>
          <w:tcPr>
            <w:tcW w:w="740" w:type="dxa"/>
            <w:vAlign w:val="bottom"/>
            <w:tcBorders>
              <w:top w:val="single" w:sz="8" w:color="auto"/>
              <w:bottom w:val="single" w:sz="8" w:color="auto"/>
              <w:right w:val="single" w:sz="8" w:color="auto"/>
            </w:tcBorders>
          </w:tcPr>
          <w:p>
            <w:pPr>
              <w:ind w:left="280"/>
              <w:spacing w:after="0"/>
              <w:rPr>
                <w:sz w:val="20"/>
                <w:szCs w:val="20"/>
                <w:color w:val="auto"/>
              </w:rPr>
            </w:pPr>
            <w:r>
              <w:rPr>
                <w:rFonts w:ascii="Arial" w:cs="Arial" w:eastAsia="Arial" w:hAnsi="Arial"/>
                <w:sz w:val="18"/>
                <w:szCs w:val="18"/>
                <w:b w:val="1"/>
                <w:bCs w:val="1"/>
                <w:color w:val="auto"/>
              </w:rPr>
              <w:t>Tin</w:t>
            </w:r>
          </w:p>
        </w:tc>
        <w:tc>
          <w:tcPr>
            <w:tcW w:w="1720" w:type="dxa"/>
            <w:vAlign w:val="bottom"/>
            <w:tcBorders>
              <w:top w:val="single" w:sz="8" w:color="auto"/>
              <w:bottom w:val="single" w:sz="8" w:color="auto"/>
              <w:right w:val="single" w:sz="8" w:color="auto"/>
            </w:tcBorders>
          </w:tcPr>
          <w:p>
            <w:pPr>
              <w:ind w:left="560"/>
              <w:spacing w:after="0"/>
              <w:rPr>
                <w:sz w:val="20"/>
                <w:szCs w:val="20"/>
                <w:color w:val="auto"/>
              </w:rPr>
            </w:pPr>
            <w:r>
              <w:rPr>
                <w:rFonts w:ascii="Arial" w:cs="Arial" w:eastAsia="Arial" w:hAnsi="Arial"/>
                <w:sz w:val="18"/>
                <w:szCs w:val="18"/>
                <w:b w:val="1"/>
                <w:bCs w:val="1"/>
                <w:color w:val="auto"/>
              </w:rPr>
              <w:t>Tungsten</w:t>
            </w:r>
          </w:p>
        </w:tc>
        <w:tc>
          <w:tcPr>
            <w:tcW w:w="940" w:type="dxa"/>
            <w:vAlign w:val="bottom"/>
            <w:tcBorders>
              <w:top w:val="single" w:sz="8" w:color="auto"/>
              <w:bottom w:val="single" w:sz="8" w:color="auto"/>
            </w:tcBorders>
          </w:tcPr>
          <w:p>
            <w:pPr>
              <w:spacing w:after="0"/>
              <w:rPr>
                <w:sz w:val="19"/>
                <w:szCs w:val="19"/>
                <w:color w:val="auto"/>
              </w:rPr>
            </w:pPr>
          </w:p>
        </w:tc>
        <w:tc>
          <w:tcPr>
            <w:tcW w:w="1240" w:type="dxa"/>
            <w:vAlign w:val="bottom"/>
            <w:tcBorders>
              <w:top w:val="single" w:sz="8" w:color="auto"/>
              <w:bottom w:val="single" w:sz="8" w:color="auto"/>
              <w:right w:val="single" w:sz="8" w:color="auto"/>
            </w:tcBorders>
          </w:tcPr>
          <w:p>
            <w:pPr>
              <w:ind w:left="20"/>
              <w:spacing w:after="0"/>
              <w:rPr>
                <w:sz w:val="20"/>
                <w:szCs w:val="20"/>
                <w:color w:val="auto"/>
              </w:rPr>
            </w:pPr>
            <w:r>
              <w:rPr>
                <w:rFonts w:ascii="Arial" w:cs="Arial" w:eastAsia="Arial" w:hAnsi="Arial"/>
                <w:sz w:val="18"/>
                <w:szCs w:val="18"/>
                <w:b w:val="1"/>
                <w:bCs w:val="1"/>
                <w:color w:val="auto"/>
              </w:rPr>
              <w:t>Total</w:t>
            </w:r>
          </w:p>
        </w:tc>
      </w:tr>
      <w:tr>
        <w:trPr>
          <w:trHeight w:val="210"/>
        </w:trPr>
        <w:tc>
          <w:tcPr>
            <w:tcW w:w="480" w:type="dxa"/>
            <w:vAlign w:val="bottom"/>
            <w:tcBorders>
              <w:right w:val="single" w:sz="8" w:color="auto"/>
            </w:tcBorders>
          </w:tcPr>
          <w:p>
            <w:pPr>
              <w:spacing w:after="0"/>
              <w:rPr>
                <w:sz w:val="18"/>
                <w:szCs w:val="18"/>
                <w:color w:val="auto"/>
              </w:rPr>
            </w:pPr>
          </w:p>
        </w:tc>
        <w:tc>
          <w:tcPr>
            <w:tcW w:w="2100" w:type="dxa"/>
            <w:vAlign w:val="bottom"/>
            <w:tcBorders>
              <w:bottom w:val="single" w:sz="8" w:color="auto"/>
              <w:right w:val="single" w:sz="8" w:color="auto"/>
            </w:tcBorders>
          </w:tcPr>
          <w:p>
            <w:pPr>
              <w:ind w:left="140"/>
              <w:spacing w:after="0"/>
              <w:rPr>
                <w:sz w:val="20"/>
                <w:szCs w:val="20"/>
                <w:color w:val="auto"/>
              </w:rPr>
            </w:pPr>
            <w:r>
              <w:rPr>
                <w:rFonts w:ascii="Arial" w:cs="Arial" w:eastAsia="Arial" w:hAnsi="Arial"/>
                <w:sz w:val="18"/>
                <w:szCs w:val="18"/>
                <w:b w:val="1"/>
                <w:bCs w:val="1"/>
                <w:color w:val="auto"/>
              </w:rPr>
              <w:t>Validated</w:t>
            </w:r>
          </w:p>
        </w:tc>
        <w:tc>
          <w:tcPr>
            <w:tcW w:w="1020" w:type="dxa"/>
            <w:vAlign w:val="bottom"/>
            <w:tcBorders>
              <w:bottom w:val="single" w:sz="8" w:color="auto"/>
              <w:right w:val="single" w:sz="8" w:color="auto"/>
            </w:tcBorders>
          </w:tcPr>
          <w:p>
            <w:pPr>
              <w:jc w:val="center"/>
              <w:ind w:left="30"/>
              <w:spacing w:after="0"/>
              <w:rPr>
                <w:sz w:val="20"/>
                <w:szCs w:val="20"/>
                <w:color w:val="auto"/>
              </w:rPr>
            </w:pPr>
            <w:r>
              <w:rPr>
                <w:rFonts w:ascii="Arial" w:cs="Arial" w:eastAsia="Arial" w:hAnsi="Arial"/>
                <w:sz w:val="18"/>
                <w:szCs w:val="18"/>
                <w:color w:val="auto"/>
                <w:w w:val="89"/>
              </w:rPr>
              <w:t>79</w:t>
            </w:r>
          </w:p>
        </w:tc>
        <w:tc>
          <w:tcPr>
            <w:tcW w:w="18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9"/>
              </w:rPr>
              <w:t>44</w:t>
            </w:r>
          </w:p>
        </w:tc>
        <w:tc>
          <w:tcPr>
            <w:tcW w:w="740" w:type="dxa"/>
            <w:vAlign w:val="bottom"/>
            <w:tcBorders>
              <w:bottom w:val="single" w:sz="8" w:color="auto"/>
              <w:right w:val="single" w:sz="8" w:color="auto"/>
            </w:tcBorders>
          </w:tcPr>
          <w:p>
            <w:pPr>
              <w:jc w:val="center"/>
              <w:ind w:left="30"/>
              <w:spacing w:after="0"/>
              <w:rPr>
                <w:sz w:val="20"/>
                <w:szCs w:val="20"/>
                <w:color w:val="auto"/>
              </w:rPr>
            </w:pPr>
            <w:r>
              <w:rPr>
                <w:rFonts w:ascii="Arial" w:cs="Arial" w:eastAsia="Arial" w:hAnsi="Arial"/>
                <w:sz w:val="18"/>
                <w:szCs w:val="18"/>
                <w:color w:val="auto"/>
                <w:w w:val="89"/>
              </w:rPr>
              <w:t>58</w:t>
            </w:r>
          </w:p>
        </w:tc>
        <w:tc>
          <w:tcPr>
            <w:tcW w:w="172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89"/>
              </w:rPr>
              <w:t>30</w:t>
            </w:r>
          </w:p>
        </w:tc>
        <w:tc>
          <w:tcPr>
            <w:tcW w:w="2180" w:type="dxa"/>
            <w:vAlign w:val="bottom"/>
            <w:tcBorders>
              <w:bottom w:val="single" w:sz="8" w:color="auto"/>
              <w:right w:val="single" w:sz="8" w:color="auto"/>
            </w:tcBorders>
            <w:gridSpan w:val="2"/>
          </w:tcPr>
          <w:p>
            <w:pPr>
              <w:jc w:val="center"/>
              <w:ind w:left="30"/>
              <w:spacing w:after="0"/>
              <w:rPr>
                <w:sz w:val="20"/>
                <w:szCs w:val="20"/>
                <w:color w:val="auto"/>
              </w:rPr>
            </w:pPr>
            <w:r>
              <w:rPr>
                <w:rFonts w:ascii="Arial" w:cs="Arial" w:eastAsia="Arial" w:hAnsi="Arial"/>
                <w:sz w:val="18"/>
                <w:szCs w:val="18"/>
                <w:color w:val="auto"/>
                <w:w w:val="91"/>
              </w:rPr>
              <w:t>211 (72.8%)</w:t>
            </w:r>
          </w:p>
        </w:tc>
      </w:tr>
      <w:tr>
        <w:trPr>
          <w:trHeight w:val="210"/>
        </w:trPr>
        <w:tc>
          <w:tcPr>
            <w:tcW w:w="480" w:type="dxa"/>
            <w:vAlign w:val="bottom"/>
            <w:tcBorders>
              <w:right w:val="single" w:sz="8" w:color="auto"/>
            </w:tcBorders>
          </w:tcPr>
          <w:p>
            <w:pPr>
              <w:spacing w:after="0"/>
              <w:rPr>
                <w:sz w:val="18"/>
                <w:szCs w:val="18"/>
                <w:color w:val="auto"/>
              </w:rPr>
            </w:pPr>
          </w:p>
        </w:tc>
        <w:tc>
          <w:tcPr>
            <w:tcW w:w="2100" w:type="dxa"/>
            <w:vAlign w:val="bottom"/>
            <w:tcBorders>
              <w:bottom w:val="single" w:sz="8" w:color="auto"/>
              <w:right w:val="single" w:sz="8" w:color="auto"/>
            </w:tcBorders>
          </w:tcPr>
          <w:p>
            <w:pPr>
              <w:ind w:left="140"/>
              <w:spacing w:after="0"/>
              <w:rPr>
                <w:sz w:val="20"/>
                <w:szCs w:val="20"/>
                <w:color w:val="auto"/>
              </w:rPr>
            </w:pPr>
            <w:r>
              <w:rPr>
                <w:rFonts w:ascii="Arial" w:cs="Arial" w:eastAsia="Arial" w:hAnsi="Arial"/>
                <w:sz w:val="18"/>
                <w:szCs w:val="18"/>
                <w:b w:val="1"/>
                <w:bCs w:val="1"/>
                <w:color w:val="auto"/>
              </w:rPr>
              <w:t>Active</w:t>
            </w:r>
          </w:p>
        </w:tc>
        <w:tc>
          <w:tcPr>
            <w:tcW w:w="1020" w:type="dxa"/>
            <w:vAlign w:val="bottom"/>
            <w:tcBorders>
              <w:bottom w:val="single" w:sz="8" w:color="auto"/>
              <w:right w:val="single" w:sz="8" w:color="auto"/>
            </w:tcBorders>
          </w:tcPr>
          <w:p>
            <w:pPr>
              <w:jc w:val="center"/>
              <w:ind w:left="30"/>
              <w:spacing w:after="0"/>
              <w:rPr>
                <w:sz w:val="20"/>
                <w:szCs w:val="20"/>
                <w:color w:val="auto"/>
              </w:rPr>
            </w:pPr>
            <w:r>
              <w:rPr>
                <w:rFonts w:ascii="Arial" w:cs="Arial" w:eastAsia="Arial" w:hAnsi="Arial"/>
                <w:sz w:val="18"/>
                <w:szCs w:val="18"/>
                <w:color w:val="auto"/>
                <w:w w:val="89"/>
              </w:rPr>
              <w:t>15</w:t>
            </w:r>
          </w:p>
        </w:tc>
        <w:tc>
          <w:tcPr>
            <w:tcW w:w="182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79"/>
              </w:rPr>
              <w:t>0</w:t>
            </w:r>
          </w:p>
        </w:tc>
        <w:tc>
          <w:tcPr>
            <w:tcW w:w="740" w:type="dxa"/>
            <w:vAlign w:val="bottom"/>
            <w:tcBorders>
              <w:bottom w:val="single" w:sz="8" w:color="auto"/>
              <w:right w:val="single" w:sz="8" w:color="auto"/>
            </w:tcBorders>
          </w:tcPr>
          <w:p>
            <w:pPr>
              <w:jc w:val="center"/>
              <w:ind w:left="30"/>
              <w:spacing w:after="0"/>
              <w:rPr>
                <w:sz w:val="20"/>
                <w:szCs w:val="20"/>
                <w:color w:val="auto"/>
              </w:rPr>
            </w:pPr>
            <w:r>
              <w:rPr>
                <w:rFonts w:ascii="Arial" w:cs="Arial" w:eastAsia="Arial" w:hAnsi="Arial"/>
                <w:sz w:val="18"/>
                <w:szCs w:val="18"/>
                <w:color w:val="auto"/>
                <w:w w:val="89"/>
              </w:rPr>
              <w:t>10</w:t>
            </w:r>
          </w:p>
        </w:tc>
        <w:tc>
          <w:tcPr>
            <w:tcW w:w="1720" w:type="dxa"/>
            <w:vAlign w:val="bottom"/>
            <w:tcBorders>
              <w:bottom w:val="single" w:sz="8" w:color="auto"/>
              <w:right w:val="single" w:sz="8" w:color="auto"/>
            </w:tcBorders>
          </w:tcPr>
          <w:p>
            <w:pPr>
              <w:jc w:val="center"/>
              <w:ind w:left="30"/>
              <w:spacing w:after="0"/>
              <w:rPr>
                <w:sz w:val="20"/>
                <w:szCs w:val="20"/>
                <w:color w:val="auto"/>
              </w:rPr>
            </w:pPr>
            <w:r>
              <w:rPr>
                <w:rFonts w:ascii="Arial" w:cs="Arial" w:eastAsia="Arial" w:hAnsi="Arial"/>
                <w:sz w:val="18"/>
                <w:szCs w:val="18"/>
                <w:color w:val="auto"/>
                <w:w w:val="79"/>
              </w:rPr>
              <w:t>9</w:t>
            </w:r>
          </w:p>
        </w:tc>
        <w:tc>
          <w:tcPr>
            <w:tcW w:w="9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34</w:t>
            </w:r>
          </w:p>
        </w:tc>
        <w:tc>
          <w:tcPr>
            <w:tcW w:w="1240" w:type="dxa"/>
            <w:vAlign w:val="bottom"/>
            <w:tcBorders>
              <w:bottom w:val="single" w:sz="8" w:color="auto"/>
              <w:right w:val="single" w:sz="8" w:color="auto"/>
            </w:tcBorders>
          </w:tcPr>
          <w:p>
            <w:pPr>
              <w:ind w:left="40"/>
              <w:spacing w:after="0"/>
              <w:rPr>
                <w:sz w:val="20"/>
                <w:szCs w:val="20"/>
                <w:color w:val="auto"/>
              </w:rPr>
            </w:pPr>
            <w:r>
              <w:rPr>
                <w:rFonts w:ascii="Arial" w:cs="Arial" w:eastAsia="Arial" w:hAnsi="Arial"/>
                <w:sz w:val="18"/>
                <w:szCs w:val="18"/>
                <w:color w:val="auto"/>
              </w:rPr>
              <w:t>(11.7%)</w:t>
            </w:r>
          </w:p>
        </w:tc>
      </w:tr>
      <w:tr>
        <w:trPr>
          <w:trHeight w:val="210"/>
        </w:trPr>
        <w:tc>
          <w:tcPr>
            <w:tcW w:w="480" w:type="dxa"/>
            <w:vAlign w:val="bottom"/>
            <w:tcBorders>
              <w:right w:val="single" w:sz="8" w:color="auto"/>
            </w:tcBorders>
          </w:tcPr>
          <w:p>
            <w:pPr>
              <w:spacing w:after="0"/>
              <w:rPr>
                <w:sz w:val="18"/>
                <w:szCs w:val="18"/>
                <w:color w:val="auto"/>
              </w:rPr>
            </w:pPr>
          </w:p>
        </w:tc>
        <w:tc>
          <w:tcPr>
            <w:tcW w:w="2100" w:type="dxa"/>
            <w:vAlign w:val="bottom"/>
            <w:tcBorders>
              <w:bottom w:val="single" w:sz="8" w:color="auto"/>
              <w:right w:val="single" w:sz="8" w:color="auto"/>
            </w:tcBorders>
          </w:tcPr>
          <w:p>
            <w:pPr>
              <w:ind w:left="140"/>
              <w:spacing w:after="0"/>
              <w:rPr>
                <w:sz w:val="20"/>
                <w:szCs w:val="20"/>
                <w:color w:val="auto"/>
              </w:rPr>
            </w:pPr>
            <w:r>
              <w:rPr>
                <w:rFonts w:ascii="Arial" w:cs="Arial" w:eastAsia="Arial" w:hAnsi="Arial"/>
                <w:sz w:val="18"/>
                <w:szCs w:val="18"/>
                <w:b w:val="1"/>
                <w:bCs w:val="1"/>
                <w:color w:val="auto"/>
              </w:rPr>
              <w:t>Not Active</w:t>
            </w:r>
          </w:p>
        </w:tc>
        <w:tc>
          <w:tcPr>
            <w:tcW w:w="1020" w:type="dxa"/>
            <w:vAlign w:val="bottom"/>
            <w:tcBorders>
              <w:bottom w:val="single" w:sz="8" w:color="auto"/>
              <w:right w:val="single" w:sz="8" w:color="auto"/>
            </w:tcBorders>
          </w:tcPr>
          <w:p>
            <w:pPr>
              <w:jc w:val="center"/>
              <w:ind w:left="30"/>
              <w:spacing w:after="0"/>
              <w:rPr>
                <w:sz w:val="20"/>
                <w:szCs w:val="20"/>
                <w:color w:val="auto"/>
              </w:rPr>
            </w:pPr>
            <w:r>
              <w:rPr>
                <w:rFonts w:ascii="Arial" w:cs="Arial" w:eastAsia="Arial" w:hAnsi="Arial"/>
                <w:sz w:val="18"/>
                <w:szCs w:val="18"/>
                <w:color w:val="auto"/>
                <w:w w:val="89"/>
              </w:rPr>
              <w:t>27</w:t>
            </w:r>
          </w:p>
        </w:tc>
        <w:tc>
          <w:tcPr>
            <w:tcW w:w="182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79"/>
              </w:rPr>
              <w:t>0</w:t>
            </w:r>
          </w:p>
        </w:tc>
        <w:tc>
          <w:tcPr>
            <w:tcW w:w="740" w:type="dxa"/>
            <w:vAlign w:val="bottom"/>
            <w:tcBorders>
              <w:bottom w:val="single" w:sz="8" w:color="auto"/>
              <w:right w:val="single" w:sz="8" w:color="auto"/>
            </w:tcBorders>
          </w:tcPr>
          <w:p>
            <w:pPr>
              <w:jc w:val="center"/>
              <w:ind w:left="30"/>
              <w:spacing w:after="0"/>
              <w:rPr>
                <w:sz w:val="20"/>
                <w:szCs w:val="20"/>
                <w:color w:val="auto"/>
              </w:rPr>
            </w:pPr>
            <w:r>
              <w:rPr>
                <w:rFonts w:ascii="Arial" w:cs="Arial" w:eastAsia="Arial" w:hAnsi="Arial"/>
                <w:sz w:val="18"/>
                <w:szCs w:val="18"/>
                <w:color w:val="auto"/>
                <w:w w:val="89"/>
              </w:rPr>
              <w:t>14</w:t>
            </w:r>
          </w:p>
        </w:tc>
        <w:tc>
          <w:tcPr>
            <w:tcW w:w="1720" w:type="dxa"/>
            <w:vAlign w:val="bottom"/>
            <w:tcBorders>
              <w:bottom w:val="single" w:sz="8" w:color="auto"/>
              <w:right w:val="single" w:sz="8" w:color="auto"/>
            </w:tcBorders>
          </w:tcPr>
          <w:p>
            <w:pPr>
              <w:jc w:val="center"/>
              <w:ind w:left="30"/>
              <w:spacing w:after="0"/>
              <w:rPr>
                <w:sz w:val="20"/>
                <w:szCs w:val="20"/>
                <w:color w:val="auto"/>
              </w:rPr>
            </w:pPr>
            <w:r>
              <w:rPr>
                <w:rFonts w:ascii="Arial" w:cs="Arial" w:eastAsia="Arial" w:hAnsi="Arial"/>
                <w:sz w:val="18"/>
                <w:szCs w:val="18"/>
                <w:color w:val="auto"/>
                <w:w w:val="79"/>
              </w:rPr>
              <w:t>4</w:t>
            </w:r>
          </w:p>
        </w:tc>
        <w:tc>
          <w:tcPr>
            <w:tcW w:w="9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45</w:t>
            </w:r>
          </w:p>
        </w:tc>
        <w:tc>
          <w:tcPr>
            <w:tcW w:w="1240" w:type="dxa"/>
            <w:vAlign w:val="bottom"/>
            <w:tcBorders>
              <w:bottom w:val="single" w:sz="8" w:color="auto"/>
              <w:right w:val="single" w:sz="8" w:color="auto"/>
            </w:tcBorders>
          </w:tcPr>
          <w:p>
            <w:pPr>
              <w:ind w:left="20"/>
              <w:spacing w:after="0"/>
              <w:rPr>
                <w:sz w:val="20"/>
                <w:szCs w:val="20"/>
                <w:color w:val="auto"/>
              </w:rPr>
            </w:pPr>
            <w:r>
              <w:rPr>
                <w:rFonts w:ascii="Arial" w:cs="Arial" w:eastAsia="Arial" w:hAnsi="Arial"/>
                <w:sz w:val="18"/>
                <w:szCs w:val="18"/>
                <w:color w:val="auto"/>
              </w:rPr>
              <w:t>(15.5%)</w:t>
            </w:r>
          </w:p>
        </w:tc>
      </w:tr>
      <w:tr>
        <w:trPr>
          <w:trHeight w:val="210"/>
        </w:trPr>
        <w:tc>
          <w:tcPr>
            <w:tcW w:w="480" w:type="dxa"/>
            <w:vAlign w:val="bottom"/>
            <w:tcBorders>
              <w:right w:val="single" w:sz="8" w:color="auto"/>
            </w:tcBorders>
          </w:tcPr>
          <w:p>
            <w:pPr>
              <w:spacing w:after="0"/>
              <w:rPr>
                <w:sz w:val="18"/>
                <w:szCs w:val="18"/>
                <w:color w:val="auto"/>
              </w:rPr>
            </w:pPr>
          </w:p>
        </w:tc>
        <w:tc>
          <w:tcPr>
            <w:tcW w:w="2100" w:type="dxa"/>
            <w:vAlign w:val="bottom"/>
            <w:tcBorders>
              <w:bottom w:val="single" w:sz="8" w:color="auto"/>
              <w:right w:val="single" w:sz="8" w:color="auto"/>
            </w:tcBorders>
          </w:tcPr>
          <w:p>
            <w:pPr>
              <w:ind w:left="140"/>
              <w:spacing w:after="0"/>
              <w:rPr>
                <w:sz w:val="20"/>
                <w:szCs w:val="20"/>
                <w:color w:val="auto"/>
              </w:rPr>
            </w:pPr>
            <w:r>
              <w:rPr>
                <w:rFonts w:ascii="Arial" w:cs="Arial" w:eastAsia="Arial" w:hAnsi="Arial"/>
                <w:sz w:val="18"/>
                <w:szCs w:val="18"/>
                <w:b w:val="1"/>
                <w:bCs w:val="1"/>
                <w:color w:val="auto"/>
              </w:rPr>
              <w:t>Total</w:t>
            </w:r>
          </w:p>
        </w:tc>
        <w:tc>
          <w:tcPr>
            <w:tcW w:w="102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b w:val="1"/>
                <w:bCs w:val="1"/>
                <w:color w:val="auto"/>
                <w:w w:val="93"/>
              </w:rPr>
              <w:t>121</w:t>
            </w:r>
          </w:p>
        </w:tc>
        <w:tc>
          <w:tcPr>
            <w:tcW w:w="18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b w:val="1"/>
                <w:bCs w:val="1"/>
                <w:color w:val="auto"/>
                <w:w w:val="89"/>
              </w:rPr>
              <w:t>44</w:t>
            </w:r>
          </w:p>
        </w:tc>
        <w:tc>
          <w:tcPr>
            <w:tcW w:w="740" w:type="dxa"/>
            <w:vAlign w:val="bottom"/>
            <w:tcBorders>
              <w:bottom w:val="single" w:sz="8" w:color="auto"/>
              <w:right w:val="single" w:sz="8" w:color="auto"/>
            </w:tcBorders>
          </w:tcPr>
          <w:p>
            <w:pPr>
              <w:jc w:val="center"/>
              <w:ind w:left="30"/>
              <w:spacing w:after="0"/>
              <w:rPr>
                <w:sz w:val="20"/>
                <w:szCs w:val="20"/>
                <w:color w:val="auto"/>
              </w:rPr>
            </w:pPr>
            <w:r>
              <w:rPr>
                <w:rFonts w:ascii="Arial" w:cs="Arial" w:eastAsia="Arial" w:hAnsi="Arial"/>
                <w:sz w:val="18"/>
                <w:szCs w:val="18"/>
                <w:b w:val="1"/>
                <w:bCs w:val="1"/>
                <w:color w:val="auto"/>
                <w:w w:val="89"/>
              </w:rPr>
              <w:t>82</w:t>
            </w:r>
          </w:p>
        </w:tc>
        <w:tc>
          <w:tcPr>
            <w:tcW w:w="172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b w:val="1"/>
                <w:bCs w:val="1"/>
                <w:color w:val="auto"/>
                <w:w w:val="89"/>
              </w:rPr>
              <w:t>43</w:t>
            </w:r>
          </w:p>
        </w:tc>
        <w:tc>
          <w:tcPr>
            <w:tcW w:w="940" w:type="dxa"/>
            <w:vAlign w:val="bottom"/>
            <w:tcBorders>
              <w:bottom w:val="single" w:sz="8" w:color="auto"/>
            </w:tcBorders>
          </w:tcPr>
          <w:p>
            <w:pPr>
              <w:spacing w:after="0"/>
              <w:rPr>
                <w:sz w:val="18"/>
                <w:szCs w:val="18"/>
                <w:color w:val="auto"/>
              </w:rPr>
            </w:pPr>
          </w:p>
        </w:tc>
        <w:tc>
          <w:tcPr>
            <w:tcW w:w="1240" w:type="dxa"/>
            <w:vAlign w:val="bottom"/>
            <w:tcBorders>
              <w:bottom w:val="single" w:sz="8" w:color="auto"/>
              <w:right w:val="single" w:sz="8" w:color="auto"/>
            </w:tcBorders>
          </w:tcPr>
          <w:p>
            <w:pPr>
              <w:jc w:val="center"/>
              <w:ind w:right="730"/>
              <w:spacing w:after="0"/>
              <w:rPr>
                <w:sz w:val="20"/>
                <w:szCs w:val="20"/>
                <w:color w:val="auto"/>
              </w:rPr>
            </w:pPr>
            <w:r>
              <w:rPr>
                <w:rFonts w:ascii="Arial" w:cs="Arial" w:eastAsia="Arial" w:hAnsi="Arial"/>
                <w:sz w:val="18"/>
                <w:szCs w:val="18"/>
                <w:b w:val="1"/>
                <w:bCs w:val="1"/>
                <w:color w:val="auto"/>
                <w:w w:val="86"/>
              </w:rPr>
              <w:t>290</w:t>
            </w:r>
          </w:p>
        </w:tc>
      </w:tr>
      <w:tr>
        <w:trPr>
          <w:trHeight w:val="426"/>
        </w:trPr>
        <w:tc>
          <w:tcPr>
            <w:tcW w:w="7880" w:type="dxa"/>
            <w:vAlign w:val="bottom"/>
            <w:gridSpan w:val="6"/>
          </w:tcPr>
          <w:p>
            <w:pPr>
              <w:spacing w:after="0"/>
              <w:rPr>
                <w:sz w:val="20"/>
                <w:szCs w:val="20"/>
                <w:color w:val="auto"/>
              </w:rPr>
            </w:pPr>
            <w:r>
              <w:rPr>
                <w:rFonts w:ascii="Arial" w:cs="Arial" w:eastAsia="Arial" w:hAnsi="Arial"/>
                <w:sz w:val="18"/>
                <w:szCs w:val="18"/>
                <w:b w:val="1"/>
                <w:bCs w:val="1"/>
                <w:color w:val="auto"/>
              </w:rPr>
              <w:t xml:space="preserve">Table 2: </w:t>
            </w:r>
            <w:r>
              <w:rPr>
                <w:rFonts w:ascii="Arial" w:cs="Arial" w:eastAsia="Arial" w:hAnsi="Arial"/>
                <w:sz w:val="18"/>
                <w:szCs w:val="18"/>
                <w:color w:val="auto"/>
              </w:rPr>
              <w:t>Smelter and Refiner Validation Status Summary, excluding Kinoma Hardware Products</w:t>
            </w:r>
          </w:p>
        </w:tc>
        <w:tc>
          <w:tcPr>
            <w:tcW w:w="940" w:type="dxa"/>
            <w:vAlign w:val="bottom"/>
          </w:tcPr>
          <w:p>
            <w:pPr>
              <w:spacing w:after="0"/>
              <w:rPr>
                <w:sz w:val="24"/>
                <w:szCs w:val="24"/>
                <w:color w:val="auto"/>
              </w:rPr>
            </w:pPr>
          </w:p>
        </w:tc>
        <w:tc>
          <w:tcPr>
            <w:tcW w:w="1240" w:type="dxa"/>
            <w:vAlign w:val="bottom"/>
          </w:tcPr>
          <w:p>
            <w:pPr>
              <w:spacing w:after="0"/>
              <w:rPr>
                <w:sz w:val="24"/>
                <w:szCs w:val="24"/>
                <w:color w:val="auto"/>
              </w:rPr>
            </w:pPr>
          </w:p>
        </w:tc>
      </w:tr>
      <w:tr>
        <w:trPr>
          <w:trHeight w:val="243"/>
        </w:trPr>
        <w:tc>
          <w:tcPr>
            <w:tcW w:w="480" w:type="dxa"/>
            <w:vAlign w:val="bottom"/>
          </w:tcPr>
          <w:p>
            <w:pPr>
              <w:spacing w:after="0"/>
              <w:rPr>
                <w:sz w:val="21"/>
                <w:szCs w:val="21"/>
                <w:color w:val="auto"/>
              </w:rPr>
            </w:pPr>
          </w:p>
        </w:tc>
        <w:tc>
          <w:tcPr>
            <w:tcW w:w="2100" w:type="dxa"/>
            <w:vAlign w:val="bottom"/>
            <w:tcBorders>
              <w:bottom w:val="single" w:sz="8" w:color="auto"/>
            </w:tcBorders>
          </w:tcPr>
          <w:p>
            <w:pPr>
              <w:spacing w:after="0"/>
              <w:rPr>
                <w:sz w:val="21"/>
                <w:szCs w:val="21"/>
                <w:color w:val="auto"/>
              </w:rPr>
            </w:pPr>
          </w:p>
        </w:tc>
        <w:tc>
          <w:tcPr>
            <w:tcW w:w="1020" w:type="dxa"/>
            <w:vAlign w:val="bottom"/>
            <w:tcBorders>
              <w:bottom w:val="single" w:sz="8" w:color="auto"/>
            </w:tcBorders>
          </w:tcPr>
          <w:p>
            <w:pPr>
              <w:spacing w:after="0"/>
              <w:rPr>
                <w:sz w:val="21"/>
                <w:szCs w:val="21"/>
                <w:color w:val="auto"/>
              </w:rPr>
            </w:pPr>
          </w:p>
        </w:tc>
        <w:tc>
          <w:tcPr>
            <w:tcW w:w="1820" w:type="dxa"/>
            <w:vAlign w:val="bottom"/>
            <w:tcBorders>
              <w:bottom w:val="single" w:sz="8" w:color="auto"/>
            </w:tcBorders>
          </w:tcPr>
          <w:p>
            <w:pPr>
              <w:spacing w:after="0"/>
              <w:rPr>
                <w:sz w:val="21"/>
                <w:szCs w:val="21"/>
                <w:color w:val="auto"/>
              </w:rPr>
            </w:pPr>
          </w:p>
        </w:tc>
        <w:tc>
          <w:tcPr>
            <w:tcW w:w="740" w:type="dxa"/>
            <w:vAlign w:val="bottom"/>
            <w:tcBorders>
              <w:bottom w:val="single" w:sz="8" w:color="auto"/>
            </w:tcBorders>
          </w:tcPr>
          <w:p>
            <w:pPr>
              <w:spacing w:after="0"/>
              <w:rPr>
                <w:sz w:val="21"/>
                <w:szCs w:val="21"/>
                <w:color w:val="auto"/>
              </w:rPr>
            </w:pPr>
          </w:p>
        </w:tc>
        <w:tc>
          <w:tcPr>
            <w:tcW w:w="1720" w:type="dxa"/>
            <w:vAlign w:val="bottom"/>
            <w:tcBorders>
              <w:bottom w:val="single" w:sz="8" w:color="auto"/>
            </w:tcBorders>
          </w:tcPr>
          <w:p>
            <w:pPr>
              <w:spacing w:after="0"/>
              <w:rPr>
                <w:sz w:val="21"/>
                <w:szCs w:val="21"/>
                <w:color w:val="auto"/>
              </w:rPr>
            </w:pPr>
          </w:p>
        </w:tc>
        <w:tc>
          <w:tcPr>
            <w:tcW w:w="940" w:type="dxa"/>
            <w:vAlign w:val="bottom"/>
            <w:tcBorders>
              <w:bottom w:val="single" w:sz="8" w:color="auto"/>
            </w:tcBorders>
          </w:tcPr>
          <w:p>
            <w:pPr>
              <w:spacing w:after="0"/>
              <w:rPr>
                <w:sz w:val="21"/>
                <w:szCs w:val="21"/>
                <w:color w:val="auto"/>
              </w:rPr>
            </w:pPr>
          </w:p>
        </w:tc>
        <w:tc>
          <w:tcPr>
            <w:tcW w:w="1240" w:type="dxa"/>
            <w:vAlign w:val="bottom"/>
            <w:tcBorders>
              <w:bottom w:val="single" w:sz="8" w:color="auto"/>
            </w:tcBorders>
          </w:tcPr>
          <w:p>
            <w:pPr>
              <w:spacing w:after="0"/>
              <w:rPr>
                <w:sz w:val="21"/>
                <w:szCs w:val="21"/>
                <w:color w:val="auto"/>
              </w:rPr>
            </w:pPr>
          </w:p>
        </w:tc>
      </w:tr>
      <w:tr>
        <w:trPr>
          <w:trHeight w:val="210"/>
        </w:trPr>
        <w:tc>
          <w:tcPr>
            <w:tcW w:w="480" w:type="dxa"/>
            <w:vAlign w:val="bottom"/>
            <w:tcBorders>
              <w:right w:val="single" w:sz="8" w:color="auto"/>
            </w:tcBorders>
          </w:tcPr>
          <w:p>
            <w:pPr>
              <w:spacing w:after="0"/>
              <w:rPr>
                <w:sz w:val="18"/>
                <w:szCs w:val="18"/>
                <w:color w:val="auto"/>
              </w:rPr>
            </w:pPr>
          </w:p>
        </w:tc>
        <w:tc>
          <w:tcPr>
            <w:tcW w:w="2100" w:type="dxa"/>
            <w:vAlign w:val="bottom"/>
            <w:tcBorders>
              <w:bottom w:val="single" w:sz="8" w:color="auto"/>
              <w:right w:val="single" w:sz="8" w:color="auto"/>
            </w:tcBorders>
          </w:tcPr>
          <w:p>
            <w:pPr>
              <w:spacing w:after="0"/>
              <w:rPr>
                <w:sz w:val="18"/>
                <w:szCs w:val="18"/>
                <w:color w:val="auto"/>
              </w:rPr>
            </w:pPr>
          </w:p>
        </w:tc>
        <w:tc>
          <w:tcPr>
            <w:tcW w:w="1020" w:type="dxa"/>
            <w:vAlign w:val="bottom"/>
            <w:tcBorders>
              <w:bottom w:val="single" w:sz="8" w:color="auto"/>
              <w:right w:val="single" w:sz="8" w:color="auto"/>
            </w:tcBorders>
          </w:tcPr>
          <w:p>
            <w:pPr>
              <w:ind w:left="380"/>
              <w:spacing w:after="0"/>
              <w:rPr>
                <w:sz w:val="20"/>
                <w:szCs w:val="20"/>
                <w:color w:val="auto"/>
              </w:rPr>
            </w:pPr>
            <w:r>
              <w:rPr>
                <w:rFonts w:ascii="Arial" w:cs="Arial" w:eastAsia="Arial" w:hAnsi="Arial"/>
                <w:sz w:val="18"/>
                <w:szCs w:val="18"/>
                <w:b w:val="1"/>
                <w:bCs w:val="1"/>
                <w:color w:val="auto"/>
              </w:rPr>
              <w:t>Gold</w:t>
            </w:r>
          </w:p>
        </w:tc>
        <w:tc>
          <w:tcPr>
            <w:tcW w:w="1820" w:type="dxa"/>
            <w:vAlign w:val="bottom"/>
            <w:tcBorders>
              <w:bottom w:val="single" w:sz="8" w:color="auto"/>
              <w:right w:val="single" w:sz="8" w:color="auto"/>
            </w:tcBorders>
          </w:tcPr>
          <w:p>
            <w:pPr>
              <w:ind w:left="580"/>
              <w:spacing w:after="0"/>
              <w:rPr>
                <w:sz w:val="20"/>
                <w:szCs w:val="20"/>
                <w:color w:val="auto"/>
              </w:rPr>
            </w:pPr>
            <w:r>
              <w:rPr>
                <w:rFonts w:ascii="Arial" w:cs="Arial" w:eastAsia="Arial" w:hAnsi="Arial"/>
                <w:sz w:val="18"/>
                <w:szCs w:val="18"/>
                <w:b w:val="1"/>
                <w:bCs w:val="1"/>
                <w:color w:val="auto"/>
              </w:rPr>
              <w:t>Tantalum</w:t>
            </w:r>
          </w:p>
        </w:tc>
        <w:tc>
          <w:tcPr>
            <w:tcW w:w="740" w:type="dxa"/>
            <w:vAlign w:val="bottom"/>
            <w:tcBorders>
              <w:bottom w:val="single" w:sz="8" w:color="auto"/>
              <w:right w:val="single" w:sz="8" w:color="auto"/>
            </w:tcBorders>
          </w:tcPr>
          <w:p>
            <w:pPr>
              <w:ind w:left="280"/>
              <w:spacing w:after="0"/>
              <w:rPr>
                <w:sz w:val="20"/>
                <w:szCs w:val="20"/>
                <w:color w:val="auto"/>
              </w:rPr>
            </w:pPr>
            <w:r>
              <w:rPr>
                <w:rFonts w:ascii="Arial" w:cs="Arial" w:eastAsia="Arial" w:hAnsi="Arial"/>
                <w:sz w:val="18"/>
                <w:szCs w:val="18"/>
                <w:b w:val="1"/>
                <w:bCs w:val="1"/>
                <w:color w:val="auto"/>
              </w:rPr>
              <w:t>Tin</w:t>
            </w:r>
          </w:p>
        </w:tc>
        <w:tc>
          <w:tcPr>
            <w:tcW w:w="1720" w:type="dxa"/>
            <w:vAlign w:val="bottom"/>
            <w:tcBorders>
              <w:bottom w:val="single" w:sz="8" w:color="auto"/>
              <w:right w:val="single" w:sz="8" w:color="auto"/>
            </w:tcBorders>
          </w:tcPr>
          <w:p>
            <w:pPr>
              <w:ind w:left="560"/>
              <w:spacing w:after="0"/>
              <w:rPr>
                <w:sz w:val="20"/>
                <w:szCs w:val="20"/>
                <w:color w:val="auto"/>
              </w:rPr>
            </w:pPr>
            <w:r>
              <w:rPr>
                <w:rFonts w:ascii="Arial" w:cs="Arial" w:eastAsia="Arial" w:hAnsi="Arial"/>
                <w:sz w:val="18"/>
                <w:szCs w:val="18"/>
                <w:b w:val="1"/>
                <w:bCs w:val="1"/>
                <w:color w:val="auto"/>
              </w:rPr>
              <w:t>Tungsten</w:t>
            </w:r>
          </w:p>
        </w:tc>
        <w:tc>
          <w:tcPr>
            <w:tcW w:w="940" w:type="dxa"/>
            <w:vAlign w:val="bottom"/>
            <w:tcBorders>
              <w:bottom w:val="single" w:sz="8" w:color="auto"/>
            </w:tcBorders>
          </w:tcPr>
          <w:p>
            <w:pPr>
              <w:spacing w:after="0"/>
              <w:rPr>
                <w:sz w:val="18"/>
                <w:szCs w:val="18"/>
                <w:color w:val="auto"/>
              </w:rPr>
            </w:pPr>
          </w:p>
        </w:tc>
        <w:tc>
          <w:tcPr>
            <w:tcW w:w="1240" w:type="dxa"/>
            <w:vAlign w:val="bottom"/>
            <w:tcBorders>
              <w:bottom w:val="single" w:sz="8" w:color="auto"/>
              <w:right w:val="single" w:sz="8" w:color="auto"/>
            </w:tcBorders>
          </w:tcPr>
          <w:p>
            <w:pPr>
              <w:ind w:left="20"/>
              <w:spacing w:after="0"/>
              <w:rPr>
                <w:sz w:val="20"/>
                <w:szCs w:val="20"/>
                <w:color w:val="auto"/>
              </w:rPr>
            </w:pPr>
            <w:r>
              <w:rPr>
                <w:rFonts w:ascii="Arial" w:cs="Arial" w:eastAsia="Arial" w:hAnsi="Arial"/>
                <w:sz w:val="18"/>
                <w:szCs w:val="18"/>
                <w:b w:val="1"/>
                <w:bCs w:val="1"/>
                <w:color w:val="auto"/>
              </w:rPr>
              <w:t>Total</w:t>
            </w:r>
          </w:p>
        </w:tc>
      </w:tr>
      <w:tr>
        <w:trPr>
          <w:trHeight w:val="210"/>
        </w:trPr>
        <w:tc>
          <w:tcPr>
            <w:tcW w:w="480" w:type="dxa"/>
            <w:vAlign w:val="bottom"/>
            <w:tcBorders>
              <w:right w:val="single" w:sz="8" w:color="auto"/>
            </w:tcBorders>
          </w:tcPr>
          <w:p>
            <w:pPr>
              <w:spacing w:after="0"/>
              <w:rPr>
                <w:sz w:val="18"/>
                <w:szCs w:val="18"/>
                <w:color w:val="auto"/>
              </w:rPr>
            </w:pPr>
          </w:p>
        </w:tc>
        <w:tc>
          <w:tcPr>
            <w:tcW w:w="2100" w:type="dxa"/>
            <w:vAlign w:val="bottom"/>
            <w:tcBorders>
              <w:bottom w:val="single" w:sz="8" w:color="auto"/>
              <w:right w:val="single" w:sz="8" w:color="auto"/>
            </w:tcBorders>
          </w:tcPr>
          <w:p>
            <w:pPr>
              <w:ind w:left="140"/>
              <w:spacing w:after="0"/>
              <w:rPr>
                <w:sz w:val="20"/>
                <w:szCs w:val="20"/>
                <w:color w:val="auto"/>
              </w:rPr>
            </w:pPr>
            <w:r>
              <w:rPr>
                <w:rFonts w:ascii="Arial" w:cs="Arial" w:eastAsia="Arial" w:hAnsi="Arial"/>
                <w:sz w:val="18"/>
                <w:szCs w:val="18"/>
                <w:b w:val="1"/>
                <w:bCs w:val="1"/>
                <w:color w:val="auto"/>
              </w:rPr>
              <w:t>Validated</w:t>
            </w:r>
          </w:p>
        </w:tc>
        <w:tc>
          <w:tcPr>
            <w:tcW w:w="1020" w:type="dxa"/>
            <w:vAlign w:val="bottom"/>
            <w:tcBorders>
              <w:bottom w:val="single" w:sz="8" w:color="auto"/>
              <w:right w:val="single" w:sz="8" w:color="auto"/>
            </w:tcBorders>
          </w:tcPr>
          <w:p>
            <w:pPr>
              <w:jc w:val="center"/>
              <w:ind w:left="30"/>
              <w:spacing w:after="0"/>
              <w:rPr>
                <w:sz w:val="20"/>
                <w:szCs w:val="20"/>
                <w:color w:val="auto"/>
              </w:rPr>
            </w:pPr>
            <w:r>
              <w:rPr>
                <w:rFonts w:ascii="Arial" w:cs="Arial" w:eastAsia="Arial" w:hAnsi="Arial"/>
                <w:sz w:val="18"/>
                <w:szCs w:val="18"/>
                <w:color w:val="auto"/>
                <w:w w:val="89"/>
              </w:rPr>
              <w:t>62</w:t>
            </w:r>
          </w:p>
        </w:tc>
        <w:tc>
          <w:tcPr>
            <w:tcW w:w="18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9"/>
              </w:rPr>
              <w:t>36</w:t>
            </w:r>
          </w:p>
        </w:tc>
        <w:tc>
          <w:tcPr>
            <w:tcW w:w="740" w:type="dxa"/>
            <w:vAlign w:val="bottom"/>
            <w:tcBorders>
              <w:bottom w:val="single" w:sz="8" w:color="auto"/>
              <w:right w:val="single" w:sz="8" w:color="auto"/>
            </w:tcBorders>
          </w:tcPr>
          <w:p>
            <w:pPr>
              <w:jc w:val="center"/>
              <w:ind w:left="30"/>
              <w:spacing w:after="0"/>
              <w:rPr>
                <w:sz w:val="20"/>
                <w:szCs w:val="20"/>
                <w:color w:val="auto"/>
              </w:rPr>
            </w:pPr>
            <w:r>
              <w:rPr>
                <w:rFonts w:ascii="Arial" w:cs="Arial" w:eastAsia="Arial" w:hAnsi="Arial"/>
                <w:sz w:val="18"/>
                <w:szCs w:val="18"/>
                <w:color w:val="auto"/>
                <w:w w:val="89"/>
              </w:rPr>
              <w:t>46</w:t>
            </w:r>
          </w:p>
        </w:tc>
        <w:tc>
          <w:tcPr>
            <w:tcW w:w="172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89"/>
              </w:rPr>
              <w:t>19</w:t>
            </w:r>
          </w:p>
        </w:tc>
        <w:tc>
          <w:tcPr>
            <w:tcW w:w="2180" w:type="dxa"/>
            <w:vAlign w:val="bottom"/>
            <w:tcBorders>
              <w:bottom w:val="single" w:sz="8" w:color="auto"/>
              <w:right w:val="single" w:sz="8" w:color="auto"/>
            </w:tcBorders>
            <w:gridSpan w:val="2"/>
          </w:tcPr>
          <w:p>
            <w:pPr>
              <w:jc w:val="center"/>
              <w:ind w:left="30"/>
              <w:spacing w:after="0"/>
              <w:rPr>
                <w:sz w:val="20"/>
                <w:szCs w:val="20"/>
                <w:color w:val="auto"/>
              </w:rPr>
            </w:pPr>
            <w:r>
              <w:rPr>
                <w:rFonts w:ascii="Arial" w:cs="Arial" w:eastAsia="Arial" w:hAnsi="Arial"/>
                <w:sz w:val="18"/>
                <w:szCs w:val="18"/>
                <w:color w:val="auto"/>
                <w:w w:val="91"/>
              </w:rPr>
              <w:t>163 (98.8%)</w:t>
            </w:r>
          </w:p>
        </w:tc>
      </w:tr>
      <w:tr>
        <w:trPr>
          <w:trHeight w:val="210"/>
        </w:trPr>
        <w:tc>
          <w:tcPr>
            <w:tcW w:w="480" w:type="dxa"/>
            <w:vAlign w:val="bottom"/>
            <w:tcBorders>
              <w:right w:val="single" w:sz="8" w:color="auto"/>
            </w:tcBorders>
          </w:tcPr>
          <w:p>
            <w:pPr>
              <w:spacing w:after="0"/>
              <w:rPr>
                <w:sz w:val="18"/>
                <w:szCs w:val="18"/>
                <w:color w:val="auto"/>
              </w:rPr>
            </w:pPr>
          </w:p>
        </w:tc>
        <w:tc>
          <w:tcPr>
            <w:tcW w:w="2100" w:type="dxa"/>
            <w:vAlign w:val="bottom"/>
            <w:tcBorders>
              <w:bottom w:val="single" w:sz="8" w:color="auto"/>
              <w:right w:val="single" w:sz="8" w:color="auto"/>
            </w:tcBorders>
          </w:tcPr>
          <w:p>
            <w:pPr>
              <w:ind w:left="140"/>
              <w:spacing w:after="0"/>
              <w:rPr>
                <w:sz w:val="20"/>
                <w:szCs w:val="20"/>
                <w:color w:val="auto"/>
              </w:rPr>
            </w:pPr>
            <w:r>
              <w:rPr>
                <w:rFonts w:ascii="Arial" w:cs="Arial" w:eastAsia="Arial" w:hAnsi="Arial"/>
                <w:sz w:val="18"/>
                <w:szCs w:val="18"/>
                <w:b w:val="1"/>
                <w:bCs w:val="1"/>
                <w:color w:val="auto"/>
              </w:rPr>
              <w:t>Active</w:t>
            </w:r>
          </w:p>
        </w:tc>
        <w:tc>
          <w:tcPr>
            <w:tcW w:w="102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79"/>
              </w:rPr>
              <w:t>0</w:t>
            </w:r>
          </w:p>
        </w:tc>
        <w:tc>
          <w:tcPr>
            <w:tcW w:w="182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79"/>
              </w:rPr>
              <w:t>0</w:t>
            </w:r>
          </w:p>
        </w:tc>
        <w:tc>
          <w:tcPr>
            <w:tcW w:w="74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79"/>
              </w:rPr>
              <w:t>2</w:t>
            </w:r>
          </w:p>
        </w:tc>
        <w:tc>
          <w:tcPr>
            <w:tcW w:w="1720" w:type="dxa"/>
            <w:vAlign w:val="bottom"/>
            <w:tcBorders>
              <w:bottom w:val="single" w:sz="8" w:color="auto"/>
              <w:right w:val="single" w:sz="8" w:color="auto"/>
            </w:tcBorders>
          </w:tcPr>
          <w:p>
            <w:pPr>
              <w:jc w:val="center"/>
              <w:ind w:left="30"/>
              <w:spacing w:after="0"/>
              <w:rPr>
                <w:sz w:val="20"/>
                <w:szCs w:val="20"/>
                <w:color w:val="auto"/>
              </w:rPr>
            </w:pPr>
            <w:r>
              <w:rPr>
                <w:rFonts w:ascii="Arial" w:cs="Arial" w:eastAsia="Arial" w:hAnsi="Arial"/>
                <w:sz w:val="18"/>
                <w:szCs w:val="18"/>
                <w:color w:val="auto"/>
                <w:w w:val="79"/>
              </w:rPr>
              <w:t>0</w:t>
            </w:r>
          </w:p>
        </w:tc>
        <w:tc>
          <w:tcPr>
            <w:tcW w:w="9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w:t>
            </w:r>
          </w:p>
        </w:tc>
        <w:tc>
          <w:tcPr>
            <w:tcW w:w="1240" w:type="dxa"/>
            <w:vAlign w:val="bottom"/>
            <w:tcBorders>
              <w:bottom w:val="single" w:sz="8" w:color="auto"/>
              <w:right w:val="single" w:sz="8" w:color="auto"/>
            </w:tcBorders>
          </w:tcPr>
          <w:p>
            <w:pPr>
              <w:ind w:left="20"/>
              <w:spacing w:after="0"/>
              <w:rPr>
                <w:sz w:val="20"/>
                <w:szCs w:val="20"/>
                <w:color w:val="auto"/>
              </w:rPr>
            </w:pPr>
            <w:r>
              <w:rPr>
                <w:rFonts w:ascii="Arial" w:cs="Arial" w:eastAsia="Arial" w:hAnsi="Arial"/>
                <w:sz w:val="18"/>
                <w:szCs w:val="18"/>
                <w:color w:val="auto"/>
              </w:rPr>
              <w:t>(1.2%)</w:t>
            </w:r>
          </w:p>
        </w:tc>
      </w:tr>
      <w:tr>
        <w:trPr>
          <w:trHeight w:val="210"/>
        </w:trPr>
        <w:tc>
          <w:tcPr>
            <w:tcW w:w="480" w:type="dxa"/>
            <w:vAlign w:val="bottom"/>
            <w:tcBorders>
              <w:right w:val="single" w:sz="8" w:color="auto"/>
            </w:tcBorders>
          </w:tcPr>
          <w:p>
            <w:pPr>
              <w:spacing w:after="0"/>
              <w:rPr>
                <w:sz w:val="18"/>
                <w:szCs w:val="18"/>
                <w:color w:val="auto"/>
              </w:rPr>
            </w:pPr>
          </w:p>
        </w:tc>
        <w:tc>
          <w:tcPr>
            <w:tcW w:w="2100" w:type="dxa"/>
            <w:vAlign w:val="bottom"/>
            <w:tcBorders>
              <w:bottom w:val="single" w:sz="8" w:color="auto"/>
              <w:right w:val="single" w:sz="8" w:color="auto"/>
            </w:tcBorders>
          </w:tcPr>
          <w:p>
            <w:pPr>
              <w:ind w:left="140"/>
              <w:spacing w:after="0"/>
              <w:rPr>
                <w:sz w:val="20"/>
                <w:szCs w:val="20"/>
                <w:color w:val="auto"/>
              </w:rPr>
            </w:pPr>
            <w:r>
              <w:rPr>
                <w:rFonts w:ascii="Arial" w:cs="Arial" w:eastAsia="Arial" w:hAnsi="Arial"/>
                <w:sz w:val="18"/>
                <w:szCs w:val="18"/>
                <w:b w:val="1"/>
                <w:bCs w:val="1"/>
                <w:color w:val="auto"/>
              </w:rPr>
              <w:t>Not Active</w:t>
            </w:r>
          </w:p>
        </w:tc>
        <w:tc>
          <w:tcPr>
            <w:tcW w:w="102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79"/>
              </w:rPr>
              <w:t>0</w:t>
            </w:r>
          </w:p>
        </w:tc>
        <w:tc>
          <w:tcPr>
            <w:tcW w:w="182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79"/>
              </w:rPr>
              <w:t>0</w:t>
            </w:r>
          </w:p>
        </w:tc>
        <w:tc>
          <w:tcPr>
            <w:tcW w:w="74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79"/>
              </w:rPr>
              <w:t>0</w:t>
            </w:r>
          </w:p>
        </w:tc>
        <w:tc>
          <w:tcPr>
            <w:tcW w:w="1720" w:type="dxa"/>
            <w:vAlign w:val="bottom"/>
            <w:tcBorders>
              <w:bottom w:val="single" w:sz="8" w:color="auto"/>
              <w:right w:val="single" w:sz="8" w:color="auto"/>
            </w:tcBorders>
          </w:tcPr>
          <w:p>
            <w:pPr>
              <w:jc w:val="center"/>
              <w:ind w:left="30"/>
              <w:spacing w:after="0"/>
              <w:rPr>
                <w:sz w:val="20"/>
                <w:szCs w:val="20"/>
                <w:color w:val="auto"/>
              </w:rPr>
            </w:pPr>
            <w:r>
              <w:rPr>
                <w:rFonts w:ascii="Arial" w:cs="Arial" w:eastAsia="Arial" w:hAnsi="Arial"/>
                <w:sz w:val="18"/>
                <w:szCs w:val="18"/>
                <w:color w:val="auto"/>
                <w:w w:val="79"/>
              </w:rPr>
              <w:t>0</w:t>
            </w:r>
          </w:p>
        </w:tc>
        <w:tc>
          <w:tcPr>
            <w:tcW w:w="2180" w:type="dxa"/>
            <w:vAlign w:val="bottom"/>
            <w:tcBorders>
              <w:bottom w:val="single" w:sz="8" w:color="auto"/>
              <w:right w:val="single" w:sz="8" w:color="auto"/>
            </w:tcBorders>
            <w:gridSpan w:val="2"/>
          </w:tcPr>
          <w:p>
            <w:pPr>
              <w:jc w:val="center"/>
              <w:ind w:left="30"/>
              <w:spacing w:after="0"/>
              <w:rPr>
                <w:sz w:val="20"/>
                <w:szCs w:val="20"/>
                <w:color w:val="auto"/>
              </w:rPr>
            </w:pPr>
            <w:r>
              <w:rPr>
                <w:rFonts w:ascii="Arial" w:cs="Arial" w:eastAsia="Arial" w:hAnsi="Arial"/>
                <w:sz w:val="18"/>
                <w:szCs w:val="18"/>
                <w:color w:val="auto"/>
                <w:w w:val="94"/>
              </w:rPr>
              <w:t>0 (0%)</w:t>
            </w:r>
          </w:p>
        </w:tc>
      </w:tr>
      <w:tr>
        <w:trPr>
          <w:trHeight w:val="210"/>
        </w:trPr>
        <w:tc>
          <w:tcPr>
            <w:tcW w:w="480" w:type="dxa"/>
            <w:vAlign w:val="bottom"/>
            <w:tcBorders>
              <w:right w:val="single" w:sz="8" w:color="auto"/>
            </w:tcBorders>
          </w:tcPr>
          <w:p>
            <w:pPr>
              <w:spacing w:after="0"/>
              <w:rPr>
                <w:sz w:val="18"/>
                <w:szCs w:val="18"/>
                <w:color w:val="auto"/>
              </w:rPr>
            </w:pPr>
          </w:p>
        </w:tc>
        <w:tc>
          <w:tcPr>
            <w:tcW w:w="2100" w:type="dxa"/>
            <w:vAlign w:val="bottom"/>
            <w:tcBorders>
              <w:bottom w:val="single" w:sz="8" w:color="auto"/>
              <w:right w:val="single" w:sz="8" w:color="auto"/>
            </w:tcBorders>
          </w:tcPr>
          <w:p>
            <w:pPr>
              <w:ind w:left="140"/>
              <w:spacing w:after="0"/>
              <w:rPr>
                <w:sz w:val="20"/>
                <w:szCs w:val="20"/>
                <w:color w:val="auto"/>
              </w:rPr>
            </w:pPr>
            <w:r>
              <w:rPr>
                <w:rFonts w:ascii="Arial" w:cs="Arial" w:eastAsia="Arial" w:hAnsi="Arial"/>
                <w:sz w:val="18"/>
                <w:szCs w:val="18"/>
                <w:b w:val="1"/>
                <w:bCs w:val="1"/>
                <w:color w:val="auto"/>
              </w:rPr>
              <w:t>Total</w:t>
            </w:r>
          </w:p>
        </w:tc>
        <w:tc>
          <w:tcPr>
            <w:tcW w:w="1020" w:type="dxa"/>
            <w:vAlign w:val="bottom"/>
            <w:tcBorders>
              <w:bottom w:val="single" w:sz="8" w:color="auto"/>
              <w:right w:val="single" w:sz="8" w:color="auto"/>
            </w:tcBorders>
          </w:tcPr>
          <w:p>
            <w:pPr>
              <w:jc w:val="center"/>
              <w:ind w:left="30"/>
              <w:spacing w:after="0"/>
              <w:rPr>
                <w:sz w:val="20"/>
                <w:szCs w:val="20"/>
                <w:color w:val="auto"/>
              </w:rPr>
            </w:pPr>
            <w:r>
              <w:rPr>
                <w:rFonts w:ascii="Arial" w:cs="Arial" w:eastAsia="Arial" w:hAnsi="Arial"/>
                <w:sz w:val="18"/>
                <w:szCs w:val="18"/>
                <w:b w:val="1"/>
                <w:bCs w:val="1"/>
                <w:color w:val="auto"/>
                <w:w w:val="89"/>
              </w:rPr>
              <w:t>62</w:t>
            </w:r>
          </w:p>
        </w:tc>
        <w:tc>
          <w:tcPr>
            <w:tcW w:w="18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b w:val="1"/>
                <w:bCs w:val="1"/>
                <w:color w:val="auto"/>
                <w:w w:val="89"/>
              </w:rPr>
              <w:t>36</w:t>
            </w:r>
          </w:p>
        </w:tc>
        <w:tc>
          <w:tcPr>
            <w:tcW w:w="740" w:type="dxa"/>
            <w:vAlign w:val="bottom"/>
            <w:tcBorders>
              <w:bottom w:val="single" w:sz="8" w:color="auto"/>
              <w:right w:val="single" w:sz="8" w:color="auto"/>
            </w:tcBorders>
          </w:tcPr>
          <w:p>
            <w:pPr>
              <w:jc w:val="center"/>
              <w:ind w:left="30"/>
              <w:spacing w:after="0"/>
              <w:rPr>
                <w:sz w:val="20"/>
                <w:szCs w:val="20"/>
                <w:color w:val="auto"/>
              </w:rPr>
            </w:pPr>
            <w:r>
              <w:rPr>
                <w:rFonts w:ascii="Arial" w:cs="Arial" w:eastAsia="Arial" w:hAnsi="Arial"/>
                <w:sz w:val="18"/>
                <w:szCs w:val="18"/>
                <w:b w:val="1"/>
                <w:bCs w:val="1"/>
                <w:color w:val="auto"/>
                <w:w w:val="89"/>
              </w:rPr>
              <w:t>48</w:t>
            </w:r>
          </w:p>
        </w:tc>
        <w:tc>
          <w:tcPr>
            <w:tcW w:w="172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b w:val="1"/>
                <w:bCs w:val="1"/>
                <w:color w:val="auto"/>
                <w:w w:val="89"/>
              </w:rPr>
              <w:t>19</w:t>
            </w:r>
          </w:p>
        </w:tc>
        <w:tc>
          <w:tcPr>
            <w:tcW w:w="940" w:type="dxa"/>
            <w:vAlign w:val="bottom"/>
            <w:tcBorders>
              <w:bottom w:val="single" w:sz="8" w:color="auto"/>
            </w:tcBorders>
          </w:tcPr>
          <w:p>
            <w:pPr>
              <w:spacing w:after="0"/>
              <w:rPr>
                <w:sz w:val="18"/>
                <w:szCs w:val="18"/>
                <w:color w:val="auto"/>
              </w:rPr>
            </w:pPr>
          </w:p>
        </w:tc>
        <w:tc>
          <w:tcPr>
            <w:tcW w:w="1240" w:type="dxa"/>
            <w:vAlign w:val="bottom"/>
            <w:tcBorders>
              <w:bottom w:val="single" w:sz="8" w:color="auto"/>
              <w:right w:val="single" w:sz="8" w:color="auto"/>
            </w:tcBorders>
          </w:tcPr>
          <w:p>
            <w:pPr>
              <w:jc w:val="center"/>
              <w:ind w:right="730"/>
              <w:spacing w:after="0"/>
              <w:rPr>
                <w:sz w:val="20"/>
                <w:szCs w:val="20"/>
                <w:color w:val="auto"/>
              </w:rPr>
            </w:pPr>
            <w:r>
              <w:rPr>
                <w:rFonts w:ascii="Arial" w:cs="Arial" w:eastAsia="Arial" w:hAnsi="Arial"/>
                <w:sz w:val="18"/>
                <w:szCs w:val="18"/>
                <w:b w:val="1"/>
                <w:bCs w:val="1"/>
                <w:color w:val="auto"/>
                <w:w w:val="86"/>
              </w:rPr>
              <w:t>165</w:t>
            </w:r>
          </w:p>
        </w:tc>
      </w:tr>
    </w:tbl>
    <w:p>
      <w:pPr>
        <w:sectPr>
          <w:pgSz w:w="11900" w:h="16838" w:orient="portrait"/>
          <w:cols w:equalWidth="0" w:num="1">
            <w:col w:w="11320"/>
          </w:cols>
          <w:pgMar w:left="240" w:top="270" w:right="339" w:bottom="1440" w:gutter="0" w:footer="0" w:header="0"/>
        </w:sectPr>
      </w:pPr>
    </w:p>
    <w:bookmarkStart w:id="11" w:name="page12"/>
    <w:bookmarkEnd w:id="11"/>
    <w:p>
      <w:pPr>
        <w:ind w:left="46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 xml:space="preserve">Table 3: </w:t>
      </w:r>
      <w:r>
        <w:rPr>
          <w:rFonts w:ascii="Arial" w:cs="Arial" w:eastAsia="Arial" w:hAnsi="Arial"/>
          <w:sz w:val="18"/>
          <w:szCs w:val="18"/>
          <w:color w:val="auto"/>
        </w:rPr>
        <w:t>Smelter and Refiner Validation Status Summary, including Kinoma Hardware Products</w:t>
      </w:r>
    </w:p>
    <w:p>
      <w:pPr>
        <w:spacing w:after="0" w:line="251" w:lineRule="exact"/>
        <w:rPr>
          <w:sz w:val="20"/>
          <w:szCs w:val="20"/>
          <w:color w:val="auto"/>
        </w:rPr>
      </w:pPr>
    </w:p>
    <w:tbl>
      <w:tblPr>
        <w:tblLayout w:type="fixed"/>
        <w:tblInd w:w="10" w:type="dxa"/>
        <w:tblCellMar>
          <w:top w:w="0" w:type="dxa"/>
          <w:left w:w="0" w:type="dxa"/>
          <w:bottom w:w="0" w:type="dxa"/>
          <w:right w:w="0" w:type="dxa"/>
        </w:tblCellMar>
      </w:tblPr>
      <w:tr>
        <w:trPr>
          <w:trHeight w:val="230"/>
        </w:trPr>
        <w:tc>
          <w:tcPr>
            <w:tcW w:w="1300" w:type="dxa"/>
            <w:vAlign w:val="bottom"/>
            <w:tcBorders>
              <w:top w:val="single" w:sz="8" w:color="auto"/>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b w:val="1"/>
                <w:bCs w:val="1"/>
                <w:color w:val="auto"/>
              </w:rPr>
              <w:t>MINERAL</w:t>
            </w:r>
          </w:p>
        </w:tc>
        <w:tc>
          <w:tcPr>
            <w:tcW w:w="8920" w:type="dxa"/>
            <w:vAlign w:val="bottom"/>
            <w:tcBorders>
              <w:top w:val="single" w:sz="8" w:color="auto"/>
              <w:bottom w:val="single" w:sz="8" w:color="auto"/>
              <w:right w:val="single" w:sz="8" w:color="auto"/>
            </w:tcBorders>
          </w:tcPr>
          <w:p>
            <w:pPr>
              <w:ind w:left="3820"/>
              <w:spacing w:after="0"/>
              <w:rPr>
                <w:sz w:val="20"/>
                <w:szCs w:val="20"/>
                <w:color w:val="auto"/>
              </w:rPr>
            </w:pPr>
            <w:r>
              <w:rPr>
                <w:rFonts w:ascii="Arial" w:cs="Arial" w:eastAsia="Arial" w:hAnsi="Arial"/>
                <w:sz w:val="18"/>
                <w:szCs w:val="18"/>
                <w:b w:val="1"/>
                <w:bCs w:val="1"/>
                <w:color w:val="auto"/>
              </w:rPr>
              <w:t>SMELTER NAME</w:t>
            </w:r>
          </w:p>
        </w:tc>
        <w:tc>
          <w:tcPr>
            <w:tcW w:w="1220" w:type="dxa"/>
            <w:vAlign w:val="bottom"/>
            <w:tcBorders>
              <w:top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b w:val="1"/>
                <w:bCs w:val="1"/>
                <w:color w:val="auto"/>
                <w:w w:val="94"/>
              </w:rPr>
              <w:t>STATUS</w:t>
            </w:r>
          </w:p>
        </w:tc>
      </w:tr>
      <w:tr>
        <w:trPr>
          <w:trHeight w:val="210"/>
        </w:trPr>
        <w:tc>
          <w:tcPr>
            <w:tcW w:w="130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4"/>
              </w:rPr>
              <w:t>Gold</w:t>
            </w:r>
          </w:p>
        </w:tc>
        <w:tc>
          <w:tcPr>
            <w:tcW w:w="892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Advanced Chemical Company</w:t>
            </w: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7"/>
              </w:rPr>
              <w:t>Active</w:t>
            </w:r>
          </w:p>
        </w:tc>
      </w:tr>
      <w:tr>
        <w:trPr>
          <w:trHeight w:val="210"/>
        </w:trPr>
        <w:tc>
          <w:tcPr>
            <w:tcW w:w="130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4"/>
              </w:rPr>
              <w:t>Gold</w:t>
            </w:r>
          </w:p>
        </w:tc>
        <w:tc>
          <w:tcPr>
            <w:tcW w:w="892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Aida Chemical Industries Co., Ltd.</w:t>
            </w: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210"/>
        </w:trPr>
        <w:tc>
          <w:tcPr>
            <w:tcW w:w="130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4"/>
              </w:rPr>
              <w:t>Gold</w:t>
            </w:r>
          </w:p>
        </w:tc>
        <w:tc>
          <w:tcPr>
            <w:tcW w:w="892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Aktyubinsk Copper Company TOO</w:t>
            </w: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5"/>
              </w:rPr>
              <w:t>Not Active</w:t>
            </w:r>
          </w:p>
        </w:tc>
      </w:tr>
      <w:tr>
        <w:trPr>
          <w:trHeight w:val="210"/>
        </w:trPr>
        <w:tc>
          <w:tcPr>
            <w:tcW w:w="130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4"/>
              </w:rPr>
              <w:t>Gold</w:t>
            </w:r>
          </w:p>
        </w:tc>
        <w:tc>
          <w:tcPr>
            <w:tcW w:w="892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Allgemeine Gold-und Silberscheideanstalt A.G.</w:t>
            </w: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210"/>
        </w:trPr>
        <w:tc>
          <w:tcPr>
            <w:tcW w:w="130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4"/>
              </w:rPr>
              <w:t>Gold</w:t>
            </w:r>
          </w:p>
        </w:tc>
        <w:tc>
          <w:tcPr>
            <w:tcW w:w="892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Almalyk Mining and Metallurgical Complex (AMMC)</w:t>
            </w: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7"/>
              </w:rPr>
              <w:t>Active</w:t>
            </w:r>
          </w:p>
        </w:tc>
      </w:tr>
      <w:tr>
        <w:trPr>
          <w:trHeight w:val="210"/>
        </w:trPr>
        <w:tc>
          <w:tcPr>
            <w:tcW w:w="130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4"/>
              </w:rPr>
              <w:t>Gold</w:t>
            </w:r>
          </w:p>
        </w:tc>
        <w:tc>
          <w:tcPr>
            <w:tcW w:w="892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AngloGold Ashanti Córrego do Sítio Mineração</w:t>
            </w: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210"/>
        </w:trPr>
        <w:tc>
          <w:tcPr>
            <w:tcW w:w="130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4"/>
              </w:rPr>
              <w:t>Gold</w:t>
            </w:r>
          </w:p>
        </w:tc>
        <w:tc>
          <w:tcPr>
            <w:tcW w:w="892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Argor-Heraeus SA</w:t>
            </w: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210"/>
        </w:trPr>
        <w:tc>
          <w:tcPr>
            <w:tcW w:w="130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4"/>
              </w:rPr>
              <w:t>Gold</w:t>
            </w:r>
          </w:p>
        </w:tc>
        <w:tc>
          <w:tcPr>
            <w:tcW w:w="892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Asahi Pretec Corporation</w:t>
            </w: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210"/>
        </w:trPr>
        <w:tc>
          <w:tcPr>
            <w:tcW w:w="130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4"/>
              </w:rPr>
              <w:t>Gold</w:t>
            </w:r>
          </w:p>
        </w:tc>
        <w:tc>
          <w:tcPr>
            <w:tcW w:w="892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Asahi Refining Canada Limited</w:t>
            </w: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210"/>
        </w:trPr>
        <w:tc>
          <w:tcPr>
            <w:tcW w:w="130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4"/>
              </w:rPr>
              <w:t>Gold</w:t>
            </w:r>
          </w:p>
        </w:tc>
        <w:tc>
          <w:tcPr>
            <w:tcW w:w="892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Asahi Refining USA Inc.</w:t>
            </w: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210"/>
        </w:trPr>
        <w:tc>
          <w:tcPr>
            <w:tcW w:w="130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4"/>
              </w:rPr>
              <w:t>Gold</w:t>
            </w:r>
          </w:p>
        </w:tc>
        <w:tc>
          <w:tcPr>
            <w:tcW w:w="892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Asaka Riken Co., Ltd.</w:t>
            </w: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210"/>
        </w:trPr>
        <w:tc>
          <w:tcPr>
            <w:tcW w:w="130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4"/>
              </w:rPr>
              <w:t>Gold</w:t>
            </w:r>
          </w:p>
        </w:tc>
        <w:tc>
          <w:tcPr>
            <w:tcW w:w="892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Atasay Kuyumculuk Sanayi Ve Ticaret A.S.</w:t>
            </w: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5"/>
              </w:rPr>
              <w:t>Not Active</w:t>
            </w:r>
          </w:p>
        </w:tc>
      </w:tr>
      <w:tr>
        <w:trPr>
          <w:trHeight w:val="210"/>
        </w:trPr>
        <w:tc>
          <w:tcPr>
            <w:tcW w:w="130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4"/>
              </w:rPr>
              <w:t>Gold</w:t>
            </w:r>
          </w:p>
        </w:tc>
        <w:tc>
          <w:tcPr>
            <w:tcW w:w="892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Aurubis AG</w:t>
            </w: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210"/>
        </w:trPr>
        <w:tc>
          <w:tcPr>
            <w:tcW w:w="130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4"/>
              </w:rPr>
              <w:t>Gold</w:t>
            </w:r>
          </w:p>
        </w:tc>
        <w:tc>
          <w:tcPr>
            <w:tcW w:w="892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Bangko Sentral ng Pilipinas (Central Bank of the Philippines)</w:t>
            </w: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210"/>
        </w:trPr>
        <w:tc>
          <w:tcPr>
            <w:tcW w:w="130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4"/>
              </w:rPr>
              <w:t>Gold</w:t>
            </w:r>
          </w:p>
        </w:tc>
        <w:tc>
          <w:tcPr>
            <w:tcW w:w="892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Boliden AB</w:t>
            </w: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210"/>
        </w:trPr>
        <w:tc>
          <w:tcPr>
            <w:tcW w:w="130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4"/>
              </w:rPr>
              <w:t>Gold</w:t>
            </w:r>
          </w:p>
        </w:tc>
        <w:tc>
          <w:tcPr>
            <w:tcW w:w="892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C. Hafner GmbH + Co. KG</w:t>
            </w: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210"/>
        </w:trPr>
        <w:tc>
          <w:tcPr>
            <w:tcW w:w="130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4"/>
              </w:rPr>
              <w:t>Gold</w:t>
            </w:r>
          </w:p>
        </w:tc>
        <w:tc>
          <w:tcPr>
            <w:tcW w:w="892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Caridad</w:t>
            </w: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5"/>
              </w:rPr>
              <w:t>Not Active</w:t>
            </w:r>
          </w:p>
        </w:tc>
      </w:tr>
      <w:tr>
        <w:trPr>
          <w:trHeight w:val="210"/>
        </w:trPr>
        <w:tc>
          <w:tcPr>
            <w:tcW w:w="130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4"/>
              </w:rPr>
              <w:t>Gold</w:t>
            </w:r>
          </w:p>
        </w:tc>
        <w:tc>
          <w:tcPr>
            <w:tcW w:w="892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CCR Refinery - Glencore Canada Corporation</w:t>
            </w: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210"/>
        </w:trPr>
        <w:tc>
          <w:tcPr>
            <w:tcW w:w="130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4"/>
              </w:rPr>
              <w:t>Gold</w:t>
            </w:r>
          </w:p>
        </w:tc>
        <w:tc>
          <w:tcPr>
            <w:tcW w:w="892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Cendres + Métaux SA</w:t>
            </w: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7"/>
              </w:rPr>
              <w:t>Active</w:t>
            </w:r>
          </w:p>
        </w:tc>
      </w:tr>
      <w:tr>
        <w:trPr>
          <w:trHeight w:val="210"/>
        </w:trPr>
        <w:tc>
          <w:tcPr>
            <w:tcW w:w="130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4"/>
              </w:rPr>
              <w:t>Gold</w:t>
            </w:r>
          </w:p>
        </w:tc>
        <w:tc>
          <w:tcPr>
            <w:tcW w:w="892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Chimet S.p.A.</w:t>
            </w: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210"/>
        </w:trPr>
        <w:tc>
          <w:tcPr>
            <w:tcW w:w="130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4"/>
              </w:rPr>
              <w:t>Gold</w:t>
            </w:r>
          </w:p>
        </w:tc>
        <w:tc>
          <w:tcPr>
            <w:tcW w:w="892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Chugai Mining</w:t>
            </w: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5"/>
              </w:rPr>
              <w:t>Not Active</w:t>
            </w:r>
          </w:p>
        </w:tc>
      </w:tr>
      <w:tr>
        <w:trPr>
          <w:trHeight w:val="210"/>
        </w:trPr>
        <w:tc>
          <w:tcPr>
            <w:tcW w:w="130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4"/>
              </w:rPr>
              <w:t>Gold</w:t>
            </w:r>
          </w:p>
        </w:tc>
        <w:tc>
          <w:tcPr>
            <w:tcW w:w="892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Daejin Indus Co., Ltd.</w:t>
            </w: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7"/>
              </w:rPr>
              <w:t>Active</w:t>
            </w:r>
          </w:p>
        </w:tc>
      </w:tr>
      <w:tr>
        <w:trPr>
          <w:trHeight w:val="210"/>
        </w:trPr>
        <w:tc>
          <w:tcPr>
            <w:tcW w:w="130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4"/>
              </w:rPr>
              <w:t>Gold</w:t>
            </w:r>
          </w:p>
        </w:tc>
        <w:tc>
          <w:tcPr>
            <w:tcW w:w="892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Daye Non-Ferrous Metals Mining Ltd.</w:t>
            </w: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5"/>
              </w:rPr>
              <w:t>Not Active</w:t>
            </w:r>
          </w:p>
        </w:tc>
      </w:tr>
      <w:tr>
        <w:trPr>
          <w:trHeight w:val="210"/>
        </w:trPr>
        <w:tc>
          <w:tcPr>
            <w:tcW w:w="130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4"/>
              </w:rPr>
              <w:t>Gold</w:t>
            </w:r>
          </w:p>
        </w:tc>
        <w:tc>
          <w:tcPr>
            <w:tcW w:w="892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DODUCO GmbH</w:t>
            </w: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210"/>
        </w:trPr>
        <w:tc>
          <w:tcPr>
            <w:tcW w:w="130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4"/>
              </w:rPr>
              <w:t>Gold</w:t>
            </w:r>
          </w:p>
        </w:tc>
        <w:tc>
          <w:tcPr>
            <w:tcW w:w="892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Dowa</w:t>
            </w: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210"/>
        </w:trPr>
        <w:tc>
          <w:tcPr>
            <w:tcW w:w="130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4"/>
              </w:rPr>
              <w:t>Gold</w:t>
            </w:r>
          </w:p>
        </w:tc>
        <w:tc>
          <w:tcPr>
            <w:tcW w:w="892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DSC (Do Sung Corporation)</w:t>
            </w: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7"/>
              </w:rPr>
              <w:t>Active</w:t>
            </w:r>
          </w:p>
        </w:tc>
      </w:tr>
      <w:tr>
        <w:trPr>
          <w:trHeight w:val="210"/>
        </w:trPr>
        <w:tc>
          <w:tcPr>
            <w:tcW w:w="130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4"/>
              </w:rPr>
              <w:t>Gold</w:t>
            </w:r>
          </w:p>
        </w:tc>
        <w:tc>
          <w:tcPr>
            <w:tcW w:w="892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Eco-System Recycling Co., Ltd.</w:t>
            </w: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210"/>
        </w:trPr>
        <w:tc>
          <w:tcPr>
            <w:tcW w:w="130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4"/>
              </w:rPr>
              <w:t>Gold</w:t>
            </w:r>
          </w:p>
        </w:tc>
        <w:tc>
          <w:tcPr>
            <w:tcW w:w="892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Elemetal Refining, LLC</w:t>
            </w: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210"/>
        </w:trPr>
        <w:tc>
          <w:tcPr>
            <w:tcW w:w="130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4"/>
              </w:rPr>
              <w:t>Gold</w:t>
            </w:r>
          </w:p>
        </w:tc>
        <w:tc>
          <w:tcPr>
            <w:tcW w:w="892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Faggi Enrico S.p.A.</w:t>
            </w: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7"/>
              </w:rPr>
              <w:t>Active</w:t>
            </w:r>
          </w:p>
        </w:tc>
      </w:tr>
      <w:tr>
        <w:trPr>
          <w:trHeight w:val="210"/>
        </w:trPr>
        <w:tc>
          <w:tcPr>
            <w:tcW w:w="130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4"/>
              </w:rPr>
              <w:t>Gold</w:t>
            </w:r>
          </w:p>
        </w:tc>
        <w:tc>
          <w:tcPr>
            <w:tcW w:w="892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Gansu Seemine Material Hi-Tech Co., Ltd.</w:t>
            </w: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5"/>
              </w:rPr>
              <w:t>Not Active</w:t>
            </w:r>
          </w:p>
        </w:tc>
      </w:tr>
      <w:tr>
        <w:trPr>
          <w:trHeight w:val="210"/>
        </w:trPr>
        <w:tc>
          <w:tcPr>
            <w:tcW w:w="130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4"/>
              </w:rPr>
              <w:t>Gold</w:t>
            </w:r>
          </w:p>
        </w:tc>
        <w:tc>
          <w:tcPr>
            <w:tcW w:w="892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Geib Refining Corporation</w:t>
            </w: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7"/>
              </w:rPr>
              <w:t>Active</w:t>
            </w:r>
          </w:p>
        </w:tc>
      </w:tr>
      <w:tr>
        <w:trPr>
          <w:trHeight w:val="210"/>
        </w:trPr>
        <w:tc>
          <w:tcPr>
            <w:tcW w:w="130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4"/>
              </w:rPr>
              <w:t>Gold</w:t>
            </w:r>
          </w:p>
        </w:tc>
        <w:tc>
          <w:tcPr>
            <w:tcW w:w="892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Great Wall Precious Metals Co., Ltd. of CBPM</w:t>
            </w: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5"/>
              </w:rPr>
              <w:t>Not Active</w:t>
            </w:r>
          </w:p>
        </w:tc>
      </w:tr>
      <w:tr>
        <w:trPr>
          <w:trHeight w:val="210"/>
        </w:trPr>
        <w:tc>
          <w:tcPr>
            <w:tcW w:w="130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4"/>
              </w:rPr>
              <w:t>Gold</w:t>
            </w:r>
          </w:p>
        </w:tc>
        <w:tc>
          <w:tcPr>
            <w:tcW w:w="892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Guangdong Jinding Gold Limited</w:t>
            </w: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5"/>
              </w:rPr>
              <w:t>Not Active</w:t>
            </w:r>
          </w:p>
        </w:tc>
      </w:tr>
      <w:tr>
        <w:trPr>
          <w:trHeight w:val="210"/>
        </w:trPr>
        <w:tc>
          <w:tcPr>
            <w:tcW w:w="130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4"/>
              </w:rPr>
              <w:t>Gold</w:t>
            </w:r>
          </w:p>
        </w:tc>
        <w:tc>
          <w:tcPr>
            <w:tcW w:w="892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Guoda Safina High-Tech Environmental Refinery Co., Ltd.</w:t>
            </w: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5"/>
              </w:rPr>
              <w:t>Not Active</w:t>
            </w:r>
          </w:p>
        </w:tc>
      </w:tr>
      <w:tr>
        <w:trPr>
          <w:trHeight w:val="210"/>
        </w:trPr>
        <w:tc>
          <w:tcPr>
            <w:tcW w:w="130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4"/>
              </w:rPr>
              <w:t>Gold</w:t>
            </w:r>
          </w:p>
        </w:tc>
        <w:tc>
          <w:tcPr>
            <w:tcW w:w="892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Hangzhou Fuchunjiang Smelting Co., Ltd.</w:t>
            </w: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5"/>
              </w:rPr>
              <w:t>Not Active</w:t>
            </w:r>
          </w:p>
        </w:tc>
      </w:tr>
      <w:tr>
        <w:trPr>
          <w:trHeight w:val="210"/>
        </w:trPr>
        <w:tc>
          <w:tcPr>
            <w:tcW w:w="130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4"/>
              </w:rPr>
              <w:t>Gold</w:t>
            </w:r>
          </w:p>
        </w:tc>
        <w:tc>
          <w:tcPr>
            <w:tcW w:w="892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Heimerle + Meule GmbH</w:t>
            </w: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210"/>
        </w:trPr>
        <w:tc>
          <w:tcPr>
            <w:tcW w:w="130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4"/>
              </w:rPr>
              <w:t>Gold</w:t>
            </w:r>
          </w:p>
        </w:tc>
        <w:tc>
          <w:tcPr>
            <w:tcW w:w="892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Heraeus Ltd. Hong Kong</w:t>
            </w: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210"/>
        </w:trPr>
        <w:tc>
          <w:tcPr>
            <w:tcW w:w="130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4"/>
              </w:rPr>
              <w:t>Gold</w:t>
            </w:r>
          </w:p>
        </w:tc>
        <w:tc>
          <w:tcPr>
            <w:tcW w:w="892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Heraeus Precious Metals GmbH &amp; Co. KG</w:t>
            </w: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358"/>
        </w:trPr>
        <w:tc>
          <w:tcPr>
            <w:tcW w:w="1300" w:type="dxa"/>
            <w:vAlign w:val="bottom"/>
          </w:tcPr>
          <w:p>
            <w:pPr>
              <w:spacing w:after="0"/>
              <w:rPr>
                <w:sz w:val="24"/>
                <w:szCs w:val="24"/>
                <w:color w:val="auto"/>
              </w:rPr>
            </w:pPr>
          </w:p>
        </w:tc>
        <w:tc>
          <w:tcPr>
            <w:tcW w:w="8920" w:type="dxa"/>
            <w:vAlign w:val="bottom"/>
          </w:tcPr>
          <w:p>
            <w:pPr>
              <w:ind w:left="4360"/>
              <w:spacing w:after="0"/>
              <w:rPr>
                <w:sz w:val="20"/>
                <w:szCs w:val="20"/>
                <w:color w:val="auto"/>
              </w:rPr>
            </w:pPr>
            <w:r>
              <w:rPr>
                <w:rFonts w:ascii="Arial" w:cs="Arial" w:eastAsia="Arial" w:hAnsi="Arial"/>
                <w:sz w:val="18"/>
                <w:szCs w:val="18"/>
                <w:color w:val="auto"/>
              </w:rPr>
              <w:t>2</w:t>
            </w:r>
          </w:p>
        </w:tc>
        <w:tc>
          <w:tcPr>
            <w:tcW w:w="1220" w:type="dxa"/>
            <w:vAlign w:val="bottom"/>
          </w:tcPr>
          <w:p>
            <w:pPr>
              <w:spacing w:after="0"/>
              <w:rPr>
                <w:sz w:val="24"/>
                <w:szCs w:val="24"/>
                <w:color w:val="auto"/>
              </w:rPr>
            </w:pPr>
          </w:p>
        </w:tc>
      </w:tr>
    </w:tbl>
    <w:p>
      <w:pPr>
        <w:sectPr>
          <w:pgSz w:w="11900" w:h="16838" w:orient="portrait"/>
          <w:cols w:equalWidth="0" w:num="1">
            <w:col w:w="11440"/>
          </w:cols>
          <w:pgMar w:left="240" w:top="270" w:right="219" w:bottom="1440" w:gutter="0" w:footer="0" w:header="0"/>
        </w:sectPr>
      </w:pPr>
    </w:p>
    <w:bookmarkStart w:id="12" w:name="page13"/>
    <w:bookmarkEnd w:id="12"/>
    <w:p>
      <w:pPr>
        <w:spacing w:after="0" w:line="1"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p>
    <w:tbl>
      <w:tblPr>
        <w:tblLayout w:type="fixed"/>
        <w:tblInd w:w="10" w:type="dxa"/>
        <w:tblCellMar>
          <w:top w:w="0" w:type="dxa"/>
          <w:left w:w="0" w:type="dxa"/>
          <w:bottom w:w="0" w:type="dxa"/>
          <w:right w:w="0" w:type="dxa"/>
        </w:tblCellMar>
      </w:tblPr>
      <w:tr>
        <w:trPr>
          <w:trHeight w:val="230"/>
        </w:trPr>
        <w:tc>
          <w:tcPr>
            <w:tcW w:w="740" w:type="dxa"/>
            <w:vAlign w:val="bottom"/>
            <w:tcBorders>
              <w:top w:val="single" w:sz="8" w:color="auto"/>
              <w:left w:val="single" w:sz="8" w:color="auto"/>
              <w:bottom w:val="single" w:sz="8" w:color="auto"/>
              <w:right w:val="single" w:sz="8" w:color="auto"/>
            </w:tcBorders>
          </w:tcPr>
          <w:p>
            <w:pPr>
              <w:ind w:left="160"/>
              <w:spacing w:after="0"/>
              <w:rPr>
                <w:sz w:val="20"/>
                <w:szCs w:val="20"/>
                <w:color w:val="auto"/>
              </w:rPr>
            </w:pPr>
            <w:r>
              <w:rPr>
                <w:rFonts w:ascii="Arial" w:cs="Arial" w:eastAsia="Arial" w:hAnsi="Arial"/>
                <w:sz w:val="18"/>
                <w:szCs w:val="18"/>
                <w:color w:val="auto"/>
              </w:rPr>
              <w:t>Gold</w:t>
            </w:r>
          </w:p>
        </w:tc>
        <w:tc>
          <w:tcPr>
            <w:tcW w:w="8980" w:type="dxa"/>
            <w:vAlign w:val="bottom"/>
            <w:tcBorders>
              <w:top w:val="single" w:sz="8" w:color="auto"/>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Hunan Chenzhou Mining Co., Ltd.</w:t>
            </w:r>
          </w:p>
        </w:tc>
        <w:tc>
          <w:tcPr>
            <w:tcW w:w="1720" w:type="dxa"/>
            <w:vAlign w:val="bottom"/>
            <w:tcBorders>
              <w:top w:val="single" w:sz="8" w:color="auto"/>
              <w:bottom w:val="single" w:sz="8" w:color="auto"/>
              <w:right w:val="single" w:sz="8" w:color="auto"/>
            </w:tcBorders>
          </w:tcPr>
          <w:p>
            <w:pPr>
              <w:jc w:val="center"/>
              <w:ind w:left="90"/>
              <w:spacing w:after="0"/>
              <w:rPr>
                <w:sz w:val="20"/>
                <w:szCs w:val="20"/>
                <w:color w:val="auto"/>
              </w:rPr>
            </w:pPr>
            <w:r>
              <w:rPr>
                <w:rFonts w:ascii="Arial" w:cs="Arial" w:eastAsia="Arial" w:hAnsi="Arial"/>
                <w:sz w:val="18"/>
                <w:szCs w:val="18"/>
                <w:color w:val="auto"/>
                <w:w w:val="95"/>
              </w:rPr>
              <w:t>Not Active</w:t>
            </w:r>
          </w:p>
        </w:tc>
      </w:tr>
      <w:tr>
        <w:trPr>
          <w:trHeight w:val="210"/>
        </w:trPr>
        <w:tc>
          <w:tcPr>
            <w:tcW w:w="740" w:type="dxa"/>
            <w:vAlign w:val="bottom"/>
            <w:tcBorders>
              <w:left w:val="single" w:sz="8" w:color="auto"/>
              <w:bottom w:val="single" w:sz="8" w:color="auto"/>
              <w:right w:val="single" w:sz="8" w:color="auto"/>
            </w:tcBorders>
          </w:tcPr>
          <w:p>
            <w:pPr>
              <w:ind w:left="160"/>
              <w:spacing w:after="0"/>
              <w:rPr>
                <w:sz w:val="20"/>
                <w:szCs w:val="20"/>
                <w:color w:val="auto"/>
              </w:rPr>
            </w:pPr>
            <w:r>
              <w:rPr>
                <w:rFonts w:ascii="Arial" w:cs="Arial" w:eastAsia="Arial" w:hAnsi="Arial"/>
                <w:sz w:val="18"/>
                <w:szCs w:val="18"/>
                <w:color w:val="auto"/>
              </w:rPr>
              <w:t>Gold</w:t>
            </w:r>
          </w:p>
        </w:tc>
        <w:tc>
          <w:tcPr>
            <w:tcW w:w="8980" w:type="dxa"/>
            <w:vAlign w:val="bottom"/>
            <w:tcBorders>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Hwasung CJ Co., Ltd.</w:t>
            </w:r>
          </w:p>
        </w:tc>
        <w:tc>
          <w:tcPr>
            <w:tcW w:w="1720" w:type="dxa"/>
            <w:vAlign w:val="bottom"/>
            <w:tcBorders>
              <w:bottom w:val="single" w:sz="8" w:color="auto"/>
              <w:right w:val="single" w:sz="8" w:color="auto"/>
            </w:tcBorders>
          </w:tcPr>
          <w:p>
            <w:pPr>
              <w:jc w:val="center"/>
              <w:ind w:left="90"/>
              <w:spacing w:after="0"/>
              <w:rPr>
                <w:sz w:val="20"/>
                <w:szCs w:val="20"/>
                <w:color w:val="auto"/>
              </w:rPr>
            </w:pPr>
            <w:r>
              <w:rPr>
                <w:rFonts w:ascii="Arial" w:cs="Arial" w:eastAsia="Arial" w:hAnsi="Arial"/>
                <w:sz w:val="18"/>
                <w:szCs w:val="18"/>
                <w:color w:val="auto"/>
                <w:w w:val="95"/>
              </w:rPr>
              <w:t>Not Active</w:t>
            </w:r>
          </w:p>
        </w:tc>
      </w:tr>
      <w:tr>
        <w:trPr>
          <w:trHeight w:val="210"/>
        </w:trPr>
        <w:tc>
          <w:tcPr>
            <w:tcW w:w="740" w:type="dxa"/>
            <w:vAlign w:val="bottom"/>
            <w:tcBorders>
              <w:left w:val="single" w:sz="8" w:color="auto"/>
              <w:bottom w:val="single" w:sz="8" w:color="auto"/>
              <w:right w:val="single" w:sz="8" w:color="auto"/>
            </w:tcBorders>
          </w:tcPr>
          <w:p>
            <w:pPr>
              <w:ind w:left="160"/>
              <w:spacing w:after="0"/>
              <w:rPr>
                <w:sz w:val="20"/>
                <w:szCs w:val="20"/>
                <w:color w:val="auto"/>
              </w:rPr>
            </w:pPr>
            <w:r>
              <w:rPr>
                <w:rFonts w:ascii="Arial" w:cs="Arial" w:eastAsia="Arial" w:hAnsi="Arial"/>
                <w:sz w:val="18"/>
                <w:szCs w:val="18"/>
                <w:color w:val="auto"/>
              </w:rPr>
              <w:t>Gold</w:t>
            </w:r>
          </w:p>
        </w:tc>
        <w:tc>
          <w:tcPr>
            <w:tcW w:w="8980" w:type="dxa"/>
            <w:vAlign w:val="bottom"/>
            <w:tcBorders>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Inner Mongolia Qiankun Gold and Silver Refinery Share Company Limited</w:t>
            </w:r>
          </w:p>
        </w:tc>
        <w:tc>
          <w:tcPr>
            <w:tcW w:w="1720" w:type="dxa"/>
            <w:vAlign w:val="bottom"/>
            <w:tcBorders>
              <w:bottom w:val="single" w:sz="8" w:color="auto"/>
              <w:right w:val="single" w:sz="8" w:color="auto"/>
            </w:tcBorders>
          </w:tcPr>
          <w:p>
            <w:pPr>
              <w:jc w:val="center"/>
              <w:ind w:left="110"/>
              <w:spacing w:after="0"/>
              <w:rPr>
                <w:sz w:val="20"/>
                <w:szCs w:val="20"/>
                <w:color w:val="auto"/>
              </w:rPr>
            </w:pPr>
            <w:r>
              <w:rPr>
                <w:rFonts w:ascii="Arial" w:cs="Arial" w:eastAsia="Arial" w:hAnsi="Arial"/>
                <w:sz w:val="18"/>
                <w:szCs w:val="18"/>
                <w:color w:val="auto"/>
                <w:w w:val="90"/>
              </w:rPr>
              <w:t>Validated</w:t>
            </w:r>
          </w:p>
        </w:tc>
      </w:tr>
      <w:tr>
        <w:trPr>
          <w:trHeight w:val="210"/>
        </w:trPr>
        <w:tc>
          <w:tcPr>
            <w:tcW w:w="740" w:type="dxa"/>
            <w:vAlign w:val="bottom"/>
            <w:tcBorders>
              <w:left w:val="single" w:sz="8" w:color="auto"/>
              <w:bottom w:val="single" w:sz="8" w:color="auto"/>
              <w:right w:val="single" w:sz="8" w:color="auto"/>
            </w:tcBorders>
          </w:tcPr>
          <w:p>
            <w:pPr>
              <w:ind w:left="160"/>
              <w:spacing w:after="0"/>
              <w:rPr>
                <w:sz w:val="20"/>
                <w:szCs w:val="20"/>
                <w:color w:val="auto"/>
              </w:rPr>
            </w:pPr>
            <w:r>
              <w:rPr>
                <w:rFonts w:ascii="Arial" w:cs="Arial" w:eastAsia="Arial" w:hAnsi="Arial"/>
                <w:sz w:val="18"/>
                <w:szCs w:val="18"/>
                <w:color w:val="auto"/>
              </w:rPr>
              <w:t>Gold</w:t>
            </w:r>
          </w:p>
        </w:tc>
        <w:tc>
          <w:tcPr>
            <w:tcW w:w="8980" w:type="dxa"/>
            <w:vAlign w:val="bottom"/>
            <w:tcBorders>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Ishifuku Metal Industry Co., Ltd.</w:t>
            </w:r>
          </w:p>
        </w:tc>
        <w:tc>
          <w:tcPr>
            <w:tcW w:w="1720" w:type="dxa"/>
            <w:vAlign w:val="bottom"/>
            <w:tcBorders>
              <w:bottom w:val="single" w:sz="8" w:color="auto"/>
              <w:right w:val="single" w:sz="8" w:color="auto"/>
            </w:tcBorders>
          </w:tcPr>
          <w:p>
            <w:pPr>
              <w:jc w:val="center"/>
              <w:ind w:left="110"/>
              <w:spacing w:after="0"/>
              <w:rPr>
                <w:sz w:val="20"/>
                <w:szCs w:val="20"/>
                <w:color w:val="auto"/>
              </w:rPr>
            </w:pPr>
            <w:r>
              <w:rPr>
                <w:rFonts w:ascii="Arial" w:cs="Arial" w:eastAsia="Arial" w:hAnsi="Arial"/>
                <w:sz w:val="18"/>
                <w:szCs w:val="18"/>
                <w:color w:val="auto"/>
                <w:w w:val="90"/>
              </w:rPr>
              <w:t>Validated</w:t>
            </w:r>
          </w:p>
        </w:tc>
      </w:tr>
      <w:tr>
        <w:trPr>
          <w:trHeight w:val="210"/>
        </w:trPr>
        <w:tc>
          <w:tcPr>
            <w:tcW w:w="740" w:type="dxa"/>
            <w:vAlign w:val="bottom"/>
            <w:tcBorders>
              <w:left w:val="single" w:sz="8" w:color="auto"/>
              <w:bottom w:val="single" w:sz="8" w:color="auto"/>
              <w:right w:val="single" w:sz="8" w:color="auto"/>
            </w:tcBorders>
          </w:tcPr>
          <w:p>
            <w:pPr>
              <w:ind w:left="160"/>
              <w:spacing w:after="0"/>
              <w:rPr>
                <w:sz w:val="20"/>
                <w:szCs w:val="20"/>
                <w:color w:val="auto"/>
              </w:rPr>
            </w:pPr>
            <w:r>
              <w:rPr>
                <w:rFonts w:ascii="Arial" w:cs="Arial" w:eastAsia="Arial" w:hAnsi="Arial"/>
                <w:sz w:val="18"/>
                <w:szCs w:val="18"/>
                <w:color w:val="auto"/>
              </w:rPr>
              <w:t>Gold</w:t>
            </w:r>
          </w:p>
        </w:tc>
        <w:tc>
          <w:tcPr>
            <w:tcW w:w="8980" w:type="dxa"/>
            <w:vAlign w:val="bottom"/>
            <w:tcBorders>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Istanbul Gold Refinery</w:t>
            </w:r>
          </w:p>
        </w:tc>
        <w:tc>
          <w:tcPr>
            <w:tcW w:w="1720" w:type="dxa"/>
            <w:vAlign w:val="bottom"/>
            <w:tcBorders>
              <w:bottom w:val="single" w:sz="8" w:color="auto"/>
              <w:right w:val="single" w:sz="8" w:color="auto"/>
            </w:tcBorders>
          </w:tcPr>
          <w:p>
            <w:pPr>
              <w:jc w:val="center"/>
              <w:ind w:left="110"/>
              <w:spacing w:after="0"/>
              <w:rPr>
                <w:sz w:val="20"/>
                <w:szCs w:val="20"/>
                <w:color w:val="auto"/>
              </w:rPr>
            </w:pPr>
            <w:r>
              <w:rPr>
                <w:rFonts w:ascii="Arial" w:cs="Arial" w:eastAsia="Arial" w:hAnsi="Arial"/>
                <w:sz w:val="18"/>
                <w:szCs w:val="18"/>
                <w:color w:val="auto"/>
                <w:w w:val="90"/>
              </w:rPr>
              <w:t>Validated</w:t>
            </w:r>
          </w:p>
        </w:tc>
      </w:tr>
      <w:tr>
        <w:trPr>
          <w:trHeight w:val="210"/>
        </w:trPr>
        <w:tc>
          <w:tcPr>
            <w:tcW w:w="740" w:type="dxa"/>
            <w:vAlign w:val="bottom"/>
            <w:tcBorders>
              <w:left w:val="single" w:sz="8" w:color="auto"/>
              <w:bottom w:val="single" w:sz="8" w:color="auto"/>
              <w:right w:val="single" w:sz="8" w:color="auto"/>
            </w:tcBorders>
          </w:tcPr>
          <w:p>
            <w:pPr>
              <w:ind w:left="160"/>
              <w:spacing w:after="0"/>
              <w:rPr>
                <w:sz w:val="20"/>
                <w:szCs w:val="20"/>
                <w:color w:val="auto"/>
              </w:rPr>
            </w:pPr>
            <w:r>
              <w:rPr>
                <w:rFonts w:ascii="Arial" w:cs="Arial" w:eastAsia="Arial" w:hAnsi="Arial"/>
                <w:sz w:val="18"/>
                <w:szCs w:val="18"/>
                <w:color w:val="auto"/>
              </w:rPr>
              <w:t>Gold</w:t>
            </w:r>
          </w:p>
        </w:tc>
        <w:tc>
          <w:tcPr>
            <w:tcW w:w="8980" w:type="dxa"/>
            <w:vAlign w:val="bottom"/>
            <w:tcBorders>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Japan Mint</w:t>
            </w:r>
          </w:p>
        </w:tc>
        <w:tc>
          <w:tcPr>
            <w:tcW w:w="1720" w:type="dxa"/>
            <w:vAlign w:val="bottom"/>
            <w:tcBorders>
              <w:bottom w:val="single" w:sz="8" w:color="auto"/>
              <w:right w:val="single" w:sz="8" w:color="auto"/>
            </w:tcBorders>
          </w:tcPr>
          <w:p>
            <w:pPr>
              <w:jc w:val="center"/>
              <w:ind w:left="110"/>
              <w:spacing w:after="0"/>
              <w:rPr>
                <w:sz w:val="20"/>
                <w:szCs w:val="20"/>
                <w:color w:val="auto"/>
              </w:rPr>
            </w:pPr>
            <w:r>
              <w:rPr>
                <w:rFonts w:ascii="Arial" w:cs="Arial" w:eastAsia="Arial" w:hAnsi="Arial"/>
                <w:sz w:val="18"/>
                <w:szCs w:val="18"/>
                <w:color w:val="auto"/>
                <w:w w:val="90"/>
              </w:rPr>
              <w:t>Validated</w:t>
            </w:r>
          </w:p>
        </w:tc>
      </w:tr>
      <w:tr>
        <w:trPr>
          <w:trHeight w:val="210"/>
        </w:trPr>
        <w:tc>
          <w:tcPr>
            <w:tcW w:w="740" w:type="dxa"/>
            <w:vAlign w:val="bottom"/>
            <w:tcBorders>
              <w:left w:val="single" w:sz="8" w:color="auto"/>
              <w:bottom w:val="single" w:sz="8" w:color="auto"/>
              <w:right w:val="single" w:sz="8" w:color="auto"/>
            </w:tcBorders>
          </w:tcPr>
          <w:p>
            <w:pPr>
              <w:ind w:left="160"/>
              <w:spacing w:after="0"/>
              <w:rPr>
                <w:sz w:val="20"/>
                <w:szCs w:val="20"/>
                <w:color w:val="auto"/>
              </w:rPr>
            </w:pPr>
            <w:r>
              <w:rPr>
                <w:rFonts w:ascii="Arial" w:cs="Arial" w:eastAsia="Arial" w:hAnsi="Arial"/>
                <w:sz w:val="18"/>
                <w:szCs w:val="18"/>
                <w:color w:val="auto"/>
              </w:rPr>
              <w:t>Gold</w:t>
            </w:r>
          </w:p>
        </w:tc>
        <w:tc>
          <w:tcPr>
            <w:tcW w:w="8980" w:type="dxa"/>
            <w:vAlign w:val="bottom"/>
            <w:tcBorders>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Jiangxi Copper Company Limited</w:t>
            </w:r>
          </w:p>
        </w:tc>
        <w:tc>
          <w:tcPr>
            <w:tcW w:w="1720" w:type="dxa"/>
            <w:vAlign w:val="bottom"/>
            <w:tcBorders>
              <w:bottom w:val="single" w:sz="8" w:color="auto"/>
              <w:right w:val="single" w:sz="8" w:color="auto"/>
            </w:tcBorders>
          </w:tcPr>
          <w:p>
            <w:pPr>
              <w:jc w:val="center"/>
              <w:ind w:left="110"/>
              <w:spacing w:after="0"/>
              <w:rPr>
                <w:sz w:val="20"/>
                <w:szCs w:val="20"/>
                <w:color w:val="auto"/>
              </w:rPr>
            </w:pPr>
            <w:r>
              <w:rPr>
                <w:rFonts w:ascii="Arial" w:cs="Arial" w:eastAsia="Arial" w:hAnsi="Arial"/>
                <w:sz w:val="18"/>
                <w:szCs w:val="18"/>
                <w:color w:val="auto"/>
                <w:w w:val="90"/>
              </w:rPr>
              <w:t>Validated</w:t>
            </w:r>
          </w:p>
        </w:tc>
      </w:tr>
      <w:tr>
        <w:trPr>
          <w:trHeight w:val="210"/>
        </w:trPr>
        <w:tc>
          <w:tcPr>
            <w:tcW w:w="740" w:type="dxa"/>
            <w:vAlign w:val="bottom"/>
            <w:tcBorders>
              <w:left w:val="single" w:sz="8" w:color="auto"/>
              <w:bottom w:val="single" w:sz="8" w:color="auto"/>
              <w:right w:val="single" w:sz="8" w:color="auto"/>
            </w:tcBorders>
          </w:tcPr>
          <w:p>
            <w:pPr>
              <w:ind w:left="160"/>
              <w:spacing w:after="0"/>
              <w:rPr>
                <w:sz w:val="20"/>
                <w:szCs w:val="20"/>
                <w:color w:val="auto"/>
              </w:rPr>
            </w:pPr>
            <w:r>
              <w:rPr>
                <w:rFonts w:ascii="Arial" w:cs="Arial" w:eastAsia="Arial" w:hAnsi="Arial"/>
                <w:sz w:val="18"/>
                <w:szCs w:val="18"/>
                <w:color w:val="auto"/>
              </w:rPr>
              <w:t>Gold</w:t>
            </w:r>
          </w:p>
        </w:tc>
        <w:tc>
          <w:tcPr>
            <w:tcW w:w="8980" w:type="dxa"/>
            <w:vAlign w:val="bottom"/>
            <w:tcBorders>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JSC Ekaterinburg Non-Ferrous Metal Processing Plant</w:t>
            </w:r>
          </w:p>
        </w:tc>
        <w:tc>
          <w:tcPr>
            <w:tcW w:w="1720" w:type="dxa"/>
            <w:vAlign w:val="bottom"/>
            <w:tcBorders>
              <w:bottom w:val="single" w:sz="8" w:color="auto"/>
              <w:right w:val="single" w:sz="8" w:color="auto"/>
            </w:tcBorders>
          </w:tcPr>
          <w:p>
            <w:pPr>
              <w:jc w:val="center"/>
              <w:ind w:left="110"/>
              <w:spacing w:after="0"/>
              <w:rPr>
                <w:sz w:val="20"/>
                <w:szCs w:val="20"/>
                <w:color w:val="auto"/>
              </w:rPr>
            </w:pPr>
            <w:r>
              <w:rPr>
                <w:rFonts w:ascii="Arial" w:cs="Arial" w:eastAsia="Arial" w:hAnsi="Arial"/>
                <w:sz w:val="18"/>
                <w:szCs w:val="18"/>
                <w:color w:val="auto"/>
                <w:w w:val="90"/>
              </w:rPr>
              <w:t>Validated</w:t>
            </w:r>
          </w:p>
        </w:tc>
      </w:tr>
      <w:tr>
        <w:trPr>
          <w:trHeight w:val="210"/>
        </w:trPr>
        <w:tc>
          <w:tcPr>
            <w:tcW w:w="740" w:type="dxa"/>
            <w:vAlign w:val="bottom"/>
            <w:tcBorders>
              <w:left w:val="single" w:sz="8" w:color="auto"/>
              <w:bottom w:val="single" w:sz="8" w:color="auto"/>
              <w:right w:val="single" w:sz="8" w:color="auto"/>
            </w:tcBorders>
          </w:tcPr>
          <w:p>
            <w:pPr>
              <w:ind w:left="160"/>
              <w:spacing w:after="0"/>
              <w:rPr>
                <w:sz w:val="20"/>
                <w:szCs w:val="20"/>
                <w:color w:val="auto"/>
              </w:rPr>
            </w:pPr>
            <w:r>
              <w:rPr>
                <w:rFonts w:ascii="Arial" w:cs="Arial" w:eastAsia="Arial" w:hAnsi="Arial"/>
                <w:sz w:val="18"/>
                <w:szCs w:val="18"/>
                <w:color w:val="auto"/>
              </w:rPr>
              <w:t>Gold</w:t>
            </w:r>
          </w:p>
        </w:tc>
        <w:tc>
          <w:tcPr>
            <w:tcW w:w="8980" w:type="dxa"/>
            <w:vAlign w:val="bottom"/>
            <w:tcBorders>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JSC Uralelectromed</w:t>
            </w:r>
          </w:p>
        </w:tc>
        <w:tc>
          <w:tcPr>
            <w:tcW w:w="1720" w:type="dxa"/>
            <w:vAlign w:val="bottom"/>
            <w:tcBorders>
              <w:bottom w:val="single" w:sz="8" w:color="auto"/>
              <w:right w:val="single" w:sz="8" w:color="auto"/>
            </w:tcBorders>
          </w:tcPr>
          <w:p>
            <w:pPr>
              <w:jc w:val="center"/>
              <w:ind w:left="110"/>
              <w:spacing w:after="0"/>
              <w:rPr>
                <w:sz w:val="20"/>
                <w:szCs w:val="20"/>
                <w:color w:val="auto"/>
              </w:rPr>
            </w:pPr>
            <w:r>
              <w:rPr>
                <w:rFonts w:ascii="Arial" w:cs="Arial" w:eastAsia="Arial" w:hAnsi="Arial"/>
                <w:sz w:val="18"/>
                <w:szCs w:val="18"/>
                <w:color w:val="auto"/>
                <w:w w:val="90"/>
              </w:rPr>
              <w:t>Validated</w:t>
            </w:r>
          </w:p>
        </w:tc>
      </w:tr>
      <w:tr>
        <w:trPr>
          <w:trHeight w:val="210"/>
        </w:trPr>
        <w:tc>
          <w:tcPr>
            <w:tcW w:w="740" w:type="dxa"/>
            <w:vAlign w:val="bottom"/>
            <w:tcBorders>
              <w:left w:val="single" w:sz="8" w:color="auto"/>
              <w:bottom w:val="single" w:sz="8" w:color="auto"/>
              <w:right w:val="single" w:sz="8" w:color="auto"/>
            </w:tcBorders>
          </w:tcPr>
          <w:p>
            <w:pPr>
              <w:ind w:left="160"/>
              <w:spacing w:after="0"/>
              <w:rPr>
                <w:sz w:val="20"/>
                <w:szCs w:val="20"/>
                <w:color w:val="auto"/>
              </w:rPr>
            </w:pPr>
            <w:r>
              <w:rPr>
                <w:rFonts w:ascii="Arial" w:cs="Arial" w:eastAsia="Arial" w:hAnsi="Arial"/>
                <w:sz w:val="18"/>
                <w:szCs w:val="18"/>
                <w:color w:val="auto"/>
              </w:rPr>
              <w:t>Gold</w:t>
            </w:r>
          </w:p>
        </w:tc>
        <w:tc>
          <w:tcPr>
            <w:tcW w:w="8980" w:type="dxa"/>
            <w:vAlign w:val="bottom"/>
            <w:tcBorders>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JX Nippon Mining &amp; Metals Co., Ltd.</w:t>
            </w:r>
          </w:p>
        </w:tc>
        <w:tc>
          <w:tcPr>
            <w:tcW w:w="1720" w:type="dxa"/>
            <w:vAlign w:val="bottom"/>
            <w:tcBorders>
              <w:bottom w:val="single" w:sz="8" w:color="auto"/>
              <w:right w:val="single" w:sz="8" w:color="auto"/>
            </w:tcBorders>
          </w:tcPr>
          <w:p>
            <w:pPr>
              <w:jc w:val="center"/>
              <w:ind w:left="110"/>
              <w:spacing w:after="0"/>
              <w:rPr>
                <w:sz w:val="20"/>
                <w:szCs w:val="20"/>
                <w:color w:val="auto"/>
              </w:rPr>
            </w:pPr>
            <w:r>
              <w:rPr>
                <w:rFonts w:ascii="Arial" w:cs="Arial" w:eastAsia="Arial" w:hAnsi="Arial"/>
                <w:sz w:val="18"/>
                <w:szCs w:val="18"/>
                <w:color w:val="auto"/>
                <w:w w:val="90"/>
              </w:rPr>
              <w:t>Validated</w:t>
            </w:r>
          </w:p>
        </w:tc>
      </w:tr>
      <w:tr>
        <w:trPr>
          <w:trHeight w:val="210"/>
        </w:trPr>
        <w:tc>
          <w:tcPr>
            <w:tcW w:w="740" w:type="dxa"/>
            <w:vAlign w:val="bottom"/>
            <w:tcBorders>
              <w:left w:val="single" w:sz="8" w:color="auto"/>
              <w:bottom w:val="single" w:sz="8" w:color="auto"/>
              <w:right w:val="single" w:sz="8" w:color="auto"/>
            </w:tcBorders>
          </w:tcPr>
          <w:p>
            <w:pPr>
              <w:ind w:left="160"/>
              <w:spacing w:after="0"/>
              <w:rPr>
                <w:sz w:val="20"/>
                <w:szCs w:val="20"/>
                <w:color w:val="auto"/>
              </w:rPr>
            </w:pPr>
            <w:r>
              <w:rPr>
                <w:rFonts w:ascii="Arial" w:cs="Arial" w:eastAsia="Arial" w:hAnsi="Arial"/>
                <w:sz w:val="18"/>
                <w:szCs w:val="18"/>
                <w:color w:val="auto"/>
              </w:rPr>
              <w:t>Gold</w:t>
            </w:r>
          </w:p>
        </w:tc>
        <w:tc>
          <w:tcPr>
            <w:tcW w:w="8980" w:type="dxa"/>
            <w:vAlign w:val="bottom"/>
            <w:tcBorders>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Kazakhmys Smelting LLC</w:t>
            </w:r>
          </w:p>
        </w:tc>
        <w:tc>
          <w:tcPr>
            <w:tcW w:w="1720" w:type="dxa"/>
            <w:vAlign w:val="bottom"/>
            <w:tcBorders>
              <w:bottom w:val="single" w:sz="8" w:color="auto"/>
              <w:right w:val="single" w:sz="8" w:color="auto"/>
            </w:tcBorders>
          </w:tcPr>
          <w:p>
            <w:pPr>
              <w:jc w:val="center"/>
              <w:ind w:left="90"/>
              <w:spacing w:after="0"/>
              <w:rPr>
                <w:sz w:val="20"/>
                <w:szCs w:val="20"/>
                <w:color w:val="auto"/>
              </w:rPr>
            </w:pPr>
            <w:r>
              <w:rPr>
                <w:rFonts w:ascii="Arial" w:cs="Arial" w:eastAsia="Arial" w:hAnsi="Arial"/>
                <w:sz w:val="18"/>
                <w:szCs w:val="18"/>
                <w:color w:val="auto"/>
                <w:w w:val="95"/>
              </w:rPr>
              <w:t>Not Active</w:t>
            </w:r>
          </w:p>
        </w:tc>
      </w:tr>
      <w:tr>
        <w:trPr>
          <w:trHeight w:val="210"/>
        </w:trPr>
        <w:tc>
          <w:tcPr>
            <w:tcW w:w="740" w:type="dxa"/>
            <w:vAlign w:val="bottom"/>
            <w:tcBorders>
              <w:left w:val="single" w:sz="8" w:color="auto"/>
              <w:bottom w:val="single" w:sz="8" w:color="auto"/>
              <w:right w:val="single" w:sz="8" w:color="auto"/>
            </w:tcBorders>
          </w:tcPr>
          <w:p>
            <w:pPr>
              <w:ind w:left="160"/>
              <w:spacing w:after="0"/>
              <w:rPr>
                <w:sz w:val="20"/>
                <w:szCs w:val="20"/>
                <w:color w:val="auto"/>
              </w:rPr>
            </w:pPr>
            <w:r>
              <w:rPr>
                <w:rFonts w:ascii="Arial" w:cs="Arial" w:eastAsia="Arial" w:hAnsi="Arial"/>
                <w:sz w:val="18"/>
                <w:szCs w:val="18"/>
                <w:color w:val="auto"/>
              </w:rPr>
              <w:t>Gold</w:t>
            </w:r>
          </w:p>
        </w:tc>
        <w:tc>
          <w:tcPr>
            <w:tcW w:w="8980" w:type="dxa"/>
            <w:vAlign w:val="bottom"/>
            <w:tcBorders>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Kazzinc Ltd</w:t>
            </w:r>
          </w:p>
        </w:tc>
        <w:tc>
          <w:tcPr>
            <w:tcW w:w="1720" w:type="dxa"/>
            <w:vAlign w:val="bottom"/>
            <w:tcBorders>
              <w:bottom w:val="single" w:sz="8" w:color="auto"/>
              <w:right w:val="single" w:sz="8" w:color="auto"/>
            </w:tcBorders>
          </w:tcPr>
          <w:p>
            <w:pPr>
              <w:jc w:val="center"/>
              <w:ind w:left="110"/>
              <w:spacing w:after="0"/>
              <w:rPr>
                <w:sz w:val="20"/>
                <w:szCs w:val="20"/>
                <w:color w:val="auto"/>
              </w:rPr>
            </w:pPr>
            <w:r>
              <w:rPr>
                <w:rFonts w:ascii="Arial" w:cs="Arial" w:eastAsia="Arial" w:hAnsi="Arial"/>
                <w:sz w:val="18"/>
                <w:szCs w:val="18"/>
                <w:color w:val="auto"/>
                <w:w w:val="90"/>
              </w:rPr>
              <w:t>Validated</w:t>
            </w:r>
          </w:p>
        </w:tc>
      </w:tr>
      <w:tr>
        <w:trPr>
          <w:trHeight w:val="210"/>
        </w:trPr>
        <w:tc>
          <w:tcPr>
            <w:tcW w:w="740" w:type="dxa"/>
            <w:vAlign w:val="bottom"/>
            <w:tcBorders>
              <w:left w:val="single" w:sz="8" w:color="auto"/>
              <w:bottom w:val="single" w:sz="8" w:color="auto"/>
              <w:right w:val="single" w:sz="8" w:color="auto"/>
            </w:tcBorders>
          </w:tcPr>
          <w:p>
            <w:pPr>
              <w:ind w:left="160"/>
              <w:spacing w:after="0"/>
              <w:rPr>
                <w:sz w:val="20"/>
                <w:szCs w:val="20"/>
                <w:color w:val="auto"/>
              </w:rPr>
            </w:pPr>
            <w:r>
              <w:rPr>
                <w:rFonts w:ascii="Arial" w:cs="Arial" w:eastAsia="Arial" w:hAnsi="Arial"/>
                <w:sz w:val="18"/>
                <w:szCs w:val="18"/>
                <w:color w:val="auto"/>
              </w:rPr>
              <w:t>Gold</w:t>
            </w:r>
          </w:p>
        </w:tc>
        <w:tc>
          <w:tcPr>
            <w:tcW w:w="8980" w:type="dxa"/>
            <w:vAlign w:val="bottom"/>
            <w:tcBorders>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Kennecott Utah Copper LLC</w:t>
            </w:r>
          </w:p>
        </w:tc>
        <w:tc>
          <w:tcPr>
            <w:tcW w:w="1720" w:type="dxa"/>
            <w:vAlign w:val="bottom"/>
            <w:tcBorders>
              <w:bottom w:val="single" w:sz="8" w:color="auto"/>
              <w:right w:val="single" w:sz="8" w:color="auto"/>
            </w:tcBorders>
          </w:tcPr>
          <w:p>
            <w:pPr>
              <w:jc w:val="center"/>
              <w:ind w:left="110"/>
              <w:spacing w:after="0"/>
              <w:rPr>
                <w:sz w:val="20"/>
                <w:szCs w:val="20"/>
                <w:color w:val="auto"/>
              </w:rPr>
            </w:pPr>
            <w:r>
              <w:rPr>
                <w:rFonts w:ascii="Arial" w:cs="Arial" w:eastAsia="Arial" w:hAnsi="Arial"/>
                <w:sz w:val="18"/>
                <w:szCs w:val="18"/>
                <w:color w:val="auto"/>
                <w:w w:val="90"/>
              </w:rPr>
              <w:t>Validated</w:t>
            </w:r>
          </w:p>
        </w:tc>
      </w:tr>
      <w:tr>
        <w:trPr>
          <w:trHeight w:val="210"/>
        </w:trPr>
        <w:tc>
          <w:tcPr>
            <w:tcW w:w="740" w:type="dxa"/>
            <w:vAlign w:val="bottom"/>
            <w:tcBorders>
              <w:left w:val="single" w:sz="8" w:color="auto"/>
              <w:bottom w:val="single" w:sz="8" w:color="auto"/>
              <w:right w:val="single" w:sz="8" w:color="auto"/>
            </w:tcBorders>
          </w:tcPr>
          <w:p>
            <w:pPr>
              <w:ind w:left="160"/>
              <w:spacing w:after="0"/>
              <w:rPr>
                <w:sz w:val="20"/>
                <w:szCs w:val="20"/>
                <w:color w:val="auto"/>
              </w:rPr>
            </w:pPr>
            <w:r>
              <w:rPr>
                <w:rFonts w:ascii="Arial" w:cs="Arial" w:eastAsia="Arial" w:hAnsi="Arial"/>
                <w:sz w:val="18"/>
                <w:szCs w:val="18"/>
                <w:color w:val="auto"/>
              </w:rPr>
              <w:t>Gold</w:t>
            </w:r>
          </w:p>
        </w:tc>
        <w:tc>
          <w:tcPr>
            <w:tcW w:w="8980" w:type="dxa"/>
            <w:vAlign w:val="bottom"/>
            <w:tcBorders>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KGHM Polska Miedź Spółka Akcyjna</w:t>
            </w:r>
          </w:p>
        </w:tc>
        <w:tc>
          <w:tcPr>
            <w:tcW w:w="1720" w:type="dxa"/>
            <w:vAlign w:val="bottom"/>
            <w:tcBorders>
              <w:bottom w:val="single" w:sz="8" w:color="auto"/>
              <w:right w:val="single" w:sz="8" w:color="auto"/>
            </w:tcBorders>
          </w:tcPr>
          <w:p>
            <w:pPr>
              <w:jc w:val="center"/>
              <w:ind w:left="110"/>
              <w:spacing w:after="0"/>
              <w:rPr>
                <w:sz w:val="20"/>
                <w:szCs w:val="20"/>
                <w:color w:val="auto"/>
              </w:rPr>
            </w:pPr>
            <w:r>
              <w:rPr>
                <w:rFonts w:ascii="Arial" w:cs="Arial" w:eastAsia="Arial" w:hAnsi="Arial"/>
                <w:sz w:val="18"/>
                <w:szCs w:val="18"/>
                <w:color w:val="auto"/>
                <w:w w:val="97"/>
              </w:rPr>
              <w:t>Active</w:t>
            </w:r>
          </w:p>
        </w:tc>
      </w:tr>
      <w:tr>
        <w:trPr>
          <w:trHeight w:val="210"/>
        </w:trPr>
        <w:tc>
          <w:tcPr>
            <w:tcW w:w="740" w:type="dxa"/>
            <w:vAlign w:val="bottom"/>
            <w:tcBorders>
              <w:left w:val="single" w:sz="8" w:color="auto"/>
              <w:bottom w:val="single" w:sz="8" w:color="auto"/>
              <w:right w:val="single" w:sz="8" w:color="auto"/>
            </w:tcBorders>
          </w:tcPr>
          <w:p>
            <w:pPr>
              <w:ind w:left="160"/>
              <w:spacing w:after="0"/>
              <w:rPr>
                <w:sz w:val="20"/>
                <w:szCs w:val="20"/>
                <w:color w:val="auto"/>
              </w:rPr>
            </w:pPr>
            <w:r>
              <w:rPr>
                <w:rFonts w:ascii="Arial" w:cs="Arial" w:eastAsia="Arial" w:hAnsi="Arial"/>
                <w:sz w:val="18"/>
                <w:szCs w:val="18"/>
                <w:color w:val="auto"/>
              </w:rPr>
              <w:t>Gold</w:t>
            </w:r>
          </w:p>
        </w:tc>
        <w:tc>
          <w:tcPr>
            <w:tcW w:w="8980" w:type="dxa"/>
            <w:vAlign w:val="bottom"/>
            <w:tcBorders>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Kojima Chemicals Co., Ltd.</w:t>
            </w:r>
          </w:p>
        </w:tc>
        <w:tc>
          <w:tcPr>
            <w:tcW w:w="1720" w:type="dxa"/>
            <w:vAlign w:val="bottom"/>
            <w:tcBorders>
              <w:bottom w:val="single" w:sz="8" w:color="auto"/>
              <w:right w:val="single" w:sz="8" w:color="auto"/>
            </w:tcBorders>
          </w:tcPr>
          <w:p>
            <w:pPr>
              <w:jc w:val="center"/>
              <w:ind w:left="110"/>
              <w:spacing w:after="0"/>
              <w:rPr>
                <w:sz w:val="20"/>
                <w:szCs w:val="20"/>
                <w:color w:val="auto"/>
              </w:rPr>
            </w:pPr>
            <w:r>
              <w:rPr>
                <w:rFonts w:ascii="Arial" w:cs="Arial" w:eastAsia="Arial" w:hAnsi="Arial"/>
                <w:sz w:val="18"/>
                <w:szCs w:val="18"/>
                <w:color w:val="auto"/>
                <w:w w:val="90"/>
              </w:rPr>
              <w:t>Validated</w:t>
            </w:r>
          </w:p>
        </w:tc>
      </w:tr>
      <w:tr>
        <w:trPr>
          <w:trHeight w:val="210"/>
        </w:trPr>
        <w:tc>
          <w:tcPr>
            <w:tcW w:w="740" w:type="dxa"/>
            <w:vAlign w:val="bottom"/>
            <w:tcBorders>
              <w:left w:val="single" w:sz="8" w:color="auto"/>
              <w:bottom w:val="single" w:sz="8" w:color="auto"/>
              <w:right w:val="single" w:sz="8" w:color="auto"/>
            </w:tcBorders>
          </w:tcPr>
          <w:p>
            <w:pPr>
              <w:ind w:left="160"/>
              <w:spacing w:after="0"/>
              <w:rPr>
                <w:sz w:val="20"/>
                <w:szCs w:val="20"/>
                <w:color w:val="auto"/>
              </w:rPr>
            </w:pPr>
            <w:r>
              <w:rPr>
                <w:rFonts w:ascii="Arial" w:cs="Arial" w:eastAsia="Arial" w:hAnsi="Arial"/>
                <w:sz w:val="18"/>
                <w:szCs w:val="18"/>
                <w:color w:val="auto"/>
              </w:rPr>
              <w:t>Gold</w:t>
            </w:r>
          </w:p>
        </w:tc>
        <w:tc>
          <w:tcPr>
            <w:tcW w:w="8980" w:type="dxa"/>
            <w:vAlign w:val="bottom"/>
            <w:tcBorders>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Korea Metal Co., Ltd.</w:t>
            </w:r>
          </w:p>
        </w:tc>
        <w:tc>
          <w:tcPr>
            <w:tcW w:w="1720" w:type="dxa"/>
            <w:vAlign w:val="bottom"/>
            <w:tcBorders>
              <w:bottom w:val="single" w:sz="8" w:color="auto"/>
              <w:right w:val="single" w:sz="8" w:color="auto"/>
            </w:tcBorders>
          </w:tcPr>
          <w:p>
            <w:pPr>
              <w:jc w:val="center"/>
              <w:ind w:left="90"/>
              <w:spacing w:after="0"/>
              <w:rPr>
                <w:sz w:val="20"/>
                <w:szCs w:val="20"/>
                <w:color w:val="auto"/>
              </w:rPr>
            </w:pPr>
            <w:r>
              <w:rPr>
                <w:rFonts w:ascii="Arial" w:cs="Arial" w:eastAsia="Arial" w:hAnsi="Arial"/>
                <w:sz w:val="18"/>
                <w:szCs w:val="18"/>
                <w:color w:val="auto"/>
                <w:w w:val="95"/>
              </w:rPr>
              <w:t>Not Active</w:t>
            </w:r>
          </w:p>
        </w:tc>
      </w:tr>
      <w:tr>
        <w:trPr>
          <w:trHeight w:val="210"/>
        </w:trPr>
        <w:tc>
          <w:tcPr>
            <w:tcW w:w="740" w:type="dxa"/>
            <w:vAlign w:val="bottom"/>
            <w:tcBorders>
              <w:left w:val="single" w:sz="8" w:color="auto"/>
              <w:bottom w:val="single" w:sz="8" w:color="auto"/>
              <w:right w:val="single" w:sz="8" w:color="auto"/>
            </w:tcBorders>
          </w:tcPr>
          <w:p>
            <w:pPr>
              <w:ind w:left="160"/>
              <w:spacing w:after="0"/>
              <w:rPr>
                <w:sz w:val="20"/>
                <w:szCs w:val="20"/>
                <w:color w:val="auto"/>
              </w:rPr>
            </w:pPr>
            <w:r>
              <w:rPr>
                <w:rFonts w:ascii="Arial" w:cs="Arial" w:eastAsia="Arial" w:hAnsi="Arial"/>
                <w:sz w:val="18"/>
                <w:szCs w:val="18"/>
                <w:color w:val="auto"/>
              </w:rPr>
              <w:t>Gold</w:t>
            </w:r>
          </w:p>
        </w:tc>
        <w:tc>
          <w:tcPr>
            <w:tcW w:w="8980" w:type="dxa"/>
            <w:vAlign w:val="bottom"/>
            <w:tcBorders>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Korea Zinc Co. Ltd.</w:t>
            </w:r>
          </w:p>
        </w:tc>
        <w:tc>
          <w:tcPr>
            <w:tcW w:w="1720" w:type="dxa"/>
            <w:vAlign w:val="bottom"/>
            <w:tcBorders>
              <w:bottom w:val="single" w:sz="8" w:color="auto"/>
              <w:right w:val="single" w:sz="8" w:color="auto"/>
            </w:tcBorders>
          </w:tcPr>
          <w:p>
            <w:pPr>
              <w:jc w:val="center"/>
              <w:ind w:left="110"/>
              <w:spacing w:after="0"/>
              <w:rPr>
                <w:sz w:val="20"/>
                <w:szCs w:val="20"/>
                <w:color w:val="auto"/>
              </w:rPr>
            </w:pPr>
            <w:r>
              <w:rPr>
                <w:rFonts w:ascii="Arial" w:cs="Arial" w:eastAsia="Arial" w:hAnsi="Arial"/>
                <w:sz w:val="18"/>
                <w:szCs w:val="18"/>
                <w:color w:val="auto"/>
                <w:w w:val="97"/>
              </w:rPr>
              <w:t>Active</w:t>
            </w:r>
          </w:p>
        </w:tc>
      </w:tr>
      <w:tr>
        <w:trPr>
          <w:trHeight w:val="210"/>
        </w:trPr>
        <w:tc>
          <w:tcPr>
            <w:tcW w:w="740" w:type="dxa"/>
            <w:vAlign w:val="bottom"/>
            <w:tcBorders>
              <w:left w:val="single" w:sz="8" w:color="auto"/>
              <w:bottom w:val="single" w:sz="8" w:color="auto"/>
              <w:right w:val="single" w:sz="8" w:color="auto"/>
            </w:tcBorders>
          </w:tcPr>
          <w:p>
            <w:pPr>
              <w:ind w:left="160"/>
              <w:spacing w:after="0"/>
              <w:rPr>
                <w:sz w:val="20"/>
                <w:szCs w:val="20"/>
                <w:color w:val="auto"/>
              </w:rPr>
            </w:pPr>
            <w:r>
              <w:rPr>
                <w:rFonts w:ascii="Arial" w:cs="Arial" w:eastAsia="Arial" w:hAnsi="Arial"/>
                <w:sz w:val="18"/>
                <w:szCs w:val="18"/>
                <w:color w:val="auto"/>
              </w:rPr>
              <w:t>Gold</w:t>
            </w:r>
          </w:p>
        </w:tc>
        <w:tc>
          <w:tcPr>
            <w:tcW w:w="8980" w:type="dxa"/>
            <w:vAlign w:val="bottom"/>
            <w:tcBorders>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Kyrgyzaltyn JSC</w:t>
            </w:r>
          </w:p>
        </w:tc>
        <w:tc>
          <w:tcPr>
            <w:tcW w:w="1720" w:type="dxa"/>
            <w:vAlign w:val="bottom"/>
            <w:tcBorders>
              <w:bottom w:val="single" w:sz="8" w:color="auto"/>
              <w:right w:val="single" w:sz="8" w:color="auto"/>
            </w:tcBorders>
          </w:tcPr>
          <w:p>
            <w:pPr>
              <w:jc w:val="center"/>
              <w:ind w:left="90"/>
              <w:spacing w:after="0"/>
              <w:rPr>
                <w:sz w:val="20"/>
                <w:szCs w:val="20"/>
                <w:color w:val="auto"/>
              </w:rPr>
            </w:pPr>
            <w:r>
              <w:rPr>
                <w:rFonts w:ascii="Arial" w:cs="Arial" w:eastAsia="Arial" w:hAnsi="Arial"/>
                <w:sz w:val="18"/>
                <w:szCs w:val="18"/>
                <w:color w:val="auto"/>
                <w:w w:val="95"/>
              </w:rPr>
              <w:t>Not Active</w:t>
            </w:r>
          </w:p>
        </w:tc>
      </w:tr>
      <w:tr>
        <w:trPr>
          <w:trHeight w:val="210"/>
        </w:trPr>
        <w:tc>
          <w:tcPr>
            <w:tcW w:w="740" w:type="dxa"/>
            <w:vAlign w:val="bottom"/>
            <w:tcBorders>
              <w:left w:val="single" w:sz="8" w:color="auto"/>
              <w:bottom w:val="single" w:sz="8" w:color="auto"/>
              <w:right w:val="single" w:sz="8" w:color="auto"/>
            </w:tcBorders>
          </w:tcPr>
          <w:p>
            <w:pPr>
              <w:ind w:left="160"/>
              <w:spacing w:after="0"/>
              <w:rPr>
                <w:sz w:val="20"/>
                <w:szCs w:val="20"/>
                <w:color w:val="auto"/>
              </w:rPr>
            </w:pPr>
            <w:r>
              <w:rPr>
                <w:rFonts w:ascii="Arial" w:cs="Arial" w:eastAsia="Arial" w:hAnsi="Arial"/>
                <w:sz w:val="18"/>
                <w:szCs w:val="18"/>
                <w:color w:val="auto"/>
              </w:rPr>
              <w:t>Gold</w:t>
            </w:r>
          </w:p>
        </w:tc>
        <w:tc>
          <w:tcPr>
            <w:tcW w:w="8980" w:type="dxa"/>
            <w:vAlign w:val="bottom"/>
            <w:tcBorders>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L’ azurde Company For Jewelry</w:t>
            </w:r>
          </w:p>
        </w:tc>
        <w:tc>
          <w:tcPr>
            <w:tcW w:w="1720" w:type="dxa"/>
            <w:vAlign w:val="bottom"/>
            <w:tcBorders>
              <w:bottom w:val="single" w:sz="8" w:color="auto"/>
              <w:right w:val="single" w:sz="8" w:color="auto"/>
            </w:tcBorders>
          </w:tcPr>
          <w:p>
            <w:pPr>
              <w:jc w:val="center"/>
              <w:ind w:left="90"/>
              <w:spacing w:after="0"/>
              <w:rPr>
                <w:sz w:val="20"/>
                <w:szCs w:val="20"/>
                <w:color w:val="auto"/>
              </w:rPr>
            </w:pPr>
            <w:r>
              <w:rPr>
                <w:rFonts w:ascii="Arial" w:cs="Arial" w:eastAsia="Arial" w:hAnsi="Arial"/>
                <w:sz w:val="18"/>
                <w:szCs w:val="18"/>
                <w:color w:val="auto"/>
                <w:w w:val="95"/>
              </w:rPr>
              <w:t>Not Active</w:t>
            </w:r>
          </w:p>
        </w:tc>
      </w:tr>
      <w:tr>
        <w:trPr>
          <w:trHeight w:val="210"/>
        </w:trPr>
        <w:tc>
          <w:tcPr>
            <w:tcW w:w="740" w:type="dxa"/>
            <w:vAlign w:val="bottom"/>
            <w:tcBorders>
              <w:left w:val="single" w:sz="8" w:color="auto"/>
              <w:bottom w:val="single" w:sz="8" w:color="auto"/>
              <w:right w:val="single" w:sz="8" w:color="auto"/>
            </w:tcBorders>
          </w:tcPr>
          <w:p>
            <w:pPr>
              <w:ind w:left="160"/>
              <w:spacing w:after="0"/>
              <w:rPr>
                <w:sz w:val="20"/>
                <w:szCs w:val="20"/>
                <w:color w:val="auto"/>
              </w:rPr>
            </w:pPr>
            <w:r>
              <w:rPr>
                <w:rFonts w:ascii="Arial" w:cs="Arial" w:eastAsia="Arial" w:hAnsi="Arial"/>
                <w:sz w:val="18"/>
                <w:szCs w:val="18"/>
                <w:color w:val="auto"/>
              </w:rPr>
              <w:t>Gold</w:t>
            </w:r>
          </w:p>
        </w:tc>
        <w:tc>
          <w:tcPr>
            <w:tcW w:w="8980" w:type="dxa"/>
            <w:vAlign w:val="bottom"/>
            <w:tcBorders>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Lingbao Jinyuan Tonghui Refinery Co., Ltd.</w:t>
            </w:r>
          </w:p>
        </w:tc>
        <w:tc>
          <w:tcPr>
            <w:tcW w:w="1720" w:type="dxa"/>
            <w:vAlign w:val="bottom"/>
            <w:tcBorders>
              <w:bottom w:val="single" w:sz="8" w:color="auto"/>
              <w:right w:val="single" w:sz="8" w:color="auto"/>
            </w:tcBorders>
          </w:tcPr>
          <w:p>
            <w:pPr>
              <w:jc w:val="center"/>
              <w:ind w:left="90"/>
              <w:spacing w:after="0"/>
              <w:rPr>
                <w:sz w:val="20"/>
                <w:szCs w:val="20"/>
                <w:color w:val="auto"/>
              </w:rPr>
            </w:pPr>
            <w:r>
              <w:rPr>
                <w:rFonts w:ascii="Arial" w:cs="Arial" w:eastAsia="Arial" w:hAnsi="Arial"/>
                <w:sz w:val="18"/>
                <w:szCs w:val="18"/>
                <w:color w:val="auto"/>
                <w:w w:val="95"/>
              </w:rPr>
              <w:t>Not Active</w:t>
            </w:r>
          </w:p>
        </w:tc>
      </w:tr>
      <w:tr>
        <w:trPr>
          <w:trHeight w:val="210"/>
        </w:trPr>
        <w:tc>
          <w:tcPr>
            <w:tcW w:w="740" w:type="dxa"/>
            <w:vAlign w:val="bottom"/>
            <w:tcBorders>
              <w:left w:val="single" w:sz="8" w:color="auto"/>
              <w:bottom w:val="single" w:sz="8" w:color="auto"/>
              <w:right w:val="single" w:sz="8" w:color="auto"/>
            </w:tcBorders>
          </w:tcPr>
          <w:p>
            <w:pPr>
              <w:ind w:left="160"/>
              <w:spacing w:after="0"/>
              <w:rPr>
                <w:sz w:val="20"/>
                <w:szCs w:val="20"/>
                <w:color w:val="auto"/>
              </w:rPr>
            </w:pPr>
            <w:r>
              <w:rPr>
                <w:rFonts w:ascii="Arial" w:cs="Arial" w:eastAsia="Arial" w:hAnsi="Arial"/>
                <w:sz w:val="18"/>
                <w:szCs w:val="18"/>
                <w:color w:val="auto"/>
              </w:rPr>
              <w:t>Gold</w:t>
            </w:r>
          </w:p>
        </w:tc>
        <w:tc>
          <w:tcPr>
            <w:tcW w:w="8980" w:type="dxa"/>
            <w:vAlign w:val="bottom"/>
            <w:tcBorders>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LS-NIKKO Copper Inc.</w:t>
            </w:r>
          </w:p>
        </w:tc>
        <w:tc>
          <w:tcPr>
            <w:tcW w:w="1720" w:type="dxa"/>
            <w:vAlign w:val="bottom"/>
            <w:tcBorders>
              <w:bottom w:val="single" w:sz="8" w:color="auto"/>
              <w:right w:val="single" w:sz="8" w:color="auto"/>
            </w:tcBorders>
          </w:tcPr>
          <w:p>
            <w:pPr>
              <w:jc w:val="center"/>
              <w:ind w:left="110"/>
              <w:spacing w:after="0"/>
              <w:rPr>
                <w:sz w:val="20"/>
                <w:szCs w:val="20"/>
                <w:color w:val="auto"/>
              </w:rPr>
            </w:pPr>
            <w:r>
              <w:rPr>
                <w:rFonts w:ascii="Arial" w:cs="Arial" w:eastAsia="Arial" w:hAnsi="Arial"/>
                <w:sz w:val="18"/>
                <w:szCs w:val="18"/>
                <w:color w:val="auto"/>
                <w:w w:val="90"/>
              </w:rPr>
              <w:t>Validated</w:t>
            </w:r>
          </w:p>
        </w:tc>
      </w:tr>
      <w:tr>
        <w:trPr>
          <w:trHeight w:val="210"/>
        </w:trPr>
        <w:tc>
          <w:tcPr>
            <w:tcW w:w="740" w:type="dxa"/>
            <w:vAlign w:val="bottom"/>
            <w:tcBorders>
              <w:left w:val="single" w:sz="8" w:color="auto"/>
              <w:bottom w:val="single" w:sz="8" w:color="auto"/>
              <w:right w:val="single" w:sz="8" w:color="auto"/>
            </w:tcBorders>
          </w:tcPr>
          <w:p>
            <w:pPr>
              <w:ind w:left="160"/>
              <w:spacing w:after="0"/>
              <w:rPr>
                <w:sz w:val="20"/>
                <w:szCs w:val="20"/>
                <w:color w:val="auto"/>
              </w:rPr>
            </w:pPr>
            <w:r>
              <w:rPr>
                <w:rFonts w:ascii="Arial" w:cs="Arial" w:eastAsia="Arial" w:hAnsi="Arial"/>
                <w:sz w:val="18"/>
                <w:szCs w:val="18"/>
                <w:color w:val="auto"/>
              </w:rPr>
              <w:t>Gold</w:t>
            </w:r>
          </w:p>
        </w:tc>
        <w:tc>
          <w:tcPr>
            <w:tcW w:w="8980" w:type="dxa"/>
            <w:vAlign w:val="bottom"/>
            <w:tcBorders>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Luoyang Zijin Yinhui Gold Refinery Co., Ltd.</w:t>
            </w:r>
          </w:p>
        </w:tc>
        <w:tc>
          <w:tcPr>
            <w:tcW w:w="1720" w:type="dxa"/>
            <w:vAlign w:val="bottom"/>
            <w:tcBorders>
              <w:bottom w:val="single" w:sz="8" w:color="auto"/>
              <w:right w:val="single" w:sz="8" w:color="auto"/>
            </w:tcBorders>
          </w:tcPr>
          <w:p>
            <w:pPr>
              <w:jc w:val="center"/>
              <w:ind w:left="90"/>
              <w:spacing w:after="0"/>
              <w:rPr>
                <w:sz w:val="20"/>
                <w:szCs w:val="20"/>
                <w:color w:val="auto"/>
              </w:rPr>
            </w:pPr>
            <w:r>
              <w:rPr>
                <w:rFonts w:ascii="Arial" w:cs="Arial" w:eastAsia="Arial" w:hAnsi="Arial"/>
                <w:sz w:val="18"/>
                <w:szCs w:val="18"/>
                <w:color w:val="auto"/>
                <w:w w:val="95"/>
              </w:rPr>
              <w:t>Not Active</w:t>
            </w:r>
          </w:p>
        </w:tc>
      </w:tr>
      <w:tr>
        <w:trPr>
          <w:trHeight w:val="210"/>
        </w:trPr>
        <w:tc>
          <w:tcPr>
            <w:tcW w:w="740" w:type="dxa"/>
            <w:vAlign w:val="bottom"/>
            <w:tcBorders>
              <w:left w:val="single" w:sz="8" w:color="auto"/>
              <w:bottom w:val="single" w:sz="8" w:color="auto"/>
              <w:right w:val="single" w:sz="8" w:color="auto"/>
            </w:tcBorders>
          </w:tcPr>
          <w:p>
            <w:pPr>
              <w:ind w:left="160"/>
              <w:spacing w:after="0"/>
              <w:rPr>
                <w:sz w:val="20"/>
                <w:szCs w:val="20"/>
                <w:color w:val="auto"/>
              </w:rPr>
            </w:pPr>
            <w:r>
              <w:rPr>
                <w:rFonts w:ascii="Arial" w:cs="Arial" w:eastAsia="Arial" w:hAnsi="Arial"/>
                <w:sz w:val="18"/>
                <w:szCs w:val="18"/>
                <w:color w:val="auto"/>
              </w:rPr>
              <w:t>Gold</w:t>
            </w:r>
          </w:p>
        </w:tc>
        <w:tc>
          <w:tcPr>
            <w:tcW w:w="8980" w:type="dxa"/>
            <w:vAlign w:val="bottom"/>
            <w:tcBorders>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Materion</w:t>
            </w:r>
          </w:p>
        </w:tc>
        <w:tc>
          <w:tcPr>
            <w:tcW w:w="1720" w:type="dxa"/>
            <w:vAlign w:val="bottom"/>
            <w:tcBorders>
              <w:bottom w:val="single" w:sz="8" w:color="auto"/>
              <w:right w:val="single" w:sz="8" w:color="auto"/>
            </w:tcBorders>
          </w:tcPr>
          <w:p>
            <w:pPr>
              <w:jc w:val="center"/>
              <w:ind w:left="110"/>
              <w:spacing w:after="0"/>
              <w:rPr>
                <w:sz w:val="20"/>
                <w:szCs w:val="20"/>
                <w:color w:val="auto"/>
              </w:rPr>
            </w:pPr>
            <w:r>
              <w:rPr>
                <w:rFonts w:ascii="Arial" w:cs="Arial" w:eastAsia="Arial" w:hAnsi="Arial"/>
                <w:sz w:val="18"/>
                <w:szCs w:val="18"/>
                <w:color w:val="auto"/>
                <w:w w:val="90"/>
              </w:rPr>
              <w:t>Validated</w:t>
            </w:r>
          </w:p>
        </w:tc>
      </w:tr>
      <w:tr>
        <w:trPr>
          <w:trHeight w:val="210"/>
        </w:trPr>
        <w:tc>
          <w:tcPr>
            <w:tcW w:w="740" w:type="dxa"/>
            <w:vAlign w:val="bottom"/>
            <w:tcBorders>
              <w:left w:val="single" w:sz="8" w:color="auto"/>
              <w:bottom w:val="single" w:sz="8" w:color="auto"/>
              <w:right w:val="single" w:sz="8" w:color="auto"/>
            </w:tcBorders>
          </w:tcPr>
          <w:p>
            <w:pPr>
              <w:ind w:left="160"/>
              <w:spacing w:after="0"/>
              <w:rPr>
                <w:sz w:val="20"/>
                <w:szCs w:val="20"/>
                <w:color w:val="auto"/>
              </w:rPr>
            </w:pPr>
            <w:r>
              <w:rPr>
                <w:rFonts w:ascii="Arial" w:cs="Arial" w:eastAsia="Arial" w:hAnsi="Arial"/>
                <w:sz w:val="18"/>
                <w:szCs w:val="18"/>
                <w:color w:val="auto"/>
              </w:rPr>
              <w:t>Gold</w:t>
            </w:r>
          </w:p>
        </w:tc>
        <w:tc>
          <w:tcPr>
            <w:tcW w:w="8980" w:type="dxa"/>
            <w:vAlign w:val="bottom"/>
            <w:tcBorders>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Matsuda Sangyo Co., Ltd.</w:t>
            </w:r>
          </w:p>
        </w:tc>
        <w:tc>
          <w:tcPr>
            <w:tcW w:w="1720" w:type="dxa"/>
            <w:vAlign w:val="bottom"/>
            <w:tcBorders>
              <w:bottom w:val="single" w:sz="8" w:color="auto"/>
              <w:right w:val="single" w:sz="8" w:color="auto"/>
            </w:tcBorders>
          </w:tcPr>
          <w:p>
            <w:pPr>
              <w:jc w:val="center"/>
              <w:ind w:left="110"/>
              <w:spacing w:after="0"/>
              <w:rPr>
                <w:sz w:val="20"/>
                <w:szCs w:val="20"/>
                <w:color w:val="auto"/>
              </w:rPr>
            </w:pPr>
            <w:r>
              <w:rPr>
                <w:rFonts w:ascii="Arial" w:cs="Arial" w:eastAsia="Arial" w:hAnsi="Arial"/>
                <w:sz w:val="18"/>
                <w:szCs w:val="18"/>
                <w:color w:val="auto"/>
                <w:w w:val="90"/>
              </w:rPr>
              <w:t>Validated</w:t>
            </w:r>
          </w:p>
        </w:tc>
      </w:tr>
      <w:tr>
        <w:trPr>
          <w:trHeight w:val="210"/>
        </w:trPr>
        <w:tc>
          <w:tcPr>
            <w:tcW w:w="740" w:type="dxa"/>
            <w:vAlign w:val="bottom"/>
            <w:tcBorders>
              <w:left w:val="single" w:sz="8" w:color="auto"/>
              <w:bottom w:val="single" w:sz="8" w:color="auto"/>
              <w:right w:val="single" w:sz="8" w:color="auto"/>
            </w:tcBorders>
          </w:tcPr>
          <w:p>
            <w:pPr>
              <w:ind w:left="160"/>
              <w:spacing w:after="0"/>
              <w:rPr>
                <w:sz w:val="20"/>
                <w:szCs w:val="20"/>
                <w:color w:val="auto"/>
              </w:rPr>
            </w:pPr>
            <w:r>
              <w:rPr>
                <w:rFonts w:ascii="Arial" w:cs="Arial" w:eastAsia="Arial" w:hAnsi="Arial"/>
                <w:sz w:val="18"/>
                <w:szCs w:val="18"/>
                <w:color w:val="auto"/>
              </w:rPr>
              <w:t>Gold</w:t>
            </w:r>
          </w:p>
        </w:tc>
        <w:tc>
          <w:tcPr>
            <w:tcW w:w="8980" w:type="dxa"/>
            <w:vAlign w:val="bottom"/>
            <w:tcBorders>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Metalor Technologies (Hong Kong) Ltd.</w:t>
            </w:r>
          </w:p>
        </w:tc>
        <w:tc>
          <w:tcPr>
            <w:tcW w:w="1720" w:type="dxa"/>
            <w:vAlign w:val="bottom"/>
            <w:tcBorders>
              <w:bottom w:val="single" w:sz="8" w:color="auto"/>
              <w:right w:val="single" w:sz="8" w:color="auto"/>
            </w:tcBorders>
          </w:tcPr>
          <w:p>
            <w:pPr>
              <w:jc w:val="center"/>
              <w:ind w:left="110"/>
              <w:spacing w:after="0"/>
              <w:rPr>
                <w:sz w:val="20"/>
                <w:szCs w:val="20"/>
                <w:color w:val="auto"/>
              </w:rPr>
            </w:pPr>
            <w:r>
              <w:rPr>
                <w:rFonts w:ascii="Arial" w:cs="Arial" w:eastAsia="Arial" w:hAnsi="Arial"/>
                <w:sz w:val="18"/>
                <w:szCs w:val="18"/>
                <w:color w:val="auto"/>
                <w:w w:val="90"/>
              </w:rPr>
              <w:t>Validated</w:t>
            </w:r>
          </w:p>
        </w:tc>
      </w:tr>
      <w:tr>
        <w:trPr>
          <w:trHeight w:val="210"/>
        </w:trPr>
        <w:tc>
          <w:tcPr>
            <w:tcW w:w="740" w:type="dxa"/>
            <w:vAlign w:val="bottom"/>
            <w:tcBorders>
              <w:left w:val="single" w:sz="8" w:color="auto"/>
              <w:bottom w:val="single" w:sz="8" w:color="auto"/>
              <w:right w:val="single" w:sz="8" w:color="auto"/>
            </w:tcBorders>
          </w:tcPr>
          <w:p>
            <w:pPr>
              <w:ind w:left="160"/>
              <w:spacing w:after="0"/>
              <w:rPr>
                <w:sz w:val="20"/>
                <w:szCs w:val="20"/>
                <w:color w:val="auto"/>
              </w:rPr>
            </w:pPr>
            <w:r>
              <w:rPr>
                <w:rFonts w:ascii="Arial" w:cs="Arial" w:eastAsia="Arial" w:hAnsi="Arial"/>
                <w:sz w:val="18"/>
                <w:szCs w:val="18"/>
                <w:color w:val="auto"/>
              </w:rPr>
              <w:t>Gold</w:t>
            </w:r>
          </w:p>
        </w:tc>
        <w:tc>
          <w:tcPr>
            <w:tcW w:w="8980" w:type="dxa"/>
            <w:vAlign w:val="bottom"/>
            <w:tcBorders>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Metalor Technologies (Singapore) Pte., Ltd.</w:t>
            </w:r>
          </w:p>
        </w:tc>
        <w:tc>
          <w:tcPr>
            <w:tcW w:w="1720" w:type="dxa"/>
            <w:vAlign w:val="bottom"/>
            <w:tcBorders>
              <w:bottom w:val="single" w:sz="8" w:color="auto"/>
              <w:right w:val="single" w:sz="8" w:color="auto"/>
            </w:tcBorders>
          </w:tcPr>
          <w:p>
            <w:pPr>
              <w:jc w:val="center"/>
              <w:ind w:left="110"/>
              <w:spacing w:after="0"/>
              <w:rPr>
                <w:sz w:val="20"/>
                <w:szCs w:val="20"/>
                <w:color w:val="auto"/>
              </w:rPr>
            </w:pPr>
            <w:r>
              <w:rPr>
                <w:rFonts w:ascii="Arial" w:cs="Arial" w:eastAsia="Arial" w:hAnsi="Arial"/>
                <w:sz w:val="18"/>
                <w:szCs w:val="18"/>
                <w:color w:val="auto"/>
                <w:w w:val="90"/>
              </w:rPr>
              <w:t>Validated</w:t>
            </w:r>
          </w:p>
        </w:tc>
      </w:tr>
      <w:tr>
        <w:trPr>
          <w:trHeight w:val="210"/>
        </w:trPr>
        <w:tc>
          <w:tcPr>
            <w:tcW w:w="740" w:type="dxa"/>
            <w:vAlign w:val="bottom"/>
            <w:tcBorders>
              <w:left w:val="single" w:sz="8" w:color="auto"/>
              <w:bottom w:val="single" w:sz="8" w:color="auto"/>
              <w:right w:val="single" w:sz="8" w:color="auto"/>
            </w:tcBorders>
          </w:tcPr>
          <w:p>
            <w:pPr>
              <w:ind w:left="160"/>
              <w:spacing w:after="0"/>
              <w:rPr>
                <w:sz w:val="20"/>
                <w:szCs w:val="20"/>
                <w:color w:val="auto"/>
              </w:rPr>
            </w:pPr>
            <w:r>
              <w:rPr>
                <w:rFonts w:ascii="Arial" w:cs="Arial" w:eastAsia="Arial" w:hAnsi="Arial"/>
                <w:sz w:val="18"/>
                <w:szCs w:val="18"/>
                <w:color w:val="auto"/>
              </w:rPr>
              <w:t>Gold</w:t>
            </w:r>
          </w:p>
        </w:tc>
        <w:tc>
          <w:tcPr>
            <w:tcW w:w="8980" w:type="dxa"/>
            <w:vAlign w:val="bottom"/>
            <w:tcBorders>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Metalor Technologies (Suzhou) Ltd.</w:t>
            </w:r>
          </w:p>
        </w:tc>
        <w:tc>
          <w:tcPr>
            <w:tcW w:w="1720" w:type="dxa"/>
            <w:vAlign w:val="bottom"/>
            <w:tcBorders>
              <w:bottom w:val="single" w:sz="8" w:color="auto"/>
              <w:right w:val="single" w:sz="8" w:color="auto"/>
            </w:tcBorders>
          </w:tcPr>
          <w:p>
            <w:pPr>
              <w:jc w:val="center"/>
              <w:ind w:left="110"/>
              <w:spacing w:after="0"/>
              <w:rPr>
                <w:sz w:val="20"/>
                <w:szCs w:val="20"/>
                <w:color w:val="auto"/>
              </w:rPr>
            </w:pPr>
            <w:r>
              <w:rPr>
                <w:rFonts w:ascii="Arial" w:cs="Arial" w:eastAsia="Arial" w:hAnsi="Arial"/>
                <w:sz w:val="18"/>
                <w:szCs w:val="18"/>
                <w:color w:val="auto"/>
                <w:w w:val="97"/>
              </w:rPr>
              <w:t>Active</w:t>
            </w:r>
          </w:p>
        </w:tc>
      </w:tr>
      <w:tr>
        <w:trPr>
          <w:trHeight w:val="210"/>
        </w:trPr>
        <w:tc>
          <w:tcPr>
            <w:tcW w:w="740" w:type="dxa"/>
            <w:vAlign w:val="bottom"/>
            <w:tcBorders>
              <w:left w:val="single" w:sz="8" w:color="auto"/>
              <w:bottom w:val="single" w:sz="8" w:color="auto"/>
              <w:right w:val="single" w:sz="8" w:color="auto"/>
            </w:tcBorders>
          </w:tcPr>
          <w:p>
            <w:pPr>
              <w:ind w:left="160"/>
              <w:spacing w:after="0"/>
              <w:rPr>
                <w:sz w:val="20"/>
                <w:szCs w:val="20"/>
                <w:color w:val="auto"/>
              </w:rPr>
            </w:pPr>
            <w:r>
              <w:rPr>
                <w:rFonts w:ascii="Arial" w:cs="Arial" w:eastAsia="Arial" w:hAnsi="Arial"/>
                <w:sz w:val="18"/>
                <w:szCs w:val="18"/>
                <w:color w:val="auto"/>
              </w:rPr>
              <w:t>Gold</w:t>
            </w:r>
          </w:p>
        </w:tc>
        <w:tc>
          <w:tcPr>
            <w:tcW w:w="8980" w:type="dxa"/>
            <w:vAlign w:val="bottom"/>
            <w:tcBorders>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Metalor Technologies SA</w:t>
            </w:r>
          </w:p>
        </w:tc>
        <w:tc>
          <w:tcPr>
            <w:tcW w:w="1720" w:type="dxa"/>
            <w:vAlign w:val="bottom"/>
            <w:tcBorders>
              <w:bottom w:val="single" w:sz="8" w:color="auto"/>
              <w:right w:val="single" w:sz="8" w:color="auto"/>
            </w:tcBorders>
          </w:tcPr>
          <w:p>
            <w:pPr>
              <w:jc w:val="center"/>
              <w:ind w:left="110"/>
              <w:spacing w:after="0"/>
              <w:rPr>
                <w:sz w:val="20"/>
                <w:szCs w:val="20"/>
                <w:color w:val="auto"/>
              </w:rPr>
            </w:pPr>
            <w:r>
              <w:rPr>
                <w:rFonts w:ascii="Arial" w:cs="Arial" w:eastAsia="Arial" w:hAnsi="Arial"/>
                <w:sz w:val="18"/>
                <w:szCs w:val="18"/>
                <w:color w:val="auto"/>
                <w:w w:val="90"/>
              </w:rPr>
              <w:t>Validated</w:t>
            </w:r>
          </w:p>
        </w:tc>
      </w:tr>
      <w:tr>
        <w:trPr>
          <w:trHeight w:val="210"/>
        </w:trPr>
        <w:tc>
          <w:tcPr>
            <w:tcW w:w="740" w:type="dxa"/>
            <w:vAlign w:val="bottom"/>
            <w:tcBorders>
              <w:left w:val="single" w:sz="8" w:color="auto"/>
              <w:bottom w:val="single" w:sz="8" w:color="auto"/>
              <w:right w:val="single" w:sz="8" w:color="auto"/>
            </w:tcBorders>
          </w:tcPr>
          <w:p>
            <w:pPr>
              <w:ind w:left="160"/>
              <w:spacing w:after="0"/>
              <w:rPr>
                <w:sz w:val="20"/>
                <w:szCs w:val="20"/>
                <w:color w:val="auto"/>
              </w:rPr>
            </w:pPr>
            <w:r>
              <w:rPr>
                <w:rFonts w:ascii="Arial" w:cs="Arial" w:eastAsia="Arial" w:hAnsi="Arial"/>
                <w:sz w:val="18"/>
                <w:szCs w:val="18"/>
                <w:color w:val="auto"/>
              </w:rPr>
              <w:t>Gold</w:t>
            </w:r>
          </w:p>
        </w:tc>
        <w:tc>
          <w:tcPr>
            <w:tcW w:w="8980" w:type="dxa"/>
            <w:vAlign w:val="bottom"/>
            <w:tcBorders>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Metalor USA Refining Corporation</w:t>
            </w:r>
          </w:p>
        </w:tc>
        <w:tc>
          <w:tcPr>
            <w:tcW w:w="1720" w:type="dxa"/>
            <w:vAlign w:val="bottom"/>
            <w:tcBorders>
              <w:bottom w:val="single" w:sz="8" w:color="auto"/>
              <w:right w:val="single" w:sz="8" w:color="auto"/>
            </w:tcBorders>
          </w:tcPr>
          <w:p>
            <w:pPr>
              <w:jc w:val="center"/>
              <w:ind w:left="110"/>
              <w:spacing w:after="0"/>
              <w:rPr>
                <w:sz w:val="20"/>
                <w:szCs w:val="20"/>
                <w:color w:val="auto"/>
              </w:rPr>
            </w:pPr>
            <w:r>
              <w:rPr>
                <w:rFonts w:ascii="Arial" w:cs="Arial" w:eastAsia="Arial" w:hAnsi="Arial"/>
                <w:sz w:val="18"/>
                <w:szCs w:val="18"/>
                <w:color w:val="auto"/>
                <w:w w:val="90"/>
              </w:rPr>
              <w:t>Validated</w:t>
            </w:r>
          </w:p>
        </w:tc>
      </w:tr>
      <w:tr>
        <w:trPr>
          <w:trHeight w:val="210"/>
        </w:trPr>
        <w:tc>
          <w:tcPr>
            <w:tcW w:w="740" w:type="dxa"/>
            <w:vAlign w:val="bottom"/>
            <w:tcBorders>
              <w:left w:val="single" w:sz="8" w:color="auto"/>
              <w:bottom w:val="single" w:sz="8" w:color="auto"/>
              <w:right w:val="single" w:sz="8" w:color="auto"/>
            </w:tcBorders>
          </w:tcPr>
          <w:p>
            <w:pPr>
              <w:ind w:left="160"/>
              <w:spacing w:after="0"/>
              <w:rPr>
                <w:sz w:val="20"/>
                <w:szCs w:val="20"/>
                <w:color w:val="auto"/>
              </w:rPr>
            </w:pPr>
            <w:r>
              <w:rPr>
                <w:rFonts w:ascii="Arial" w:cs="Arial" w:eastAsia="Arial" w:hAnsi="Arial"/>
                <w:sz w:val="18"/>
                <w:szCs w:val="18"/>
                <w:color w:val="auto"/>
              </w:rPr>
              <w:t>Gold</w:t>
            </w:r>
          </w:p>
        </w:tc>
        <w:tc>
          <w:tcPr>
            <w:tcW w:w="8980" w:type="dxa"/>
            <w:vAlign w:val="bottom"/>
            <w:tcBorders>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METALÚRGICA MET-MEX PEÑOLES, S.A. DE C.V</w:t>
            </w:r>
          </w:p>
        </w:tc>
        <w:tc>
          <w:tcPr>
            <w:tcW w:w="1720" w:type="dxa"/>
            <w:vAlign w:val="bottom"/>
            <w:tcBorders>
              <w:bottom w:val="single" w:sz="8" w:color="auto"/>
              <w:right w:val="single" w:sz="8" w:color="auto"/>
            </w:tcBorders>
          </w:tcPr>
          <w:p>
            <w:pPr>
              <w:jc w:val="center"/>
              <w:ind w:left="110"/>
              <w:spacing w:after="0"/>
              <w:rPr>
                <w:sz w:val="20"/>
                <w:szCs w:val="20"/>
                <w:color w:val="auto"/>
              </w:rPr>
            </w:pPr>
            <w:r>
              <w:rPr>
                <w:rFonts w:ascii="Arial" w:cs="Arial" w:eastAsia="Arial" w:hAnsi="Arial"/>
                <w:sz w:val="18"/>
                <w:szCs w:val="18"/>
                <w:color w:val="auto"/>
                <w:w w:val="90"/>
              </w:rPr>
              <w:t>Validated</w:t>
            </w:r>
          </w:p>
        </w:tc>
      </w:tr>
      <w:tr>
        <w:trPr>
          <w:trHeight w:val="210"/>
        </w:trPr>
        <w:tc>
          <w:tcPr>
            <w:tcW w:w="740" w:type="dxa"/>
            <w:vAlign w:val="bottom"/>
            <w:tcBorders>
              <w:left w:val="single" w:sz="8" w:color="auto"/>
              <w:bottom w:val="single" w:sz="8" w:color="auto"/>
              <w:right w:val="single" w:sz="8" w:color="auto"/>
            </w:tcBorders>
          </w:tcPr>
          <w:p>
            <w:pPr>
              <w:ind w:left="160"/>
              <w:spacing w:after="0"/>
              <w:rPr>
                <w:sz w:val="20"/>
                <w:szCs w:val="20"/>
                <w:color w:val="auto"/>
              </w:rPr>
            </w:pPr>
            <w:r>
              <w:rPr>
                <w:rFonts w:ascii="Arial" w:cs="Arial" w:eastAsia="Arial" w:hAnsi="Arial"/>
                <w:sz w:val="18"/>
                <w:szCs w:val="18"/>
                <w:color w:val="auto"/>
              </w:rPr>
              <w:t>Gold</w:t>
            </w:r>
          </w:p>
        </w:tc>
        <w:tc>
          <w:tcPr>
            <w:tcW w:w="8980" w:type="dxa"/>
            <w:vAlign w:val="bottom"/>
            <w:tcBorders>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Mitsubishi Materials Corporation</w:t>
            </w:r>
          </w:p>
        </w:tc>
        <w:tc>
          <w:tcPr>
            <w:tcW w:w="1720" w:type="dxa"/>
            <w:vAlign w:val="bottom"/>
            <w:tcBorders>
              <w:bottom w:val="single" w:sz="8" w:color="auto"/>
              <w:right w:val="single" w:sz="8" w:color="auto"/>
            </w:tcBorders>
          </w:tcPr>
          <w:p>
            <w:pPr>
              <w:jc w:val="center"/>
              <w:ind w:left="110"/>
              <w:spacing w:after="0"/>
              <w:rPr>
                <w:sz w:val="20"/>
                <w:szCs w:val="20"/>
                <w:color w:val="auto"/>
              </w:rPr>
            </w:pPr>
            <w:r>
              <w:rPr>
                <w:rFonts w:ascii="Arial" w:cs="Arial" w:eastAsia="Arial" w:hAnsi="Arial"/>
                <w:sz w:val="18"/>
                <w:szCs w:val="18"/>
                <w:color w:val="auto"/>
                <w:w w:val="90"/>
              </w:rPr>
              <w:t>Validated</w:t>
            </w:r>
          </w:p>
        </w:tc>
      </w:tr>
      <w:tr>
        <w:trPr>
          <w:trHeight w:val="210"/>
        </w:trPr>
        <w:tc>
          <w:tcPr>
            <w:tcW w:w="740" w:type="dxa"/>
            <w:vAlign w:val="bottom"/>
            <w:tcBorders>
              <w:left w:val="single" w:sz="8" w:color="auto"/>
              <w:bottom w:val="single" w:sz="8" w:color="auto"/>
              <w:right w:val="single" w:sz="8" w:color="auto"/>
            </w:tcBorders>
          </w:tcPr>
          <w:p>
            <w:pPr>
              <w:ind w:left="160"/>
              <w:spacing w:after="0"/>
              <w:rPr>
                <w:sz w:val="20"/>
                <w:szCs w:val="20"/>
                <w:color w:val="auto"/>
              </w:rPr>
            </w:pPr>
            <w:r>
              <w:rPr>
                <w:rFonts w:ascii="Arial" w:cs="Arial" w:eastAsia="Arial" w:hAnsi="Arial"/>
                <w:sz w:val="18"/>
                <w:szCs w:val="18"/>
                <w:color w:val="auto"/>
              </w:rPr>
              <w:t>Gold</w:t>
            </w:r>
          </w:p>
        </w:tc>
        <w:tc>
          <w:tcPr>
            <w:tcW w:w="8980" w:type="dxa"/>
            <w:vAlign w:val="bottom"/>
            <w:tcBorders>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Mitsui Mining and Smelting Co., Ltd.</w:t>
            </w:r>
          </w:p>
        </w:tc>
        <w:tc>
          <w:tcPr>
            <w:tcW w:w="1720" w:type="dxa"/>
            <w:vAlign w:val="bottom"/>
            <w:tcBorders>
              <w:bottom w:val="single" w:sz="8" w:color="auto"/>
              <w:right w:val="single" w:sz="8" w:color="auto"/>
            </w:tcBorders>
          </w:tcPr>
          <w:p>
            <w:pPr>
              <w:jc w:val="center"/>
              <w:ind w:left="110"/>
              <w:spacing w:after="0"/>
              <w:rPr>
                <w:sz w:val="20"/>
                <w:szCs w:val="20"/>
                <w:color w:val="auto"/>
              </w:rPr>
            </w:pPr>
            <w:r>
              <w:rPr>
                <w:rFonts w:ascii="Arial" w:cs="Arial" w:eastAsia="Arial" w:hAnsi="Arial"/>
                <w:sz w:val="18"/>
                <w:szCs w:val="18"/>
                <w:color w:val="auto"/>
                <w:w w:val="90"/>
              </w:rPr>
              <w:t>Validated</w:t>
            </w:r>
          </w:p>
        </w:tc>
      </w:tr>
      <w:tr>
        <w:trPr>
          <w:trHeight w:val="210"/>
        </w:trPr>
        <w:tc>
          <w:tcPr>
            <w:tcW w:w="740" w:type="dxa"/>
            <w:vAlign w:val="bottom"/>
            <w:tcBorders>
              <w:left w:val="single" w:sz="8" w:color="auto"/>
              <w:bottom w:val="single" w:sz="8" w:color="auto"/>
              <w:right w:val="single" w:sz="8" w:color="auto"/>
            </w:tcBorders>
          </w:tcPr>
          <w:p>
            <w:pPr>
              <w:ind w:left="160"/>
              <w:spacing w:after="0"/>
              <w:rPr>
                <w:sz w:val="20"/>
                <w:szCs w:val="20"/>
                <w:color w:val="auto"/>
              </w:rPr>
            </w:pPr>
            <w:r>
              <w:rPr>
                <w:rFonts w:ascii="Arial" w:cs="Arial" w:eastAsia="Arial" w:hAnsi="Arial"/>
                <w:sz w:val="18"/>
                <w:szCs w:val="18"/>
                <w:color w:val="auto"/>
              </w:rPr>
              <w:t>Gold</w:t>
            </w:r>
          </w:p>
        </w:tc>
        <w:tc>
          <w:tcPr>
            <w:tcW w:w="8980" w:type="dxa"/>
            <w:vAlign w:val="bottom"/>
            <w:tcBorders>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MMTC-PAMP India Pvt., Ltd.</w:t>
            </w:r>
          </w:p>
        </w:tc>
        <w:tc>
          <w:tcPr>
            <w:tcW w:w="1720" w:type="dxa"/>
            <w:vAlign w:val="bottom"/>
            <w:tcBorders>
              <w:bottom w:val="single" w:sz="8" w:color="auto"/>
              <w:right w:val="single" w:sz="8" w:color="auto"/>
            </w:tcBorders>
          </w:tcPr>
          <w:p>
            <w:pPr>
              <w:jc w:val="center"/>
              <w:ind w:left="110"/>
              <w:spacing w:after="0"/>
              <w:rPr>
                <w:sz w:val="20"/>
                <w:szCs w:val="20"/>
                <w:color w:val="auto"/>
              </w:rPr>
            </w:pPr>
            <w:r>
              <w:rPr>
                <w:rFonts w:ascii="Arial" w:cs="Arial" w:eastAsia="Arial" w:hAnsi="Arial"/>
                <w:sz w:val="18"/>
                <w:szCs w:val="18"/>
                <w:color w:val="auto"/>
                <w:w w:val="90"/>
              </w:rPr>
              <w:t>Validated</w:t>
            </w:r>
          </w:p>
        </w:tc>
      </w:tr>
      <w:tr>
        <w:trPr>
          <w:trHeight w:val="210"/>
        </w:trPr>
        <w:tc>
          <w:tcPr>
            <w:tcW w:w="740" w:type="dxa"/>
            <w:vAlign w:val="bottom"/>
            <w:tcBorders>
              <w:left w:val="single" w:sz="8" w:color="auto"/>
              <w:bottom w:val="single" w:sz="8" w:color="auto"/>
              <w:right w:val="single" w:sz="8" w:color="auto"/>
            </w:tcBorders>
          </w:tcPr>
          <w:p>
            <w:pPr>
              <w:ind w:left="160"/>
              <w:spacing w:after="0"/>
              <w:rPr>
                <w:sz w:val="20"/>
                <w:szCs w:val="20"/>
                <w:color w:val="auto"/>
              </w:rPr>
            </w:pPr>
            <w:r>
              <w:rPr>
                <w:rFonts w:ascii="Arial" w:cs="Arial" w:eastAsia="Arial" w:hAnsi="Arial"/>
                <w:sz w:val="18"/>
                <w:szCs w:val="18"/>
                <w:color w:val="auto"/>
              </w:rPr>
              <w:t>Gold</w:t>
            </w:r>
          </w:p>
        </w:tc>
        <w:tc>
          <w:tcPr>
            <w:tcW w:w="8980" w:type="dxa"/>
            <w:vAlign w:val="bottom"/>
            <w:tcBorders>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Morris and Watson</w:t>
            </w:r>
          </w:p>
        </w:tc>
        <w:tc>
          <w:tcPr>
            <w:tcW w:w="1720" w:type="dxa"/>
            <w:vAlign w:val="bottom"/>
            <w:tcBorders>
              <w:bottom w:val="single" w:sz="8" w:color="auto"/>
              <w:right w:val="single" w:sz="8" w:color="auto"/>
            </w:tcBorders>
          </w:tcPr>
          <w:p>
            <w:pPr>
              <w:jc w:val="center"/>
              <w:ind w:left="90"/>
              <w:spacing w:after="0"/>
              <w:rPr>
                <w:sz w:val="20"/>
                <w:szCs w:val="20"/>
                <w:color w:val="auto"/>
              </w:rPr>
            </w:pPr>
            <w:r>
              <w:rPr>
                <w:rFonts w:ascii="Arial" w:cs="Arial" w:eastAsia="Arial" w:hAnsi="Arial"/>
                <w:sz w:val="18"/>
                <w:szCs w:val="18"/>
                <w:color w:val="auto"/>
                <w:w w:val="95"/>
              </w:rPr>
              <w:t>Not Active</w:t>
            </w:r>
          </w:p>
        </w:tc>
      </w:tr>
      <w:tr>
        <w:trPr>
          <w:trHeight w:val="210"/>
        </w:trPr>
        <w:tc>
          <w:tcPr>
            <w:tcW w:w="740" w:type="dxa"/>
            <w:vAlign w:val="bottom"/>
            <w:tcBorders>
              <w:left w:val="single" w:sz="8" w:color="auto"/>
              <w:bottom w:val="single" w:sz="8" w:color="auto"/>
              <w:right w:val="single" w:sz="8" w:color="auto"/>
            </w:tcBorders>
          </w:tcPr>
          <w:p>
            <w:pPr>
              <w:ind w:left="160"/>
              <w:spacing w:after="0"/>
              <w:rPr>
                <w:sz w:val="20"/>
                <w:szCs w:val="20"/>
                <w:color w:val="auto"/>
              </w:rPr>
            </w:pPr>
            <w:r>
              <w:rPr>
                <w:rFonts w:ascii="Arial" w:cs="Arial" w:eastAsia="Arial" w:hAnsi="Arial"/>
                <w:sz w:val="18"/>
                <w:szCs w:val="18"/>
                <w:color w:val="auto"/>
              </w:rPr>
              <w:t>Gold</w:t>
            </w:r>
          </w:p>
        </w:tc>
        <w:tc>
          <w:tcPr>
            <w:tcW w:w="8980" w:type="dxa"/>
            <w:vAlign w:val="bottom"/>
            <w:tcBorders>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Moscow Special Alloys Processing Plant</w:t>
            </w:r>
          </w:p>
        </w:tc>
        <w:tc>
          <w:tcPr>
            <w:tcW w:w="1720" w:type="dxa"/>
            <w:vAlign w:val="bottom"/>
            <w:tcBorders>
              <w:bottom w:val="single" w:sz="8" w:color="auto"/>
              <w:right w:val="single" w:sz="8" w:color="auto"/>
            </w:tcBorders>
          </w:tcPr>
          <w:p>
            <w:pPr>
              <w:jc w:val="center"/>
              <w:ind w:left="110"/>
              <w:spacing w:after="0"/>
              <w:rPr>
                <w:sz w:val="20"/>
                <w:szCs w:val="20"/>
                <w:color w:val="auto"/>
              </w:rPr>
            </w:pPr>
            <w:r>
              <w:rPr>
                <w:rFonts w:ascii="Arial" w:cs="Arial" w:eastAsia="Arial" w:hAnsi="Arial"/>
                <w:sz w:val="18"/>
                <w:szCs w:val="18"/>
                <w:color w:val="auto"/>
                <w:w w:val="90"/>
              </w:rPr>
              <w:t>Validated</w:t>
            </w:r>
          </w:p>
        </w:tc>
      </w:tr>
      <w:tr>
        <w:trPr>
          <w:trHeight w:val="210"/>
        </w:trPr>
        <w:tc>
          <w:tcPr>
            <w:tcW w:w="740" w:type="dxa"/>
            <w:vAlign w:val="bottom"/>
            <w:tcBorders>
              <w:left w:val="single" w:sz="8" w:color="auto"/>
              <w:bottom w:val="single" w:sz="8" w:color="auto"/>
              <w:right w:val="single" w:sz="8" w:color="auto"/>
            </w:tcBorders>
          </w:tcPr>
          <w:p>
            <w:pPr>
              <w:ind w:left="160"/>
              <w:spacing w:after="0"/>
              <w:rPr>
                <w:sz w:val="20"/>
                <w:szCs w:val="20"/>
                <w:color w:val="auto"/>
              </w:rPr>
            </w:pPr>
            <w:r>
              <w:rPr>
                <w:rFonts w:ascii="Arial" w:cs="Arial" w:eastAsia="Arial" w:hAnsi="Arial"/>
                <w:sz w:val="18"/>
                <w:szCs w:val="18"/>
                <w:color w:val="auto"/>
              </w:rPr>
              <w:t>Gold</w:t>
            </w:r>
          </w:p>
        </w:tc>
        <w:tc>
          <w:tcPr>
            <w:tcW w:w="8980" w:type="dxa"/>
            <w:vAlign w:val="bottom"/>
            <w:tcBorders>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Nadir Metal Rafineri San. Ve Tic. A.Ş.</w:t>
            </w:r>
          </w:p>
        </w:tc>
        <w:tc>
          <w:tcPr>
            <w:tcW w:w="1720" w:type="dxa"/>
            <w:vAlign w:val="bottom"/>
            <w:tcBorders>
              <w:bottom w:val="single" w:sz="8" w:color="auto"/>
              <w:right w:val="single" w:sz="8" w:color="auto"/>
            </w:tcBorders>
          </w:tcPr>
          <w:p>
            <w:pPr>
              <w:jc w:val="center"/>
              <w:ind w:left="110"/>
              <w:spacing w:after="0"/>
              <w:rPr>
                <w:sz w:val="20"/>
                <w:szCs w:val="20"/>
                <w:color w:val="auto"/>
              </w:rPr>
            </w:pPr>
            <w:r>
              <w:rPr>
                <w:rFonts w:ascii="Arial" w:cs="Arial" w:eastAsia="Arial" w:hAnsi="Arial"/>
                <w:sz w:val="18"/>
                <w:szCs w:val="18"/>
                <w:color w:val="auto"/>
                <w:w w:val="90"/>
              </w:rPr>
              <w:t>Validated</w:t>
            </w:r>
          </w:p>
        </w:tc>
      </w:tr>
      <w:tr>
        <w:trPr>
          <w:trHeight w:val="210"/>
        </w:trPr>
        <w:tc>
          <w:tcPr>
            <w:tcW w:w="740" w:type="dxa"/>
            <w:vAlign w:val="bottom"/>
            <w:tcBorders>
              <w:left w:val="single" w:sz="8" w:color="auto"/>
              <w:bottom w:val="single" w:sz="8" w:color="auto"/>
              <w:right w:val="single" w:sz="8" w:color="auto"/>
            </w:tcBorders>
          </w:tcPr>
          <w:p>
            <w:pPr>
              <w:ind w:left="160"/>
              <w:spacing w:after="0"/>
              <w:rPr>
                <w:sz w:val="20"/>
                <w:szCs w:val="20"/>
                <w:color w:val="auto"/>
              </w:rPr>
            </w:pPr>
            <w:r>
              <w:rPr>
                <w:rFonts w:ascii="Arial" w:cs="Arial" w:eastAsia="Arial" w:hAnsi="Arial"/>
                <w:sz w:val="18"/>
                <w:szCs w:val="18"/>
                <w:color w:val="auto"/>
              </w:rPr>
              <w:t>Gold</w:t>
            </w:r>
          </w:p>
        </w:tc>
        <w:tc>
          <w:tcPr>
            <w:tcW w:w="8980" w:type="dxa"/>
            <w:vAlign w:val="bottom"/>
            <w:tcBorders>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Navoi Mining and Metallurgical Combinat</w:t>
            </w:r>
          </w:p>
        </w:tc>
        <w:tc>
          <w:tcPr>
            <w:tcW w:w="1720" w:type="dxa"/>
            <w:vAlign w:val="bottom"/>
            <w:tcBorders>
              <w:bottom w:val="single" w:sz="8" w:color="auto"/>
              <w:right w:val="single" w:sz="8" w:color="auto"/>
            </w:tcBorders>
          </w:tcPr>
          <w:p>
            <w:pPr>
              <w:jc w:val="center"/>
              <w:ind w:left="110"/>
              <w:spacing w:after="0"/>
              <w:rPr>
                <w:sz w:val="20"/>
                <w:szCs w:val="20"/>
                <w:color w:val="auto"/>
              </w:rPr>
            </w:pPr>
            <w:r>
              <w:rPr>
                <w:rFonts w:ascii="Arial" w:cs="Arial" w:eastAsia="Arial" w:hAnsi="Arial"/>
                <w:sz w:val="18"/>
                <w:szCs w:val="18"/>
                <w:color w:val="auto"/>
                <w:w w:val="97"/>
              </w:rPr>
              <w:t>Active</w:t>
            </w:r>
          </w:p>
        </w:tc>
      </w:tr>
      <w:tr>
        <w:trPr>
          <w:trHeight w:val="210"/>
        </w:trPr>
        <w:tc>
          <w:tcPr>
            <w:tcW w:w="740" w:type="dxa"/>
            <w:vAlign w:val="bottom"/>
            <w:tcBorders>
              <w:left w:val="single" w:sz="8" w:color="auto"/>
              <w:bottom w:val="single" w:sz="8" w:color="auto"/>
              <w:right w:val="single" w:sz="8" w:color="auto"/>
            </w:tcBorders>
          </w:tcPr>
          <w:p>
            <w:pPr>
              <w:ind w:left="160"/>
              <w:spacing w:after="0"/>
              <w:rPr>
                <w:sz w:val="20"/>
                <w:szCs w:val="20"/>
                <w:color w:val="auto"/>
              </w:rPr>
            </w:pPr>
            <w:r>
              <w:rPr>
                <w:rFonts w:ascii="Arial" w:cs="Arial" w:eastAsia="Arial" w:hAnsi="Arial"/>
                <w:sz w:val="18"/>
                <w:szCs w:val="18"/>
                <w:color w:val="auto"/>
              </w:rPr>
              <w:t>Gold</w:t>
            </w:r>
          </w:p>
        </w:tc>
        <w:tc>
          <w:tcPr>
            <w:tcW w:w="8980" w:type="dxa"/>
            <w:vAlign w:val="bottom"/>
            <w:tcBorders>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Nihon Material Co., Ltd.</w:t>
            </w:r>
          </w:p>
        </w:tc>
        <w:tc>
          <w:tcPr>
            <w:tcW w:w="1720" w:type="dxa"/>
            <w:vAlign w:val="bottom"/>
            <w:tcBorders>
              <w:bottom w:val="single" w:sz="8" w:color="auto"/>
              <w:right w:val="single" w:sz="8" w:color="auto"/>
            </w:tcBorders>
          </w:tcPr>
          <w:p>
            <w:pPr>
              <w:jc w:val="center"/>
              <w:ind w:left="110"/>
              <w:spacing w:after="0"/>
              <w:rPr>
                <w:sz w:val="20"/>
                <w:szCs w:val="20"/>
                <w:color w:val="auto"/>
              </w:rPr>
            </w:pPr>
            <w:r>
              <w:rPr>
                <w:rFonts w:ascii="Arial" w:cs="Arial" w:eastAsia="Arial" w:hAnsi="Arial"/>
                <w:sz w:val="18"/>
                <w:szCs w:val="18"/>
                <w:color w:val="auto"/>
                <w:w w:val="90"/>
              </w:rPr>
              <w:t>Validated</w:t>
            </w:r>
          </w:p>
        </w:tc>
      </w:tr>
      <w:tr>
        <w:trPr>
          <w:trHeight w:val="210"/>
        </w:trPr>
        <w:tc>
          <w:tcPr>
            <w:tcW w:w="740" w:type="dxa"/>
            <w:vAlign w:val="bottom"/>
            <w:tcBorders>
              <w:left w:val="single" w:sz="8" w:color="auto"/>
              <w:bottom w:val="single" w:sz="8" w:color="auto"/>
              <w:right w:val="single" w:sz="8" w:color="auto"/>
            </w:tcBorders>
          </w:tcPr>
          <w:p>
            <w:pPr>
              <w:ind w:left="160"/>
              <w:spacing w:after="0"/>
              <w:rPr>
                <w:sz w:val="20"/>
                <w:szCs w:val="20"/>
                <w:color w:val="auto"/>
              </w:rPr>
            </w:pPr>
            <w:r>
              <w:rPr>
                <w:rFonts w:ascii="Arial" w:cs="Arial" w:eastAsia="Arial" w:hAnsi="Arial"/>
                <w:sz w:val="18"/>
                <w:szCs w:val="18"/>
                <w:color w:val="auto"/>
              </w:rPr>
              <w:t>Gold</w:t>
            </w:r>
          </w:p>
        </w:tc>
        <w:tc>
          <w:tcPr>
            <w:tcW w:w="8980" w:type="dxa"/>
            <w:vAlign w:val="bottom"/>
            <w:tcBorders>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Ögussa Österreichische Gold- und Silber-Scheideanstalt GmbH</w:t>
            </w:r>
          </w:p>
        </w:tc>
        <w:tc>
          <w:tcPr>
            <w:tcW w:w="1720" w:type="dxa"/>
            <w:vAlign w:val="bottom"/>
            <w:tcBorders>
              <w:bottom w:val="single" w:sz="8" w:color="auto"/>
              <w:right w:val="single" w:sz="8" w:color="auto"/>
            </w:tcBorders>
          </w:tcPr>
          <w:p>
            <w:pPr>
              <w:jc w:val="center"/>
              <w:ind w:left="110"/>
              <w:spacing w:after="0"/>
              <w:rPr>
                <w:sz w:val="20"/>
                <w:szCs w:val="20"/>
                <w:color w:val="auto"/>
              </w:rPr>
            </w:pPr>
            <w:r>
              <w:rPr>
                <w:rFonts w:ascii="Arial" w:cs="Arial" w:eastAsia="Arial" w:hAnsi="Arial"/>
                <w:sz w:val="18"/>
                <w:szCs w:val="18"/>
                <w:color w:val="auto"/>
                <w:w w:val="90"/>
              </w:rPr>
              <w:t>Validated</w:t>
            </w:r>
          </w:p>
        </w:tc>
      </w:tr>
      <w:tr>
        <w:trPr>
          <w:trHeight w:val="210"/>
        </w:trPr>
        <w:tc>
          <w:tcPr>
            <w:tcW w:w="740" w:type="dxa"/>
            <w:vAlign w:val="bottom"/>
            <w:tcBorders>
              <w:left w:val="single" w:sz="8" w:color="auto"/>
              <w:bottom w:val="single" w:sz="8" w:color="auto"/>
              <w:right w:val="single" w:sz="8" w:color="auto"/>
            </w:tcBorders>
          </w:tcPr>
          <w:p>
            <w:pPr>
              <w:ind w:left="160"/>
              <w:spacing w:after="0"/>
              <w:rPr>
                <w:sz w:val="20"/>
                <w:szCs w:val="20"/>
                <w:color w:val="auto"/>
              </w:rPr>
            </w:pPr>
            <w:r>
              <w:rPr>
                <w:rFonts w:ascii="Arial" w:cs="Arial" w:eastAsia="Arial" w:hAnsi="Arial"/>
                <w:sz w:val="18"/>
                <w:szCs w:val="18"/>
                <w:color w:val="auto"/>
              </w:rPr>
              <w:t>Gold</w:t>
            </w:r>
          </w:p>
        </w:tc>
        <w:tc>
          <w:tcPr>
            <w:tcW w:w="8980" w:type="dxa"/>
            <w:vAlign w:val="bottom"/>
            <w:tcBorders>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Ohura Precious Metal Industry Co., Ltd.</w:t>
            </w:r>
          </w:p>
        </w:tc>
        <w:tc>
          <w:tcPr>
            <w:tcW w:w="1720" w:type="dxa"/>
            <w:vAlign w:val="bottom"/>
            <w:tcBorders>
              <w:bottom w:val="single" w:sz="8" w:color="auto"/>
              <w:right w:val="single" w:sz="8" w:color="auto"/>
            </w:tcBorders>
          </w:tcPr>
          <w:p>
            <w:pPr>
              <w:jc w:val="center"/>
              <w:ind w:left="110"/>
              <w:spacing w:after="0"/>
              <w:rPr>
                <w:sz w:val="20"/>
                <w:szCs w:val="20"/>
                <w:color w:val="auto"/>
              </w:rPr>
            </w:pPr>
            <w:r>
              <w:rPr>
                <w:rFonts w:ascii="Arial" w:cs="Arial" w:eastAsia="Arial" w:hAnsi="Arial"/>
                <w:sz w:val="18"/>
                <w:szCs w:val="18"/>
                <w:color w:val="auto"/>
                <w:w w:val="90"/>
              </w:rPr>
              <w:t>Validated</w:t>
            </w:r>
          </w:p>
        </w:tc>
      </w:tr>
      <w:tr>
        <w:trPr>
          <w:trHeight w:val="210"/>
        </w:trPr>
        <w:tc>
          <w:tcPr>
            <w:tcW w:w="740" w:type="dxa"/>
            <w:vAlign w:val="bottom"/>
            <w:tcBorders>
              <w:left w:val="single" w:sz="8" w:color="auto"/>
              <w:bottom w:val="single" w:sz="8" w:color="auto"/>
              <w:right w:val="single" w:sz="8" w:color="auto"/>
            </w:tcBorders>
          </w:tcPr>
          <w:p>
            <w:pPr>
              <w:ind w:left="160"/>
              <w:spacing w:after="0"/>
              <w:rPr>
                <w:sz w:val="20"/>
                <w:szCs w:val="20"/>
                <w:color w:val="auto"/>
              </w:rPr>
            </w:pPr>
            <w:r>
              <w:rPr>
                <w:rFonts w:ascii="Arial" w:cs="Arial" w:eastAsia="Arial" w:hAnsi="Arial"/>
                <w:sz w:val="18"/>
                <w:szCs w:val="18"/>
                <w:color w:val="auto"/>
              </w:rPr>
              <w:t>Gold</w:t>
            </w:r>
          </w:p>
        </w:tc>
        <w:tc>
          <w:tcPr>
            <w:tcW w:w="8980" w:type="dxa"/>
            <w:vAlign w:val="bottom"/>
            <w:tcBorders>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OJSC “The Gulidov Krasnoyarsk Non-Ferrous Metals Plant” (OJSC Krastsvetmet)</w:t>
            </w:r>
          </w:p>
        </w:tc>
        <w:tc>
          <w:tcPr>
            <w:tcW w:w="1720" w:type="dxa"/>
            <w:vAlign w:val="bottom"/>
            <w:tcBorders>
              <w:bottom w:val="single" w:sz="8" w:color="auto"/>
              <w:right w:val="single" w:sz="8" w:color="auto"/>
            </w:tcBorders>
          </w:tcPr>
          <w:p>
            <w:pPr>
              <w:jc w:val="center"/>
              <w:ind w:left="110"/>
              <w:spacing w:after="0"/>
              <w:rPr>
                <w:sz w:val="20"/>
                <w:szCs w:val="20"/>
                <w:color w:val="auto"/>
              </w:rPr>
            </w:pPr>
            <w:r>
              <w:rPr>
                <w:rFonts w:ascii="Arial" w:cs="Arial" w:eastAsia="Arial" w:hAnsi="Arial"/>
                <w:sz w:val="18"/>
                <w:szCs w:val="18"/>
                <w:color w:val="auto"/>
                <w:w w:val="90"/>
              </w:rPr>
              <w:t>Validated</w:t>
            </w:r>
          </w:p>
        </w:tc>
      </w:tr>
      <w:tr>
        <w:trPr>
          <w:trHeight w:val="358"/>
        </w:trPr>
        <w:tc>
          <w:tcPr>
            <w:tcW w:w="740" w:type="dxa"/>
            <w:vAlign w:val="bottom"/>
          </w:tcPr>
          <w:p>
            <w:pPr>
              <w:spacing w:after="0"/>
              <w:rPr>
                <w:sz w:val="24"/>
                <w:szCs w:val="24"/>
                <w:color w:val="auto"/>
              </w:rPr>
            </w:pPr>
          </w:p>
        </w:tc>
        <w:tc>
          <w:tcPr>
            <w:tcW w:w="8980" w:type="dxa"/>
            <w:vAlign w:val="bottom"/>
          </w:tcPr>
          <w:p>
            <w:pPr>
              <w:ind w:left="4920"/>
              <w:spacing w:after="0"/>
              <w:rPr>
                <w:sz w:val="20"/>
                <w:szCs w:val="20"/>
                <w:color w:val="auto"/>
              </w:rPr>
            </w:pPr>
            <w:r>
              <w:rPr>
                <w:rFonts w:ascii="Arial" w:cs="Arial" w:eastAsia="Arial" w:hAnsi="Arial"/>
                <w:sz w:val="18"/>
                <w:szCs w:val="18"/>
                <w:color w:val="auto"/>
              </w:rPr>
              <w:t>3</w:t>
            </w:r>
          </w:p>
        </w:tc>
        <w:tc>
          <w:tcPr>
            <w:tcW w:w="1720" w:type="dxa"/>
            <w:vAlign w:val="bottom"/>
          </w:tcPr>
          <w:p>
            <w:pPr>
              <w:spacing w:after="0"/>
              <w:rPr>
                <w:sz w:val="24"/>
                <w:szCs w:val="24"/>
                <w:color w:val="auto"/>
              </w:rPr>
            </w:pPr>
          </w:p>
        </w:tc>
      </w:tr>
    </w:tbl>
    <w:p>
      <w:pPr>
        <w:sectPr>
          <w:pgSz w:w="11900" w:h="16838" w:orient="portrait"/>
          <w:cols w:equalWidth="0" w:num="1">
            <w:col w:w="11440"/>
          </w:cols>
          <w:pgMar w:left="240" w:top="268" w:right="219" w:bottom="1440" w:gutter="0" w:footer="0" w:header="0"/>
        </w:sectPr>
      </w:pPr>
    </w:p>
    <w:bookmarkStart w:id="13" w:name="page14"/>
    <w:bookmarkEnd w:id="13"/>
    <w:p>
      <w:pPr>
        <w:spacing w:after="0" w:line="1"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p>
    <w:tbl>
      <w:tblPr>
        <w:tblLayout w:type="fixed"/>
        <w:tblInd w:w="10" w:type="dxa"/>
        <w:tblCellMar>
          <w:top w:w="0" w:type="dxa"/>
          <w:left w:w="0" w:type="dxa"/>
          <w:bottom w:w="0" w:type="dxa"/>
          <w:right w:w="0" w:type="dxa"/>
        </w:tblCellMar>
      </w:tblPr>
      <w:tr>
        <w:trPr>
          <w:trHeight w:val="230"/>
        </w:trPr>
        <w:tc>
          <w:tcPr>
            <w:tcW w:w="760" w:type="dxa"/>
            <w:vAlign w:val="bottom"/>
            <w:tcBorders>
              <w:top w:val="single" w:sz="8" w:color="auto"/>
              <w:left w:val="single" w:sz="8" w:color="auto"/>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Gold</w:t>
            </w:r>
          </w:p>
        </w:tc>
        <w:tc>
          <w:tcPr>
            <w:tcW w:w="4620" w:type="dxa"/>
            <w:vAlign w:val="bottom"/>
            <w:tcBorders>
              <w:top w:val="single" w:sz="8" w:color="auto"/>
              <w:bottom w:val="single" w:sz="8" w:color="auto"/>
            </w:tcBorders>
          </w:tcPr>
          <w:p>
            <w:pPr>
              <w:ind w:left="200"/>
              <w:spacing w:after="0"/>
              <w:rPr>
                <w:sz w:val="20"/>
                <w:szCs w:val="20"/>
                <w:color w:val="auto"/>
              </w:rPr>
            </w:pPr>
            <w:r>
              <w:rPr>
                <w:rFonts w:ascii="Arial" w:cs="Arial" w:eastAsia="Arial" w:hAnsi="Arial"/>
                <w:sz w:val="18"/>
                <w:szCs w:val="18"/>
                <w:color w:val="auto"/>
              </w:rPr>
              <w:t>OJSC Kolyma Refinery</w:t>
            </w:r>
          </w:p>
        </w:tc>
        <w:tc>
          <w:tcPr>
            <w:tcW w:w="4840" w:type="dxa"/>
            <w:vAlign w:val="bottom"/>
            <w:tcBorders>
              <w:top w:val="single" w:sz="8" w:color="auto"/>
              <w:bottom w:val="single" w:sz="8" w:color="auto"/>
              <w:right w:val="single" w:sz="8" w:color="auto"/>
            </w:tcBorders>
          </w:tcPr>
          <w:p>
            <w:pPr>
              <w:spacing w:after="0"/>
              <w:rPr>
                <w:sz w:val="19"/>
                <w:szCs w:val="19"/>
                <w:color w:val="auto"/>
              </w:rPr>
            </w:pPr>
          </w:p>
        </w:tc>
        <w:tc>
          <w:tcPr>
            <w:tcW w:w="1220" w:type="dxa"/>
            <w:vAlign w:val="bottom"/>
            <w:tcBorders>
              <w:top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5"/>
              </w:rPr>
              <w:t>Not Active</w:t>
            </w:r>
          </w:p>
        </w:tc>
      </w:tr>
      <w:tr>
        <w:trPr>
          <w:trHeight w:val="210"/>
        </w:trPr>
        <w:tc>
          <w:tcPr>
            <w:tcW w:w="760" w:type="dxa"/>
            <w:vAlign w:val="bottom"/>
            <w:tcBorders>
              <w:left w:val="single" w:sz="8" w:color="auto"/>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Gold</w:t>
            </w:r>
          </w:p>
        </w:tc>
        <w:tc>
          <w:tcPr>
            <w:tcW w:w="462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OJSC Novosibirsk Refinery</w:t>
            </w:r>
          </w:p>
        </w:tc>
        <w:tc>
          <w:tcPr>
            <w:tcW w:w="4840" w:type="dxa"/>
            <w:vAlign w:val="bottom"/>
            <w:tcBorders>
              <w:bottom w:val="single" w:sz="8" w:color="auto"/>
              <w:right w:val="single" w:sz="8" w:color="auto"/>
            </w:tcBorders>
          </w:tcPr>
          <w:p>
            <w:pPr>
              <w:spacing w:after="0"/>
              <w:rPr>
                <w:sz w:val="18"/>
                <w:szCs w:val="18"/>
                <w:color w:val="auto"/>
              </w:rPr>
            </w:pP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210"/>
        </w:trPr>
        <w:tc>
          <w:tcPr>
            <w:tcW w:w="760" w:type="dxa"/>
            <w:vAlign w:val="bottom"/>
            <w:tcBorders>
              <w:left w:val="single" w:sz="8" w:color="auto"/>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Gold</w:t>
            </w:r>
          </w:p>
        </w:tc>
        <w:tc>
          <w:tcPr>
            <w:tcW w:w="462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PAMP SA</w:t>
            </w:r>
          </w:p>
        </w:tc>
        <w:tc>
          <w:tcPr>
            <w:tcW w:w="4840" w:type="dxa"/>
            <w:vAlign w:val="bottom"/>
            <w:tcBorders>
              <w:bottom w:val="single" w:sz="8" w:color="auto"/>
              <w:right w:val="single" w:sz="8" w:color="auto"/>
            </w:tcBorders>
          </w:tcPr>
          <w:p>
            <w:pPr>
              <w:spacing w:after="0"/>
              <w:rPr>
                <w:sz w:val="18"/>
                <w:szCs w:val="18"/>
                <w:color w:val="auto"/>
              </w:rPr>
            </w:pP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210"/>
        </w:trPr>
        <w:tc>
          <w:tcPr>
            <w:tcW w:w="760" w:type="dxa"/>
            <w:vAlign w:val="bottom"/>
            <w:tcBorders>
              <w:left w:val="single" w:sz="8" w:color="auto"/>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Gold</w:t>
            </w:r>
          </w:p>
        </w:tc>
        <w:tc>
          <w:tcPr>
            <w:tcW w:w="462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Penglai Penggang Gold Industry Co., Ltd.</w:t>
            </w:r>
          </w:p>
        </w:tc>
        <w:tc>
          <w:tcPr>
            <w:tcW w:w="4840" w:type="dxa"/>
            <w:vAlign w:val="bottom"/>
            <w:tcBorders>
              <w:bottom w:val="single" w:sz="8" w:color="auto"/>
              <w:right w:val="single" w:sz="8" w:color="auto"/>
            </w:tcBorders>
          </w:tcPr>
          <w:p>
            <w:pPr>
              <w:spacing w:after="0"/>
              <w:rPr>
                <w:sz w:val="18"/>
                <w:szCs w:val="18"/>
                <w:color w:val="auto"/>
              </w:rPr>
            </w:pP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5"/>
              </w:rPr>
              <w:t>Not Active</w:t>
            </w:r>
          </w:p>
        </w:tc>
      </w:tr>
      <w:tr>
        <w:trPr>
          <w:trHeight w:val="210"/>
        </w:trPr>
        <w:tc>
          <w:tcPr>
            <w:tcW w:w="760" w:type="dxa"/>
            <w:vAlign w:val="bottom"/>
            <w:tcBorders>
              <w:left w:val="single" w:sz="8" w:color="auto"/>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Gold</w:t>
            </w:r>
          </w:p>
        </w:tc>
        <w:tc>
          <w:tcPr>
            <w:tcW w:w="462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Prioksky Plant of Non-Ferrous Metals</w:t>
            </w:r>
          </w:p>
        </w:tc>
        <w:tc>
          <w:tcPr>
            <w:tcW w:w="4840" w:type="dxa"/>
            <w:vAlign w:val="bottom"/>
            <w:tcBorders>
              <w:bottom w:val="single" w:sz="8" w:color="auto"/>
              <w:right w:val="single" w:sz="8" w:color="auto"/>
            </w:tcBorders>
          </w:tcPr>
          <w:p>
            <w:pPr>
              <w:spacing w:after="0"/>
              <w:rPr>
                <w:sz w:val="18"/>
                <w:szCs w:val="18"/>
                <w:color w:val="auto"/>
              </w:rPr>
            </w:pP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210"/>
        </w:trPr>
        <w:tc>
          <w:tcPr>
            <w:tcW w:w="760" w:type="dxa"/>
            <w:vAlign w:val="bottom"/>
            <w:tcBorders>
              <w:left w:val="single" w:sz="8" w:color="auto"/>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Gold</w:t>
            </w:r>
          </w:p>
        </w:tc>
        <w:tc>
          <w:tcPr>
            <w:tcW w:w="462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PT Aneka Tambang (Persero) Tbk</w:t>
            </w:r>
          </w:p>
        </w:tc>
        <w:tc>
          <w:tcPr>
            <w:tcW w:w="4840" w:type="dxa"/>
            <w:vAlign w:val="bottom"/>
            <w:tcBorders>
              <w:bottom w:val="single" w:sz="8" w:color="auto"/>
              <w:right w:val="single" w:sz="8" w:color="auto"/>
            </w:tcBorders>
          </w:tcPr>
          <w:p>
            <w:pPr>
              <w:spacing w:after="0"/>
              <w:rPr>
                <w:sz w:val="18"/>
                <w:szCs w:val="18"/>
                <w:color w:val="auto"/>
              </w:rPr>
            </w:pP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210"/>
        </w:trPr>
        <w:tc>
          <w:tcPr>
            <w:tcW w:w="760" w:type="dxa"/>
            <w:vAlign w:val="bottom"/>
            <w:tcBorders>
              <w:left w:val="single" w:sz="8" w:color="auto"/>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Gold</w:t>
            </w:r>
          </w:p>
        </w:tc>
        <w:tc>
          <w:tcPr>
            <w:tcW w:w="462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PX Précinox SA</w:t>
            </w:r>
          </w:p>
        </w:tc>
        <w:tc>
          <w:tcPr>
            <w:tcW w:w="4840" w:type="dxa"/>
            <w:vAlign w:val="bottom"/>
            <w:tcBorders>
              <w:bottom w:val="single" w:sz="8" w:color="auto"/>
              <w:right w:val="single" w:sz="8" w:color="auto"/>
            </w:tcBorders>
          </w:tcPr>
          <w:p>
            <w:pPr>
              <w:spacing w:after="0"/>
              <w:rPr>
                <w:sz w:val="18"/>
                <w:szCs w:val="18"/>
                <w:color w:val="auto"/>
              </w:rPr>
            </w:pP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210"/>
        </w:trPr>
        <w:tc>
          <w:tcPr>
            <w:tcW w:w="760" w:type="dxa"/>
            <w:vAlign w:val="bottom"/>
            <w:tcBorders>
              <w:left w:val="single" w:sz="8" w:color="auto"/>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Gold</w:t>
            </w:r>
          </w:p>
        </w:tc>
        <w:tc>
          <w:tcPr>
            <w:tcW w:w="462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Rand Refinery (Pty) Ltd.</w:t>
            </w:r>
          </w:p>
        </w:tc>
        <w:tc>
          <w:tcPr>
            <w:tcW w:w="4840" w:type="dxa"/>
            <w:vAlign w:val="bottom"/>
            <w:tcBorders>
              <w:bottom w:val="single" w:sz="8" w:color="auto"/>
              <w:right w:val="single" w:sz="8" w:color="auto"/>
            </w:tcBorders>
          </w:tcPr>
          <w:p>
            <w:pPr>
              <w:spacing w:after="0"/>
              <w:rPr>
                <w:sz w:val="18"/>
                <w:szCs w:val="18"/>
                <w:color w:val="auto"/>
              </w:rPr>
            </w:pP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210"/>
        </w:trPr>
        <w:tc>
          <w:tcPr>
            <w:tcW w:w="760" w:type="dxa"/>
            <w:vAlign w:val="bottom"/>
            <w:tcBorders>
              <w:left w:val="single" w:sz="8" w:color="auto"/>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Gold</w:t>
            </w:r>
          </w:p>
        </w:tc>
        <w:tc>
          <w:tcPr>
            <w:tcW w:w="462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Republic Metals Corporation</w:t>
            </w:r>
          </w:p>
        </w:tc>
        <w:tc>
          <w:tcPr>
            <w:tcW w:w="4840" w:type="dxa"/>
            <w:vAlign w:val="bottom"/>
            <w:tcBorders>
              <w:bottom w:val="single" w:sz="8" w:color="auto"/>
              <w:right w:val="single" w:sz="8" w:color="auto"/>
            </w:tcBorders>
          </w:tcPr>
          <w:p>
            <w:pPr>
              <w:spacing w:after="0"/>
              <w:rPr>
                <w:sz w:val="18"/>
                <w:szCs w:val="18"/>
                <w:color w:val="auto"/>
              </w:rPr>
            </w:pP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210"/>
        </w:trPr>
        <w:tc>
          <w:tcPr>
            <w:tcW w:w="760" w:type="dxa"/>
            <w:vAlign w:val="bottom"/>
            <w:tcBorders>
              <w:left w:val="single" w:sz="8" w:color="auto"/>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Gold</w:t>
            </w:r>
          </w:p>
        </w:tc>
        <w:tc>
          <w:tcPr>
            <w:tcW w:w="462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Royal Canadian Mint</w:t>
            </w:r>
          </w:p>
        </w:tc>
        <w:tc>
          <w:tcPr>
            <w:tcW w:w="4840" w:type="dxa"/>
            <w:vAlign w:val="bottom"/>
            <w:tcBorders>
              <w:bottom w:val="single" w:sz="8" w:color="auto"/>
              <w:right w:val="single" w:sz="8" w:color="auto"/>
            </w:tcBorders>
          </w:tcPr>
          <w:p>
            <w:pPr>
              <w:spacing w:after="0"/>
              <w:rPr>
                <w:sz w:val="18"/>
                <w:szCs w:val="18"/>
                <w:color w:val="auto"/>
              </w:rPr>
            </w:pP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210"/>
        </w:trPr>
        <w:tc>
          <w:tcPr>
            <w:tcW w:w="760" w:type="dxa"/>
            <w:vAlign w:val="bottom"/>
            <w:tcBorders>
              <w:left w:val="single" w:sz="8" w:color="auto"/>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Gold</w:t>
            </w:r>
          </w:p>
        </w:tc>
        <w:tc>
          <w:tcPr>
            <w:tcW w:w="462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Sabin Metal Corp.</w:t>
            </w:r>
          </w:p>
        </w:tc>
        <w:tc>
          <w:tcPr>
            <w:tcW w:w="4840" w:type="dxa"/>
            <w:vAlign w:val="bottom"/>
            <w:tcBorders>
              <w:bottom w:val="single" w:sz="8" w:color="auto"/>
              <w:right w:val="single" w:sz="8" w:color="auto"/>
            </w:tcBorders>
          </w:tcPr>
          <w:p>
            <w:pPr>
              <w:spacing w:after="0"/>
              <w:rPr>
                <w:sz w:val="18"/>
                <w:szCs w:val="18"/>
                <w:color w:val="auto"/>
              </w:rPr>
            </w:pP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5"/>
              </w:rPr>
              <w:t>Not Active</w:t>
            </w:r>
          </w:p>
        </w:tc>
      </w:tr>
      <w:tr>
        <w:trPr>
          <w:trHeight w:val="210"/>
        </w:trPr>
        <w:tc>
          <w:tcPr>
            <w:tcW w:w="760" w:type="dxa"/>
            <w:vAlign w:val="bottom"/>
            <w:tcBorders>
              <w:left w:val="single" w:sz="8" w:color="auto"/>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Gold</w:t>
            </w:r>
          </w:p>
        </w:tc>
        <w:tc>
          <w:tcPr>
            <w:tcW w:w="462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Samduck Precious Metals</w:t>
            </w:r>
          </w:p>
        </w:tc>
        <w:tc>
          <w:tcPr>
            <w:tcW w:w="4840" w:type="dxa"/>
            <w:vAlign w:val="bottom"/>
            <w:tcBorders>
              <w:bottom w:val="single" w:sz="8" w:color="auto"/>
              <w:right w:val="single" w:sz="8" w:color="auto"/>
            </w:tcBorders>
          </w:tcPr>
          <w:p>
            <w:pPr>
              <w:spacing w:after="0"/>
              <w:rPr>
                <w:sz w:val="18"/>
                <w:szCs w:val="18"/>
                <w:color w:val="auto"/>
              </w:rPr>
            </w:pP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7"/>
              </w:rPr>
              <w:t>Active</w:t>
            </w:r>
          </w:p>
        </w:tc>
      </w:tr>
      <w:tr>
        <w:trPr>
          <w:trHeight w:val="210"/>
        </w:trPr>
        <w:tc>
          <w:tcPr>
            <w:tcW w:w="760" w:type="dxa"/>
            <w:vAlign w:val="bottom"/>
            <w:tcBorders>
              <w:left w:val="single" w:sz="8" w:color="auto"/>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Gold</w:t>
            </w:r>
          </w:p>
        </w:tc>
        <w:tc>
          <w:tcPr>
            <w:tcW w:w="462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SAMWON Metals Corp.</w:t>
            </w:r>
          </w:p>
        </w:tc>
        <w:tc>
          <w:tcPr>
            <w:tcW w:w="4840" w:type="dxa"/>
            <w:vAlign w:val="bottom"/>
            <w:tcBorders>
              <w:bottom w:val="single" w:sz="8" w:color="auto"/>
              <w:right w:val="single" w:sz="8" w:color="auto"/>
            </w:tcBorders>
          </w:tcPr>
          <w:p>
            <w:pPr>
              <w:spacing w:after="0"/>
              <w:rPr>
                <w:sz w:val="18"/>
                <w:szCs w:val="18"/>
                <w:color w:val="auto"/>
              </w:rPr>
            </w:pP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5"/>
              </w:rPr>
              <w:t>Not Active</w:t>
            </w:r>
          </w:p>
        </w:tc>
      </w:tr>
      <w:tr>
        <w:trPr>
          <w:trHeight w:val="210"/>
        </w:trPr>
        <w:tc>
          <w:tcPr>
            <w:tcW w:w="760" w:type="dxa"/>
            <w:vAlign w:val="bottom"/>
            <w:tcBorders>
              <w:left w:val="single" w:sz="8" w:color="auto"/>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Gold</w:t>
            </w:r>
          </w:p>
        </w:tc>
        <w:tc>
          <w:tcPr>
            <w:tcW w:w="462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SAXONIA Edelmetalle GmbH</w:t>
            </w:r>
          </w:p>
        </w:tc>
        <w:tc>
          <w:tcPr>
            <w:tcW w:w="4840" w:type="dxa"/>
            <w:vAlign w:val="bottom"/>
            <w:tcBorders>
              <w:bottom w:val="single" w:sz="8" w:color="auto"/>
              <w:right w:val="single" w:sz="8" w:color="auto"/>
            </w:tcBorders>
          </w:tcPr>
          <w:p>
            <w:pPr>
              <w:spacing w:after="0"/>
              <w:rPr>
                <w:sz w:val="18"/>
                <w:szCs w:val="18"/>
                <w:color w:val="auto"/>
              </w:rPr>
            </w:pP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7"/>
              </w:rPr>
              <w:t>Active</w:t>
            </w:r>
          </w:p>
        </w:tc>
      </w:tr>
      <w:tr>
        <w:trPr>
          <w:trHeight w:val="210"/>
        </w:trPr>
        <w:tc>
          <w:tcPr>
            <w:tcW w:w="760" w:type="dxa"/>
            <w:vAlign w:val="bottom"/>
            <w:tcBorders>
              <w:left w:val="single" w:sz="8" w:color="auto"/>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Gold</w:t>
            </w:r>
          </w:p>
        </w:tc>
        <w:tc>
          <w:tcPr>
            <w:tcW w:w="462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Schone Edelmetaal B.V.</w:t>
            </w:r>
          </w:p>
        </w:tc>
        <w:tc>
          <w:tcPr>
            <w:tcW w:w="4840" w:type="dxa"/>
            <w:vAlign w:val="bottom"/>
            <w:tcBorders>
              <w:bottom w:val="single" w:sz="8" w:color="auto"/>
              <w:right w:val="single" w:sz="8" w:color="auto"/>
            </w:tcBorders>
          </w:tcPr>
          <w:p>
            <w:pPr>
              <w:spacing w:after="0"/>
              <w:rPr>
                <w:sz w:val="18"/>
                <w:szCs w:val="18"/>
                <w:color w:val="auto"/>
              </w:rPr>
            </w:pP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210"/>
        </w:trPr>
        <w:tc>
          <w:tcPr>
            <w:tcW w:w="760" w:type="dxa"/>
            <w:vAlign w:val="bottom"/>
            <w:tcBorders>
              <w:left w:val="single" w:sz="8" w:color="auto"/>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Gold</w:t>
            </w:r>
          </w:p>
        </w:tc>
        <w:tc>
          <w:tcPr>
            <w:tcW w:w="462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SEMPSA Joyería Platería SA</w:t>
            </w:r>
          </w:p>
        </w:tc>
        <w:tc>
          <w:tcPr>
            <w:tcW w:w="4840" w:type="dxa"/>
            <w:vAlign w:val="bottom"/>
            <w:tcBorders>
              <w:bottom w:val="single" w:sz="8" w:color="auto"/>
              <w:right w:val="single" w:sz="8" w:color="auto"/>
            </w:tcBorders>
          </w:tcPr>
          <w:p>
            <w:pPr>
              <w:spacing w:after="0"/>
              <w:rPr>
                <w:sz w:val="18"/>
                <w:szCs w:val="18"/>
                <w:color w:val="auto"/>
              </w:rPr>
            </w:pP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210"/>
        </w:trPr>
        <w:tc>
          <w:tcPr>
            <w:tcW w:w="760" w:type="dxa"/>
            <w:vAlign w:val="bottom"/>
            <w:tcBorders>
              <w:left w:val="single" w:sz="8" w:color="auto"/>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Gold</w:t>
            </w:r>
          </w:p>
        </w:tc>
        <w:tc>
          <w:tcPr>
            <w:tcW w:w="462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w w:val="98"/>
              </w:rPr>
              <w:t>Shandong Tiancheng Biological Gold Industrial Co., Ltd.</w:t>
            </w:r>
          </w:p>
        </w:tc>
        <w:tc>
          <w:tcPr>
            <w:tcW w:w="4840" w:type="dxa"/>
            <w:vAlign w:val="bottom"/>
            <w:tcBorders>
              <w:bottom w:val="single" w:sz="8" w:color="auto"/>
              <w:right w:val="single" w:sz="8" w:color="auto"/>
            </w:tcBorders>
          </w:tcPr>
          <w:p>
            <w:pPr>
              <w:spacing w:after="0"/>
              <w:rPr>
                <w:sz w:val="18"/>
                <w:szCs w:val="18"/>
                <w:color w:val="auto"/>
              </w:rPr>
            </w:pP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5"/>
              </w:rPr>
              <w:t>Not Active</w:t>
            </w:r>
          </w:p>
        </w:tc>
      </w:tr>
      <w:tr>
        <w:trPr>
          <w:trHeight w:val="210"/>
        </w:trPr>
        <w:tc>
          <w:tcPr>
            <w:tcW w:w="760" w:type="dxa"/>
            <w:vAlign w:val="bottom"/>
            <w:tcBorders>
              <w:left w:val="single" w:sz="8" w:color="auto"/>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Gold</w:t>
            </w:r>
          </w:p>
        </w:tc>
        <w:tc>
          <w:tcPr>
            <w:tcW w:w="462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Shandong Zhaojin Gold &amp; Silver Refinery Co., Ltd.</w:t>
            </w:r>
          </w:p>
        </w:tc>
        <w:tc>
          <w:tcPr>
            <w:tcW w:w="4840" w:type="dxa"/>
            <w:vAlign w:val="bottom"/>
            <w:tcBorders>
              <w:bottom w:val="single" w:sz="8" w:color="auto"/>
              <w:right w:val="single" w:sz="8" w:color="auto"/>
            </w:tcBorders>
          </w:tcPr>
          <w:p>
            <w:pPr>
              <w:spacing w:after="0"/>
              <w:rPr>
                <w:sz w:val="18"/>
                <w:szCs w:val="18"/>
                <w:color w:val="auto"/>
              </w:rPr>
            </w:pP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210"/>
        </w:trPr>
        <w:tc>
          <w:tcPr>
            <w:tcW w:w="760" w:type="dxa"/>
            <w:vAlign w:val="bottom"/>
            <w:tcBorders>
              <w:left w:val="single" w:sz="8" w:color="auto"/>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Gold</w:t>
            </w:r>
          </w:p>
        </w:tc>
        <w:tc>
          <w:tcPr>
            <w:tcW w:w="462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Sichuan Tianze Precious Metals Co., Ltd.</w:t>
            </w:r>
          </w:p>
        </w:tc>
        <w:tc>
          <w:tcPr>
            <w:tcW w:w="4840" w:type="dxa"/>
            <w:vAlign w:val="bottom"/>
            <w:tcBorders>
              <w:bottom w:val="single" w:sz="8" w:color="auto"/>
              <w:right w:val="single" w:sz="8" w:color="auto"/>
            </w:tcBorders>
          </w:tcPr>
          <w:p>
            <w:pPr>
              <w:spacing w:after="0"/>
              <w:rPr>
                <w:sz w:val="18"/>
                <w:szCs w:val="18"/>
                <w:color w:val="auto"/>
              </w:rPr>
            </w:pP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210"/>
        </w:trPr>
        <w:tc>
          <w:tcPr>
            <w:tcW w:w="760" w:type="dxa"/>
            <w:vAlign w:val="bottom"/>
            <w:tcBorders>
              <w:left w:val="single" w:sz="8" w:color="auto"/>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Gold</w:t>
            </w:r>
          </w:p>
        </w:tc>
        <w:tc>
          <w:tcPr>
            <w:tcW w:w="462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Singway Technology Co., Ltd.</w:t>
            </w:r>
          </w:p>
        </w:tc>
        <w:tc>
          <w:tcPr>
            <w:tcW w:w="4840" w:type="dxa"/>
            <w:vAlign w:val="bottom"/>
            <w:tcBorders>
              <w:bottom w:val="single" w:sz="8" w:color="auto"/>
              <w:right w:val="single" w:sz="8" w:color="auto"/>
            </w:tcBorders>
          </w:tcPr>
          <w:p>
            <w:pPr>
              <w:spacing w:after="0"/>
              <w:rPr>
                <w:sz w:val="18"/>
                <w:szCs w:val="18"/>
                <w:color w:val="auto"/>
              </w:rPr>
            </w:pP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210"/>
        </w:trPr>
        <w:tc>
          <w:tcPr>
            <w:tcW w:w="760" w:type="dxa"/>
            <w:vAlign w:val="bottom"/>
            <w:tcBorders>
              <w:left w:val="single" w:sz="8" w:color="auto"/>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Gold</w:t>
            </w:r>
          </w:p>
        </w:tc>
        <w:tc>
          <w:tcPr>
            <w:tcW w:w="462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So Accurate Group, Inc.</w:t>
            </w:r>
          </w:p>
        </w:tc>
        <w:tc>
          <w:tcPr>
            <w:tcW w:w="4840" w:type="dxa"/>
            <w:vAlign w:val="bottom"/>
            <w:tcBorders>
              <w:bottom w:val="single" w:sz="8" w:color="auto"/>
              <w:right w:val="single" w:sz="8" w:color="auto"/>
            </w:tcBorders>
          </w:tcPr>
          <w:p>
            <w:pPr>
              <w:spacing w:after="0"/>
              <w:rPr>
                <w:sz w:val="18"/>
                <w:szCs w:val="18"/>
                <w:color w:val="auto"/>
              </w:rPr>
            </w:pP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5"/>
              </w:rPr>
              <w:t>Not Active</w:t>
            </w:r>
          </w:p>
        </w:tc>
      </w:tr>
      <w:tr>
        <w:trPr>
          <w:trHeight w:val="210"/>
        </w:trPr>
        <w:tc>
          <w:tcPr>
            <w:tcW w:w="760" w:type="dxa"/>
            <w:vAlign w:val="bottom"/>
            <w:tcBorders>
              <w:left w:val="single" w:sz="8" w:color="auto"/>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Gold</w:t>
            </w:r>
          </w:p>
        </w:tc>
        <w:tc>
          <w:tcPr>
            <w:tcW w:w="462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w w:val="97"/>
              </w:rPr>
              <w:t>SOE Shyolkovsky Factory of Secondary Precious Metals</w:t>
            </w:r>
          </w:p>
        </w:tc>
        <w:tc>
          <w:tcPr>
            <w:tcW w:w="4840" w:type="dxa"/>
            <w:vAlign w:val="bottom"/>
            <w:tcBorders>
              <w:bottom w:val="single" w:sz="8" w:color="auto"/>
              <w:right w:val="single" w:sz="8" w:color="auto"/>
            </w:tcBorders>
          </w:tcPr>
          <w:p>
            <w:pPr>
              <w:spacing w:after="0"/>
              <w:rPr>
                <w:sz w:val="18"/>
                <w:szCs w:val="18"/>
                <w:color w:val="auto"/>
              </w:rPr>
            </w:pP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210"/>
        </w:trPr>
        <w:tc>
          <w:tcPr>
            <w:tcW w:w="760" w:type="dxa"/>
            <w:vAlign w:val="bottom"/>
            <w:tcBorders>
              <w:left w:val="single" w:sz="8" w:color="auto"/>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Gold</w:t>
            </w:r>
          </w:p>
        </w:tc>
        <w:tc>
          <w:tcPr>
            <w:tcW w:w="462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Solar Applied Materials Technology Corp.</w:t>
            </w:r>
          </w:p>
        </w:tc>
        <w:tc>
          <w:tcPr>
            <w:tcW w:w="4840" w:type="dxa"/>
            <w:vAlign w:val="bottom"/>
            <w:tcBorders>
              <w:bottom w:val="single" w:sz="8" w:color="auto"/>
              <w:right w:val="single" w:sz="8" w:color="auto"/>
            </w:tcBorders>
          </w:tcPr>
          <w:p>
            <w:pPr>
              <w:spacing w:after="0"/>
              <w:rPr>
                <w:sz w:val="18"/>
                <w:szCs w:val="18"/>
                <w:color w:val="auto"/>
              </w:rPr>
            </w:pP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210"/>
        </w:trPr>
        <w:tc>
          <w:tcPr>
            <w:tcW w:w="760" w:type="dxa"/>
            <w:vAlign w:val="bottom"/>
            <w:tcBorders>
              <w:left w:val="single" w:sz="8" w:color="auto"/>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Gold</w:t>
            </w:r>
          </w:p>
        </w:tc>
        <w:tc>
          <w:tcPr>
            <w:tcW w:w="462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Sumitomo Metal Mining Co., Ltd.</w:t>
            </w:r>
          </w:p>
        </w:tc>
        <w:tc>
          <w:tcPr>
            <w:tcW w:w="4840" w:type="dxa"/>
            <w:vAlign w:val="bottom"/>
            <w:tcBorders>
              <w:bottom w:val="single" w:sz="8" w:color="auto"/>
              <w:right w:val="single" w:sz="8" w:color="auto"/>
            </w:tcBorders>
          </w:tcPr>
          <w:p>
            <w:pPr>
              <w:spacing w:after="0"/>
              <w:rPr>
                <w:sz w:val="18"/>
                <w:szCs w:val="18"/>
                <w:color w:val="auto"/>
              </w:rPr>
            </w:pP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210"/>
        </w:trPr>
        <w:tc>
          <w:tcPr>
            <w:tcW w:w="760" w:type="dxa"/>
            <w:vAlign w:val="bottom"/>
            <w:tcBorders>
              <w:left w:val="single" w:sz="8" w:color="auto"/>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Gold</w:t>
            </w:r>
          </w:p>
        </w:tc>
        <w:tc>
          <w:tcPr>
            <w:tcW w:w="462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T.C.A S.p.A</w:t>
            </w:r>
          </w:p>
        </w:tc>
        <w:tc>
          <w:tcPr>
            <w:tcW w:w="4840" w:type="dxa"/>
            <w:vAlign w:val="bottom"/>
            <w:tcBorders>
              <w:bottom w:val="single" w:sz="8" w:color="auto"/>
              <w:right w:val="single" w:sz="8" w:color="auto"/>
            </w:tcBorders>
          </w:tcPr>
          <w:p>
            <w:pPr>
              <w:spacing w:after="0"/>
              <w:rPr>
                <w:sz w:val="18"/>
                <w:szCs w:val="18"/>
                <w:color w:val="auto"/>
              </w:rPr>
            </w:pP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210"/>
        </w:trPr>
        <w:tc>
          <w:tcPr>
            <w:tcW w:w="760" w:type="dxa"/>
            <w:vAlign w:val="bottom"/>
            <w:tcBorders>
              <w:left w:val="single" w:sz="8" w:color="auto"/>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Gold</w:t>
            </w:r>
          </w:p>
        </w:tc>
        <w:tc>
          <w:tcPr>
            <w:tcW w:w="462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Tanaka Kikinzoku Kogyo K.K.</w:t>
            </w:r>
          </w:p>
        </w:tc>
        <w:tc>
          <w:tcPr>
            <w:tcW w:w="4840" w:type="dxa"/>
            <w:vAlign w:val="bottom"/>
            <w:tcBorders>
              <w:bottom w:val="single" w:sz="8" w:color="auto"/>
              <w:right w:val="single" w:sz="8" w:color="auto"/>
            </w:tcBorders>
          </w:tcPr>
          <w:p>
            <w:pPr>
              <w:spacing w:after="0"/>
              <w:rPr>
                <w:sz w:val="18"/>
                <w:szCs w:val="18"/>
                <w:color w:val="auto"/>
              </w:rPr>
            </w:pP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210"/>
        </w:trPr>
        <w:tc>
          <w:tcPr>
            <w:tcW w:w="760" w:type="dxa"/>
            <w:vAlign w:val="bottom"/>
            <w:tcBorders>
              <w:left w:val="single" w:sz="8" w:color="auto"/>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Gold</w:t>
            </w:r>
          </w:p>
        </w:tc>
        <w:tc>
          <w:tcPr>
            <w:tcW w:w="462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The Refinery of Shandong Gold Mining Co., Ltd.</w:t>
            </w:r>
          </w:p>
        </w:tc>
        <w:tc>
          <w:tcPr>
            <w:tcW w:w="4840" w:type="dxa"/>
            <w:vAlign w:val="bottom"/>
            <w:tcBorders>
              <w:bottom w:val="single" w:sz="8" w:color="auto"/>
              <w:right w:val="single" w:sz="8" w:color="auto"/>
            </w:tcBorders>
          </w:tcPr>
          <w:p>
            <w:pPr>
              <w:spacing w:after="0"/>
              <w:rPr>
                <w:sz w:val="18"/>
                <w:szCs w:val="18"/>
                <w:color w:val="auto"/>
              </w:rPr>
            </w:pP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210"/>
        </w:trPr>
        <w:tc>
          <w:tcPr>
            <w:tcW w:w="760" w:type="dxa"/>
            <w:vAlign w:val="bottom"/>
            <w:tcBorders>
              <w:left w:val="single" w:sz="8" w:color="auto"/>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Gold</w:t>
            </w:r>
          </w:p>
        </w:tc>
        <w:tc>
          <w:tcPr>
            <w:tcW w:w="462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Tokuriki Honten Co., Ltd.</w:t>
            </w:r>
          </w:p>
        </w:tc>
        <w:tc>
          <w:tcPr>
            <w:tcW w:w="4840" w:type="dxa"/>
            <w:vAlign w:val="bottom"/>
            <w:tcBorders>
              <w:bottom w:val="single" w:sz="8" w:color="auto"/>
              <w:right w:val="single" w:sz="8" w:color="auto"/>
            </w:tcBorders>
          </w:tcPr>
          <w:p>
            <w:pPr>
              <w:spacing w:after="0"/>
              <w:rPr>
                <w:sz w:val="18"/>
                <w:szCs w:val="18"/>
                <w:color w:val="auto"/>
              </w:rPr>
            </w:pP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210"/>
        </w:trPr>
        <w:tc>
          <w:tcPr>
            <w:tcW w:w="760" w:type="dxa"/>
            <w:vAlign w:val="bottom"/>
            <w:tcBorders>
              <w:left w:val="single" w:sz="8" w:color="auto"/>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Gold</w:t>
            </w:r>
          </w:p>
        </w:tc>
        <w:tc>
          <w:tcPr>
            <w:tcW w:w="462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Tongling Nonferrous Metals Group Co., Ltd.</w:t>
            </w:r>
          </w:p>
        </w:tc>
        <w:tc>
          <w:tcPr>
            <w:tcW w:w="4840" w:type="dxa"/>
            <w:vAlign w:val="bottom"/>
            <w:tcBorders>
              <w:bottom w:val="single" w:sz="8" w:color="auto"/>
              <w:right w:val="single" w:sz="8" w:color="auto"/>
            </w:tcBorders>
          </w:tcPr>
          <w:p>
            <w:pPr>
              <w:spacing w:after="0"/>
              <w:rPr>
                <w:sz w:val="18"/>
                <w:szCs w:val="18"/>
                <w:color w:val="auto"/>
              </w:rPr>
            </w:pP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5"/>
              </w:rPr>
              <w:t>Not Active</w:t>
            </w:r>
          </w:p>
        </w:tc>
      </w:tr>
      <w:tr>
        <w:trPr>
          <w:trHeight w:val="210"/>
        </w:trPr>
        <w:tc>
          <w:tcPr>
            <w:tcW w:w="760" w:type="dxa"/>
            <w:vAlign w:val="bottom"/>
            <w:tcBorders>
              <w:left w:val="single" w:sz="8" w:color="auto"/>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Gold</w:t>
            </w:r>
          </w:p>
        </w:tc>
        <w:tc>
          <w:tcPr>
            <w:tcW w:w="462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Torecom</w:t>
            </w:r>
          </w:p>
        </w:tc>
        <w:tc>
          <w:tcPr>
            <w:tcW w:w="4840" w:type="dxa"/>
            <w:vAlign w:val="bottom"/>
            <w:tcBorders>
              <w:bottom w:val="single" w:sz="8" w:color="auto"/>
              <w:right w:val="single" w:sz="8" w:color="auto"/>
            </w:tcBorders>
          </w:tcPr>
          <w:p>
            <w:pPr>
              <w:spacing w:after="0"/>
              <w:rPr>
                <w:sz w:val="18"/>
                <w:szCs w:val="18"/>
                <w:color w:val="auto"/>
              </w:rPr>
            </w:pP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7"/>
              </w:rPr>
              <w:t>Active</w:t>
            </w:r>
          </w:p>
        </w:tc>
      </w:tr>
      <w:tr>
        <w:trPr>
          <w:trHeight w:val="210"/>
        </w:trPr>
        <w:tc>
          <w:tcPr>
            <w:tcW w:w="760" w:type="dxa"/>
            <w:vAlign w:val="bottom"/>
            <w:tcBorders>
              <w:left w:val="single" w:sz="8" w:color="auto"/>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Gold</w:t>
            </w:r>
          </w:p>
        </w:tc>
        <w:tc>
          <w:tcPr>
            <w:tcW w:w="462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Umicore Brasil Ltda.</w:t>
            </w:r>
          </w:p>
        </w:tc>
        <w:tc>
          <w:tcPr>
            <w:tcW w:w="4840" w:type="dxa"/>
            <w:vAlign w:val="bottom"/>
            <w:tcBorders>
              <w:bottom w:val="single" w:sz="8" w:color="auto"/>
              <w:right w:val="single" w:sz="8" w:color="auto"/>
            </w:tcBorders>
          </w:tcPr>
          <w:p>
            <w:pPr>
              <w:spacing w:after="0"/>
              <w:rPr>
                <w:sz w:val="18"/>
                <w:szCs w:val="18"/>
                <w:color w:val="auto"/>
              </w:rPr>
            </w:pP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210"/>
        </w:trPr>
        <w:tc>
          <w:tcPr>
            <w:tcW w:w="760" w:type="dxa"/>
            <w:vAlign w:val="bottom"/>
            <w:tcBorders>
              <w:left w:val="single" w:sz="8" w:color="auto"/>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Gold</w:t>
            </w:r>
          </w:p>
        </w:tc>
        <w:tc>
          <w:tcPr>
            <w:tcW w:w="462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Umicore Precious Metals Thailand</w:t>
            </w:r>
          </w:p>
        </w:tc>
        <w:tc>
          <w:tcPr>
            <w:tcW w:w="4840" w:type="dxa"/>
            <w:vAlign w:val="bottom"/>
            <w:tcBorders>
              <w:bottom w:val="single" w:sz="8" w:color="auto"/>
              <w:right w:val="single" w:sz="8" w:color="auto"/>
            </w:tcBorders>
          </w:tcPr>
          <w:p>
            <w:pPr>
              <w:spacing w:after="0"/>
              <w:rPr>
                <w:sz w:val="18"/>
                <w:szCs w:val="18"/>
                <w:color w:val="auto"/>
              </w:rPr>
            </w:pP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210"/>
        </w:trPr>
        <w:tc>
          <w:tcPr>
            <w:tcW w:w="760" w:type="dxa"/>
            <w:vAlign w:val="bottom"/>
            <w:tcBorders>
              <w:left w:val="single" w:sz="8" w:color="auto"/>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Gold</w:t>
            </w:r>
          </w:p>
        </w:tc>
        <w:tc>
          <w:tcPr>
            <w:tcW w:w="462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Umicore SA Business Unit Precious Metals Refining</w:t>
            </w:r>
          </w:p>
        </w:tc>
        <w:tc>
          <w:tcPr>
            <w:tcW w:w="4840" w:type="dxa"/>
            <w:vAlign w:val="bottom"/>
            <w:tcBorders>
              <w:bottom w:val="single" w:sz="8" w:color="auto"/>
              <w:right w:val="single" w:sz="8" w:color="auto"/>
            </w:tcBorders>
          </w:tcPr>
          <w:p>
            <w:pPr>
              <w:spacing w:after="0"/>
              <w:rPr>
                <w:sz w:val="18"/>
                <w:szCs w:val="18"/>
                <w:color w:val="auto"/>
              </w:rPr>
            </w:pP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210"/>
        </w:trPr>
        <w:tc>
          <w:tcPr>
            <w:tcW w:w="760" w:type="dxa"/>
            <w:vAlign w:val="bottom"/>
            <w:tcBorders>
              <w:left w:val="single" w:sz="8" w:color="auto"/>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Gold</w:t>
            </w:r>
          </w:p>
        </w:tc>
        <w:tc>
          <w:tcPr>
            <w:tcW w:w="462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United Precious Metal Refining, Inc.</w:t>
            </w:r>
          </w:p>
        </w:tc>
        <w:tc>
          <w:tcPr>
            <w:tcW w:w="4840" w:type="dxa"/>
            <w:vAlign w:val="bottom"/>
            <w:tcBorders>
              <w:bottom w:val="single" w:sz="8" w:color="auto"/>
              <w:right w:val="single" w:sz="8" w:color="auto"/>
            </w:tcBorders>
          </w:tcPr>
          <w:p>
            <w:pPr>
              <w:spacing w:after="0"/>
              <w:rPr>
                <w:sz w:val="18"/>
                <w:szCs w:val="18"/>
                <w:color w:val="auto"/>
              </w:rPr>
            </w:pP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210"/>
        </w:trPr>
        <w:tc>
          <w:tcPr>
            <w:tcW w:w="760" w:type="dxa"/>
            <w:vAlign w:val="bottom"/>
            <w:tcBorders>
              <w:left w:val="single" w:sz="8" w:color="auto"/>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Gold</w:t>
            </w:r>
          </w:p>
        </w:tc>
        <w:tc>
          <w:tcPr>
            <w:tcW w:w="462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Valcambi SA</w:t>
            </w:r>
          </w:p>
        </w:tc>
        <w:tc>
          <w:tcPr>
            <w:tcW w:w="4840" w:type="dxa"/>
            <w:vAlign w:val="bottom"/>
            <w:tcBorders>
              <w:bottom w:val="single" w:sz="8" w:color="auto"/>
              <w:right w:val="single" w:sz="8" w:color="auto"/>
            </w:tcBorders>
          </w:tcPr>
          <w:p>
            <w:pPr>
              <w:spacing w:after="0"/>
              <w:rPr>
                <w:sz w:val="18"/>
                <w:szCs w:val="18"/>
                <w:color w:val="auto"/>
              </w:rPr>
            </w:pP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210"/>
        </w:trPr>
        <w:tc>
          <w:tcPr>
            <w:tcW w:w="760" w:type="dxa"/>
            <w:vAlign w:val="bottom"/>
            <w:tcBorders>
              <w:left w:val="single" w:sz="8" w:color="auto"/>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Gold</w:t>
            </w:r>
          </w:p>
        </w:tc>
        <w:tc>
          <w:tcPr>
            <w:tcW w:w="462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Western Australian Mint trading as The Perth Mint</w:t>
            </w:r>
          </w:p>
        </w:tc>
        <w:tc>
          <w:tcPr>
            <w:tcW w:w="4840" w:type="dxa"/>
            <w:vAlign w:val="bottom"/>
            <w:tcBorders>
              <w:bottom w:val="single" w:sz="8" w:color="auto"/>
              <w:right w:val="single" w:sz="8" w:color="auto"/>
            </w:tcBorders>
          </w:tcPr>
          <w:p>
            <w:pPr>
              <w:spacing w:after="0"/>
              <w:rPr>
                <w:sz w:val="18"/>
                <w:szCs w:val="18"/>
                <w:color w:val="auto"/>
              </w:rPr>
            </w:pP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210"/>
        </w:trPr>
        <w:tc>
          <w:tcPr>
            <w:tcW w:w="760" w:type="dxa"/>
            <w:vAlign w:val="bottom"/>
            <w:tcBorders>
              <w:left w:val="single" w:sz="8" w:color="auto"/>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Gold</w:t>
            </w:r>
          </w:p>
        </w:tc>
        <w:tc>
          <w:tcPr>
            <w:tcW w:w="462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WIELAND Edelmetalle GmbH</w:t>
            </w:r>
          </w:p>
        </w:tc>
        <w:tc>
          <w:tcPr>
            <w:tcW w:w="4840" w:type="dxa"/>
            <w:vAlign w:val="bottom"/>
            <w:tcBorders>
              <w:bottom w:val="single" w:sz="8" w:color="auto"/>
              <w:right w:val="single" w:sz="8" w:color="auto"/>
            </w:tcBorders>
          </w:tcPr>
          <w:p>
            <w:pPr>
              <w:spacing w:after="0"/>
              <w:rPr>
                <w:sz w:val="18"/>
                <w:szCs w:val="18"/>
                <w:color w:val="auto"/>
              </w:rPr>
            </w:pP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7"/>
              </w:rPr>
              <w:t>Active</w:t>
            </w:r>
          </w:p>
        </w:tc>
      </w:tr>
      <w:tr>
        <w:trPr>
          <w:trHeight w:val="210"/>
        </w:trPr>
        <w:tc>
          <w:tcPr>
            <w:tcW w:w="760" w:type="dxa"/>
            <w:vAlign w:val="bottom"/>
            <w:tcBorders>
              <w:left w:val="single" w:sz="8" w:color="auto"/>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Gold</w:t>
            </w:r>
          </w:p>
        </w:tc>
        <w:tc>
          <w:tcPr>
            <w:tcW w:w="462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Yamamoto Precious Metal Co., Ltd.</w:t>
            </w:r>
          </w:p>
        </w:tc>
        <w:tc>
          <w:tcPr>
            <w:tcW w:w="4840" w:type="dxa"/>
            <w:vAlign w:val="bottom"/>
            <w:tcBorders>
              <w:bottom w:val="single" w:sz="8" w:color="auto"/>
              <w:right w:val="single" w:sz="8" w:color="auto"/>
            </w:tcBorders>
          </w:tcPr>
          <w:p>
            <w:pPr>
              <w:spacing w:after="0"/>
              <w:rPr>
                <w:sz w:val="18"/>
                <w:szCs w:val="18"/>
                <w:color w:val="auto"/>
              </w:rPr>
            </w:pP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210"/>
        </w:trPr>
        <w:tc>
          <w:tcPr>
            <w:tcW w:w="760" w:type="dxa"/>
            <w:vAlign w:val="bottom"/>
            <w:tcBorders>
              <w:left w:val="single" w:sz="8" w:color="auto"/>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Gold</w:t>
            </w:r>
          </w:p>
        </w:tc>
        <w:tc>
          <w:tcPr>
            <w:tcW w:w="462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Yokohama Metal Co., Ltd.</w:t>
            </w:r>
          </w:p>
        </w:tc>
        <w:tc>
          <w:tcPr>
            <w:tcW w:w="4840" w:type="dxa"/>
            <w:vAlign w:val="bottom"/>
            <w:tcBorders>
              <w:bottom w:val="single" w:sz="8" w:color="auto"/>
              <w:right w:val="single" w:sz="8" w:color="auto"/>
            </w:tcBorders>
          </w:tcPr>
          <w:p>
            <w:pPr>
              <w:spacing w:after="0"/>
              <w:rPr>
                <w:sz w:val="18"/>
                <w:szCs w:val="18"/>
                <w:color w:val="auto"/>
              </w:rPr>
            </w:pP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210"/>
        </w:trPr>
        <w:tc>
          <w:tcPr>
            <w:tcW w:w="760" w:type="dxa"/>
            <w:vAlign w:val="bottom"/>
            <w:tcBorders>
              <w:left w:val="single" w:sz="8" w:color="auto"/>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Gold</w:t>
            </w:r>
          </w:p>
        </w:tc>
        <w:tc>
          <w:tcPr>
            <w:tcW w:w="462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Yunnan Copper Industry Co., Ltd.</w:t>
            </w:r>
          </w:p>
        </w:tc>
        <w:tc>
          <w:tcPr>
            <w:tcW w:w="4840" w:type="dxa"/>
            <w:vAlign w:val="bottom"/>
            <w:tcBorders>
              <w:bottom w:val="single" w:sz="8" w:color="auto"/>
              <w:right w:val="single" w:sz="8" w:color="auto"/>
            </w:tcBorders>
          </w:tcPr>
          <w:p>
            <w:pPr>
              <w:spacing w:after="0"/>
              <w:rPr>
                <w:sz w:val="18"/>
                <w:szCs w:val="18"/>
                <w:color w:val="auto"/>
              </w:rPr>
            </w:pP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5"/>
              </w:rPr>
              <w:t>Not Active</w:t>
            </w:r>
          </w:p>
        </w:tc>
      </w:tr>
      <w:tr>
        <w:trPr>
          <w:trHeight w:val="358"/>
        </w:trPr>
        <w:tc>
          <w:tcPr>
            <w:tcW w:w="760" w:type="dxa"/>
            <w:vAlign w:val="bottom"/>
          </w:tcPr>
          <w:p>
            <w:pPr>
              <w:spacing w:after="0"/>
              <w:rPr>
                <w:sz w:val="24"/>
                <w:szCs w:val="24"/>
                <w:color w:val="auto"/>
              </w:rPr>
            </w:pPr>
          </w:p>
        </w:tc>
        <w:tc>
          <w:tcPr>
            <w:tcW w:w="4620" w:type="dxa"/>
            <w:vAlign w:val="bottom"/>
          </w:tcPr>
          <w:p>
            <w:pPr>
              <w:spacing w:after="0"/>
              <w:rPr>
                <w:sz w:val="24"/>
                <w:szCs w:val="24"/>
                <w:color w:val="auto"/>
              </w:rPr>
            </w:pPr>
          </w:p>
        </w:tc>
        <w:tc>
          <w:tcPr>
            <w:tcW w:w="4840" w:type="dxa"/>
            <w:vAlign w:val="bottom"/>
          </w:tcPr>
          <w:p>
            <w:pPr>
              <w:jc w:val="right"/>
              <w:ind w:right="4370"/>
              <w:spacing w:after="0"/>
              <w:rPr>
                <w:sz w:val="20"/>
                <w:szCs w:val="20"/>
                <w:color w:val="auto"/>
              </w:rPr>
            </w:pPr>
            <w:r>
              <w:rPr>
                <w:rFonts w:ascii="Arial" w:cs="Arial" w:eastAsia="Arial" w:hAnsi="Arial"/>
                <w:sz w:val="18"/>
                <w:szCs w:val="18"/>
                <w:color w:val="auto"/>
              </w:rPr>
              <w:t>4</w:t>
            </w:r>
          </w:p>
        </w:tc>
        <w:tc>
          <w:tcPr>
            <w:tcW w:w="1220" w:type="dxa"/>
            <w:vAlign w:val="bottom"/>
          </w:tcPr>
          <w:p>
            <w:pPr>
              <w:spacing w:after="0"/>
              <w:rPr>
                <w:sz w:val="24"/>
                <w:szCs w:val="24"/>
                <w:color w:val="auto"/>
              </w:rPr>
            </w:pPr>
          </w:p>
        </w:tc>
      </w:tr>
    </w:tbl>
    <w:p>
      <w:pPr>
        <w:sectPr>
          <w:pgSz w:w="11900" w:h="16838" w:orient="portrait"/>
          <w:cols w:equalWidth="0" w:num="1">
            <w:col w:w="11440"/>
          </w:cols>
          <w:pgMar w:left="240" w:top="268" w:right="219" w:bottom="1440" w:gutter="0" w:footer="0" w:header="0"/>
        </w:sectPr>
      </w:pPr>
    </w:p>
    <w:bookmarkStart w:id="14" w:name="page15"/>
    <w:bookmarkEnd w:id="14"/>
    <w:p>
      <w:pPr>
        <w:spacing w:after="0" w:line="1"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p>
    <w:tbl>
      <w:tblPr>
        <w:tblLayout w:type="fixed"/>
        <w:tblInd w:w="10" w:type="dxa"/>
        <w:tblCellMar>
          <w:top w:w="0" w:type="dxa"/>
          <w:left w:w="0" w:type="dxa"/>
          <w:bottom w:w="0" w:type="dxa"/>
          <w:right w:w="0" w:type="dxa"/>
        </w:tblCellMar>
      </w:tblPr>
      <w:tr>
        <w:trPr>
          <w:trHeight w:val="230"/>
        </w:trPr>
        <w:tc>
          <w:tcPr>
            <w:tcW w:w="1100" w:type="dxa"/>
            <w:vAlign w:val="bottom"/>
            <w:tcBorders>
              <w:top w:val="single" w:sz="8" w:color="auto"/>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4"/>
              </w:rPr>
              <w:t>Gold</w:t>
            </w:r>
          </w:p>
        </w:tc>
        <w:tc>
          <w:tcPr>
            <w:tcW w:w="4400" w:type="dxa"/>
            <w:vAlign w:val="bottom"/>
            <w:tcBorders>
              <w:top w:val="single" w:sz="8" w:color="auto"/>
              <w:bottom w:val="single" w:sz="8" w:color="auto"/>
            </w:tcBorders>
          </w:tcPr>
          <w:p>
            <w:pPr>
              <w:ind w:left="200"/>
              <w:spacing w:after="0"/>
              <w:rPr>
                <w:sz w:val="20"/>
                <w:szCs w:val="20"/>
                <w:color w:val="auto"/>
              </w:rPr>
            </w:pPr>
            <w:r>
              <w:rPr>
                <w:rFonts w:ascii="Arial" w:cs="Arial" w:eastAsia="Arial" w:hAnsi="Arial"/>
                <w:sz w:val="18"/>
                <w:szCs w:val="18"/>
                <w:color w:val="auto"/>
                <w:w w:val="95"/>
              </w:rPr>
              <w:t>Zhongyuan Gold Smelter of Zhongjin Gold Corporation</w:t>
            </w:r>
          </w:p>
        </w:tc>
        <w:tc>
          <w:tcPr>
            <w:tcW w:w="4840" w:type="dxa"/>
            <w:vAlign w:val="bottom"/>
            <w:tcBorders>
              <w:top w:val="single" w:sz="8" w:color="auto"/>
              <w:bottom w:val="single" w:sz="8" w:color="auto"/>
              <w:right w:val="single" w:sz="8" w:color="auto"/>
            </w:tcBorders>
          </w:tcPr>
          <w:p>
            <w:pPr>
              <w:spacing w:after="0"/>
              <w:rPr>
                <w:sz w:val="19"/>
                <w:szCs w:val="19"/>
                <w:color w:val="auto"/>
              </w:rPr>
            </w:pPr>
          </w:p>
        </w:tc>
        <w:tc>
          <w:tcPr>
            <w:tcW w:w="1100" w:type="dxa"/>
            <w:vAlign w:val="bottom"/>
            <w:tcBorders>
              <w:top w:val="single" w:sz="8" w:color="auto"/>
              <w:bottom w:val="single" w:sz="8" w:color="auto"/>
              <w:right w:val="single" w:sz="8" w:color="auto"/>
            </w:tcBorders>
          </w:tcPr>
          <w:p>
            <w:pPr>
              <w:ind w:left="220"/>
              <w:spacing w:after="0"/>
              <w:rPr>
                <w:sz w:val="20"/>
                <w:szCs w:val="20"/>
                <w:color w:val="auto"/>
              </w:rPr>
            </w:pPr>
            <w:r>
              <w:rPr>
                <w:rFonts w:ascii="Arial" w:cs="Arial" w:eastAsia="Arial" w:hAnsi="Arial"/>
                <w:sz w:val="18"/>
                <w:szCs w:val="18"/>
                <w:color w:val="auto"/>
              </w:rPr>
              <w:t>Validated</w:t>
            </w:r>
          </w:p>
        </w:tc>
      </w:tr>
      <w:tr>
        <w:trPr>
          <w:trHeight w:val="210"/>
        </w:trPr>
        <w:tc>
          <w:tcPr>
            <w:tcW w:w="110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4"/>
              </w:rPr>
              <w:t>Gold</w:t>
            </w:r>
          </w:p>
        </w:tc>
        <w:tc>
          <w:tcPr>
            <w:tcW w:w="440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Zijin Mining Group Co., Ltd. Gold Refinery</w:t>
            </w:r>
          </w:p>
        </w:tc>
        <w:tc>
          <w:tcPr>
            <w:tcW w:w="4840" w:type="dxa"/>
            <w:vAlign w:val="bottom"/>
            <w:tcBorders>
              <w:bottom w:val="single" w:sz="8" w:color="auto"/>
              <w:right w:val="single" w:sz="8" w:color="auto"/>
            </w:tcBorders>
          </w:tcPr>
          <w:p>
            <w:pPr>
              <w:spacing w:after="0"/>
              <w:rPr>
                <w:sz w:val="18"/>
                <w:szCs w:val="18"/>
                <w:color w:val="auto"/>
              </w:rPr>
            </w:pPr>
          </w:p>
        </w:tc>
        <w:tc>
          <w:tcPr>
            <w:tcW w:w="1100" w:type="dxa"/>
            <w:vAlign w:val="bottom"/>
            <w:tcBorders>
              <w:bottom w:val="single" w:sz="8" w:color="auto"/>
              <w:right w:val="single" w:sz="8" w:color="auto"/>
            </w:tcBorders>
          </w:tcPr>
          <w:p>
            <w:pPr>
              <w:ind w:left="220"/>
              <w:spacing w:after="0"/>
              <w:rPr>
                <w:sz w:val="20"/>
                <w:szCs w:val="20"/>
                <w:color w:val="auto"/>
              </w:rPr>
            </w:pPr>
            <w:r>
              <w:rPr>
                <w:rFonts w:ascii="Arial" w:cs="Arial" w:eastAsia="Arial" w:hAnsi="Arial"/>
                <w:sz w:val="18"/>
                <w:szCs w:val="18"/>
                <w:color w:val="auto"/>
              </w:rPr>
              <w:t>Validated</w:t>
            </w:r>
          </w:p>
        </w:tc>
      </w:tr>
      <w:tr>
        <w:trPr>
          <w:trHeight w:val="210"/>
        </w:trPr>
        <w:tc>
          <w:tcPr>
            <w:tcW w:w="110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7"/>
              </w:rPr>
              <w:t>Tantalum</w:t>
            </w:r>
          </w:p>
        </w:tc>
        <w:tc>
          <w:tcPr>
            <w:tcW w:w="440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Changsha South Tantalum Niobium Co., Ltd.</w:t>
            </w:r>
          </w:p>
        </w:tc>
        <w:tc>
          <w:tcPr>
            <w:tcW w:w="4840" w:type="dxa"/>
            <w:vAlign w:val="bottom"/>
            <w:tcBorders>
              <w:bottom w:val="single" w:sz="8" w:color="auto"/>
              <w:right w:val="single" w:sz="8" w:color="auto"/>
            </w:tcBorders>
          </w:tcPr>
          <w:p>
            <w:pPr>
              <w:spacing w:after="0"/>
              <w:rPr>
                <w:sz w:val="18"/>
                <w:szCs w:val="18"/>
                <w:color w:val="auto"/>
              </w:rPr>
            </w:pPr>
          </w:p>
        </w:tc>
        <w:tc>
          <w:tcPr>
            <w:tcW w:w="1100" w:type="dxa"/>
            <w:vAlign w:val="bottom"/>
            <w:tcBorders>
              <w:bottom w:val="single" w:sz="8" w:color="auto"/>
              <w:right w:val="single" w:sz="8" w:color="auto"/>
            </w:tcBorders>
          </w:tcPr>
          <w:p>
            <w:pPr>
              <w:ind w:left="220"/>
              <w:spacing w:after="0"/>
              <w:rPr>
                <w:sz w:val="20"/>
                <w:szCs w:val="20"/>
                <w:color w:val="auto"/>
              </w:rPr>
            </w:pPr>
            <w:r>
              <w:rPr>
                <w:rFonts w:ascii="Arial" w:cs="Arial" w:eastAsia="Arial" w:hAnsi="Arial"/>
                <w:sz w:val="18"/>
                <w:szCs w:val="18"/>
                <w:color w:val="auto"/>
              </w:rPr>
              <w:t>Validated</w:t>
            </w:r>
          </w:p>
        </w:tc>
      </w:tr>
      <w:tr>
        <w:trPr>
          <w:trHeight w:val="210"/>
        </w:trPr>
        <w:tc>
          <w:tcPr>
            <w:tcW w:w="110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7"/>
              </w:rPr>
              <w:t>Tantalum</w:t>
            </w:r>
          </w:p>
        </w:tc>
        <w:tc>
          <w:tcPr>
            <w:tcW w:w="440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Conghua Tantalum and Niobium Smeltry</w:t>
            </w:r>
          </w:p>
        </w:tc>
        <w:tc>
          <w:tcPr>
            <w:tcW w:w="4840" w:type="dxa"/>
            <w:vAlign w:val="bottom"/>
            <w:tcBorders>
              <w:bottom w:val="single" w:sz="8" w:color="auto"/>
              <w:right w:val="single" w:sz="8" w:color="auto"/>
            </w:tcBorders>
          </w:tcPr>
          <w:p>
            <w:pPr>
              <w:spacing w:after="0"/>
              <w:rPr>
                <w:sz w:val="18"/>
                <w:szCs w:val="18"/>
                <w:color w:val="auto"/>
              </w:rPr>
            </w:pPr>
          </w:p>
        </w:tc>
        <w:tc>
          <w:tcPr>
            <w:tcW w:w="1100" w:type="dxa"/>
            <w:vAlign w:val="bottom"/>
            <w:tcBorders>
              <w:bottom w:val="single" w:sz="8" w:color="auto"/>
              <w:right w:val="single" w:sz="8" w:color="auto"/>
            </w:tcBorders>
          </w:tcPr>
          <w:p>
            <w:pPr>
              <w:ind w:left="220"/>
              <w:spacing w:after="0"/>
              <w:rPr>
                <w:sz w:val="20"/>
                <w:szCs w:val="20"/>
                <w:color w:val="auto"/>
              </w:rPr>
            </w:pPr>
            <w:r>
              <w:rPr>
                <w:rFonts w:ascii="Arial" w:cs="Arial" w:eastAsia="Arial" w:hAnsi="Arial"/>
                <w:sz w:val="18"/>
                <w:szCs w:val="18"/>
                <w:color w:val="auto"/>
              </w:rPr>
              <w:t>Validated</w:t>
            </w:r>
          </w:p>
        </w:tc>
      </w:tr>
      <w:tr>
        <w:trPr>
          <w:trHeight w:val="210"/>
        </w:trPr>
        <w:tc>
          <w:tcPr>
            <w:tcW w:w="110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7"/>
              </w:rPr>
              <w:t>Tantalum</w:t>
            </w:r>
          </w:p>
        </w:tc>
        <w:tc>
          <w:tcPr>
            <w:tcW w:w="440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D Block Metals, LLC</w:t>
            </w:r>
          </w:p>
        </w:tc>
        <w:tc>
          <w:tcPr>
            <w:tcW w:w="4840" w:type="dxa"/>
            <w:vAlign w:val="bottom"/>
            <w:tcBorders>
              <w:bottom w:val="single" w:sz="8" w:color="auto"/>
              <w:right w:val="single" w:sz="8" w:color="auto"/>
            </w:tcBorders>
          </w:tcPr>
          <w:p>
            <w:pPr>
              <w:spacing w:after="0"/>
              <w:rPr>
                <w:sz w:val="18"/>
                <w:szCs w:val="18"/>
                <w:color w:val="auto"/>
              </w:rPr>
            </w:pPr>
          </w:p>
        </w:tc>
        <w:tc>
          <w:tcPr>
            <w:tcW w:w="1100" w:type="dxa"/>
            <w:vAlign w:val="bottom"/>
            <w:tcBorders>
              <w:bottom w:val="single" w:sz="8" w:color="auto"/>
              <w:right w:val="single" w:sz="8" w:color="auto"/>
            </w:tcBorders>
          </w:tcPr>
          <w:p>
            <w:pPr>
              <w:ind w:left="220"/>
              <w:spacing w:after="0"/>
              <w:rPr>
                <w:sz w:val="20"/>
                <w:szCs w:val="20"/>
                <w:color w:val="auto"/>
              </w:rPr>
            </w:pPr>
            <w:r>
              <w:rPr>
                <w:rFonts w:ascii="Arial" w:cs="Arial" w:eastAsia="Arial" w:hAnsi="Arial"/>
                <w:sz w:val="18"/>
                <w:szCs w:val="18"/>
                <w:color w:val="auto"/>
              </w:rPr>
              <w:t>Validated</w:t>
            </w:r>
          </w:p>
        </w:tc>
      </w:tr>
      <w:tr>
        <w:trPr>
          <w:trHeight w:val="210"/>
        </w:trPr>
        <w:tc>
          <w:tcPr>
            <w:tcW w:w="110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7"/>
              </w:rPr>
              <w:t>Tantalum</w:t>
            </w:r>
          </w:p>
        </w:tc>
        <w:tc>
          <w:tcPr>
            <w:tcW w:w="440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Duoluoshan</w:t>
            </w:r>
          </w:p>
        </w:tc>
        <w:tc>
          <w:tcPr>
            <w:tcW w:w="4840" w:type="dxa"/>
            <w:vAlign w:val="bottom"/>
            <w:tcBorders>
              <w:bottom w:val="single" w:sz="8" w:color="auto"/>
              <w:right w:val="single" w:sz="8" w:color="auto"/>
            </w:tcBorders>
          </w:tcPr>
          <w:p>
            <w:pPr>
              <w:spacing w:after="0"/>
              <w:rPr>
                <w:sz w:val="18"/>
                <w:szCs w:val="18"/>
                <w:color w:val="auto"/>
              </w:rPr>
            </w:pPr>
          </w:p>
        </w:tc>
        <w:tc>
          <w:tcPr>
            <w:tcW w:w="1100" w:type="dxa"/>
            <w:vAlign w:val="bottom"/>
            <w:tcBorders>
              <w:bottom w:val="single" w:sz="8" w:color="auto"/>
              <w:right w:val="single" w:sz="8" w:color="auto"/>
            </w:tcBorders>
          </w:tcPr>
          <w:p>
            <w:pPr>
              <w:ind w:left="220"/>
              <w:spacing w:after="0"/>
              <w:rPr>
                <w:sz w:val="20"/>
                <w:szCs w:val="20"/>
                <w:color w:val="auto"/>
              </w:rPr>
            </w:pPr>
            <w:r>
              <w:rPr>
                <w:rFonts w:ascii="Arial" w:cs="Arial" w:eastAsia="Arial" w:hAnsi="Arial"/>
                <w:sz w:val="18"/>
                <w:szCs w:val="18"/>
                <w:color w:val="auto"/>
              </w:rPr>
              <w:t>Validated</w:t>
            </w:r>
          </w:p>
        </w:tc>
      </w:tr>
      <w:tr>
        <w:trPr>
          <w:trHeight w:val="210"/>
        </w:trPr>
        <w:tc>
          <w:tcPr>
            <w:tcW w:w="110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7"/>
              </w:rPr>
              <w:t>Tantalum</w:t>
            </w:r>
          </w:p>
        </w:tc>
        <w:tc>
          <w:tcPr>
            <w:tcW w:w="440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Exotech Inc.</w:t>
            </w:r>
          </w:p>
        </w:tc>
        <w:tc>
          <w:tcPr>
            <w:tcW w:w="4840" w:type="dxa"/>
            <w:vAlign w:val="bottom"/>
            <w:tcBorders>
              <w:bottom w:val="single" w:sz="8" w:color="auto"/>
              <w:right w:val="single" w:sz="8" w:color="auto"/>
            </w:tcBorders>
          </w:tcPr>
          <w:p>
            <w:pPr>
              <w:spacing w:after="0"/>
              <w:rPr>
                <w:sz w:val="18"/>
                <w:szCs w:val="18"/>
                <w:color w:val="auto"/>
              </w:rPr>
            </w:pPr>
          </w:p>
        </w:tc>
        <w:tc>
          <w:tcPr>
            <w:tcW w:w="1100" w:type="dxa"/>
            <w:vAlign w:val="bottom"/>
            <w:tcBorders>
              <w:bottom w:val="single" w:sz="8" w:color="auto"/>
              <w:right w:val="single" w:sz="8" w:color="auto"/>
            </w:tcBorders>
          </w:tcPr>
          <w:p>
            <w:pPr>
              <w:ind w:left="220"/>
              <w:spacing w:after="0"/>
              <w:rPr>
                <w:sz w:val="20"/>
                <w:szCs w:val="20"/>
                <w:color w:val="auto"/>
              </w:rPr>
            </w:pPr>
            <w:r>
              <w:rPr>
                <w:rFonts w:ascii="Arial" w:cs="Arial" w:eastAsia="Arial" w:hAnsi="Arial"/>
                <w:sz w:val="18"/>
                <w:szCs w:val="18"/>
                <w:color w:val="auto"/>
              </w:rPr>
              <w:t>Validated</w:t>
            </w:r>
          </w:p>
        </w:tc>
      </w:tr>
      <w:tr>
        <w:trPr>
          <w:trHeight w:val="210"/>
        </w:trPr>
        <w:tc>
          <w:tcPr>
            <w:tcW w:w="110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7"/>
              </w:rPr>
              <w:t>Tantalum</w:t>
            </w:r>
          </w:p>
        </w:tc>
        <w:tc>
          <w:tcPr>
            <w:tcW w:w="440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F&amp;X Electro-Materials Ltd.</w:t>
            </w:r>
          </w:p>
        </w:tc>
        <w:tc>
          <w:tcPr>
            <w:tcW w:w="4840" w:type="dxa"/>
            <w:vAlign w:val="bottom"/>
            <w:tcBorders>
              <w:bottom w:val="single" w:sz="8" w:color="auto"/>
              <w:right w:val="single" w:sz="8" w:color="auto"/>
            </w:tcBorders>
          </w:tcPr>
          <w:p>
            <w:pPr>
              <w:spacing w:after="0"/>
              <w:rPr>
                <w:sz w:val="18"/>
                <w:szCs w:val="18"/>
                <w:color w:val="auto"/>
              </w:rPr>
            </w:pPr>
          </w:p>
        </w:tc>
        <w:tc>
          <w:tcPr>
            <w:tcW w:w="1100" w:type="dxa"/>
            <w:vAlign w:val="bottom"/>
            <w:tcBorders>
              <w:bottom w:val="single" w:sz="8" w:color="auto"/>
              <w:right w:val="single" w:sz="8" w:color="auto"/>
            </w:tcBorders>
          </w:tcPr>
          <w:p>
            <w:pPr>
              <w:ind w:left="220"/>
              <w:spacing w:after="0"/>
              <w:rPr>
                <w:sz w:val="20"/>
                <w:szCs w:val="20"/>
                <w:color w:val="auto"/>
              </w:rPr>
            </w:pPr>
            <w:r>
              <w:rPr>
                <w:rFonts w:ascii="Arial" w:cs="Arial" w:eastAsia="Arial" w:hAnsi="Arial"/>
                <w:sz w:val="18"/>
                <w:szCs w:val="18"/>
                <w:color w:val="auto"/>
              </w:rPr>
              <w:t>Validated</w:t>
            </w:r>
          </w:p>
        </w:tc>
      </w:tr>
      <w:tr>
        <w:trPr>
          <w:trHeight w:val="210"/>
        </w:trPr>
        <w:tc>
          <w:tcPr>
            <w:tcW w:w="110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7"/>
              </w:rPr>
              <w:t>Tantalum</w:t>
            </w:r>
          </w:p>
        </w:tc>
        <w:tc>
          <w:tcPr>
            <w:tcW w:w="440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FIR Metals &amp; Resource Ltd.</w:t>
            </w:r>
          </w:p>
        </w:tc>
        <w:tc>
          <w:tcPr>
            <w:tcW w:w="4840" w:type="dxa"/>
            <w:vAlign w:val="bottom"/>
            <w:tcBorders>
              <w:bottom w:val="single" w:sz="8" w:color="auto"/>
              <w:right w:val="single" w:sz="8" w:color="auto"/>
            </w:tcBorders>
          </w:tcPr>
          <w:p>
            <w:pPr>
              <w:spacing w:after="0"/>
              <w:rPr>
                <w:sz w:val="18"/>
                <w:szCs w:val="18"/>
                <w:color w:val="auto"/>
              </w:rPr>
            </w:pPr>
          </w:p>
        </w:tc>
        <w:tc>
          <w:tcPr>
            <w:tcW w:w="1100" w:type="dxa"/>
            <w:vAlign w:val="bottom"/>
            <w:tcBorders>
              <w:bottom w:val="single" w:sz="8" w:color="auto"/>
              <w:right w:val="single" w:sz="8" w:color="auto"/>
            </w:tcBorders>
          </w:tcPr>
          <w:p>
            <w:pPr>
              <w:ind w:left="220"/>
              <w:spacing w:after="0"/>
              <w:rPr>
                <w:sz w:val="20"/>
                <w:szCs w:val="20"/>
                <w:color w:val="auto"/>
              </w:rPr>
            </w:pPr>
            <w:r>
              <w:rPr>
                <w:rFonts w:ascii="Arial" w:cs="Arial" w:eastAsia="Arial" w:hAnsi="Arial"/>
                <w:sz w:val="18"/>
                <w:szCs w:val="18"/>
                <w:color w:val="auto"/>
              </w:rPr>
              <w:t>Validated</w:t>
            </w:r>
          </w:p>
        </w:tc>
      </w:tr>
      <w:tr>
        <w:trPr>
          <w:trHeight w:val="210"/>
        </w:trPr>
        <w:tc>
          <w:tcPr>
            <w:tcW w:w="110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7"/>
              </w:rPr>
              <w:t>Tantalum</w:t>
            </w:r>
          </w:p>
        </w:tc>
        <w:tc>
          <w:tcPr>
            <w:tcW w:w="440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Global Advanced Metals Aizu</w:t>
            </w:r>
          </w:p>
        </w:tc>
        <w:tc>
          <w:tcPr>
            <w:tcW w:w="4840" w:type="dxa"/>
            <w:vAlign w:val="bottom"/>
            <w:tcBorders>
              <w:bottom w:val="single" w:sz="8" w:color="auto"/>
              <w:right w:val="single" w:sz="8" w:color="auto"/>
            </w:tcBorders>
          </w:tcPr>
          <w:p>
            <w:pPr>
              <w:spacing w:after="0"/>
              <w:rPr>
                <w:sz w:val="18"/>
                <w:szCs w:val="18"/>
                <w:color w:val="auto"/>
              </w:rPr>
            </w:pPr>
          </w:p>
        </w:tc>
        <w:tc>
          <w:tcPr>
            <w:tcW w:w="1100" w:type="dxa"/>
            <w:vAlign w:val="bottom"/>
            <w:tcBorders>
              <w:bottom w:val="single" w:sz="8" w:color="auto"/>
              <w:right w:val="single" w:sz="8" w:color="auto"/>
            </w:tcBorders>
          </w:tcPr>
          <w:p>
            <w:pPr>
              <w:ind w:left="220"/>
              <w:spacing w:after="0"/>
              <w:rPr>
                <w:sz w:val="20"/>
                <w:szCs w:val="20"/>
                <w:color w:val="auto"/>
              </w:rPr>
            </w:pPr>
            <w:r>
              <w:rPr>
                <w:rFonts w:ascii="Arial" w:cs="Arial" w:eastAsia="Arial" w:hAnsi="Arial"/>
                <w:sz w:val="18"/>
                <w:szCs w:val="18"/>
                <w:color w:val="auto"/>
              </w:rPr>
              <w:t>Validated</w:t>
            </w:r>
          </w:p>
        </w:tc>
      </w:tr>
      <w:tr>
        <w:trPr>
          <w:trHeight w:val="210"/>
        </w:trPr>
        <w:tc>
          <w:tcPr>
            <w:tcW w:w="110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7"/>
              </w:rPr>
              <w:t>Tantalum</w:t>
            </w:r>
          </w:p>
        </w:tc>
        <w:tc>
          <w:tcPr>
            <w:tcW w:w="440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Global Advanced Metals Boyertown</w:t>
            </w:r>
          </w:p>
        </w:tc>
        <w:tc>
          <w:tcPr>
            <w:tcW w:w="4840" w:type="dxa"/>
            <w:vAlign w:val="bottom"/>
            <w:tcBorders>
              <w:bottom w:val="single" w:sz="8" w:color="auto"/>
              <w:right w:val="single" w:sz="8" w:color="auto"/>
            </w:tcBorders>
          </w:tcPr>
          <w:p>
            <w:pPr>
              <w:spacing w:after="0"/>
              <w:rPr>
                <w:sz w:val="18"/>
                <w:szCs w:val="18"/>
                <w:color w:val="auto"/>
              </w:rPr>
            </w:pPr>
          </w:p>
        </w:tc>
        <w:tc>
          <w:tcPr>
            <w:tcW w:w="1100" w:type="dxa"/>
            <w:vAlign w:val="bottom"/>
            <w:tcBorders>
              <w:bottom w:val="single" w:sz="8" w:color="auto"/>
              <w:right w:val="single" w:sz="8" w:color="auto"/>
            </w:tcBorders>
          </w:tcPr>
          <w:p>
            <w:pPr>
              <w:ind w:left="220"/>
              <w:spacing w:after="0"/>
              <w:rPr>
                <w:sz w:val="20"/>
                <w:szCs w:val="20"/>
                <w:color w:val="auto"/>
              </w:rPr>
            </w:pPr>
            <w:r>
              <w:rPr>
                <w:rFonts w:ascii="Arial" w:cs="Arial" w:eastAsia="Arial" w:hAnsi="Arial"/>
                <w:sz w:val="18"/>
                <w:szCs w:val="18"/>
                <w:color w:val="auto"/>
              </w:rPr>
              <w:t>Validated</w:t>
            </w:r>
          </w:p>
        </w:tc>
      </w:tr>
      <w:tr>
        <w:trPr>
          <w:trHeight w:val="210"/>
        </w:trPr>
        <w:tc>
          <w:tcPr>
            <w:tcW w:w="110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7"/>
              </w:rPr>
              <w:t>Tantalum</w:t>
            </w:r>
          </w:p>
        </w:tc>
        <w:tc>
          <w:tcPr>
            <w:tcW w:w="440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Guangdong Zhiyuan New Material Co., Ltd.</w:t>
            </w:r>
          </w:p>
        </w:tc>
        <w:tc>
          <w:tcPr>
            <w:tcW w:w="4840" w:type="dxa"/>
            <w:vAlign w:val="bottom"/>
            <w:tcBorders>
              <w:bottom w:val="single" w:sz="8" w:color="auto"/>
              <w:right w:val="single" w:sz="8" w:color="auto"/>
            </w:tcBorders>
          </w:tcPr>
          <w:p>
            <w:pPr>
              <w:spacing w:after="0"/>
              <w:rPr>
                <w:sz w:val="18"/>
                <w:szCs w:val="18"/>
                <w:color w:val="auto"/>
              </w:rPr>
            </w:pPr>
          </w:p>
        </w:tc>
        <w:tc>
          <w:tcPr>
            <w:tcW w:w="1100" w:type="dxa"/>
            <w:vAlign w:val="bottom"/>
            <w:tcBorders>
              <w:bottom w:val="single" w:sz="8" w:color="auto"/>
              <w:right w:val="single" w:sz="8" w:color="auto"/>
            </w:tcBorders>
          </w:tcPr>
          <w:p>
            <w:pPr>
              <w:ind w:left="220"/>
              <w:spacing w:after="0"/>
              <w:rPr>
                <w:sz w:val="20"/>
                <w:szCs w:val="20"/>
                <w:color w:val="auto"/>
              </w:rPr>
            </w:pPr>
            <w:r>
              <w:rPr>
                <w:rFonts w:ascii="Arial" w:cs="Arial" w:eastAsia="Arial" w:hAnsi="Arial"/>
                <w:sz w:val="18"/>
                <w:szCs w:val="18"/>
                <w:color w:val="auto"/>
              </w:rPr>
              <w:t>Validated</w:t>
            </w:r>
          </w:p>
        </w:tc>
      </w:tr>
      <w:tr>
        <w:trPr>
          <w:trHeight w:val="210"/>
        </w:trPr>
        <w:tc>
          <w:tcPr>
            <w:tcW w:w="110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7"/>
              </w:rPr>
              <w:t>Tantalum</w:t>
            </w:r>
          </w:p>
        </w:tc>
        <w:tc>
          <w:tcPr>
            <w:tcW w:w="440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H.C. Starck Co., Ltd.</w:t>
            </w:r>
          </w:p>
        </w:tc>
        <w:tc>
          <w:tcPr>
            <w:tcW w:w="4840" w:type="dxa"/>
            <w:vAlign w:val="bottom"/>
            <w:tcBorders>
              <w:bottom w:val="single" w:sz="8" w:color="auto"/>
              <w:right w:val="single" w:sz="8" w:color="auto"/>
            </w:tcBorders>
          </w:tcPr>
          <w:p>
            <w:pPr>
              <w:spacing w:after="0"/>
              <w:rPr>
                <w:sz w:val="18"/>
                <w:szCs w:val="18"/>
                <w:color w:val="auto"/>
              </w:rPr>
            </w:pPr>
          </w:p>
        </w:tc>
        <w:tc>
          <w:tcPr>
            <w:tcW w:w="1100" w:type="dxa"/>
            <w:vAlign w:val="bottom"/>
            <w:tcBorders>
              <w:bottom w:val="single" w:sz="8" w:color="auto"/>
              <w:right w:val="single" w:sz="8" w:color="auto"/>
            </w:tcBorders>
          </w:tcPr>
          <w:p>
            <w:pPr>
              <w:ind w:left="220"/>
              <w:spacing w:after="0"/>
              <w:rPr>
                <w:sz w:val="20"/>
                <w:szCs w:val="20"/>
                <w:color w:val="auto"/>
              </w:rPr>
            </w:pPr>
            <w:r>
              <w:rPr>
                <w:rFonts w:ascii="Arial" w:cs="Arial" w:eastAsia="Arial" w:hAnsi="Arial"/>
                <w:sz w:val="18"/>
                <w:szCs w:val="18"/>
                <w:color w:val="auto"/>
              </w:rPr>
              <w:t>Validated</w:t>
            </w:r>
          </w:p>
        </w:tc>
      </w:tr>
      <w:tr>
        <w:trPr>
          <w:trHeight w:val="210"/>
        </w:trPr>
        <w:tc>
          <w:tcPr>
            <w:tcW w:w="110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7"/>
              </w:rPr>
              <w:t>Tantalum</w:t>
            </w:r>
          </w:p>
        </w:tc>
        <w:tc>
          <w:tcPr>
            <w:tcW w:w="440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H.C. Starck GmbH Goslar</w:t>
            </w:r>
          </w:p>
        </w:tc>
        <w:tc>
          <w:tcPr>
            <w:tcW w:w="4840" w:type="dxa"/>
            <w:vAlign w:val="bottom"/>
            <w:tcBorders>
              <w:bottom w:val="single" w:sz="8" w:color="auto"/>
              <w:right w:val="single" w:sz="8" w:color="auto"/>
            </w:tcBorders>
          </w:tcPr>
          <w:p>
            <w:pPr>
              <w:spacing w:after="0"/>
              <w:rPr>
                <w:sz w:val="18"/>
                <w:szCs w:val="18"/>
                <w:color w:val="auto"/>
              </w:rPr>
            </w:pPr>
          </w:p>
        </w:tc>
        <w:tc>
          <w:tcPr>
            <w:tcW w:w="1100" w:type="dxa"/>
            <w:vAlign w:val="bottom"/>
            <w:tcBorders>
              <w:bottom w:val="single" w:sz="8" w:color="auto"/>
              <w:right w:val="single" w:sz="8" w:color="auto"/>
            </w:tcBorders>
          </w:tcPr>
          <w:p>
            <w:pPr>
              <w:ind w:left="220"/>
              <w:spacing w:after="0"/>
              <w:rPr>
                <w:sz w:val="20"/>
                <w:szCs w:val="20"/>
                <w:color w:val="auto"/>
              </w:rPr>
            </w:pPr>
            <w:r>
              <w:rPr>
                <w:rFonts w:ascii="Arial" w:cs="Arial" w:eastAsia="Arial" w:hAnsi="Arial"/>
                <w:sz w:val="18"/>
                <w:szCs w:val="18"/>
                <w:color w:val="auto"/>
              </w:rPr>
              <w:t>Validated</w:t>
            </w:r>
          </w:p>
        </w:tc>
      </w:tr>
      <w:tr>
        <w:trPr>
          <w:trHeight w:val="210"/>
        </w:trPr>
        <w:tc>
          <w:tcPr>
            <w:tcW w:w="110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7"/>
              </w:rPr>
              <w:t>Tantalum</w:t>
            </w:r>
          </w:p>
        </w:tc>
        <w:tc>
          <w:tcPr>
            <w:tcW w:w="440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H.C. Starck GmbH Laufenburg</w:t>
            </w:r>
          </w:p>
        </w:tc>
        <w:tc>
          <w:tcPr>
            <w:tcW w:w="4840" w:type="dxa"/>
            <w:vAlign w:val="bottom"/>
            <w:tcBorders>
              <w:bottom w:val="single" w:sz="8" w:color="auto"/>
              <w:right w:val="single" w:sz="8" w:color="auto"/>
            </w:tcBorders>
          </w:tcPr>
          <w:p>
            <w:pPr>
              <w:spacing w:after="0"/>
              <w:rPr>
                <w:sz w:val="18"/>
                <w:szCs w:val="18"/>
                <w:color w:val="auto"/>
              </w:rPr>
            </w:pPr>
          </w:p>
        </w:tc>
        <w:tc>
          <w:tcPr>
            <w:tcW w:w="1100" w:type="dxa"/>
            <w:vAlign w:val="bottom"/>
            <w:tcBorders>
              <w:bottom w:val="single" w:sz="8" w:color="auto"/>
              <w:right w:val="single" w:sz="8" w:color="auto"/>
            </w:tcBorders>
          </w:tcPr>
          <w:p>
            <w:pPr>
              <w:ind w:left="220"/>
              <w:spacing w:after="0"/>
              <w:rPr>
                <w:sz w:val="20"/>
                <w:szCs w:val="20"/>
                <w:color w:val="auto"/>
              </w:rPr>
            </w:pPr>
            <w:r>
              <w:rPr>
                <w:rFonts w:ascii="Arial" w:cs="Arial" w:eastAsia="Arial" w:hAnsi="Arial"/>
                <w:sz w:val="18"/>
                <w:szCs w:val="18"/>
                <w:color w:val="auto"/>
              </w:rPr>
              <w:t>Validated</w:t>
            </w:r>
          </w:p>
        </w:tc>
      </w:tr>
      <w:tr>
        <w:trPr>
          <w:trHeight w:val="210"/>
        </w:trPr>
        <w:tc>
          <w:tcPr>
            <w:tcW w:w="110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7"/>
              </w:rPr>
              <w:t>Tantalum</w:t>
            </w:r>
          </w:p>
        </w:tc>
        <w:tc>
          <w:tcPr>
            <w:tcW w:w="440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H.C. Starck Hermsdorf GmbH</w:t>
            </w:r>
          </w:p>
        </w:tc>
        <w:tc>
          <w:tcPr>
            <w:tcW w:w="4840" w:type="dxa"/>
            <w:vAlign w:val="bottom"/>
            <w:tcBorders>
              <w:bottom w:val="single" w:sz="8" w:color="auto"/>
              <w:right w:val="single" w:sz="8" w:color="auto"/>
            </w:tcBorders>
          </w:tcPr>
          <w:p>
            <w:pPr>
              <w:spacing w:after="0"/>
              <w:rPr>
                <w:sz w:val="18"/>
                <w:szCs w:val="18"/>
                <w:color w:val="auto"/>
              </w:rPr>
            </w:pPr>
          </w:p>
        </w:tc>
        <w:tc>
          <w:tcPr>
            <w:tcW w:w="1100" w:type="dxa"/>
            <w:vAlign w:val="bottom"/>
            <w:tcBorders>
              <w:bottom w:val="single" w:sz="8" w:color="auto"/>
              <w:right w:val="single" w:sz="8" w:color="auto"/>
            </w:tcBorders>
          </w:tcPr>
          <w:p>
            <w:pPr>
              <w:ind w:left="220"/>
              <w:spacing w:after="0"/>
              <w:rPr>
                <w:sz w:val="20"/>
                <w:szCs w:val="20"/>
                <w:color w:val="auto"/>
              </w:rPr>
            </w:pPr>
            <w:r>
              <w:rPr>
                <w:rFonts w:ascii="Arial" w:cs="Arial" w:eastAsia="Arial" w:hAnsi="Arial"/>
                <w:sz w:val="18"/>
                <w:szCs w:val="18"/>
                <w:color w:val="auto"/>
              </w:rPr>
              <w:t>Validated</w:t>
            </w:r>
          </w:p>
        </w:tc>
      </w:tr>
      <w:tr>
        <w:trPr>
          <w:trHeight w:val="210"/>
        </w:trPr>
        <w:tc>
          <w:tcPr>
            <w:tcW w:w="110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7"/>
              </w:rPr>
              <w:t>Tantalum</w:t>
            </w:r>
          </w:p>
        </w:tc>
        <w:tc>
          <w:tcPr>
            <w:tcW w:w="440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H.C. Starck Inc.</w:t>
            </w:r>
          </w:p>
        </w:tc>
        <w:tc>
          <w:tcPr>
            <w:tcW w:w="4840" w:type="dxa"/>
            <w:vAlign w:val="bottom"/>
            <w:tcBorders>
              <w:bottom w:val="single" w:sz="8" w:color="auto"/>
              <w:right w:val="single" w:sz="8" w:color="auto"/>
            </w:tcBorders>
          </w:tcPr>
          <w:p>
            <w:pPr>
              <w:spacing w:after="0"/>
              <w:rPr>
                <w:sz w:val="18"/>
                <w:szCs w:val="18"/>
                <w:color w:val="auto"/>
              </w:rPr>
            </w:pPr>
          </w:p>
        </w:tc>
        <w:tc>
          <w:tcPr>
            <w:tcW w:w="1100" w:type="dxa"/>
            <w:vAlign w:val="bottom"/>
            <w:tcBorders>
              <w:bottom w:val="single" w:sz="8" w:color="auto"/>
              <w:right w:val="single" w:sz="8" w:color="auto"/>
            </w:tcBorders>
          </w:tcPr>
          <w:p>
            <w:pPr>
              <w:ind w:left="220"/>
              <w:spacing w:after="0"/>
              <w:rPr>
                <w:sz w:val="20"/>
                <w:szCs w:val="20"/>
                <w:color w:val="auto"/>
              </w:rPr>
            </w:pPr>
            <w:r>
              <w:rPr>
                <w:rFonts w:ascii="Arial" w:cs="Arial" w:eastAsia="Arial" w:hAnsi="Arial"/>
                <w:sz w:val="18"/>
                <w:szCs w:val="18"/>
                <w:color w:val="auto"/>
              </w:rPr>
              <w:t>Validated</w:t>
            </w:r>
          </w:p>
        </w:tc>
      </w:tr>
      <w:tr>
        <w:trPr>
          <w:trHeight w:val="210"/>
        </w:trPr>
        <w:tc>
          <w:tcPr>
            <w:tcW w:w="110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7"/>
              </w:rPr>
              <w:t>Tantalum</w:t>
            </w:r>
          </w:p>
        </w:tc>
        <w:tc>
          <w:tcPr>
            <w:tcW w:w="440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H.C. Starck Ltd.</w:t>
            </w:r>
          </w:p>
        </w:tc>
        <w:tc>
          <w:tcPr>
            <w:tcW w:w="4840" w:type="dxa"/>
            <w:vAlign w:val="bottom"/>
            <w:tcBorders>
              <w:bottom w:val="single" w:sz="8" w:color="auto"/>
              <w:right w:val="single" w:sz="8" w:color="auto"/>
            </w:tcBorders>
          </w:tcPr>
          <w:p>
            <w:pPr>
              <w:spacing w:after="0"/>
              <w:rPr>
                <w:sz w:val="18"/>
                <w:szCs w:val="18"/>
                <w:color w:val="auto"/>
              </w:rPr>
            </w:pPr>
          </w:p>
        </w:tc>
        <w:tc>
          <w:tcPr>
            <w:tcW w:w="1100" w:type="dxa"/>
            <w:vAlign w:val="bottom"/>
            <w:tcBorders>
              <w:bottom w:val="single" w:sz="8" w:color="auto"/>
              <w:right w:val="single" w:sz="8" w:color="auto"/>
            </w:tcBorders>
          </w:tcPr>
          <w:p>
            <w:pPr>
              <w:ind w:left="220"/>
              <w:spacing w:after="0"/>
              <w:rPr>
                <w:sz w:val="20"/>
                <w:szCs w:val="20"/>
                <w:color w:val="auto"/>
              </w:rPr>
            </w:pPr>
            <w:r>
              <w:rPr>
                <w:rFonts w:ascii="Arial" w:cs="Arial" w:eastAsia="Arial" w:hAnsi="Arial"/>
                <w:sz w:val="18"/>
                <w:szCs w:val="18"/>
                <w:color w:val="auto"/>
              </w:rPr>
              <w:t>Validated</w:t>
            </w:r>
          </w:p>
        </w:tc>
      </w:tr>
      <w:tr>
        <w:trPr>
          <w:trHeight w:val="210"/>
        </w:trPr>
        <w:tc>
          <w:tcPr>
            <w:tcW w:w="110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7"/>
              </w:rPr>
              <w:t>Tantalum</w:t>
            </w:r>
          </w:p>
        </w:tc>
        <w:tc>
          <w:tcPr>
            <w:tcW w:w="440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H.C. Starck Smelting GmbH &amp; Co.KG</w:t>
            </w:r>
          </w:p>
        </w:tc>
        <w:tc>
          <w:tcPr>
            <w:tcW w:w="4840" w:type="dxa"/>
            <w:vAlign w:val="bottom"/>
            <w:tcBorders>
              <w:bottom w:val="single" w:sz="8" w:color="auto"/>
              <w:right w:val="single" w:sz="8" w:color="auto"/>
            </w:tcBorders>
          </w:tcPr>
          <w:p>
            <w:pPr>
              <w:spacing w:after="0"/>
              <w:rPr>
                <w:sz w:val="18"/>
                <w:szCs w:val="18"/>
                <w:color w:val="auto"/>
              </w:rPr>
            </w:pPr>
          </w:p>
        </w:tc>
        <w:tc>
          <w:tcPr>
            <w:tcW w:w="1100" w:type="dxa"/>
            <w:vAlign w:val="bottom"/>
            <w:tcBorders>
              <w:bottom w:val="single" w:sz="8" w:color="auto"/>
              <w:right w:val="single" w:sz="8" w:color="auto"/>
            </w:tcBorders>
          </w:tcPr>
          <w:p>
            <w:pPr>
              <w:ind w:left="220"/>
              <w:spacing w:after="0"/>
              <w:rPr>
                <w:sz w:val="20"/>
                <w:szCs w:val="20"/>
                <w:color w:val="auto"/>
              </w:rPr>
            </w:pPr>
            <w:r>
              <w:rPr>
                <w:rFonts w:ascii="Arial" w:cs="Arial" w:eastAsia="Arial" w:hAnsi="Arial"/>
                <w:sz w:val="18"/>
                <w:szCs w:val="18"/>
                <w:color w:val="auto"/>
              </w:rPr>
              <w:t>Validated</w:t>
            </w:r>
          </w:p>
        </w:tc>
      </w:tr>
      <w:tr>
        <w:trPr>
          <w:trHeight w:val="210"/>
        </w:trPr>
        <w:tc>
          <w:tcPr>
            <w:tcW w:w="110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7"/>
              </w:rPr>
              <w:t>Tantalum</w:t>
            </w:r>
          </w:p>
        </w:tc>
        <w:tc>
          <w:tcPr>
            <w:tcW w:w="440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Hengyang King Xing Lifeng New Materials Co., Ltd.</w:t>
            </w:r>
          </w:p>
        </w:tc>
        <w:tc>
          <w:tcPr>
            <w:tcW w:w="4840" w:type="dxa"/>
            <w:vAlign w:val="bottom"/>
            <w:tcBorders>
              <w:bottom w:val="single" w:sz="8" w:color="auto"/>
              <w:right w:val="single" w:sz="8" w:color="auto"/>
            </w:tcBorders>
          </w:tcPr>
          <w:p>
            <w:pPr>
              <w:spacing w:after="0"/>
              <w:rPr>
                <w:sz w:val="18"/>
                <w:szCs w:val="18"/>
                <w:color w:val="auto"/>
              </w:rPr>
            </w:pPr>
          </w:p>
        </w:tc>
        <w:tc>
          <w:tcPr>
            <w:tcW w:w="1100" w:type="dxa"/>
            <w:vAlign w:val="bottom"/>
            <w:tcBorders>
              <w:bottom w:val="single" w:sz="8" w:color="auto"/>
              <w:right w:val="single" w:sz="8" w:color="auto"/>
            </w:tcBorders>
          </w:tcPr>
          <w:p>
            <w:pPr>
              <w:ind w:left="220"/>
              <w:spacing w:after="0"/>
              <w:rPr>
                <w:sz w:val="20"/>
                <w:szCs w:val="20"/>
                <w:color w:val="auto"/>
              </w:rPr>
            </w:pPr>
            <w:r>
              <w:rPr>
                <w:rFonts w:ascii="Arial" w:cs="Arial" w:eastAsia="Arial" w:hAnsi="Arial"/>
                <w:sz w:val="18"/>
                <w:szCs w:val="18"/>
                <w:color w:val="auto"/>
              </w:rPr>
              <w:t>Validated</w:t>
            </w:r>
          </w:p>
        </w:tc>
      </w:tr>
      <w:tr>
        <w:trPr>
          <w:trHeight w:val="210"/>
        </w:trPr>
        <w:tc>
          <w:tcPr>
            <w:tcW w:w="110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7"/>
              </w:rPr>
              <w:t>Tantalum</w:t>
            </w:r>
          </w:p>
        </w:tc>
        <w:tc>
          <w:tcPr>
            <w:tcW w:w="440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Hi-Temp</w:t>
            </w:r>
          </w:p>
        </w:tc>
        <w:tc>
          <w:tcPr>
            <w:tcW w:w="4840" w:type="dxa"/>
            <w:vAlign w:val="bottom"/>
            <w:tcBorders>
              <w:bottom w:val="single" w:sz="8" w:color="auto"/>
              <w:right w:val="single" w:sz="8" w:color="auto"/>
            </w:tcBorders>
          </w:tcPr>
          <w:p>
            <w:pPr>
              <w:spacing w:after="0"/>
              <w:rPr>
                <w:sz w:val="18"/>
                <w:szCs w:val="18"/>
                <w:color w:val="auto"/>
              </w:rPr>
            </w:pPr>
          </w:p>
        </w:tc>
        <w:tc>
          <w:tcPr>
            <w:tcW w:w="1100" w:type="dxa"/>
            <w:vAlign w:val="bottom"/>
            <w:tcBorders>
              <w:bottom w:val="single" w:sz="8" w:color="auto"/>
              <w:right w:val="single" w:sz="8" w:color="auto"/>
            </w:tcBorders>
          </w:tcPr>
          <w:p>
            <w:pPr>
              <w:ind w:left="220"/>
              <w:spacing w:after="0"/>
              <w:rPr>
                <w:sz w:val="20"/>
                <w:szCs w:val="20"/>
                <w:color w:val="auto"/>
              </w:rPr>
            </w:pPr>
            <w:r>
              <w:rPr>
                <w:rFonts w:ascii="Arial" w:cs="Arial" w:eastAsia="Arial" w:hAnsi="Arial"/>
                <w:sz w:val="18"/>
                <w:szCs w:val="18"/>
                <w:color w:val="auto"/>
              </w:rPr>
              <w:t>Validated</w:t>
            </w:r>
          </w:p>
        </w:tc>
      </w:tr>
      <w:tr>
        <w:trPr>
          <w:trHeight w:val="210"/>
        </w:trPr>
        <w:tc>
          <w:tcPr>
            <w:tcW w:w="110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7"/>
              </w:rPr>
              <w:t>Tantalum</w:t>
            </w:r>
          </w:p>
        </w:tc>
        <w:tc>
          <w:tcPr>
            <w:tcW w:w="440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Jiangxi Dinghai Tantalum &amp; Niobium Co., Ltd.</w:t>
            </w:r>
          </w:p>
        </w:tc>
        <w:tc>
          <w:tcPr>
            <w:tcW w:w="4840" w:type="dxa"/>
            <w:vAlign w:val="bottom"/>
            <w:tcBorders>
              <w:bottom w:val="single" w:sz="8" w:color="auto"/>
              <w:right w:val="single" w:sz="8" w:color="auto"/>
            </w:tcBorders>
          </w:tcPr>
          <w:p>
            <w:pPr>
              <w:spacing w:after="0"/>
              <w:rPr>
                <w:sz w:val="18"/>
                <w:szCs w:val="18"/>
                <w:color w:val="auto"/>
              </w:rPr>
            </w:pPr>
          </w:p>
        </w:tc>
        <w:tc>
          <w:tcPr>
            <w:tcW w:w="1100" w:type="dxa"/>
            <w:vAlign w:val="bottom"/>
            <w:tcBorders>
              <w:bottom w:val="single" w:sz="8" w:color="auto"/>
              <w:right w:val="single" w:sz="8" w:color="auto"/>
            </w:tcBorders>
          </w:tcPr>
          <w:p>
            <w:pPr>
              <w:ind w:left="220"/>
              <w:spacing w:after="0"/>
              <w:rPr>
                <w:sz w:val="20"/>
                <w:szCs w:val="20"/>
                <w:color w:val="auto"/>
              </w:rPr>
            </w:pPr>
            <w:r>
              <w:rPr>
                <w:rFonts w:ascii="Arial" w:cs="Arial" w:eastAsia="Arial" w:hAnsi="Arial"/>
                <w:sz w:val="18"/>
                <w:szCs w:val="18"/>
                <w:color w:val="auto"/>
              </w:rPr>
              <w:t>Validated</w:t>
            </w:r>
          </w:p>
        </w:tc>
      </w:tr>
      <w:tr>
        <w:trPr>
          <w:trHeight w:val="210"/>
        </w:trPr>
        <w:tc>
          <w:tcPr>
            <w:tcW w:w="110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7"/>
              </w:rPr>
              <w:t>Tantalum</w:t>
            </w:r>
          </w:p>
        </w:tc>
        <w:tc>
          <w:tcPr>
            <w:tcW w:w="440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JiuJiang JinXin Nonferrous Metals Co., Ltd.</w:t>
            </w:r>
          </w:p>
        </w:tc>
        <w:tc>
          <w:tcPr>
            <w:tcW w:w="4840" w:type="dxa"/>
            <w:vAlign w:val="bottom"/>
            <w:tcBorders>
              <w:bottom w:val="single" w:sz="8" w:color="auto"/>
              <w:right w:val="single" w:sz="8" w:color="auto"/>
            </w:tcBorders>
          </w:tcPr>
          <w:p>
            <w:pPr>
              <w:spacing w:after="0"/>
              <w:rPr>
                <w:sz w:val="18"/>
                <w:szCs w:val="18"/>
                <w:color w:val="auto"/>
              </w:rPr>
            </w:pPr>
          </w:p>
        </w:tc>
        <w:tc>
          <w:tcPr>
            <w:tcW w:w="1100" w:type="dxa"/>
            <w:vAlign w:val="bottom"/>
            <w:tcBorders>
              <w:bottom w:val="single" w:sz="8" w:color="auto"/>
              <w:right w:val="single" w:sz="8" w:color="auto"/>
            </w:tcBorders>
          </w:tcPr>
          <w:p>
            <w:pPr>
              <w:ind w:left="220"/>
              <w:spacing w:after="0"/>
              <w:rPr>
                <w:sz w:val="20"/>
                <w:szCs w:val="20"/>
                <w:color w:val="auto"/>
              </w:rPr>
            </w:pPr>
            <w:r>
              <w:rPr>
                <w:rFonts w:ascii="Arial" w:cs="Arial" w:eastAsia="Arial" w:hAnsi="Arial"/>
                <w:sz w:val="18"/>
                <w:szCs w:val="18"/>
                <w:color w:val="auto"/>
              </w:rPr>
              <w:t>Validated</w:t>
            </w:r>
          </w:p>
        </w:tc>
      </w:tr>
      <w:tr>
        <w:trPr>
          <w:trHeight w:val="210"/>
        </w:trPr>
        <w:tc>
          <w:tcPr>
            <w:tcW w:w="110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7"/>
              </w:rPr>
              <w:t>Tantalum</w:t>
            </w:r>
          </w:p>
        </w:tc>
        <w:tc>
          <w:tcPr>
            <w:tcW w:w="440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Jiujiang Tanbre Co., Ltd.</w:t>
            </w:r>
          </w:p>
        </w:tc>
        <w:tc>
          <w:tcPr>
            <w:tcW w:w="4840" w:type="dxa"/>
            <w:vAlign w:val="bottom"/>
            <w:tcBorders>
              <w:bottom w:val="single" w:sz="8" w:color="auto"/>
              <w:right w:val="single" w:sz="8" w:color="auto"/>
            </w:tcBorders>
          </w:tcPr>
          <w:p>
            <w:pPr>
              <w:spacing w:after="0"/>
              <w:rPr>
                <w:sz w:val="18"/>
                <w:szCs w:val="18"/>
                <w:color w:val="auto"/>
              </w:rPr>
            </w:pPr>
          </w:p>
        </w:tc>
        <w:tc>
          <w:tcPr>
            <w:tcW w:w="1100" w:type="dxa"/>
            <w:vAlign w:val="bottom"/>
            <w:tcBorders>
              <w:bottom w:val="single" w:sz="8" w:color="auto"/>
              <w:right w:val="single" w:sz="8" w:color="auto"/>
            </w:tcBorders>
          </w:tcPr>
          <w:p>
            <w:pPr>
              <w:ind w:left="220"/>
              <w:spacing w:after="0"/>
              <w:rPr>
                <w:sz w:val="20"/>
                <w:szCs w:val="20"/>
                <w:color w:val="auto"/>
              </w:rPr>
            </w:pPr>
            <w:r>
              <w:rPr>
                <w:rFonts w:ascii="Arial" w:cs="Arial" w:eastAsia="Arial" w:hAnsi="Arial"/>
                <w:sz w:val="18"/>
                <w:szCs w:val="18"/>
                <w:color w:val="auto"/>
              </w:rPr>
              <w:t>Validated</w:t>
            </w:r>
          </w:p>
        </w:tc>
      </w:tr>
      <w:tr>
        <w:trPr>
          <w:trHeight w:val="210"/>
        </w:trPr>
        <w:tc>
          <w:tcPr>
            <w:tcW w:w="110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7"/>
              </w:rPr>
              <w:t>Tantalum</w:t>
            </w:r>
          </w:p>
        </w:tc>
        <w:tc>
          <w:tcPr>
            <w:tcW w:w="440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Jiujiang Zhongao Tantalum &amp; Niobium Co., Ltd.</w:t>
            </w:r>
          </w:p>
        </w:tc>
        <w:tc>
          <w:tcPr>
            <w:tcW w:w="4840" w:type="dxa"/>
            <w:vAlign w:val="bottom"/>
            <w:tcBorders>
              <w:bottom w:val="single" w:sz="8" w:color="auto"/>
              <w:right w:val="single" w:sz="8" w:color="auto"/>
            </w:tcBorders>
          </w:tcPr>
          <w:p>
            <w:pPr>
              <w:spacing w:after="0"/>
              <w:rPr>
                <w:sz w:val="18"/>
                <w:szCs w:val="18"/>
                <w:color w:val="auto"/>
              </w:rPr>
            </w:pPr>
          </w:p>
        </w:tc>
        <w:tc>
          <w:tcPr>
            <w:tcW w:w="1100" w:type="dxa"/>
            <w:vAlign w:val="bottom"/>
            <w:tcBorders>
              <w:bottom w:val="single" w:sz="8" w:color="auto"/>
              <w:right w:val="single" w:sz="8" w:color="auto"/>
            </w:tcBorders>
          </w:tcPr>
          <w:p>
            <w:pPr>
              <w:ind w:left="220"/>
              <w:spacing w:after="0"/>
              <w:rPr>
                <w:sz w:val="20"/>
                <w:szCs w:val="20"/>
                <w:color w:val="auto"/>
              </w:rPr>
            </w:pPr>
            <w:r>
              <w:rPr>
                <w:rFonts w:ascii="Arial" w:cs="Arial" w:eastAsia="Arial" w:hAnsi="Arial"/>
                <w:sz w:val="18"/>
                <w:szCs w:val="18"/>
                <w:color w:val="auto"/>
              </w:rPr>
              <w:t>Validated</w:t>
            </w:r>
          </w:p>
        </w:tc>
      </w:tr>
      <w:tr>
        <w:trPr>
          <w:trHeight w:val="210"/>
        </w:trPr>
        <w:tc>
          <w:tcPr>
            <w:tcW w:w="110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7"/>
              </w:rPr>
              <w:t>Tantalum</w:t>
            </w:r>
          </w:p>
        </w:tc>
        <w:tc>
          <w:tcPr>
            <w:tcW w:w="440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KEMET Blue Metals</w:t>
            </w:r>
          </w:p>
        </w:tc>
        <w:tc>
          <w:tcPr>
            <w:tcW w:w="4840" w:type="dxa"/>
            <w:vAlign w:val="bottom"/>
            <w:tcBorders>
              <w:bottom w:val="single" w:sz="8" w:color="auto"/>
              <w:right w:val="single" w:sz="8" w:color="auto"/>
            </w:tcBorders>
          </w:tcPr>
          <w:p>
            <w:pPr>
              <w:spacing w:after="0"/>
              <w:rPr>
                <w:sz w:val="18"/>
                <w:szCs w:val="18"/>
                <w:color w:val="auto"/>
              </w:rPr>
            </w:pPr>
          </w:p>
        </w:tc>
        <w:tc>
          <w:tcPr>
            <w:tcW w:w="1100" w:type="dxa"/>
            <w:vAlign w:val="bottom"/>
            <w:tcBorders>
              <w:bottom w:val="single" w:sz="8" w:color="auto"/>
              <w:right w:val="single" w:sz="8" w:color="auto"/>
            </w:tcBorders>
          </w:tcPr>
          <w:p>
            <w:pPr>
              <w:ind w:left="220"/>
              <w:spacing w:after="0"/>
              <w:rPr>
                <w:sz w:val="20"/>
                <w:szCs w:val="20"/>
                <w:color w:val="auto"/>
              </w:rPr>
            </w:pPr>
            <w:r>
              <w:rPr>
                <w:rFonts w:ascii="Arial" w:cs="Arial" w:eastAsia="Arial" w:hAnsi="Arial"/>
                <w:sz w:val="18"/>
                <w:szCs w:val="18"/>
                <w:color w:val="auto"/>
              </w:rPr>
              <w:t>Validated</w:t>
            </w:r>
          </w:p>
        </w:tc>
      </w:tr>
      <w:tr>
        <w:trPr>
          <w:trHeight w:val="210"/>
        </w:trPr>
        <w:tc>
          <w:tcPr>
            <w:tcW w:w="110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7"/>
              </w:rPr>
              <w:t>Tantalum</w:t>
            </w:r>
          </w:p>
        </w:tc>
        <w:tc>
          <w:tcPr>
            <w:tcW w:w="440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KEMET Blue Powder</w:t>
            </w:r>
          </w:p>
        </w:tc>
        <w:tc>
          <w:tcPr>
            <w:tcW w:w="4840" w:type="dxa"/>
            <w:vAlign w:val="bottom"/>
            <w:tcBorders>
              <w:bottom w:val="single" w:sz="8" w:color="auto"/>
              <w:right w:val="single" w:sz="8" w:color="auto"/>
            </w:tcBorders>
          </w:tcPr>
          <w:p>
            <w:pPr>
              <w:spacing w:after="0"/>
              <w:rPr>
                <w:sz w:val="18"/>
                <w:szCs w:val="18"/>
                <w:color w:val="auto"/>
              </w:rPr>
            </w:pPr>
          </w:p>
        </w:tc>
        <w:tc>
          <w:tcPr>
            <w:tcW w:w="1100" w:type="dxa"/>
            <w:vAlign w:val="bottom"/>
            <w:tcBorders>
              <w:bottom w:val="single" w:sz="8" w:color="auto"/>
              <w:right w:val="single" w:sz="8" w:color="auto"/>
            </w:tcBorders>
          </w:tcPr>
          <w:p>
            <w:pPr>
              <w:ind w:left="220"/>
              <w:spacing w:after="0"/>
              <w:rPr>
                <w:sz w:val="20"/>
                <w:szCs w:val="20"/>
                <w:color w:val="auto"/>
              </w:rPr>
            </w:pPr>
            <w:r>
              <w:rPr>
                <w:rFonts w:ascii="Arial" w:cs="Arial" w:eastAsia="Arial" w:hAnsi="Arial"/>
                <w:sz w:val="18"/>
                <w:szCs w:val="18"/>
                <w:color w:val="auto"/>
              </w:rPr>
              <w:t>Validated</w:t>
            </w:r>
          </w:p>
        </w:tc>
      </w:tr>
      <w:tr>
        <w:trPr>
          <w:trHeight w:val="210"/>
        </w:trPr>
        <w:tc>
          <w:tcPr>
            <w:tcW w:w="110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7"/>
              </w:rPr>
              <w:t>Tantalum</w:t>
            </w:r>
          </w:p>
        </w:tc>
        <w:tc>
          <w:tcPr>
            <w:tcW w:w="440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King-Tan Tantalum Industry Ltd.</w:t>
            </w:r>
          </w:p>
        </w:tc>
        <w:tc>
          <w:tcPr>
            <w:tcW w:w="4840" w:type="dxa"/>
            <w:vAlign w:val="bottom"/>
            <w:tcBorders>
              <w:bottom w:val="single" w:sz="8" w:color="auto"/>
              <w:right w:val="single" w:sz="8" w:color="auto"/>
            </w:tcBorders>
          </w:tcPr>
          <w:p>
            <w:pPr>
              <w:spacing w:after="0"/>
              <w:rPr>
                <w:sz w:val="18"/>
                <w:szCs w:val="18"/>
                <w:color w:val="auto"/>
              </w:rPr>
            </w:pPr>
          </w:p>
        </w:tc>
        <w:tc>
          <w:tcPr>
            <w:tcW w:w="1100" w:type="dxa"/>
            <w:vAlign w:val="bottom"/>
            <w:tcBorders>
              <w:bottom w:val="single" w:sz="8" w:color="auto"/>
              <w:right w:val="single" w:sz="8" w:color="auto"/>
            </w:tcBorders>
          </w:tcPr>
          <w:p>
            <w:pPr>
              <w:ind w:left="220"/>
              <w:spacing w:after="0"/>
              <w:rPr>
                <w:sz w:val="20"/>
                <w:szCs w:val="20"/>
                <w:color w:val="auto"/>
              </w:rPr>
            </w:pPr>
            <w:r>
              <w:rPr>
                <w:rFonts w:ascii="Arial" w:cs="Arial" w:eastAsia="Arial" w:hAnsi="Arial"/>
                <w:sz w:val="18"/>
                <w:szCs w:val="18"/>
                <w:color w:val="auto"/>
              </w:rPr>
              <w:t>Validated</w:t>
            </w:r>
          </w:p>
        </w:tc>
      </w:tr>
      <w:tr>
        <w:trPr>
          <w:trHeight w:val="210"/>
        </w:trPr>
        <w:tc>
          <w:tcPr>
            <w:tcW w:w="110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7"/>
              </w:rPr>
              <w:t>Tantalum</w:t>
            </w:r>
          </w:p>
        </w:tc>
        <w:tc>
          <w:tcPr>
            <w:tcW w:w="440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LSM Brasil S.A.</w:t>
            </w:r>
          </w:p>
        </w:tc>
        <w:tc>
          <w:tcPr>
            <w:tcW w:w="4840" w:type="dxa"/>
            <w:vAlign w:val="bottom"/>
            <w:tcBorders>
              <w:bottom w:val="single" w:sz="8" w:color="auto"/>
              <w:right w:val="single" w:sz="8" w:color="auto"/>
            </w:tcBorders>
          </w:tcPr>
          <w:p>
            <w:pPr>
              <w:spacing w:after="0"/>
              <w:rPr>
                <w:sz w:val="18"/>
                <w:szCs w:val="18"/>
                <w:color w:val="auto"/>
              </w:rPr>
            </w:pPr>
          </w:p>
        </w:tc>
        <w:tc>
          <w:tcPr>
            <w:tcW w:w="1100" w:type="dxa"/>
            <w:vAlign w:val="bottom"/>
            <w:tcBorders>
              <w:bottom w:val="single" w:sz="8" w:color="auto"/>
              <w:right w:val="single" w:sz="8" w:color="auto"/>
            </w:tcBorders>
          </w:tcPr>
          <w:p>
            <w:pPr>
              <w:ind w:left="220"/>
              <w:spacing w:after="0"/>
              <w:rPr>
                <w:sz w:val="20"/>
                <w:szCs w:val="20"/>
                <w:color w:val="auto"/>
              </w:rPr>
            </w:pPr>
            <w:r>
              <w:rPr>
                <w:rFonts w:ascii="Arial" w:cs="Arial" w:eastAsia="Arial" w:hAnsi="Arial"/>
                <w:sz w:val="18"/>
                <w:szCs w:val="18"/>
                <w:color w:val="auto"/>
              </w:rPr>
              <w:t>Validated</w:t>
            </w:r>
          </w:p>
        </w:tc>
      </w:tr>
      <w:tr>
        <w:trPr>
          <w:trHeight w:val="210"/>
        </w:trPr>
        <w:tc>
          <w:tcPr>
            <w:tcW w:w="110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7"/>
              </w:rPr>
              <w:t>Tantalum</w:t>
            </w:r>
          </w:p>
        </w:tc>
        <w:tc>
          <w:tcPr>
            <w:tcW w:w="440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Metallurgical Products India Pvt., Ltd.</w:t>
            </w:r>
          </w:p>
        </w:tc>
        <w:tc>
          <w:tcPr>
            <w:tcW w:w="4840" w:type="dxa"/>
            <w:vAlign w:val="bottom"/>
            <w:tcBorders>
              <w:bottom w:val="single" w:sz="8" w:color="auto"/>
              <w:right w:val="single" w:sz="8" w:color="auto"/>
            </w:tcBorders>
          </w:tcPr>
          <w:p>
            <w:pPr>
              <w:spacing w:after="0"/>
              <w:rPr>
                <w:sz w:val="18"/>
                <w:szCs w:val="18"/>
                <w:color w:val="auto"/>
              </w:rPr>
            </w:pPr>
          </w:p>
        </w:tc>
        <w:tc>
          <w:tcPr>
            <w:tcW w:w="1100" w:type="dxa"/>
            <w:vAlign w:val="bottom"/>
            <w:tcBorders>
              <w:bottom w:val="single" w:sz="8" w:color="auto"/>
              <w:right w:val="single" w:sz="8" w:color="auto"/>
            </w:tcBorders>
          </w:tcPr>
          <w:p>
            <w:pPr>
              <w:ind w:left="220"/>
              <w:spacing w:after="0"/>
              <w:rPr>
                <w:sz w:val="20"/>
                <w:szCs w:val="20"/>
                <w:color w:val="auto"/>
              </w:rPr>
            </w:pPr>
            <w:r>
              <w:rPr>
                <w:rFonts w:ascii="Arial" w:cs="Arial" w:eastAsia="Arial" w:hAnsi="Arial"/>
                <w:sz w:val="18"/>
                <w:szCs w:val="18"/>
                <w:color w:val="auto"/>
              </w:rPr>
              <w:t>Validated</w:t>
            </w:r>
          </w:p>
        </w:tc>
      </w:tr>
      <w:tr>
        <w:trPr>
          <w:trHeight w:val="210"/>
        </w:trPr>
        <w:tc>
          <w:tcPr>
            <w:tcW w:w="110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7"/>
              </w:rPr>
              <w:t>Tantalum</w:t>
            </w:r>
          </w:p>
        </w:tc>
        <w:tc>
          <w:tcPr>
            <w:tcW w:w="440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Mineração Taboca S.A.</w:t>
            </w:r>
          </w:p>
        </w:tc>
        <w:tc>
          <w:tcPr>
            <w:tcW w:w="4840" w:type="dxa"/>
            <w:vAlign w:val="bottom"/>
            <w:tcBorders>
              <w:bottom w:val="single" w:sz="8" w:color="auto"/>
              <w:right w:val="single" w:sz="8" w:color="auto"/>
            </w:tcBorders>
          </w:tcPr>
          <w:p>
            <w:pPr>
              <w:spacing w:after="0"/>
              <w:rPr>
                <w:sz w:val="18"/>
                <w:szCs w:val="18"/>
                <w:color w:val="auto"/>
              </w:rPr>
            </w:pPr>
          </w:p>
        </w:tc>
        <w:tc>
          <w:tcPr>
            <w:tcW w:w="1100" w:type="dxa"/>
            <w:vAlign w:val="bottom"/>
            <w:tcBorders>
              <w:bottom w:val="single" w:sz="8" w:color="auto"/>
              <w:right w:val="single" w:sz="8" w:color="auto"/>
            </w:tcBorders>
          </w:tcPr>
          <w:p>
            <w:pPr>
              <w:ind w:left="220"/>
              <w:spacing w:after="0"/>
              <w:rPr>
                <w:sz w:val="20"/>
                <w:szCs w:val="20"/>
                <w:color w:val="auto"/>
              </w:rPr>
            </w:pPr>
            <w:r>
              <w:rPr>
                <w:rFonts w:ascii="Arial" w:cs="Arial" w:eastAsia="Arial" w:hAnsi="Arial"/>
                <w:sz w:val="18"/>
                <w:szCs w:val="18"/>
                <w:color w:val="auto"/>
              </w:rPr>
              <w:t>Validated</w:t>
            </w:r>
          </w:p>
        </w:tc>
      </w:tr>
      <w:tr>
        <w:trPr>
          <w:trHeight w:val="210"/>
        </w:trPr>
        <w:tc>
          <w:tcPr>
            <w:tcW w:w="110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7"/>
              </w:rPr>
              <w:t>Tantalum</w:t>
            </w:r>
          </w:p>
        </w:tc>
        <w:tc>
          <w:tcPr>
            <w:tcW w:w="440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Mitsui Mining &amp; Smelting</w:t>
            </w:r>
          </w:p>
        </w:tc>
        <w:tc>
          <w:tcPr>
            <w:tcW w:w="4840" w:type="dxa"/>
            <w:vAlign w:val="bottom"/>
            <w:tcBorders>
              <w:bottom w:val="single" w:sz="8" w:color="auto"/>
              <w:right w:val="single" w:sz="8" w:color="auto"/>
            </w:tcBorders>
          </w:tcPr>
          <w:p>
            <w:pPr>
              <w:spacing w:after="0"/>
              <w:rPr>
                <w:sz w:val="18"/>
                <w:szCs w:val="18"/>
                <w:color w:val="auto"/>
              </w:rPr>
            </w:pPr>
          </w:p>
        </w:tc>
        <w:tc>
          <w:tcPr>
            <w:tcW w:w="1100" w:type="dxa"/>
            <w:vAlign w:val="bottom"/>
            <w:tcBorders>
              <w:bottom w:val="single" w:sz="8" w:color="auto"/>
              <w:right w:val="single" w:sz="8" w:color="auto"/>
            </w:tcBorders>
          </w:tcPr>
          <w:p>
            <w:pPr>
              <w:ind w:left="220"/>
              <w:spacing w:after="0"/>
              <w:rPr>
                <w:sz w:val="20"/>
                <w:szCs w:val="20"/>
                <w:color w:val="auto"/>
              </w:rPr>
            </w:pPr>
            <w:r>
              <w:rPr>
                <w:rFonts w:ascii="Arial" w:cs="Arial" w:eastAsia="Arial" w:hAnsi="Arial"/>
                <w:sz w:val="18"/>
                <w:szCs w:val="18"/>
                <w:color w:val="auto"/>
              </w:rPr>
              <w:t>Validated</w:t>
            </w:r>
          </w:p>
        </w:tc>
      </w:tr>
      <w:tr>
        <w:trPr>
          <w:trHeight w:val="210"/>
        </w:trPr>
        <w:tc>
          <w:tcPr>
            <w:tcW w:w="110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7"/>
              </w:rPr>
              <w:t>Tantalum</w:t>
            </w:r>
          </w:p>
        </w:tc>
        <w:tc>
          <w:tcPr>
            <w:tcW w:w="440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Molycorp Silmet A.S.</w:t>
            </w:r>
          </w:p>
        </w:tc>
        <w:tc>
          <w:tcPr>
            <w:tcW w:w="4840" w:type="dxa"/>
            <w:vAlign w:val="bottom"/>
            <w:tcBorders>
              <w:bottom w:val="single" w:sz="8" w:color="auto"/>
              <w:right w:val="single" w:sz="8" w:color="auto"/>
            </w:tcBorders>
          </w:tcPr>
          <w:p>
            <w:pPr>
              <w:spacing w:after="0"/>
              <w:rPr>
                <w:sz w:val="18"/>
                <w:szCs w:val="18"/>
                <w:color w:val="auto"/>
              </w:rPr>
            </w:pPr>
          </w:p>
        </w:tc>
        <w:tc>
          <w:tcPr>
            <w:tcW w:w="1100" w:type="dxa"/>
            <w:vAlign w:val="bottom"/>
            <w:tcBorders>
              <w:bottom w:val="single" w:sz="8" w:color="auto"/>
              <w:right w:val="single" w:sz="8" w:color="auto"/>
            </w:tcBorders>
          </w:tcPr>
          <w:p>
            <w:pPr>
              <w:ind w:left="220"/>
              <w:spacing w:after="0"/>
              <w:rPr>
                <w:sz w:val="20"/>
                <w:szCs w:val="20"/>
                <w:color w:val="auto"/>
              </w:rPr>
            </w:pPr>
            <w:r>
              <w:rPr>
                <w:rFonts w:ascii="Arial" w:cs="Arial" w:eastAsia="Arial" w:hAnsi="Arial"/>
                <w:sz w:val="18"/>
                <w:szCs w:val="18"/>
                <w:color w:val="auto"/>
              </w:rPr>
              <w:t>Validated</w:t>
            </w:r>
          </w:p>
        </w:tc>
      </w:tr>
      <w:tr>
        <w:trPr>
          <w:trHeight w:val="210"/>
        </w:trPr>
        <w:tc>
          <w:tcPr>
            <w:tcW w:w="110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7"/>
              </w:rPr>
              <w:t>Tantalum</w:t>
            </w:r>
          </w:p>
        </w:tc>
        <w:tc>
          <w:tcPr>
            <w:tcW w:w="440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Ningxia Orient Tantalum Industry Co., Ltd.</w:t>
            </w:r>
          </w:p>
        </w:tc>
        <w:tc>
          <w:tcPr>
            <w:tcW w:w="4840" w:type="dxa"/>
            <w:vAlign w:val="bottom"/>
            <w:tcBorders>
              <w:bottom w:val="single" w:sz="8" w:color="auto"/>
              <w:right w:val="single" w:sz="8" w:color="auto"/>
            </w:tcBorders>
          </w:tcPr>
          <w:p>
            <w:pPr>
              <w:spacing w:after="0"/>
              <w:rPr>
                <w:sz w:val="18"/>
                <w:szCs w:val="18"/>
                <w:color w:val="auto"/>
              </w:rPr>
            </w:pPr>
          </w:p>
        </w:tc>
        <w:tc>
          <w:tcPr>
            <w:tcW w:w="1100" w:type="dxa"/>
            <w:vAlign w:val="bottom"/>
            <w:tcBorders>
              <w:bottom w:val="single" w:sz="8" w:color="auto"/>
              <w:right w:val="single" w:sz="8" w:color="auto"/>
            </w:tcBorders>
          </w:tcPr>
          <w:p>
            <w:pPr>
              <w:ind w:left="220"/>
              <w:spacing w:after="0"/>
              <w:rPr>
                <w:sz w:val="20"/>
                <w:szCs w:val="20"/>
                <w:color w:val="auto"/>
              </w:rPr>
            </w:pPr>
            <w:r>
              <w:rPr>
                <w:rFonts w:ascii="Arial" w:cs="Arial" w:eastAsia="Arial" w:hAnsi="Arial"/>
                <w:sz w:val="18"/>
                <w:szCs w:val="18"/>
                <w:color w:val="auto"/>
              </w:rPr>
              <w:t>Validated</w:t>
            </w:r>
          </w:p>
        </w:tc>
      </w:tr>
      <w:tr>
        <w:trPr>
          <w:trHeight w:val="210"/>
        </w:trPr>
        <w:tc>
          <w:tcPr>
            <w:tcW w:w="110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7"/>
              </w:rPr>
              <w:t>Tantalum</w:t>
            </w:r>
          </w:p>
        </w:tc>
        <w:tc>
          <w:tcPr>
            <w:tcW w:w="440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Plansee SE Liezen</w:t>
            </w:r>
          </w:p>
        </w:tc>
        <w:tc>
          <w:tcPr>
            <w:tcW w:w="4840" w:type="dxa"/>
            <w:vAlign w:val="bottom"/>
            <w:tcBorders>
              <w:bottom w:val="single" w:sz="8" w:color="auto"/>
              <w:right w:val="single" w:sz="8" w:color="auto"/>
            </w:tcBorders>
          </w:tcPr>
          <w:p>
            <w:pPr>
              <w:spacing w:after="0"/>
              <w:rPr>
                <w:sz w:val="18"/>
                <w:szCs w:val="18"/>
                <w:color w:val="auto"/>
              </w:rPr>
            </w:pPr>
          </w:p>
        </w:tc>
        <w:tc>
          <w:tcPr>
            <w:tcW w:w="1100" w:type="dxa"/>
            <w:vAlign w:val="bottom"/>
            <w:tcBorders>
              <w:bottom w:val="single" w:sz="8" w:color="auto"/>
              <w:right w:val="single" w:sz="8" w:color="auto"/>
            </w:tcBorders>
          </w:tcPr>
          <w:p>
            <w:pPr>
              <w:ind w:left="220"/>
              <w:spacing w:after="0"/>
              <w:rPr>
                <w:sz w:val="20"/>
                <w:szCs w:val="20"/>
                <w:color w:val="auto"/>
              </w:rPr>
            </w:pPr>
            <w:r>
              <w:rPr>
                <w:rFonts w:ascii="Arial" w:cs="Arial" w:eastAsia="Arial" w:hAnsi="Arial"/>
                <w:sz w:val="18"/>
                <w:szCs w:val="18"/>
                <w:color w:val="auto"/>
              </w:rPr>
              <w:t>Validated</w:t>
            </w:r>
          </w:p>
        </w:tc>
      </w:tr>
      <w:tr>
        <w:trPr>
          <w:trHeight w:val="210"/>
        </w:trPr>
        <w:tc>
          <w:tcPr>
            <w:tcW w:w="110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7"/>
              </w:rPr>
              <w:t>Tantalum</w:t>
            </w:r>
          </w:p>
        </w:tc>
        <w:tc>
          <w:tcPr>
            <w:tcW w:w="440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Plansee SE Reutte</w:t>
            </w:r>
          </w:p>
        </w:tc>
        <w:tc>
          <w:tcPr>
            <w:tcW w:w="4840" w:type="dxa"/>
            <w:vAlign w:val="bottom"/>
            <w:tcBorders>
              <w:bottom w:val="single" w:sz="8" w:color="auto"/>
              <w:right w:val="single" w:sz="8" w:color="auto"/>
            </w:tcBorders>
          </w:tcPr>
          <w:p>
            <w:pPr>
              <w:spacing w:after="0"/>
              <w:rPr>
                <w:sz w:val="18"/>
                <w:szCs w:val="18"/>
                <w:color w:val="auto"/>
              </w:rPr>
            </w:pPr>
          </w:p>
        </w:tc>
        <w:tc>
          <w:tcPr>
            <w:tcW w:w="1100" w:type="dxa"/>
            <w:vAlign w:val="bottom"/>
            <w:tcBorders>
              <w:bottom w:val="single" w:sz="8" w:color="auto"/>
              <w:right w:val="single" w:sz="8" w:color="auto"/>
            </w:tcBorders>
          </w:tcPr>
          <w:p>
            <w:pPr>
              <w:ind w:left="220"/>
              <w:spacing w:after="0"/>
              <w:rPr>
                <w:sz w:val="20"/>
                <w:szCs w:val="20"/>
                <w:color w:val="auto"/>
              </w:rPr>
            </w:pPr>
            <w:r>
              <w:rPr>
                <w:rFonts w:ascii="Arial" w:cs="Arial" w:eastAsia="Arial" w:hAnsi="Arial"/>
                <w:sz w:val="18"/>
                <w:szCs w:val="18"/>
                <w:color w:val="auto"/>
              </w:rPr>
              <w:t>Validated</w:t>
            </w:r>
          </w:p>
        </w:tc>
      </w:tr>
      <w:tr>
        <w:trPr>
          <w:trHeight w:val="210"/>
        </w:trPr>
        <w:tc>
          <w:tcPr>
            <w:tcW w:w="110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7"/>
              </w:rPr>
              <w:t>Tantalum</w:t>
            </w:r>
          </w:p>
        </w:tc>
        <w:tc>
          <w:tcPr>
            <w:tcW w:w="440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QuantumClean</w:t>
            </w:r>
          </w:p>
        </w:tc>
        <w:tc>
          <w:tcPr>
            <w:tcW w:w="4840" w:type="dxa"/>
            <w:vAlign w:val="bottom"/>
            <w:tcBorders>
              <w:bottom w:val="single" w:sz="8" w:color="auto"/>
              <w:right w:val="single" w:sz="8" w:color="auto"/>
            </w:tcBorders>
          </w:tcPr>
          <w:p>
            <w:pPr>
              <w:spacing w:after="0"/>
              <w:rPr>
                <w:sz w:val="18"/>
                <w:szCs w:val="18"/>
                <w:color w:val="auto"/>
              </w:rPr>
            </w:pPr>
          </w:p>
        </w:tc>
        <w:tc>
          <w:tcPr>
            <w:tcW w:w="1100" w:type="dxa"/>
            <w:vAlign w:val="bottom"/>
            <w:tcBorders>
              <w:bottom w:val="single" w:sz="8" w:color="auto"/>
              <w:right w:val="single" w:sz="8" w:color="auto"/>
            </w:tcBorders>
          </w:tcPr>
          <w:p>
            <w:pPr>
              <w:ind w:left="220"/>
              <w:spacing w:after="0"/>
              <w:rPr>
                <w:sz w:val="20"/>
                <w:szCs w:val="20"/>
                <w:color w:val="auto"/>
              </w:rPr>
            </w:pPr>
            <w:r>
              <w:rPr>
                <w:rFonts w:ascii="Arial" w:cs="Arial" w:eastAsia="Arial" w:hAnsi="Arial"/>
                <w:sz w:val="18"/>
                <w:szCs w:val="18"/>
                <w:color w:val="auto"/>
              </w:rPr>
              <w:t>Validated</w:t>
            </w:r>
          </w:p>
        </w:tc>
      </w:tr>
      <w:tr>
        <w:trPr>
          <w:trHeight w:val="210"/>
        </w:trPr>
        <w:tc>
          <w:tcPr>
            <w:tcW w:w="110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7"/>
              </w:rPr>
              <w:t>Tantalum</w:t>
            </w:r>
          </w:p>
        </w:tc>
        <w:tc>
          <w:tcPr>
            <w:tcW w:w="440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RFH Tantalum Smeltry Co., Ltd.</w:t>
            </w:r>
          </w:p>
        </w:tc>
        <w:tc>
          <w:tcPr>
            <w:tcW w:w="4840" w:type="dxa"/>
            <w:vAlign w:val="bottom"/>
            <w:tcBorders>
              <w:bottom w:val="single" w:sz="8" w:color="auto"/>
              <w:right w:val="single" w:sz="8" w:color="auto"/>
            </w:tcBorders>
          </w:tcPr>
          <w:p>
            <w:pPr>
              <w:spacing w:after="0"/>
              <w:rPr>
                <w:sz w:val="18"/>
                <w:szCs w:val="18"/>
                <w:color w:val="auto"/>
              </w:rPr>
            </w:pPr>
          </w:p>
        </w:tc>
        <w:tc>
          <w:tcPr>
            <w:tcW w:w="1100" w:type="dxa"/>
            <w:vAlign w:val="bottom"/>
            <w:tcBorders>
              <w:bottom w:val="single" w:sz="8" w:color="auto"/>
              <w:right w:val="single" w:sz="8" w:color="auto"/>
            </w:tcBorders>
          </w:tcPr>
          <w:p>
            <w:pPr>
              <w:ind w:left="220"/>
              <w:spacing w:after="0"/>
              <w:rPr>
                <w:sz w:val="20"/>
                <w:szCs w:val="20"/>
                <w:color w:val="auto"/>
              </w:rPr>
            </w:pPr>
            <w:r>
              <w:rPr>
                <w:rFonts w:ascii="Arial" w:cs="Arial" w:eastAsia="Arial" w:hAnsi="Arial"/>
                <w:sz w:val="18"/>
                <w:szCs w:val="18"/>
                <w:color w:val="auto"/>
              </w:rPr>
              <w:t>Validated</w:t>
            </w:r>
          </w:p>
        </w:tc>
      </w:tr>
      <w:tr>
        <w:trPr>
          <w:trHeight w:val="210"/>
        </w:trPr>
        <w:tc>
          <w:tcPr>
            <w:tcW w:w="110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7"/>
              </w:rPr>
              <w:t>Tantalum</w:t>
            </w:r>
          </w:p>
        </w:tc>
        <w:tc>
          <w:tcPr>
            <w:tcW w:w="440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Solikamsk Magnesium Works OAO</w:t>
            </w:r>
          </w:p>
        </w:tc>
        <w:tc>
          <w:tcPr>
            <w:tcW w:w="4840" w:type="dxa"/>
            <w:vAlign w:val="bottom"/>
            <w:tcBorders>
              <w:bottom w:val="single" w:sz="8" w:color="auto"/>
              <w:right w:val="single" w:sz="8" w:color="auto"/>
            </w:tcBorders>
          </w:tcPr>
          <w:p>
            <w:pPr>
              <w:spacing w:after="0"/>
              <w:rPr>
                <w:sz w:val="18"/>
                <w:szCs w:val="18"/>
                <w:color w:val="auto"/>
              </w:rPr>
            </w:pPr>
          </w:p>
        </w:tc>
        <w:tc>
          <w:tcPr>
            <w:tcW w:w="1100" w:type="dxa"/>
            <w:vAlign w:val="bottom"/>
            <w:tcBorders>
              <w:bottom w:val="single" w:sz="8" w:color="auto"/>
              <w:right w:val="single" w:sz="8" w:color="auto"/>
            </w:tcBorders>
          </w:tcPr>
          <w:p>
            <w:pPr>
              <w:ind w:left="220"/>
              <w:spacing w:after="0"/>
              <w:rPr>
                <w:sz w:val="20"/>
                <w:szCs w:val="20"/>
                <w:color w:val="auto"/>
              </w:rPr>
            </w:pPr>
            <w:r>
              <w:rPr>
                <w:rFonts w:ascii="Arial" w:cs="Arial" w:eastAsia="Arial" w:hAnsi="Arial"/>
                <w:sz w:val="18"/>
                <w:szCs w:val="18"/>
                <w:color w:val="auto"/>
              </w:rPr>
              <w:t>Validated</w:t>
            </w:r>
          </w:p>
        </w:tc>
      </w:tr>
      <w:tr>
        <w:trPr>
          <w:trHeight w:val="210"/>
        </w:trPr>
        <w:tc>
          <w:tcPr>
            <w:tcW w:w="110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7"/>
              </w:rPr>
              <w:t>Tantalum</w:t>
            </w:r>
          </w:p>
        </w:tc>
        <w:tc>
          <w:tcPr>
            <w:tcW w:w="440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Taki Chemicals</w:t>
            </w:r>
          </w:p>
        </w:tc>
        <w:tc>
          <w:tcPr>
            <w:tcW w:w="4840" w:type="dxa"/>
            <w:vAlign w:val="bottom"/>
            <w:tcBorders>
              <w:bottom w:val="single" w:sz="8" w:color="auto"/>
              <w:right w:val="single" w:sz="8" w:color="auto"/>
            </w:tcBorders>
          </w:tcPr>
          <w:p>
            <w:pPr>
              <w:spacing w:after="0"/>
              <w:rPr>
                <w:sz w:val="18"/>
                <w:szCs w:val="18"/>
                <w:color w:val="auto"/>
              </w:rPr>
            </w:pPr>
          </w:p>
        </w:tc>
        <w:tc>
          <w:tcPr>
            <w:tcW w:w="1100" w:type="dxa"/>
            <w:vAlign w:val="bottom"/>
            <w:tcBorders>
              <w:bottom w:val="single" w:sz="8" w:color="auto"/>
              <w:right w:val="single" w:sz="8" w:color="auto"/>
            </w:tcBorders>
          </w:tcPr>
          <w:p>
            <w:pPr>
              <w:ind w:left="220"/>
              <w:spacing w:after="0"/>
              <w:rPr>
                <w:sz w:val="20"/>
                <w:szCs w:val="20"/>
                <w:color w:val="auto"/>
              </w:rPr>
            </w:pPr>
            <w:r>
              <w:rPr>
                <w:rFonts w:ascii="Arial" w:cs="Arial" w:eastAsia="Arial" w:hAnsi="Arial"/>
                <w:sz w:val="18"/>
                <w:szCs w:val="18"/>
                <w:color w:val="auto"/>
              </w:rPr>
              <w:t>Validated</w:t>
            </w:r>
          </w:p>
        </w:tc>
      </w:tr>
      <w:tr>
        <w:trPr>
          <w:trHeight w:val="210"/>
        </w:trPr>
        <w:tc>
          <w:tcPr>
            <w:tcW w:w="110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7"/>
              </w:rPr>
              <w:t>Tantalum</w:t>
            </w:r>
          </w:p>
        </w:tc>
        <w:tc>
          <w:tcPr>
            <w:tcW w:w="440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Telex Metals</w:t>
            </w:r>
          </w:p>
        </w:tc>
        <w:tc>
          <w:tcPr>
            <w:tcW w:w="4840" w:type="dxa"/>
            <w:vAlign w:val="bottom"/>
            <w:tcBorders>
              <w:bottom w:val="single" w:sz="8" w:color="auto"/>
              <w:right w:val="single" w:sz="8" w:color="auto"/>
            </w:tcBorders>
          </w:tcPr>
          <w:p>
            <w:pPr>
              <w:spacing w:after="0"/>
              <w:rPr>
                <w:sz w:val="18"/>
                <w:szCs w:val="18"/>
                <w:color w:val="auto"/>
              </w:rPr>
            </w:pPr>
          </w:p>
        </w:tc>
        <w:tc>
          <w:tcPr>
            <w:tcW w:w="1100" w:type="dxa"/>
            <w:vAlign w:val="bottom"/>
            <w:tcBorders>
              <w:bottom w:val="single" w:sz="8" w:color="auto"/>
              <w:right w:val="single" w:sz="8" w:color="auto"/>
            </w:tcBorders>
          </w:tcPr>
          <w:p>
            <w:pPr>
              <w:ind w:left="220"/>
              <w:spacing w:after="0"/>
              <w:rPr>
                <w:sz w:val="20"/>
                <w:szCs w:val="20"/>
                <w:color w:val="auto"/>
              </w:rPr>
            </w:pPr>
            <w:r>
              <w:rPr>
                <w:rFonts w:ascii="Arial" w:cs="Arial" w:eastAsia="Arial" w:hAnsi="Arial"/>
                <w:sz w:val="18"/>
                <w:szCs w:val="18"/>
                <w:color w:val="auto"/>
              </w:rPr>
              <w:t>Validated</w:t>
            </w:r>
          </w:p>
        </w:tc>
      </w:tr>
      <w:tr>
        <w:trPr>
          <w:trHeight w:val="358"/>
        </w:trPr>
        <w:tc>
          <w:tcPr>
            <w:tcW w:w="1100" w:type="dxa"/>
            <w:vAlign w:val="bottom"/>
          </w:tcPr>
          <w:p>
            <w:pPr>
              <w:spacing w:after="0"/>
              <w:rPr>
                <w:sz w:val="24"/>
                <w:szCs w:val="24"/>
                <w:color w:val="auto"/>
              </w:rPr>
            </w:pPr>
          </w:p>
        </w:tc>
        <w:tc>
          <w:tcPr>
            <w:tcW w:w="4400" w:type="dxa"/>
            <w:vAlign w:val="bottom"/>
          </w:tcPr>
          <w:p>
            <w:pPr>
              <w:spacing w:after="0"/>
              <w:rPr>
                <w:sz w:val="24"/>
                <w:szCs w:val="24"/>
                <w:color w:val="auto"/>
              </w:rPr>
            </w:pPr>
          </w:p>
        </w:tc>
        <w:tc>
          <w:tcPr>
            <w:tcW w:w="4840" w:type="dxa"/>
            <w:vAlign w:val="bottom"/>
          </w:tcPr>
          <w:p>
            <w:pPr>
              <w:jc w:val="right"/>
              <w:ind w:right="4490"/>
              <w:spacing w:after="0"/>
              <w:rPr>
                <w:sz w:val="20"/>
                <w:szCs w:val="20"/>
                <w:color w:val="auto"/>
              </w:rPr>
            </w:pPr>
            <w:r>
              <w:rPr>
                <w:rFonts w:ascii="Arial" w:cs="Arial" w:eastAsia="Arial" w:hAnsi="Arial"/>
                <w:sz w:val="18"/>
                <w:szCs w:val="18"/>
                <w:color w:val="auto"/>
              </w:rPr>
              <w:t>5</w:t>
            </w:r>
          </w:p>
        </w:tc>
        <w:tc>
          <w:tcPr>
            <w:tcW w:w="1100" w:type="dxa"/>
            <w:vAlign w:val="bottom"/>
          </w:tcPr>
          <w:p>
            <w:pPr>
              <w:spacing w:after="0"/>
              <w:rPr>
                <w:sz w:val="24"/>
                <w:szCs w:val="24"/>
                <w:color w:val="auto"/>
              </w:rPr>
            </w:pPr>
          </w:p>
        </w:tc>
      </w:tr>
    </w:tbl>
    <w:p>
      <w:pPr>
        <w:sectPr>
          <w:pgSz w:w="11900" w:h="16838" w:orient="portrait"/>
          <w:cols w:equalWidth="0" w:num="1">
            <w:col w:w="11440"/>
          </w:cols>
          <w:pgMar w:left="240" w:top="268" w:right="219" w:bottom="1440" w:gutter="0" w:footer="0" w:header="0"/>
        </w:sectPr>
      </w:pPr>
    </w:p>
    <w:bookmarkStart w:id="15" w:name="page16"/>
    <w:bookmarkEnd w:id="15"/>
    <w:p>
      <w:pPr>
        <w:spacing w:after="0" w:line="1"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p>
    <w:tbl>
      <w:tblPr>
        <w:tblLayout w:type="fixed"/>
        <w:tblInd w:w="10" w:type="dxa"/>
        <w:tblCellMar>
          <w:top w:w="0" w:type="dxa"/>
          <w:left w:w="0" w:type="dxa"/>
          <w:bottom w:w="0" w:type="dxa"/>
          <w:right w:w="0" w:type="dxa"/>
        </w:tblCellMar>
      </w:tblPr>
      <w:tr>
        <w:trPr>
          <w:trHeight w:val="230"/>
        </w:trPr>
        <w:tc>
          <w:tcPr>
            <w:tcW w:w="1100" w:type="dxa"/>
            <w:vAlign w:val="bottom"/>
            <w:tcBorders>
              <w:top w:val="single" w:sz="8" w:color="auto"/>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7"/>
              </w:rPr>
              <w:t>Tantalum</w:t>
            </w:r>
          </w:p>
        </w:tc>
        <w:tc>
          <w:tcPr>
            <w:tcW w:w="9120" w:type="dxa"/>
            <w:vAlign w:val="bottom"/>
            <w:tcBorders>
              <w:top w:val="single" w:sz="8" w:color="auto"/>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Tranzact, Inc.</w:t>
            </w:r>
          </w:p>
        </w:tc>
        <w:tc>
          <w:tcPr>
            <w:tcW w:w="1220" w:type="dxa"/>
            <w:vAlign w:val="bottom"/>
            <w:tcBorders>
              <w:top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210"/>
        </w:trPr>
        <w:tc>
          <w:tcPr>
            <w:tcW w:w="110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7"/>
              </w:rPr>
              <w:t>Tantalum</w:t>
            </w:r>
          </w:p>
        </w:tc>
        <w:tc>
          <w:tcPr>
            <w:tcW w:w="912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Ulba Metallurgical Plant JSC</w:t>
            </w: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210"/>
        </w:trPr>
        <w:tc>
          <w:tcPr>
            <w:tcW w:w="110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7"/>
              </w:rPr>
              <w:t>Tantalum</w:t>
            </w:r>
          </w:p>
        </w:tc>
        <w:tc>
          <w:tcPr>
            <w:tcW w:w="912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XinXing HaoRong Electronic Material Co., Ltd.</w:t>
            </w: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210"/>
        </w:trPr>
        <w:tc>
          <w:tcPr>
            <w:tcW w:w="110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7"/>
              </w:rPr>
              <w:t>Tantalum</w:t>
            </w:r>
          </w:p>
        </w:tc>
        <w:tc>
          <w:tcPr>
            <w:tcW w:w="912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Yichun Jin Yang Rare Metal Co., Ltd.</w:t>
            </w: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210"/>
        </w:trPr>
        <w:tc>
          <w:tcPr>
            <w:tcW w:w="110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7"/>
              </w:rPr>
              <w:t>Tantalum</w:t>
            </w:r>
          </w:p>
        </w:tc>
        <w:tc>
          <w:tcPr>
            <w:tcW w:w="912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Zhuzhou Cemented Carbide</w:t>
            </w: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210"/>
        </w:trPr>
        <w:tc>
          <w:tcPr>
            <w:tcW w:w="110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rPr>
              <w:t>Tin</w:t>
            </w:r>
          </w:p>
        </w:tc>
        <w:tc>
          <w:tcPr>
            <w:tcW w:w="912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Alpha</w:t>
            </w: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210"/>
        </w:trPr>
        <w:tc>
          <w:tcPr>
            <w:tcW w:w="110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rPr>
              <w:t>Tin</w:t>
            </w:r>
          </w:p>
        </w:tc>
        <w:tc>
          <w:tcPr>
            <w:tcW w:w="912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An Vinh Joint Stock Mineral Processing Company</w:t>
            </w: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7"/>
              </w:rPr>
              <w:t>Active</w:t>
            </w:r>
          </w:p>
        </w:tc>
      </w:tr>
      <w:tr>
        <w:trPr>
          <w:trHeight w:val="210"/>
        </w:trPr>
        <w:tc>
          <w:tcPr>
            <w:tcW w:w="110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rPr>
              <w:t>Tin</w:t>
            </w:r>
          </w:p>
        </w:tc>
        <w:tc>
          <w:tcPr>
            <w:tcW w:w="912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Chenzhou Yunxiang Mining and Metallurgy Company Limited</w:t>
            </w: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7"/>
              </w:rPr>
              <w:t>Active</w:t>
            </w:r>
          </w:p>
        </w:tc>
      </w:tr>
      <w:tr>
        <w:trPr>
          <w:trHeight w:val="210"/>
        </w:trPr>
        <w:tc>
          <w:tcPr>
            <w:tcW w:w="110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rPr>
              <w:t>Tin</w:t>
            </w:r>
          </w:p>
        </w:tc>
        <w:tc>
          <w:tcPr>
            <w:tcW w:w="912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China Tin Group Co., Ltd.</w:t>
            </w: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210"/>
        </w:trPr>
        <w:tc>
          <w:tcPr>
            <w:tcW w:w="110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rPr>
              <w:t>Tin</w:t>
            </w:r>
          </w:p>
        </w:tc>
        <w:tc>
          <w:tcPr>
            <w:tcW w:w="912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CNMC (Guangxi) PGMA Co., Ltd.</w:t>
            </w: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5"/>
              </w:rPr>
              <w:t>Not Active</w:t>
            </w:r>
          </w:p>
        </w:tc>
      </w:tr>
      <w:tr>
        <w:trPr>
          <w:trHeight w:val="210"/>
        </w:trPr>
        <w:tc>
          <w:tcPr>
            <w:tcW w:w="110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rPr>
              <w:t>Tin</w:t>
            </w:r>
          </w:p>
        </w:tc>
        <w:tc>
          <w:tcPr>
            <w:tcW w:w="912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Cooperativa Metalurgica de Rondônia Ltda.</w:t>
            </w: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210"/>
        </w:trPr>
        <w:tc>
          <w:tcPr>
            <w:tcW w:w="110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rPr>
              <w:t>Tin</w:t>
            </w:r>
          </w:p>
        </w:tc>
        <w:tc>
          <w:tcPr>
            <w:tcW w:w="912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CV Ayi Jaya</w:t>
            </w: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210"/>
        </w:trPr>
        <w:tc>
          <w:tcPr>
            <w:tcW w:w="110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rPr>
              <w:t>Tin</w:t>
            </w:r>
          </w:p>
        </w:tc>
        <w:tc>
          <w:tcPr>
            <w:tcW w:w="912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CV Gita Pesona</w:t>
            </w: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210"/>
        </w:trPr>
        <w:tc>
          <w:tcPr>
            <w:tcW w:w="110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rPr>
              <w:t>Tin</w:t>
            </w:r>
          </w:p>
        </w:tc>
        <w:tc>
          <w:tcPr>
            <w:tcW w:w="912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CV Serumpun Sebalai</w:t>
            </w: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210"/>
        </w:trPr>
        <w:tc>
          <w:tcPr>
            <w:tcW w:w="110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rPr>
              <w:t>Tin</w:t>
            </w:r>
          </w:p>
        </w:tc>
        <w:tc>
          <w:tcPr>
            <w:tcW w:w="912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CV United Smelting</w:t>
            </w: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210"/>
        </w:trPr>
        <w:tc>
          <w:tcPr>
            <w:tcW w:w="110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rPr>
              <w:t>Tin</w:t>
            </w:r>
          </w:p>
        </w:tc>
        <w:tc>
          <w:tcPr>
            <w:tcW w:w="912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CV Venus Inti Perkasa</w:t>
            </w: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210"/>
        </w:trPr>
        <w:tc>
          <w:tcPr>
            <w:tcW w:w="110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rPr>
              <w:t>Tin</w:t>
            </w:r>
          </w:p>
        </w:tc>
        <w:tc>
          <w:tcPr>
            <w:tcW w:w="912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Dowa</w:t>
            </w: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210"/>
        </w:trPr>
        <w:tc>
          <w:tcPr>
            <w:tcW w:w="110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rPr>
              <w:t>Tin</w:t>
            </w:r>
          </w:p>
        </w:tc>
        <w:tc>
          <w:tcPr>
            <w:tcW w:w="912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Electro-Mechanical Facility of the Cao Bang Minerals &amp; Metallurgy Joint Stock Company</w:t>
            </w: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7"/>
              </w:rPr>
              <w:t>Active</w:t>
            </w:r>
          </w:p>
        </w:tc>
      </w:tr>
      <w:tr>
        <w:trPr>
          <w:trHeight w:val="210"/>
        </w:trPr>
        <w:tc>
          <w:tcPr>
            <w:tcW w:w="110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rPr>
              <w:t>Tin</w:t>
            </w:r>
          </w:p>
        </w:tc>
        <w:tc>
          <w:tcPr>
            <w:tcW w:w="912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Elmet S.L.U. (Metallo Group)</w:t>
            </w: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210"/>
        </w:trPr>
        <w:tc>
          <w:tcPr>
            <w:tcW w:w="110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rPr>
              <w:t>Tin</w:t>
            </w:r>
          </w:p>
        </w:tc>
        <w:tc>
          <w:tcPr>
            <w:tcW w:w="912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EM Vinto</w:t>
            </w: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210"/>
        </w:trPr>
        <w:tc>
          <w:tcPr>
            <w:tcW w:w="110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rPr>
              <w:t>Tin</w:t>
            </w:r>
          </w:p>
        </w:tc>
        <w:tc>
          <w:tcPr>
            <w:tcW w:w="912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Estanho de Rondônia S.A.</w:t>
            </w: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5"/>
              </w:rPr>
              <w:t>Not Active</w:t>
            </w:r>
          </w:p>
        </w:tc>
      </w:tr>
      <w:tr>
        <w:trPr>
          <w:trHeight w:val="210"/>
        </w:trPr>
        <w:tc>
          <w:tcPr>
            <w:tcW w:w="110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rPr>
              <w:t>Tin</w:t>
            </w:r>
          </w:p>
        </w:tc>
        <w:tc>
          <w:tcPr>
            <w:tcW w:w="912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Feinhütte Halsbrücke GmbH</w:t>
            </w: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5"/>
              </w:rPr>
              <w:t>Not Active</w:t>
            </w:r>
          </w:p>
        </w:tc>
      </w:tr>
      <w:tr>
        <w:trPr>
          <w:trHeight w:val="210"/>
        </w:trPr>
        <w:tc>
          <w:tcPr>
            <w:tcW w:w="110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rPr>
              <w:t>Tin</w:t>
            </w:r>
          </w:p>
        </w:tc>
        <w:tc>
          <w:tcPr>
            <w:tcW w:w="912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Fenix Metals</w:t>
            </w: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210"/>
        </w:trPr>
        <w:tc>
          <w:tcPr>
            <w:tcW w:w="110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rPr>
              <w:t>Tin</w:t>
            </w:r>
          </w:p>
        </w:tc>
        <w:tc>
          <w:tcPr>
            <w:tcW w:w="912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Gejiu Kai Meng Industry and Trade LLC</w:t>
            </w: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7"/>
              </w:rPr>
              <w:t>Active</w:t>
            </w:r>
          </w:p>
        </w:tc>
      </w:tr>
      <w:tr>
        <w:trPr>
          <w:trHeight w:val="210"/>
        </w:trPr>
        <w:tc>
          <w:tcPr>
            <w:tcW w:w="110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rPr>
              <w:t>Tin</w:t>
            </w:r>
          </w:p>
        </w:tc>
        <w:tc>
          <w:tcPr>
            <w:tcW w:w="912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Gejiu Non-Ferrous Metal Processing Co., Ltd.</w:t>
            </w: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210"/>
        </w:trPr>
        <w:tc>
          <w:tcPr>
            <w:tcW w:w="110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rPr>
              <w:t>Tin</w:t>
            </w:r>
          </w:p>
        </w:tc>
        <w:tc>
          <w:tcPr>
            <w:tcW w:w="912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Gejiu Yunxin Nonferrous Electrolysis Co., Ltd.</w:t>
            </w: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7"/>
              </w:rPr>
              <w:t>Active</w:t>
            </w:r>
          </w:p>
        </w:tc>
      </w:tr>
      <w:tr>
        <w:trPr>
          <w:trHeight w:val="210"/>
        </w:trPr>
        <w:tc>
          <w:tcPr>
            <w:tcW w:w="110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rPr>
              <w:t>Tin</w:t>
            </w:r>
          </w:p>
        </w:tc>
        <w:tc>
          <w:tcPr>
            <w:tcW w:w="912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Gejiu Zili Mining And Metallurgy Co., Ltd.</w:t>
            </w: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5"/>
              </w:rPr>
              <w:t>Not Active</w:t>
            </w:r>
          </w:p>
        </w:tc>
      </w:tr>
      <w:tr>
        <w:trPr>
          <w:trHeight w:val="210"/>
        </w:trPr>
        <w:tc>
          <w:tcPr>
            <w:tcW w:w="110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rPr>
              <w:t>Tin</w:t>
            </w:r>
          </w:p>
        </w:tc>
        <w:tc>
          <w:tcPr>
            <w:tcW w:w="912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Huichang Jinshunda Tin Co., Ltd.</w:t>
            </w: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5"/>
              </w:rPr>
              <w:t>Not Active</w:t>
            </w:r>
          </w:p>
        </w:tc>
      </w:tr>
      <w:tr>
        <w:trPr>
          <w:trHeight w:val="210"/>
        </w:trPr>
        <w:tc>
          <w:tcPr>
            <w:tcW w:w="110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rPr>
              <w:t>Tin</w:t>
            </w:r>
          </w:p>
        </w:tc>
        <w:tc>
          <w:tcPr>
            <w:tcW w:w="912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Jiangxi Ketai Advanced Material Co., Ltd.</w:t>
            </w: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210"/>
        </w:trPr>
        <w:tc>
          <w:tcPr>
            <w:tcW w:w="110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rPr>
              <w:t>Tin</w:t>
            </w:r>
          </w:p>
        </w:tc>
        <w:tc>
          <w:tcPr>
            <w:tcW w:w="912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Linwu Xianggui Ore Smelting Co., Ltd.</w:t>
            </w: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5"/>
              </w:rPr>
              <w:t>Not Active</w:t>
            </w:r>
          </w:p>
        </w:tc>
      </w:tr>
      <w:tr>
        <w:trPr>
          <w:trHeight w:val="210"/>
        </w:trPr>
        <w:tc>
          <w:tcPr>
            <w:tcW w:w="110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rPr>
              <w:t>Tin</w:t>
            </w:r>
          </w:p>
        </w:tc>
        <w:tc>
          <w:tcPr>
            <w:tcW w:w="912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Magnu’s Minerais Metais e Ligas Ltda.</w:t>
            </w: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210"/>
        </w:trPr>
        <w:tc>
          <w:tcPr>
            <w:tcW w:w="110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rPr>
              <w:t>Tin</w:t>
            </w:r>
          </w:p>
        </w:tc>
        <w:tc>
          <w:tcPr>
            <w:tcW w:w="912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Malaysia Smelting Corporation (MSC)</w:t>
            </w: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210"/>
        </w:trPr>
        <w:tc>
          <w:tcPr>
            <w:tcW w:w="110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rPr>
              <w:t>Tin</w:t>
            </w:r>
          </w:p>
        </w:tc>
        <w:tc>
          <w:tcPr>
            <w:tcW w:w="912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Melt Metais e Ligas S/A</w:t>
            </w: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210"/>
        </w:trPr>
        <w:tc>
          <w:tcPr>
            <w:tcW w:w="110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rPr>
              <w:t>Tin</w:t>
            </w:r>
          </w:p>
        </w:tc>
        <w:tc>
          <w:tcPr>
            <w:tcW w:w="912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Metallic Resources, Inc.</w:t>
            </w: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210"/>
        </w:trPr>
        <w:tc>
          <w:tcPr>
            <w:tcW w:w="110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rPr>
              <w:t>Tin</w:t>
            </w:r>
          </w:p>
        </w:tc>
        <w:tc>
          <w:tcPr>
            <w:tcW w:w="912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Metallo-Chimique N.V.</w:t>
            </w: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210"/>
        </w:trPr>
        <w:tc>
          <w:tcPr>
            <w:tcW w:w="110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rPr>
              <w:t>Tin</w:t>
            </w:r>
          </w:p>
        </w:tc>
        <w:tc>
          <w:tcPr>
            <w:tcW w:w="912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Mineração Taboca S.A.</w:t>
            </w: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210"/>
        </w:trPr>
        <w:tc>
          <w:tcPr>
            <w:tcW w:w="110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rPr>
              <w:t>Tin</w:t>
            </w:r>
          </w:p>
        </w:tc>
        <w:tc>
          <w:tcPr>
            <w:tcW w:w="912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Minsur</w:t>
            </w: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210"/>
        </w:trPr>
        <w:tc>
          <w:tcPr>
            <w:tcW w:w="110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rPr>
              <w:t>Tin</w:t>
            </w:r>
          </w:p>
        </w:tc>
        <w:tc>
          <w:tcPr>
            <w:tcW w:w="912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Mitsubishi Materials Corporation</w:t>
            </w: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210"/>
        </w:trPr>
        <w:tc>
          <w:tcPr>
            <w:tcW w:w="110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rPr>
              <w:t>Tin</w:t>
            </w:r>
          </w:p>
        </w:tc>
        <w:tc>
          <w:tcPr>
            <w:tcW w:w="912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Nankang Nanshan Tin Manufactory Co., Ltd.</w:t>
            </w: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5"/>
              </w:rPr>
              <w:t>Not Active</w:t>
            </w:r>
          </w:p>
        </w:tc>
      </w:tr>
      <w:tr>
        <w:trPr>
          <w:trHeight w:val="210"/>
        </w:trPr>
        <w:tc>
          <w:tcPr>
            <w:tcW w:w="110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rPr>
              <w:t>Tin</w:t>
            </w:r>
          </w:p>
        </w:tc>
        <w:tc>
          <w:tcPr>
            <w:tcW w:w="912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Nghe Tinh Non-Ferrous Metals Joint Stock Company</w:t>
            </w: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7"/>
              </w:rPr>
              <w:t>Active</w:t>
            </w:r>
          </w:p>
        </w:tc>
      </w:tr>
      <w:tr>
        <w:trPr>
          <w:trHeight w:val="358"/>
        </w:trPr>
        <w:tc>
          <w:tcPr>
            <w:tcW w:w="1100" w:type="dxa"/>
            <w:vAlign w:val="bottom"/>
          </w:tcPr>
          <w:p>
            <w:pPr>
              <w:spacing w:after="0"/>
              <w:rPr>
                <w:sz w:val="24"/>
                <w:szCs w:val="24"/>
                <w:color w:val="auto"/>
              </w:rPr>
            </w:pPr>
          </w:p>
        </w:tc>
        <w:tc>
          <w:tcPr>
            <w:tcW w:w="9120" w:type="dxa"/>
            <w:vAlign w:val="bottom"/>
          </w:tcPr>
          <w:p>
            <w:pPr>
              <w:ind w:left="4560"/>
              <w:spacing w:after="0"/>
              <w:rPr>
                <w:sz w:val="20"/>
                <w:szCs w:val="20"/>
                <w:color w:val="auto"/>
              </w:rPr>
            </w:pPr>
            <w:r>
              <w:rPr>
                <w:rFonts w:ascii="Arial" w:cs="Arial" w:eastAsia="Arial" w:hAnsi="Arial"/>
                <w:sz w:val="18"/>
                <w:szCs w:val="18"/>
                <w:color w:val="auto"/>
              </w:rPr>
              <w:t>6</w:t>
            </w:r>
          </w:p>
        </w:tc>
        <w:tc>
          <w:tcPr>
            <w:tcW w:w="1220" w:type="dxa"/>
            <w:vAlign w:val="bottom"/>
          </w:tcPr>
          <w:p>
            <w:pPr>
              <w:spacing w:after="0"/>
              <w:rPr>
                <w:sz w:val="24"/>
                <w:szCs w:val="24"/>
                <w:color w:val="auto"/>
              </w:rPr>
            </w:pPr>
          </w:p>
        </w:tc>
      </w:tr>
    </w:tbl>
    <w:p>
      <w:pPr>
        <w:sectPr>
          <w:pgSz w:w="11900" w:h="16838" w:orient="portrait"/>
          <w:cols w:equalWidth="0" w:num="1">
            <w:col w:w="11440"/>
          </w:cols>
          <w:pgMar w:left="240" w:top="268" w:right="219" w:bottom="1440" w:gutter="0" w:footer="0" w:header="0"/>
        </w:sectPr>
      </w:pPr>
    </w:p>
    <w:bookmarkStart w:id="16" w:name="page17"/>
    <w:bookmarkEnd w:id="16"/>
    <w:p>
      <w:pPr>
        <w:spacing w:after="0" w:line="1"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p>
    <w:tbl>
      <w:tblPr>
        <w:tblLayout w:type="fixed"/>
        <w:tblInd w:w="10" w:type="dxa"/>
        <w:tblCellMar>
          <w:top w:w="0" w:type="dxa"/>
          <w:left w:w="0" w:type="dxa"/>
          <w:bottom w:w="0" w:type="dxa"/>
          <w:right w:w="0" w:type="dxa"/>
        </w:tblCellMar>
      </w:tblPr>
      <w:tr>
        <w:trPr>
          <w:trHeight w:val="230"/>
        </w:trPr>
        <w:tc>
          <w:tcPr>
            <w:tcW w:w="640" w:type="dxa"/>
            <w:vAlign w:val="bottom"/>
            <w:tcBorders>
              <w:top w:val="single" w:sz="8" w:color="auto"/>
              <w:left w:val="single" w:sz="8" w:color="auto"/>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Tin</w:t>
            </w:r>
          </w:p>
        </w:tc>
        <w:tc>
          <w:tcPr>
            <w:tcW w:w="4100" w:type="dxa"/>
            <w:vAlign w:val="bottom"/>
            <w:tcBorders>
              <w:top w:val="single" w:sz="8" w:color="auto"/>
              <w:bottom w:val="single" w:sz="8" w:color="auto"/>
            </w:tcBorders>
          </w:tcPr>
          <w:p>
            <w:pPr>
              <w:ind w:left="200"/>
              <w:spacing w:after="0"/>
              <w:rPr>
                <w:sz w:val="20"/>
                <w:szCs w:val="20"/>
                <w:color w:val="auto"/>
              </w:rPr>
            </w:pPr>
            <w:r>
              <w:rPr>
                <w:rFonts w:ascii="Arial" w:cs="Arial" w:eastAsia="Arial" w:hAnsi="Arial"/>
                <w:sz w:val="18"/>
                <w:szCs w:val="18"/>
                <w:color w:val="auto"/>
              </w:rPr>
              <w:t>O.M. Manufacturing (Thailand) Co., Ltd.</w:t>
            </w:r>
          </w:p>
        </w:tc>
        <w:tc>
          <w:tcPr>
            <w:tcW w:w="5480" w:type="dxa"/>
            <w:vAlign w:val="bottom"/>
            <w:tcBorders>
              <w:top w:val="single" w:sz="8" w:color="auto"/>
              <w:bottom w:val="single" w:sz="8" w:color="auto"/>
              <w:right w:val="single" w:sz="8" w:color="auto"/>
            </w:tcBorders>
          </w:tcPr>
          <w:p>
            <w:pPr>
              <w:spacing w:after="0"/>
              <w:rPr>
                <w:sz w:val="19"/>
                <w:szCs w:val="19"/>
                <w:color w:val="auto"/>
              </w:rPr>
            </w:pPr>
          </w:p>
        </w:tc>
        <w:tc>
          <w:tcPr>
            <w:tcW w:w="1220" w:type="dxa"/>
            <w:vAlign w:val="bottom"/>
            <w:tcBorders>
              <w:top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210"/>
        </w:trPr>
        <w:tc>
          <w:tcPr>
            <w:tcW w:w="640" w:type="dxa"/>
            <w:vAlign w:val="bottom"/>
            <w:tcBorders>
              <w:left w:val="single" w:sz="8" w:color="auto"/>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Tin</w:t>
            </w:r>
          </w:p>
        </w:tc>
        <w:tc>
          <w:tcPr>
            <w:tcW w:w="410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O.M. Manufacturing Philippines, Inc.</w:t>
            </w:r>
          </w:p>
        </w:tc>
        <w:tc>
          <w:tcPr>
            <w:tcW w:w="5480" w:type="dxa"/>
            <w:vAlign w:val="bottom"/>
            <w:tcBorders>
              <w:bottom w:val="single" w:sz="8" w:color="auto"/>
              <w:right w:val="single" w:sz="8" w:color="auto"/>
            </w:tcBorders>
          </w:tcPr>
          <w:p>
            <w:pPr>
              <w:spacing w:after="0"/>
              <w:rPr>
                <w:sz w:val="18"/>
                <w:szCs w:val="18"/>
                <w:color w:val="auto"/>
              </w:rPr>
            </w:pP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210"/>
        </w:trPr>
        <w:tc>
          <w:tcPr>
            <w:tcW w:w="640" w:type="dxa"/>
            <w:vAlign w:val="bottom"/>
            <w:tcBorders>
              <w:left w:val="single" w:sz="8" w:color="auto"/>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Tin</w:t>
            </w:r>
          </w:p>
        </w:tc>
        <w:tc>
          <w:tcPr>
            <w:tcW w:w="410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Operaciones Metalurgical S.A.</w:t>
            </w:r>
          </w:p>
        </w:tc>
        <w:tc>
          <w:tcPr>
            <w:tcW w:w="5480" w:type="dxa"/>
            <w:vAlign w:val="bottom"/>
            <w:tcBorders>
              <w:bottom w:val="single" w:sz="8" w:color="auto"/>
              <w:right w:val="single" w:sz="8" w:color="auto"/>
            </w:tcBorders>
          </w:tcPr>
          <w:p>
            <w:pPr>
              <w:spacing w:after="0"/>
              <w:rPr>
                <w:sz w:val="18"/>
                <w:szCs w:val="18"/>
                <w:color w:val="auto"/>
              </w:rPr>
            </w:pP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210"/>
        </w:trPr>
        <w:tc>
          <w:tcPr>
            <w:tcW w:w="640" w:type="dxa"/>
            <w:vAlign w:val="bottom"/>
            <w:tcBorders>
              <w:left w:val="single" w:sz="8" w:color="auto"/>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Tin</w:t>
            </w:r>
          </w:p>
        </w:tc>
        <w:tc>
          <w:tcPr>
            <w:tcW w:w="410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Phoenix Metal Ltd.</w:t>
            </w:r>
          </w:p>
        </w:tc>
        <w:tc>
          <w:tcPr>
            <w:tcW w:w="5480" w:type="dxa"/>
            <w:vAlign w:val="bottom"/>
            <w:tcBorders>
              <w:bottom w:val="single" w:sz="8" w:color="auto"/>
              <w:right w:val="single" w:sz="8" w:color="auto"/>
            </w:tcBorders>
          </w:tcPr>
          <w:p>
            <w:pPr>
              <w:spacing w:after="0"/>
              <w:rPr>
                <w:sz w:val="18"/>
                <w:szCs w:val="18"/>
                <w:color w:val="auto"/>
              </w:rPr>
            </w:pP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7"/>
              </w:rPr>
              <w:t>Active</w:t>
            </w:r>
          </w:p>
        </w:tc>
      </w:tr>
      <w:tr>
        <w:trPr>
          <w:trHeight w:val="210"/>
        </w:trPr>
        <w:tc>
          <w:tcPr>
            <w:tcW w:w="640" w:type="dxa"/>
            <w:vAlign w:val="bottom"/>
            <w:tcBorders>
              <w:left w:val="single" w:sz="8" w:color="auto"/>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Tin</w:t>
            </w:r>
          </w:p>
        </w:tc>
        <w:tc>
          <w:tcPr>
            <w:tcW w:w="410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PT Alam Lestari Kencana</w:t>
            </w:r>
          </w:p>
        </w:tc>
        <w:tc>
          <w:tcPr>
            <w:tcW w:w="5480" w:type="dxa"/>
            <w:vAlign w:val="bottom"/>
            <w:tcBorders>
              <w:bottom w:val="single" w:sz="8" w:color="auto"/>
              <w:right w:val="single" w:sz="8" w:color="auto"/>
            </w:tcBorders>
          </w:tcPr>
          <w:p>
            <w:pPr>
              <w:spacing w:after="0"/>
              <w:rPr>
                <w:sz w:val="18"/>
                <w:szCs w:val="18"/>
                <w:color w:val="auto"/>
              </w:rPr>
            </w:pP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5"/>
              </w:rPr>
              <w:t>Not Active</w:t>
            </w:r>
          </w:p>
        </w:tc>
      </w:tr>
      <w:tr>
        <w:trPr>
          <w:trHeight w:val="210"/>
        </w:trPr>
        <w:tc>
          <w:tcPr>
            <w:tcW w:w="640" w:type="dxa"/>
            <w:vAlign w:val="bottom"/>
            <w:tcBorders>
              <w:left w:val="single" w:sz="8" w:color="auto"/>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Tin</w:t>
            </w:r>
          </w:p>
        </w:tc>
        <w:tc>
          <w:tcPr>
            <w:tcW w:w="410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PT Aries Kencana Sejahtera</w:t>
            </w:r>
          </w:p>
        </w:tc>
        <w:tc>
          <w:tcPr>
            <w:tcW w:w="5480" w:type="dxa"/>
            <w:vAlign w:val="bottom"/>
            <w:tcBorders>
              <w:bottom w:val="single" w:sz="8" w:color="auto"/>
              <w:right w:val="single" w:sz="8" w:color="auto"/>
            </w:tcBorders>
          </w:tcPr>
          <w:p>
            <w:pPr>
              <w:spacing w:after="0"/>
              <w:rPr>
                <w:sz w:val="18"/>
                <w:szCs w:val="18"/>
                <w:color w:val="auto"/>
              </w:rPr>
            </w:pP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210"/>
        </w:trPr>
        <w:tc>
          <w:tcPr>
            <w:tcW w:w="640" w:type="dxa"/>
            <w:vAlign w:val="bottom"/>
            <w:tcBorders>
              <w:left w:val="single" w:sz="8" w:color="auto"/>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Tin</w:t>
            </w:r>
          </w:p>
        </w:tc>
        <w:tc>
          <w:tcPr>
            <w:tcW w:w="410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PT Artha Cipta Langgeng</w:t>
            </w:r>
          </w:p>
        </w:tc>
        <w:tc>
          <w:tcPr>
            <w:tcW w:w="5480" w:type="dxa"/>
            <w:vAlign w:val="bottom"/>
            <w:tcBorders>
              <w:bottom w:val="single" w:sz="8" w:color="auto"/>
              <w:right w:val="single" w:sz="8" w:color="auto"/>
            </w:tcBorders>
          </w:tcPr>
          <w:p>
            <w:pPr>
              <w:spacing w:after="0"/>
              <w:rPr>
                <w:sz w:val="18"/>
                <w:szCs w:val="18"/>
                <w:color w:val="auto"/>
              </w:rPr>
            </w:pP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210"/>
        </w:trPr>
        <w:tc>
          <w:tcPr>
            <w:tcW w:w="640" w:type="dxa"/>
            <w:vAlign w:val="bottom"/>
            <w:tcBorders>
              <w:left w:val="single" w:sz="8" w:color="auto"/>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Tin</w:t>
            </w:r>
          </w:p>
        </w:tc>
        <w:tc>
          <w:tcPr>
            <w:tcW w:w="410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PT ATD Makmur Mandiri Jaya</w:t>
            </w:r>
          </w:p>
        </w:tc>
        <w:tc>
          <w:tcPr>
            <w:tcW w:w="5480" w:type="dxa"/>
            <w:vAlign w:val="bottom"/>
            <w:tcBorders>
              <w:bottom w:val="single" w:sz="8" w:color="auto"/>
              <w:right w:val="single" w:sz="8" w:color="auto"/>
            </w:tcBorders>
          </w:tcPr>
          <w:p>
            <w:pPr>
              <w:spacing w:after="0"/>
              <w:rPr>
                <w:sz w:val="18"/>
                <w:szCs w:val="18"/>
                <w:color w:val="auto"/>
              </w:rPr>
            </w:pP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210"/>
        </w:trPr>
        <w:tc>
          <w:tcPr>
            <w:tcW w:w="640" w:type="dxa"/>
            <w:vAlign w:val="bottom"/>
            <w:tcBorders>
              <w:left w:val="single" w:sz="8" w:color="auto"/>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Tin</w:t>
            </w:r>
          </w:p>
        </w:tc>
        <w:tc>
          <w:tcPr>
            <w:tcW w:w="410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PT Babel Inti Perkasa</w:t>
            </w:r>
          </w:p>
        </w:tc>
        <w:tc>
          <w:tcPr>
            <w:tcW w:w="5480" w:type="dxa"/>
            <w:vAlign w:val="bottom"/>
            <w:tcBorders>
              <w:bottom w:val="single" w:sz="8" w:color="auto"/>
              <w:right w:val="single" w:sz="8" w:color="auto"/>
            </w:tcBorders>
          </w:tcPr>
          <w:p>
            <w:pPr>
              <w:spacing w:after="0"/>
              <w:rPr>
                <w:sz w:val="18"/>
                <w:szCs w:val="18"/>
                <w:color w:val="auto"/>
              </w:rPr>
            </w:pP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210"/>
        </w:trPr>
        <w:tc>
          <w:tcPr>
            <w:tcW w:w="640" w:type="dxa"/>
            <w:vAlign w:val="bottom"/>
            <w:tcBorders>
              <w:left w:val="single" w:sz="8" w:color="auto"/>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Tin</w:t>
            </w:r>
          </w:p>
        </w:tc>
        <w:tc>
          <w:tcPr>
            <w:tcW w:w="410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PT Bangka Kudai Tin</w:t>
            </w:r>
          </w:p>
        </w:tc>
        <w:tc>
          <w:tcPr>
            <w:tcW w:w="5480" w:type="dxa"/>
            <w:vAlign w:val="bottom"/>
            <w:tcBorders>
              <w:bottom w:val="single" w:sz="8" w:color="auto"/>
              <w:right w:val="single" w:sz="8" w:color="auto"/>
            </w:tcBorders>
          </w:tcPr>
          <w:p>
            <w:pPr>
              <w:spacing w:after="0"/>
              <w:rPr>
                <w:sz w:val="18"/>
                <w:szCs w:val="18"/>
                <w:color w:val="auto"/>
              </w:rPr>
            </w:pP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5"/>
              </w:rPr>
              <w:t>Not Active</w:t>
            </w:r>
          </w:p>
        </w:tc>
      </w:tr>
      <w:tr>
        <w:trPr>
          <w:trHeight w:val="210"/>
        </w:trPr>
        <w:tc>
          <w:tcPr>
            <w:tcW w:w="640" w:type="dxa"/>
            <w:vAlign w:val="bottom"/>
            <w:tcBorders>
              <w:left w:val="single" w:sz="8" w:color="auto"/>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Tin</w:t>
            </w:r>
          </w:p>
        </w:tc>
        <w:tc>
          <w:tcPr>
            <w:tcW w:w="410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PT Bangka Prima Tin</w:t>
            </w:r>
          </w:p>
        </w:tc>
        <w:tc>
          <w:tcPr>
            <w:tcW w:w="5480" w:type="dxa"/>
            <w:vAlign w:val="bottom"/>
            <w:tcBorders>
              <w:bottom w:val="single" w:sz="8" w:color="auto"/>
              <w:right w:val="single" w:sz="8" w:color="auto"/>
            </w:tcBorders>
          </w:tcPr>
          <w:p>
            <w:pPr>
              <w:spacing w:after="0"/>
              <w:rPr>
                <w:sz w:val="18"/>
                <w:szCs w:val="18"/>
                <w:color w:val="auto"/>
              </w:rPr>
            </w:pP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210"/>
        </w:trPr>
        <w:tc>
          <w:tcPr>
            <w:tcW w:w="640" w:type="dxa"/>
            <w:vAlign w:val="bottom"/>
            <w:tcBorders>
              <w:left w:val="single" w:sz="8" w:color="auto"/>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Tin</w:t>
            </w:r>
          </w:p>
        </w:tc>
        <w:tc>
          <w:tcPr>
            <w:tcW w:w="410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PT Bangka Timah Utama Sejahtera</w:t>
            </w:r>
          </w:p>
        </w:tc>
        <w:tc>
          <w:tcPr>
            <w:tcW w:w="5480" w:type="dxa"/>
            <w:vAlign w:val="bottom"/>
            <w:tcBorders>
              <w:bottom w:val="single" w:sz="8" w:color="auto"/>
              <w:right w:val="single" w:sz="8" w:color="auto"/>
            </w:tcBorders>
          </w:tcPr>
          <w:p>
            <w:pPr>
              <w:spacing w:after="0"/>
              <w:rPr>
                <w:sz w:val="18"/>
                <w:szCs w:val="18"/>
                <w:color w:val="auto"/>
              </w:rPr>
            </w:pP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5"/>
              </w:rPr>
              <w:t>Not Active</w:t>
            </w:r>
          </w:p>
        </w:tc>
      </w:tr>
      <w:tr>
        <w:trPr>
          <w:trHeight w:val="210"/>
        </w:trPr>
        <w:tc>
          <w:tcPr>
            <w:tcW w:w="640" w:type="dxa"/>
            <w:vAlign w:val="bottom"/>
            <w:tcBorders>
              <w:left w:val="single" w:sz="8" w:color="auto"/>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Tin</w:t>
            </w:r>
          </w:p>
        </w:tc>
        <w:tc>
          <w:tcPr>
            <w:tcW w:w="410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PT Bangka Tin Industry</w:t>
            </w:r>
          </w:p>
        </w:tc>
        <w:tc>
          <w:tcPr>
            <w:tcW w:w="5480" w:type="dxa"/>
            <w:vAlign w:val="bottom"/>
            <w:tcBorders>
              <w:bottom w:val="single" w:sz="8" w:color="auto"/>
              <w:right w:val="single" w:sz="8" w:color="auto"/>
            </w:tcBorders>
          </w:tcPr>
          <w:p>
            <w:pPr>
              <w:spacing w:after="0"/>
              <w:rPr>
                <w:sz w:val="18"/>
                <w:szCs w:val="18"/>
                <w:color w:val="auto"/>
              </w:rPr>
            </w:pP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210"/>
        </w:trPr>
        <w:tc>
          <w:tcPr>
            <w:tcW w:w="640" w:type="dxa"/>
            <w:vAlign w:val="bottom"/>
            <w:tcBorders>
              <w:left w:val="single" w:sz="8" w:color="auto"/>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Tin</w:t>
            </w:r>
          </w:p>
        </w:tc>
        <w:tc>
          <w:tcPr>
            <w:tcW w:w="410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PT Belitung Industri Sejahtera</w:t>
            </w:r>
          </w:p>
        </w:tc>
        <w:tc>
          <w:tcPr>
            <w:tcW w:w="5480" w:type="dxa"/>
            <w:vAlign w:val="bottom"/>
            <w:tcBorders>
              <w:bottom w:val="single" w:sz="8" w:color="auto"/>
              <w:right w:val="single" w:sz="8" w:color="auto"/>
            </w:tcBorders>
          </w:tcPr>
          <w:p>
            <w:pPr>
              <w:spacing w:after="0"/>
              <w:rPr>
                <w:sz w:val="18"/>
                <w:szCs w:val="18"/>
                <w:color w:val="auto"/>
              </w:rPr>
            </w:pP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210"/>
        </w:trPr>
        <w:tc>
          <w:tcPr>
            <w:tcW w:w="640" w:type="dxa"/>
            <w:vAlign w:val="bottom"/>
            <w:tcBorders>
              <w:left w:val="single" w:sz="8" w:color="auto"/>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Tin</w:t>
            </w:r>
          </w:p>
        </w:tc>
        <w:tc>
          <w:tcPr>
            <w:tcW w:w="410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PT BilliTin Makmur Lestari</w:t>
            </w:r>
          </w:p>
        </w:tc>
        <w:tc>
          <w:tcPr>
            <w:tcW w:w="5480" w:type="dxa"/>
            <w:vAlign w:val="bottom"/>
            <w:tcBorders>
              <w:bottom w:val="single" w:sz="8" w:color="auto"/>
              <w:right w:val="single" w:sz="8" w:color="auto"/>
            </w:tcBorders>
          </w:tcPr>
          <w:p>
            <w:pPr>
              <w:spacing w:after="0"/>
              <w:rPr>
                <w:sz w:val="18"/>
                <w:szCs w:val="18"/>
                <w:color w:val="auto"/>
              </w:rPr>
            </w:pP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210"/>
        </w:trPr>
        <w:tc>
          <w:tcPr>
            <w:tcW w:w="640" w:type="dxa"/>
            <w:vAlign w:val="bottom"/>
            <w:tcBorders>
              <w:left w:val="single" w:sz="8" w:color="auto"/>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Tin</w:t>
            </w:r>
          </w:p>
        </w:tc>
        <w:tc>
          <w:tcPr>
            <w:tcW w:w="410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PT Bukit Timah</w:t>
            </w:r>
          </w:p>
        </w:tc>
        <w:tc>
          <w:tcPr>
            <w:tcW w:w="5480" w:type="dxa"/>
            <w:vAlign w:val="bottom"/>
            <w:tcBorders>
              <w:bottom w:val="single" w:sz="8" w:color="auto"/>
              <w:right w:val="single" w:sz="8" w:color="auto"/>
            </w:tcBorders>
          </w:tcPr>
          <w:p>
            <w:pPr>
              <w:spacing w:after="0"/>
              <w:rPr>
                <w:sz w:val="18"/>
                <w:szCs w:val="18"/>
                <w:color w:val="auto"/>
              </w:rPr>
            </w:pP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210"/>
        </w:trPr>
        <w:tc>
          <w:tcPr>
            <w:tcW w:w="640" w:type="dxa"/>
            <w:vAlign w:val="bottom"/>
            <w:tcBorders>
              <w:left w:val="single" w:sz="8" w:color="auto"/>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Tin</w:t>
            </w:r>
          </w:p>
        </w:tc>
        <w:tc>
          <w:tcPr>
            <w:tcW w:w="410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PT Cipta Persada Mulia</w:t>
            </w:r>
          </w:p>
        </w:tc>
        <w:tc>
          <w:tcPr>
            <w:tcW w:w="5480" w:type="dxa"/>
            <w:vAlign w:val="bottom"/>
            <w:tcBorders>
              <w:bottom w:val="single" w:sz="8" w:color="auto"/>
              <w:right w:val="single" w:sz="8" w:color="auto"/>
            </w:tcBorders>
          </w:tcPr>
          <w:p>
            <w:pPr>
              <w:spacing w:after="0"/>
              <w:rPr>
                <w:sz w:val="18"/>
                <w:szCs w:val="18"/>
                <w:color w:val="auto"/>
              </w:rPr>
            </w:pP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210"/>
        </w:trPr>
        <w:tc>
          <w:tcPr>
            <w:tcW w:w="640" w:type="dxa"/>
            <w:vAlign w:val="bottom"/>
            <w:tcBorders>
              <w:left w:val="single" w:sz="8" w:color="auto"/>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Tin</w:t>
            </w:r>
          </w:p>
        </w:tc>
        <w:tc>
          <w:tcPr>
            <w:tcW w:w="410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PT DS Jaya Abadi</w:t>
            </w:r>
          </w:p>
        </w:tc>
        <w:tc>
          <w:tcPr>
            <w:tcW w:w="5480" w:type="dxa"/>
            <w:vAlign w:val="bottom"/>
            <w:tcBorders>
              <w:bottom w:val="single" w:sz="8" w:color="auto"/>
              <w:right w:val="single" w:sz="8" w:color="auto"/>
            </w:tcBorders>
          </w:tcPr>
          <w:p>
            <w:pPr>
              <w:spacing w:after="0"/>
              <w:rPr>
                <w:sz w:val="18"/>
                <w:szCs w:val="18"/>
                <w:color w:val="auto"/>
              </w:rPr>
            </w:pP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210"/>
        </w:trPr>
        <w:tc>
          <w:tcPr>
            <w:tcW w:w="640" w:type="dxa"/>
            <w:vAlign w:val="bottom"/>
            <w:tcBorders>
              <w:left w:val="single" w:sz="8" w:color="auto"/>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Tin</w:t>
            </w:r>
          </w:p>
        </w:tc>
        <w:tc>
          <w:tcPr>
            <w:tcW w:w="410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PT Eunindo Usaha Mandiri</w:t>
            </w:r>
          </w:p>
        </w:tc>
        <w:tc>
          <w:tcPr>
            <w:tcW w:w="5480" w:type="dxa"/>
            <w:vAlign w:val="bottom"/>
            <w:tcBorders>
              <w:bottom w:val="single" w:sz="8" w:color="auto"/>
              <w:right w:val="single" w:sz="8" w:color="auto"/>
            </w:tcBorders>
          </w:tcPr>
          <w:p>
            <w:pPr>
              <w:spacing w:after="0"/>
              <w:rPr>
                <w:sz w:val="18"/>
                <w:szCs w:val="18"/>
                <w:color w:val="auto"/>
              </w:rPr>
            </w:pP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210"/>
        </w:trPr>
        <w:tc>
          <w:tcPr>
            <w:tcW w:w="640" w:type="dxa"/>
            <w:vAlign w:val="bottom"/>
            <w:tcBorders>
              <w:left w:val="single" w:sz="8" w:color="auto"/>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Tin</w:t>
            </w:r>
          </w:p>
        </w:tc>
        <w:tc>
          <w:tcPr>
            <w:tcW w:w="410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PT Fang Di MulTindo</w:t>
            </w:r>
          </w:p>
        </w:tc>
        <w:tc>
          <w:tcPr>
            <w:tcW w:w="5480" w:type="dxa"/>
            <w:vAlign w:val="bottom"/>
            <w:tcBorders>
              <w:bottom w:val="single" w:sz="8" w:color="auto"/>
              <w:right w:val="single" w:sz="8" w:color="auto"/>
            </w:tcBorders>
          </w:tcPr>
          <w:p>
            <w:pPr>
              <w:spacing w:after="0"/>
              <w:rPr>
                <w:sz w:val="18"/>
                <w:szCs w:val="18"/>
                <w:color w:val="auto"/>
              </w:rPr>
            </w:pP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5"/>
              </w:rPr>
              <w:t>Not Active</w:t>
            </w:r>
          </w:p>
        </w:tc>
      </w:tr>
      <w:tr>
        <w:trPr>
          <w:trHeight w:val="210"/>
        </w:trPr>
        <w:tc>
          <w:tcPr>
            <w:tcW w:w="640" w:type="dxa"/>
            <w:vAlign w:val="bottom"/>
            <w:tcBorders>
              <w:left w:val="single" w:sz="8" w:color="auto"/>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Tin</w:t>
            </w:r>
          </w:p>
        </w:tc>
        <w:tc>
          <w:tcPr>
            <w:tcW w:w="410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PT Inti Stania Prima</w:t>
            </w:r>
          </w:p>
        </w:tc>
        <w:tc>
          <w:tcPr>
            <w:tcW w:w="5480" w:type="dxa"/>
            <w:vAlign w:val="bottom"/>
            <w:tcBorders>
              <w:bottom w:val="single" w:sz="8" w:color="auto"/>
              <w:right w:val="single" w:sz="8" w:color="auto"/>
            </w:tcBorders>
          </w:tcPr>
          <w:p>
            <w:pPr>
              <w:spacing w:after="0"/>
              <w:rPr>
                <w:sz w:val="18"/>
                <w:szCs w:val="18"/>
                <w:color w:val="auto"/>
              </w:rPr>
            </w:pP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210"/>
        </w:trPr>
        <w:tc>
          <w:tcPr>
            <w:tcW w:w="640" w:type="dxa"/>
            <w:vAlign w:val="bottom"/>
            <w:tcBorders>
              <w:left w:val="single" w:sz="8" w:color="auto"/>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Tin</w:t>
            </w:r>
          </w:p>
        </w:tc>
        <w:tc>
          <w:tcPr>
            <w:tcW w:w="410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PT Justindo</w:t>
            </w:r>
          </w:p>
        </w:tc>
        <w:tc>
          <w:tcPr>
            <w:tcW w:w="5480" w:type="dxa"/>
            <w:vAlign w:val="bottom"/>
            <w:tcBorders>
              <w:bottom w:val="single" w:sz="8" w:color="auto"/>
              <w:right w:val="single" w:sz="8" w:color="auto"/>
            </w:tcBorders>
          </w:tcPr>
          <w:p>
            <w:pPr>
              <w:spacing w:after="0"/>
              <w:rPr>
                <w:sz w:val="18"/>
                <w:szCs w:val="18"/>
                <w:color w:val="auto"/>
              </w:rPr>
            </w:pP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210"/>
        </w:trPr>
        <w:tc>
          <w:tcPr>
            <w:tcW w:w="640" w:type="dxa"/>
            <w:vAlign w:val="bottom"/>
            <w:tcBorders>
              <w:left w:val="single" w:sz="8" w:color="auto"/>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Tin</w:t>
            </w:r>
          </w:p>
        </w:tc>
        <w:tc>
          <w:tcPr>
            <w:tcW w:w="410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PT Karimun Mining</w:t>
            </w:r>
          </w:p>
        </w:tc>
        <w:tc>
          <w:tcPr>
            <w:tcW w:w="5480" w:type="dxa"/>
            <w:vAlign w:val="bottom"/>
            <w:tcBorders>
              <w:bottom w:val="single" w:sz="8" w:color="auto"/>
              <w:right w:val="single" w:sz="8" w:color="auto"/>
            </w:tcBorders>
          </w:tcPr>
          <w:p>
            <w:pPr>
              <w:spacing w:after="0"/>
              <w:rPr>
                <w:sz w:val="18"/>
                <w:szCs w:val="18"/>
                <w:color w:val="auto"/>
              </w:rPr>
            </w:pP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7"/>
              </w:rPr>
              <w:t>Active</w:t>
            </w:r>
          </w:p>
        </w:tc>
      </w:tr>
      <w:tr>
        <w:trPr>
          <w:trHeight w:val="210"/>
        </w:trPr>
        <w:tc>
          <w:tcPr>
            <w:tcW w:w="640" w:type="dxa"/>
            <w:vAlign w:val="bottom"/>
            <w:tcBorders>
              <w:left w:val="single" w:sz="8" w:color="auto"/>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Tin</w:t>
            </w:r>
          </w:p>
        </w:tc>
        <w:tc>
          <w:tcPr>
            <w:tcW w:w="410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PT Mitra Stania Prima</w:t>
            </w:r>
          </w:p>
        </w:tc>
        <w:tc>
          <w:tcPr>
            <w:tcW w:w="5480" w:type="dxa"/>
            <w:vAlign w:val="bottom"/>
            <w:tcBorders>
              <w:bottom w:val="single" w:sz="8" w:color="auto"/>
              <w:right w:val="single" w:sz="8" w:color="auto"/>
            </w:tcBorders>
          </w:tcPr>
          <w:p>
            <w:pPr>
              <w:spacing w:after="0"/>
              <w:rPr>
                <w:sz w:val="18"/>
                <w:szCs w:val="18"/>
                <w:color w:val="auto"/>
              </w:rPr>
            </w:pP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210"/>
        </w:trPr>
        <w:tc>
          <w:tcPr>
            <w:tcW w:w="640" w:type="dxa"/>
            <w:vAlign w:val="bottom"/>
            <w:tcBorders>
              <w:left w:val="single" w:sz="8" w:color="auto"/>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Tin</w:t>
            </w:r>
          </w:p>
        </w:tc>
        <w:tc>
          <w:tcPr>
            <w:tcW w:w="410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PT Panca Mega Persada</w:t>
            </w:r>
          </w:p>
        </w:tc>
        <w:tc>
          <w:tcPr>
            <w:tcW w:w="5480" w:type="dxa"/>
            <w:vAlign w:val="bottom"/>
            <w:tcBorders>
              <w:bottom w:val="single" w:sz="8" w:color="auto"/>
              <w:right w:val="single" w:sz="8" w:color="auto"/>
            </w:tcBorders>
          </w:tcPr>
          <w:p>
            <w:pPr>
              <w:spacing w:after="0"/>
              <w:rPr>
                <w:sz w:val="18"/>
                <w:szCs w:val="18"/>
                <w:color w:val="auto"/>
              </w:rPr>
            </w:pP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210"/>
        </w:trPr>
        <w:tc>
          <w:tcPr>
            <w:tcW w:w="640" w:type="dxa"/>
            <w:vAlign w:val="bottom"/>
            <w:tcBorders>
              <w:left w:val="single" w:sz="8" w:color="auto"/>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Tin</w:t>
            </w:r>
          </w:p>
        </w:tc>
        <w:tc>
          <w:tcPr>
            <w:tcW w:w="410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PT Pelat Timah Nusantara Tbk</w:t>
            </w:r>
          </w:p>
        </w:tc>
        <w:tc>
          <w:tcPr>
            <w:tcW w:w="5480" w:type="dxa"/>
            <w:vAlign w:val="bottom"/>
            <w:tcBorders>
              <w:bottom w:val="single" w:sz="8" w:color="auto"/>
              <w:right w:val="single" w:sz="8" w:color="auto"/>
            </w:tcBorders>
          </w:tcPr>
          <w:p>
            <w:pPr>
              <w:spacing w:after="0"/>
              <w:rPr>
                <w:sz w:val="18"/>
                <w:szCs w:val="18"/>
                <w:color w:val="auto"/>
              </w:rPr>
            </w:pP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5"/>
              </w:rPr>
              <w:t>Not Active</w:t>
            </w:r>
          </w:p>
        </w:tc>
      </w:tr>
      <w:tr>
        <w:trPr>
          <w:trHeight w:val="210"/>
        </w:trPr>
        <w:tc>
          <w:tcPr>
            <w:tcW w:w="640" w:type="dxa"/>
            <w:vAlign w:val="bottom"/>
            <w:tcBorders>
              <w:left w:val="single" w:sz="8" w:color="auto"/>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Tin</w:t>
            </w:r>
          </w:p>
        </w:tc>
        <w:tc>
          <w:tcPr>
            <w:tcW w:w="410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PT Prima Timah Utama</w:t>
            </w:r>
          </w:p>
        </w:tc>
        <w:tc>
          <w:tcPr>
            <w:tcW w:w="5480" w:type="dxa"/>
            <w:vAlign w:val="bottom"/>
            <w:tcBorders>
              <w:bottom w:val="single" w:sz="8" w:color="auto"/>
              <w:right w:val="single" w:sz="8" w:color="auto"/>
            </w:tcBorders>
          </w:tcPr>
          <w:p>
            <w:pPr>
              <w:spacing w:after="0"/>
              <w:rPr>
                <w:sz w:val="18"/>
                <w:szCs w:val="18"/>
                <w:color w:val="auto"/>
              </w:rPr>
            </w:pP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210"/>
        </w:trPr>
        <w:tc>
          <w:tcPr>
            <w:tcW w:w="640" w:type="dxa"/>
            <w:vAlign w:val="bottom"/>
            <w:tcBorders>
              <w:left w:val="single" w:sz="8" w:color="auto"/>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Tin</w:t>
            </w:r>
          </w:p>
        </w:tc>
        <w:tc>
          <w:tcPr>
            <w:tcW w:w="410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PT Refined Bangka Tin</w:t>
            </w:r>
          </w:p>
        </w:tc>
        <w:tc>
          <w:tcPr>
            <w:tcW w:w="5480" w:type="dxa"/>
            <w:vAlign w:val="bottom"/>
            <w:tcBorders>
              <w:bottom w:val="single" w:sz="8" w:color="auto"/>
              <w:right w:val="single" w:sz="8" w:color="auto"/>
            </w:tcBorders>
          </w:tcPr>
          <w:p>
            <w:pPr>
              <w:spacing w:after="0"/>
              <w:rPr>
                <w:sz w:val="18"/>
                <w:szCs w:val="18"/>
                <w:color w:val="auto"/>
              </w:rPr>
            </w:pP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210"/>
        </w:trPr>
        <w:tc>
          <w:tcPr>
            <w:tcW w:w="640" w:type="dxa"/>
            <w:vAlign w:val="bottom"/>
            <w:tcBorders>
              <w:left w:val="single" w:sz="8" w:color="auto"/>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Tin</w:t>
            </w:r>
          </w:p>
        </w:tc>
        <w:tc>
          <w:tcPr>
            <w:tcW w:w="410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PT Sariwiguna Binasentosa</w:t>
            </w:r>
          </w:p>
        </w:tc>
        <w:tc>
          <w:tcPr>
            <w:tcW w:w="5480" w:type="dxa"/>
            <w:vAlign w:val="bottom"/>
            <w:tcBorders>
              <w:bottom w:val="single" w:sz="8" w:color="auto"/>
              <w:right w:val="single" w:sz="8" w:color="auto"/>
            </w:tcBorders>
          </w:tcPr>
          <w:p>
            <w:pPr>
              <w:spacing w:after="0"/>
              <w:rPr>
                <w:sz w:val="18"/>
                <w:szCs w:val="18"/>
                <w:color w:val="auto"/>
              </w:rPr>
            </w:pP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210"/>
        </w:trPr>
        <w:tc>
          <w:tcPr>
            <w:tcW w:w="640" w:type="dxa"/>
            <w:vAlign w:val="bottom"/>
            <w:tcBorders>
              <w:left w:val="single" w:sz="8" w:color="auto"/>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Tin</w:t>
            </w:r>
          </w:p>
        </w:tc>
        <w:tc>
          <w:tcPr>
            <w:tcW w:w="410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PT Seirama Tin Investment</w:t>
            </w:r>
          </w:p>
        </w:tc>
        <w:tc>
          <w:tcPr>
            <w:tcW w:w="5480" w:type="dxa"/>
            <w:vAlign w:val="bottom"/>
            <w:tcBorders>
              <w:bottom w:val="single" w:sz="8" w:color="auto"/>
              <w:right w:val="single" w:sz="8" w:color="auto"/>
            </w:tcBorders>
          </w:tcPr>
          <w:p>
            <w:pPr>
              <w:spacing w:after="0"/>
              <w:rPr>
                <w:sz w:val="18"/>
                <w:szCs w:val="18"/>
                <w:color w:val="auto"/>
              </w:rPr>
            </w:pP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5"/>
              </w:rPr>
              <w:t>Not Active</w:t>
            </w:r>
          </w:p>
        </w:tc>
      </w:tr>
      <w:tr>
        <w:trPr>
          <w:trHeight w:val="210"/>
        </w:trPr>
        <w:tc>
          <w:tcPr>
            <w:tcW w:w="640" w:type="dxa"/>
            <w:vAlign w:val="bottom"/>
            <w:tcBorders>
              <w:left w:val="single" w:sz="8" w:color="auto"/>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Tin</w:t>
            </w:r>
          </w:p>
        </w:tc>
        <w:tc>
          <w:tcPr>
            <w:tcW w:w="410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PT Stanindo Inti Perkasa</w:t>
            </w:r>
          </w:p>
        </w:tc>
        <w:tc>
          <w:tcPr>
            <w:tcW w:w="5480" w:type="dxa"/>
            <w:vAlign w:val="bottom"/>
            <w:tcBorders>
              <w:bottom w:val="single" w:sz="8" w:color="auto"/>
              <w:right w:val="single" w:sz="8" w:color="auto"/>
            </w:tcBorders>
          </w:tcPr>
          <w:p>
            <w:pPr>
              <w:spacing w:after="0"/>
              <w:rPr>
                <w:sz w:val="18"/>
                <w:szCs w:val="18"/>
                <w:color w:val="auto"/>
              </w:rPr>
            </w:pP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210"/>
        </w:trPr>
        <w:tc>
          <w:tcPr>
            <w:tcW w:w="640" w:type="dxa"/>
            <w:vAlign w:val="bottom"/>
            <w:tcBorders>
              <w:left w:val="single" w:sz="8" w:color="auto"/>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Tin</w:t>
            </w:r>
          </w:p>
        </w:tc>
        <w:tc>
          <w:tcPr>
            <w:tcW w:w="410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PT Sumber Jaya Indah</w:t>
            </w:r>
          </w:p>
        </w:tc>
        <w:tc>
          <w:tcPr>
            <w:tcW w:w="5480" w:type="dxa"/>
            <w:vAlign w:val="bottom"/>
            <w:tcBorders>
              <w:bottom w:val="single" w:sz="8" w:color="auto"/>
              <w:right w:val="single" w:sz="8" w:color="auto"/>
            </w:tcBorders>
          </w:tcPr>
          <w:p>
            <w:pPr>
              <w:spacing w:after="0"/>
              <w:rPr>
                <w:sz w:val="18"/>
                <w:szCs w:val="18"/>
                <w:color w:val="auto"/>
              </w:rPr>
            </w:pP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210"/>
        </w:trPr>
        <w:tc>
          <w:tcPr>
            <w:tcW w:w="640" w:type="dxa"/>
            <w:vAlign w:val="bottom"/>
            <w:tcBorders>
              <w:left w:val="single" w:sz="8" w:color="auto"/>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Tin</w:t>
            </w:r>
          </w:p>
        </w:tc>
        <w:tc>
          <w:tcPr>
            <w:tcW w:w="410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PT Timah (Persero) Tbk Kundur</w:t>
            </w:r>
          </w:p>
        </w:tc>
        <w:tc>
          <w:tcPr>
            <w:tcW w:w="5480" w:type="dxa"/>
            <w:vAlign w:val="bottom"/>
            <w:tcBorders>
              <w:bottom w:val="single" w:sz="8" w:color="auto"/>
              <w:right w:val="single" w:sz="8" w:color="auto"/>
            </w:tcBorders>
          </w:tcPr>
          <w:p>
            <w:pPr>
              <w:spacing w:after="0"/>
              <w:rPr>
                <w:sz w:val="18"/>
                <w:szCs w:val="18"/>
                <w:color w:val="auto"/>
              </w:rPr>
            </w:pP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210"/>
        </w:trPr>
        <w:tc>
          <w:tcPr>
            <w:tcW w:w="640" w:type="dxa"/>
            <w:vAlign w:val="bottom"/>
            <w:tcBorders>
              <w:left w:val="single" w:sz="8" w:color="auto"/>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Tin</w:t>
            </w:r>
          </w:p>
        </w:tc>
        <w:tc>
          <w:tcPr>
            <w:tcW w:w="410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PT Timah (Persero) Tbk Mentok</w:t>
            </w:r>
          </w:p>
        </w:tc>
        <w:tc>
          <w:tcPr>
            <w:tcW w:w="5480" w:type="dxa"/>
            <w:vAlign w:val="bottom"/>
            <w:tcBorders>
              <w:bottom w:val="single" w:sz="8" w:color="auto"/>
              <w:right w:val="single" w:sz="8" w:color="auto"/>
            </w:tcBorders>
          </w:tcPr>
          <w:p>
            <w:pPr>
              <w:spacing w:after="0"/>
              <w:rPr>
                <w:sz w:val="18"/>
                <w:szCs w:val="18"/>
                <w:color w:val="auto"/>
              </w:rPr>
            </w:pP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210"/>
        </w:trPr>
        <w:tc>
          <w:tcPr>
            <w:tcW w:w="640" w:type="dxa"/>
            <w:vAlign w:val="bottom"/>
            <w:tcBorders>
              <w:left w:val="single" w:sz="8" w:color="auto"/>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Tin</w:t>
            </w:r>
          </w:p>
        </w:tc>
        <w:tc>
          <w:tcPr>
            <w:tcW w:w="410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PT Tinindo Inter Nusa</w:t>
            </w:r>
          </w:p>
        </w:tc>
        <w:tc>
          <w:tcPr>
            <w:tcW w:w="5480" w:type="dxa"/>
            <w:vAlign w:val="bottom"/>
            <w:tcBorders>
              <w:bottom w:val="single" w:sz="8" w:color="auto"/>
              <w:right w:val="single" w:sz="8" w:color="auto"/>
            </w:tcBorders>
          </w:tcPr>
          <w:p>
            <w:pPr>
              <w:spacing w:after="0"/>
              <w:rPr>
                <w:sz w:val="18"/>
                <w:szCs w:val="18"/>
                <w:color w:val="auto"/>
              </w:rPr>
            </w:pP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210"/>
        </w:trPr>
        <w:tc>
          <w:tcPr>
            <w:tcW w:w="640" w:type="dxa"/>
            <w:vAlign w:val="bottom"/>
            <w:tcBorders>
              <w:left w:val="single" w:sz="8" w:color="auto"/>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Tin</w:t>
            </w:r>
          </w:p>
        </w:tc>
        <w:tc>
          <w:tcPr>
            <w:tcW w:w="410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PT Tirus Putra Mandiri</w:t>
            </w:r>
          </w:p>
        </w:tc>
        <w:tc>
          <w:tcPr>
            <w:tcW w:w="5480" w:type="dxa"/>
            <w:vAlign w:val="bottom"/>
            <w:tcBorders>
              <w:bottom w:val="single" w:sz="8" w:color="auto"/>
              <w:right w:val="single" w:sz="8" w:color="auto"/>
            </w:tcBorders>
          </w:tcPr>
          <w:p>
            <w:pPr>
              <w:spacing w:after="0"/>
              <w:rPr>
                <w:sz w:val="18"/>
                <w:szCs w:val="18"/>
                <w:color w:val="auto"/>
              </w:rPr>
            </w:pP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5"/>
              </w:rPr>
              <w:t>Not Active</w:t>
            </w:r>
          </w:p>
        </w:tc>
      </w:tr>
      <w:tr>
        <w:trPr>
          <w:trHeight w:val="210"/>
        </w:trPr>
        <w:tc>
          <w:tcPr>
            <w:tcW w:w="640" w:type="dxa"/>
            <w:vAlign w:val="bottom"/>
            <w:tcBorders>
              <w:left w:val="single" w:sz="8" w:color="auto"/>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Tin</w:t>
            </w:r>
          </w:p>
        </w:tc>
        <w:tc>
          <w:tcPr>
            <w:tcW w:w="410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PT Tommy Utama</w:t>
            </w:r>
          </w:p>
        </w:tc>
        <w:tc>
          <w:tcPr>
            <w:tcW w:w="5480" w:type="dxa"/>
            <w:vAlign w:val="bottom"/>
            <w:tcBorders>
              <w:bottom w:val="single" w:sz="8" w:color="auto"/>
              <w:right w:val="single" w:sz="8" w:color="auto"/>
            </w:tcBorders>
          </w:tcPr>
          <w:p>
            <w:pPr>
              <w:spacing w:after="0"/>
              <w:rPr>
                <w:sz w:val="18"/>
                <w:szCs w:val="18"/>
                <w:color w:val="auto"/>
              </w:rPr>
            </w:pP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210"/>
        </w:trPr>
        <w:tc>
          <w:tcPr>
            <w:tcW w:w="640" w:type="dxa"/>
            <w:vAlign w:val="bottom"/>
            <w:tcBorders>
              <w:left w:val="single" w:sz="8" w:color="auto"/>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Tin</w:t>
            </w:r>
          </w:p>
        </w:tc>
        <w:tc>
          <w:tcPr>
            <w:tcW w:w="410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PT Wahana Perkit Jaya</w:t>
            </w:r>
          </w:p>
        </w:tc>
        <w:tc>
          <w:tcPr>
            <w:tcW w:w="5480" w:type="dxa"/>
            <w:vAlign w:val="bottom"/>
            <w:tcBorders>
              <w:bottom w:val="single" w:sz="8" w:color="auto"/>
              <w:right w:val="single" w:sz="8" w:color="auto"/>
            </w:tcBorders>
          </w:tcPr>
          <w:p>
            <w:pPr>
              <w:spacing w:after="0"/>
              <w:rPr>
                <w:sz w:val="18"/>
                <w:szCs w:val="18"/>
                <w:color w:val="auto"/>
              </w:rPr>
            </w:pP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210"/>
        </w:trPr>
        <w:tc>
          <w:tcPr>
            <w:tcW w:w="640" w:type="dxa"/>
            <w:vAlign w:val="bottom"/>
            <w:tcBorders>
              <w:left w:val="single" w:sz="8" w:color="auto"/>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Tin</w:t>
            </w:r>
          </w:p>
        </w:tc>
        <w:tc>
          <w:tcPr>
            <w:tcW w:w="410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Resind Indústria e Comércio Ltda.</w:t>
            </w:r>
          </w:p>
        </w:tc>
        <w:tc>
          <w:tcPr>
            <w:tcW w:w="5480" w:type="dxa"/>
            <w:vAlign w:val="bottom"/>
            <w:tcBorders>
              <w:bottom w:val="single" w:sz="8" w:color="auto"/>
              <w:right w:val="single" w:sz="8" w:color="auto"/>
            </w:tcBorders>
          </w:tcPr>
          <w:p>
            <w:pPr>
              <w:spacing w:after="0"/>
              <w:rPr>
                <w:sz w:val="18"/>
                <w:szCs w:val="18"/>
                <w:color w:val="auto"/>
              </w:rPr>
            </w:pP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210"/>
        </w:trPr>
        <w:tc>
          <w:tcPr>
            <w:tcW w:w="640" w:type="dxa"/>
            <w:vAlign w:val="bottom"/>
            <w:tcBorders>
              <w:left w:val="single" w:sz="8" w:color="auto"/>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Tin</w:t>
            </w:r>
          </w:p>
        </w:tc>
        <w:tc>
          <w:tcPr>
            <w:tcW w:w="410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Rui Da Hung</w:t>
            </w:r>
          </w:p>
        </w:tc>
        <w:tc>
          <w:tcPr>
            <w:tcW w:w="5480" w:type="dxa"/>
            <w:vAlign w:val="bottom"/>
            <w:tcBorders>
              <w:bottom w:val="single" w:sz="8" w:color="auto"/>
              <w:right w:val="single" w:sz="8" w:color="auto"/>
            </w:tcBorders>
          </w:tcPr>
          <w:p>
            <w:pPr>
              <w:spacing w:after="0"/>
              <w:rPr>
                <w:sz w:val="18"/>
                <w:szCs w:val="18"/>
                <w:color w:val="auto"/>
              </w:rPr>
            </w:pP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210"/>
        </w:trPr>
        <w:tc>
          <w:tcPr>
            <w:tcW w:w="640" w:type="dxa"/>
            <w:vAlign w:val="bottom"/>
            <w:tcBorders>
              <w:left w:val="single" w:sz="8" w:color="auto"/>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Tin</w:t>
            </w:r>
          </w:p>
        </w:tc>
        <w:tc>
          <w:tcPr>
            <w:tcW w:w="410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Soft Metais Ltda.</w:t>
            </w:r>
          </w:p>
        </w:tc>
        <w:tc>
          <w:tcPr>
            <w:tcW w:w="5480" w:type="dxa"/>
            <w:vAlign w:val="bottom"/>
            <w:tcBorders>
              <w:bottom w:val="single" w:sz="8" w:color="auto"/>
              <w:right w:val="single" w:sz="8" w:color="auto"/>
            </w:tcBorders>
          </w:tcPr>
          <w:p>
            <w:pPr>
              <w:spacing w:after="0"/>
              <w:rPr>
                <w:sz w:val="18"/>
                <w:szCs w:val="18"/>
                <w:color w:val="auto"/>
              </w:rPr>
            </w:pP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358"/>
        </w:trPr>
        <w:tc>
          <w:tcPr>
            <w:tcW w:w="640" w:type="dxa"/>
            <w:vAlign w:val="bottom"/>
          </w:tcPr>
          <w:p>
            <w:pPr>
              <w:spacing w:after="0"/>
              <w:rPr>
                <w:sz w:val="24"/>
                <w:szCs w:val="24"/>
                <w:color w:val="auto"/>
              </w:rPr>
            </w:pPr>
          </w:p>
        </w:tc>
        <w:tc>
          <w:tcPr>
            <w:tcW w:w="4100" w:type="dxa"/>
            <w:vAlign w:val="bottom"/>
          </w:tcPr>
          <w:p>
            <w:pPr>
              <w:spacing w:after="0"/>
              <w:rPr>
                <w:sz w:val="24"/>
                <w:szCs w:val="24"/>
                <w:color w:val="auto"/>
              </w:rPr>
            </w:pPr>
          </w:p>
        </w:tc>
        <w:tc>
          <w:tcPr>
            <w:tcW w:w="5480" w:type="dxa"/>
            <w:vAlign w:val="bottom"/>
          </w:tcPr>
          <w:p>
            <w:pPr>
              <w:jc w:val="right"/>
              <w:ind w:right="4370"/>
              <w:spacing w:after="0"/>
              <w:rPr>
                <w:sz w:val="20"/>
                <w:szCs w:val="20"/>
                <w:color w:val="auto"/>
              </w:rPr>
            </w:pPr>
            <w:r>
              <w:rPr>
                <w:rFonts w:ascii="Arial" w:cs="Arial" w:eastAsia="Arial" w:hAnsi="Arial"/>
                <w:sz w:val="18"/>
                <w:szCs w:val="18"/>
                <w:color w:val="auto"/>
              </w:rPr>
              <w:t>7</w:t>
            </w:r>
          </w:p>
        </w:tc>
        <w:tc>
          <w:tcPr>
            <w:tcW w:w="1220" w:type="dxa"/>
            <w:vAlign w:val="bottom"/>
          </w:tcPr>
          <w:p>
            <w:pPr>
              <w:spacing w:after="0"/>
              <w:rPr>
                <w:sz w:val="24"/>
                <w:szCs w:val="24"/>
                <w:color w:val="auto"/>
              </w:rPr>
            </w:pPr>
          </w:p>
        </w:tc>
      </w:tr>
    </w:tbl>
    <w:p>
      <w:pPr>
        <w:sectPr>
          <w:pgSz w:w="11900" w:h="16838" w:orient="portrait"/>
          <w:cols w:equalWidth="0" w:num="1">
            <w:col w:w="11440"/>
          </w:cols>
          <w:pgMar w:left="240" w:top="268" w:right="219" w:bottom="1440" w:gutter="0" w:footer="0" w:header="0"/>
        </w:sectPr>
      </w:pPr>
    </w:p>
    <w:bookmarkStart w:id="17" w:name="page18"/>
    <w:bookmarkEnd w:id="17"/>
    <w:p>
      <w:pPr>
        <w:spacing w:after="0" w:line="1"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p>
    <w:tbl>
      <w:tblPr>
        <w:tblLayout w:type="fixed"/>
        <w:tblInd w:w="10" w:type="dxa"/>
        <w:tblCellMar>
          <w:top w:w="0" w:type="dxa"/>
          <w:left w:w="0" w:type="dxa"/>
          <w:bottom w:w="0" w:type="dxa"/>
          <w:right w:w="0" w:type="dxa"/>
        </w:tblCellMar>
      </w:tblPr>
      <w:tr>
        <w:trPr>
          <w:trHeight w:val="230"/>
        </w:trPr>
        <w:tc>
          <w:tcPr>
            <w:tcW w:w="1080" w:type="dxa"/>
            <w:vAlign w:val="bottom"/>
            <w:tcBorders>
              <w:top w:val="single" w:sz="8" w:color="auto"/>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5"/>
              </w:rPr>
              <w:t>Tin</w:t>
            </w:r>
          </w:p>
        </w:tc>
        <w:tc>
          <w:tcPr>
            <w:tcW w:w="9140" w:type="dxa"/>
            <w:vAlign w:val="bottom"/>
            <w:tcBorders>
              <w:top w:val="single" w:sz="8" w:color="auto"/>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Thaisarco</w:t>
            </w:r>
          </w:p>
        </w:tc>
        <w:tc>
          <w:tcPr>
            <w:tcW w:w="1220" w:type="dxa"/>
            <w:vAlign w:val="bottom"/>
            <w:tcBorders>
              <w:top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210"/>
        </w:trPr>
        <w:tc>
          <w:tcPr>
            <w:tcW w:w="108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5"/>
              </w:rPr>
              <w:t>Tin</w:t>
            </w:r>
          </w:p>
        </w:tc>
        <w:tc>
          <w:tcPr>
            <w:tcW w:w="914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Tuyen Quang Non-Ferrous Metals Joint Stock Company</w:t>
            </w: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7"/>
              </w:rPr>
              <w:t>Active</w:t>
            </w:r>
          </w:p>
        </w:tc>
      </w:tr>
      <w:tr>
        <w:trPr>
          <w:trHeight w:val="210"/>
        </w:trPr>
        <w:tc>
          <w:tcPr>
            <w:tcW w:w="108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5"/>
              </w:rPr>
              <w:t>Tin</w:t>
            </w:r>
          </w:p>
        </w:tc>
        <w:tc>
          <w:tcPr>
            <w:tcW w:w="914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VQB Mineral and Trading Group JSC</w:t>
            </w: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210"/>
        </w:trPr>
        <w:tc>
          <w:tcPr>
            <w:tcW w:w="108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5"/>
              </w:rPr>
              <w:t>Tin</w:t>
            </w:r>
          </w:p>
        </w:tc>
        <w:tc>
          <w:tcPr>
            <w:tcW w:w="914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White Solder Metalurgia e Mineração Ltda.</w:t>
            </w: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210"/>
        </w:trPr>
        <w:tc>
          <w:tcPr>
            <w:tcW w:w="108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5"/>
              </w:rPr>
              <w:t>Tin</w:t>
            </w:r>
          </w:p>
        </w:tc>
        <w:tc>
          <w:tcPr>
            <w:tcW w:w="914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Yunnan Chengfeng Non-ferrous Metals Co., Ltd.</w:t>
            </w: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7"/>
              </w:rPr>
              <w:t>Active</w:t>
            </w:r>
          </w:p>
        </w:tc>
      </w:tr>
      <w:tr>
        <w:trPr>
          <w:trHeight w:val="210"/>
        </w:trPr>
        <w:tc>
          <w:tcPr>
            <w:tcW w:w="108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5"/>
              </w:rPr>
              <w:t>Tin</w:t>
            </w:r>
          </w:p>
        </w:tc>
        <w:tc>
          <w:tcPr>
            <w:tcW w:w="914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Yunnan Tin Group (Holding) Company Limited</w:t>
            </w: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210"/>
        </w:trPr>
        <w:tc>
          <w:tcPr>
            <w:tcW w:w="108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7"/>
              </w:rPr>
              <w:t>Tungsten</w:t>
            </w:r>
          </w:p>
        </w:tc>
        <w:tc>
          <w:tcPr>
            <w:tcW w:w="914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A.L.M.T. TUNGSTEN Corp.</w:t>
            </w: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210"/>
        </w:trPr>
        <w:tc>
          <w:tcPr>
            <w:tcW w:w="108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7"/>
              </w:rPr>
              <w:t>Tungsten</w:t>
            </w:r>
          </w:p>
        </w:tc>
        <w:tc>
          <w:tcPr>
            <w:tcW w:w="914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Asia Tungsten Products Vietnam Ltd.</w:t>
            </w: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210"/>
        </w:trPr>
        <w:tc>
          <w:tcPr>
            <w:tcW w:w="108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7"/>
              </w:rPr>
              <w:t>Tungsten</w:t>
            </w:r>
          </w:p>
        </w:tc>
        <w:tc>
          <w:tcPr>
            <w:tcW w:w="914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Chenzhou Diamond Tungsten Products Co., Ltd.</w:t>
            </w: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210"/>
        </w:trPr>
        <w:tc>
          <w:tcPr>
            <w:tcW w:w="108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7"/>
              </w:rPr>
              <w:t>Tungsten</w:t>
            </w:r>
          </w:p>
        </w:tc>
        <w:tc>
          <w:tcPr>
            <w:tcW w:w="914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Chongyi Zhangyuan Tungsten Co., Ltd.</w:t>
            </w: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210"/>
        </w:trPr>
        <w:tc>
          <w:tcPr>
            <w:tcW w:w="108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7"/>
              </w:rPr>
              <w:t>Tungsten</w:t>
            </w:r>
          </w:p>
        </w:tc>
        <w:tc>
          <w:tcPr>
            <w:tcW w:w="914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Dayu Jincheng Tungsten Industry Co., Ltd.</w:t>
            </w: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7"/>
              </w:rPr>
              <w:t>Active</w:t>
            </w:r>
          </w:p>
        </w:tc>
      </w:tr>
      <w:tr>
        <w:trPr>
          <w:trHeight w:val="210"/>
        </w:trPr>
        <w:tc>
          <w:tcPr>
            <w:tcW w:w="108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7"/>
              </w:rPr>
              <w:t>Tungsten</w:t>
            </w:r>
          </w:p>
        </w:tc>
        <w:tc>
          <w:tcPr>
            <w:tcW w:w="914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Dayu Weiliang Tungsten Co., Ltd.</w:t>
            </w: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7"/>
              </w:rPr>
              <w:t>Active</w:t>
            </w:r>
          </w:p>
        </w:tc>
      </w:tr>
      <w:tr>
        <w:trPr>
          <w:trHeight w:val="210"/>
        </w:trPr>
        <w:tc>
          <w:tcPr>
            <w:tcW w:w="108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7"/>
              </w:rPr>
              <w:t>Tungsten</w:t>
            </w:r>
          </w:p>
        </w:tc>
        <w:tc>
          <w:tcPr>
            <w:tcW w:w="914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Fujian Jinxin Tungsten Co., Ltd.</w:t>
            </w: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210"/>
        </w:trPr>
        <w:tc>
          <w:tcPr>
            <w:tcW w:w="108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7"/>
              </w:rPr>
              <w:t>Tungsten</w:t>
            </w:r>
          </w:p>
        </w:tc>
        <w:tc>
          <w:tcPr>
            <w:tcW w:w="914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Ganxian Shirui New Material Co., Ltd.</w:t>
            </w: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5"/>
              </w:rPr>
              <w:t>Not Active</w:t>
            </w:r>
          </w:p>
        </w:tc>
      </w:tr>
      <w:tr>
        <w:trPr>
          <w:trHeight w:val="210"/>
        </w:trPr>
        <w:tc>
          <w:tcPr>
            <w:tcW w:w="108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7"/>
              </w:rPr>
              <w:t>Tungsten</w:t>
            </w:r>
          </w:p>
        </w:tc>
        <w:tc>
          <w:tcPr>
            <w:tcW w:w="914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Ganzhou Huaxing Tungsten Products Co., Ltd.</w:t>
            </w: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210"/>
        </w:trPr>
        <w:tc>
          <w:tcPr>
            <w:tcW w:w="108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7"/>
              </w:rPr>
              <w:t>Tungsten</w:t>
            </w:r>
          </w:p>
        </w:tc>
        <w:tc>
          <w:tcPr>
            <w:tcW w:w="914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Ganzhou Jiangwu Ferrotungsten Co., Ltd.</w:t>
            </w: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210"/>
        </w:trPr>
        <w:tc>
          <w:tcPr>
            <w:tcW w:w="108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7"/>
              </w:rPr>
              <w:t>Tungsten</w:t>
            </w:r>
          </w:p>
        </w:tc>
        <w:tc>
          <w:tcPr>
            <w:tcW w:w="914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Ganzhou Non-ferrous Metals Smelting Co., Ltd.</w:t>
            </w: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7"/>
              </w:rPr>
              <w:t>Active</w:t>
            </w:r>
          </w:p>
        </w:tc>
      </w:tr>
      <w:tr>
        <w:trPr>
          <w:trHeight w:val="210"/>
        </w:trPr>
        <w:tc>
          <w:tcPr>
            <w:tcW w:w="108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7"/>
              </w:rPr>
              <w:t>Tungsten</w:t>
            </w:r>
          </w:p>
        </w:tc>
        <w:tc>
          <w:tcPr>
            <w:tcW w:w="914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Ganzhou Seadragon W &amp; Mo Co., Ltd.</w:t>
            </w: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210"/>
        </w:trPr>
        <w:tc>
          <w:tcPr>
            <w:tcW w:w="108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7"/>
              </w:rPr>
              <w:t>Tungsten</w:t>
            </w:r>
          </w:p>
        </w:tc>
        <w:tc>
          <w:tcPr>
            <w:tcW w:w="914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Ganzhou Yatai Tungsten Co., Ltd.</w:t>
            </w: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210"/>
        </w:trPr>
        <w:tc>
          <w:tcPr>
            <w:tcW w:w="108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7"/>
              </w:rPr>
              <w:t>Tungsten</w:t>
            </w:r>
          </w:p>
        </w:tc>
        <w:tc>
          <w:tcPr>
            <w:tcW w:w="914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Global Tungsten &amp; Powders Corp.</w:t>
            </w: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210"/>
        </w:trPr>
        <w:tc>
          <w:tcPr>
            <w:tcW w:w="108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7"/>
              </w:rPr>
              <w:t>Tungsten</w:t>
            </w:r>
          </w:p>
        </w:tc>
        <w:tc>
          <w:tcPr>
            <w:tcW w:w="914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Guangdong Xianglu Tungsten Co., Ltd.</w:t>
            </w: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210"/>
        </w:trPr>
        <w:tc>
          <w:tcPr>
            <w:tcW w:w="108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7"/>
              </w:rPr>
              <w:t>Tungsten</w:t>
            </w:r>
          </w:p>
        </w:tc>
        <w:tc>
          <w:tcPr>
            <w:tcW w:w="914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H.C. Starck GmbH</w:t>
            </w: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210"/>
        </w:trPr>
        <w:tc>
          <w:tcPr>
            <w:tcW w:w="108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7"/>
              </w:rPr>
              <w:t>Tungsten</w:t>
            </w:r>
          </w:p>
        </w:tc>
        <w:tc>
          <w:tcPr>
            <w:tcW w:w="914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H.C. Starck Smelting GmbH &amp; Co.KG</w:t>
            </w: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210"/>
        </w:trPr>
        <w:tc>
          <w:tcPr>
            <w:tcW w:w="108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7"/>
              </w:rPr>
              <w:t>Tungsten</w:t>
            </w:r>
          </w:p>
        </w:tc>
        <w:tc>
          <w:tcPr>
            <w:tcW w:w="914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Hunan Chenzhou Mining Co., Ltd.</w:t>
            </w: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210"/>
        </w:trPr>
        <w:tc>
          <w:tcPr>
            <w:tcW w:w="108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7"/>
              </w:rPr>
              <w:t>Tungsten</w:t>
            </w:r>
          </w:p>
        </w:tc>
        <w:tc>
          <w:tcPr>
            <w:tcW w:w="914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Hunan Chuangda Vanadium Tungsten Co., Ltd. Wuji</w:t>
            </w: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210"/>
        </w:trPr>
        <w:tc>
          <w:tcPr>
            <w:tcW w:w="108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7"/>
              </w:rPr>
              <w:t>Tungsten</w:t>
            </w:r>
          </w:p>
        </w:tc>
        <w:tc>
          <w:tcPr>
            <w:tcW w:w="914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Hunan Chuangda Vanadium Tungsten Co., Ltd. Yanglin</w:t>
            </w: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5"/>
              </w:rPr>
              <w:t>Not Active</w:t>
            </w:r>
          </w:p>
        </w:tc>
      </w:tr>
      <w:tr>
        <w:trPr>
          <w:trHeight w:val="210"/>
        </w:trPr>
        <w:tc>
          <w:tcPr>
            <w:tcW w:w="108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7"/>
              </w:rPr>
              <w:t>Tungsten</w:t>
            </w:r>
          </w:p>
        </w:tc>
        <w:tc>
          <w:tcPr>
            <w:tcW w:w="914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Hunan Chunchang Nonferrous Metals Co., Ltd.</w:t>
            </w: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210"/>
        </w:trPr>
        <w:tc>
          <w:tcPr>
            <w:tcW w:w="108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7"/>
              </w:rPr>
              <w:t>Tungsten</w:t>
            </w:r>
          </w:p>
        </w:tc>
        <w:tc>
          <w:tcPr>
            <w:tcW w:w="914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Hydrometallurg, JSC</w:t>
            </w: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210"/>
        </w:trPr>
        <w:tc>
          <w:tcPr>
            <w:tcW w:w="108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7"/>
              </w:rPr>
              <w:t>Tungsten</w:t>
            </w:r>
          </w:p>
        </w:tc>
        <w:tc>
          <w:tcPr>
            <w:tcW w:w="914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Japan New Metals Co., Ltd.</w:t>
            </w: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210"/>
        </w:trPr>
        <w:tc>
          <w:tcPr>
            <w:tcW w:w="108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7"/>
              </w:rPr>
              <w:t>Tungsten</w:t>
            </w:r>
          </w:p>
        </w:tc>
        <w:tc>
          <w:tcPr>
            <w:tcW w:w="914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Jiangwu H.C. Starck Tungsten Products Co., Ltd.</w:t>
            </w: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7"/>
              </w:rPr>
              <w:t>Active</w:t>
            </w:r>
          </w:p>
        </w:tc>
      </w:tr>
      <w:tr>
        <w:trPr>
          <w:trHeight w:val="210"/>
        </w:trPr>
        <w:tc>
          <w:tcPr>
            <w:tcW w:w="108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7"/>
              </w:rPr>
              <w:t>Tungsten</w:t>
            </w:r>
          </w:p>
        </w:tc>
        <w:tc>
          <w:tcPr>
            <w:tcW w:w="914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Jiangxi Gan Bei Tungsten Co., Ltd.</w:t>
            </w: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210"/>
        </w:trPr>
        <w:tc>
          <w:tcPr>
            <w:tcW w:w="108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7"/>
              </w:rPr>
              <w:t>Tungsten</w:t>
            </w:r>
          </w:p>
        </w:tc>
        <w:tc>
          <w:tcPr>
            <w:tcW w:w="914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Jiangxi Minmetals Gao’an Non-ferrous Metals Co., Ltd.</w:t>
            </w: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5"/>
              </w:rPr>
              <w:t>Not Active</w:t>
            </w:r>
          </w:p>
        </w:tc>
      </w:tr>
      <w:tr>
        <w:trPr>
          <w:trHeight w:val="210"/>
        </w:trPr>
        <w:tc>
          <w:tcPr>
            <w:tcW w:w="108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7"/>
              </w:rPr>
              <w:t>Tungsten</w:t>
            </w:r>
          </w:p>
        </w:tc>
        <w:tc>
          <w:tcPr>
            <w:tcW w:w="914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Jiangxi Tonggu Non-ferrous Metallurgical &amp; Chemical Co., Ltd.</w:t>
            </w: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7"/>
              </w:rPr>
              <w:t>Active</w:t>
            </w:r>
          </w:p>
        </w:tc>
      </w:tr>
      <w:tr>
        <w:trPr>
          <w:trHeight w:val="210"/>
        </w:trPr>
        <w:tc>
          <w:tcPr>
            <w:tcW w:w="108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7"/>
              </w:rPr>
              <w:t>Tungsten</w:t>
            </w:r>
          </w:p>
        </w:tc>
        <w:tc>
          <w:tcPr>
            <w:tcW w:w="914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Jiangxi Xinsheng Tungsten Industry Co., Ltd.</w:t>
            </w: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7"/>
              </w:rPr>
              <w:t>Active</w:t>
            </w:r>
          </w:p>
        </w:tc>
      </w:tr>
      <w:tr>
        <w:trPr>
          <w:trHeight w:val="210"/>
        </w:trPr>
        <w:tc>
          <w:tcPr>
            <w:tcW w:w="108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7"/>
              </w:rPr>
              <w:t>Tungsten</w:t>
            </w:r>
          </w:p>
        </w:tc>
        <w:tc>
          <w:tcPr>
            <w:tcW w:w="914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Jiangxi Xiushui Xianggan Nonferrous Metals Co., Ltd.</w:t>
            </w: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210"/>
        </w:trPr>
        <w:tc>
          <w:tcPr>
            <w:tcW w:w="108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7"/>
              </w:rPr>
              <w:t>Tungsten</w:t>
            </w:r>
          </w:p>
        </w:tc>
        <w:tc>
          <w:tcPr>
            <w:tcW w:w="914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Jiangxi Yaosheng Tungsten Co., Ltd.</w:t>
            </w: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7"/>
              </w:rPr>
              <w:t>Active</w:t>
            </w:r>
          </w:p>
        </w:tc>
      </w:tr>
      <w:tr>
        <w:trPr>
          <w:trHeight w:val="210"/>
        </w:trPr>
        <w:tc>
          <w:tcPr>
            <w:tcW w:w="108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7"/>
              </w:rPr>
              <w:t>Tungsten</w:t>
            </w:r>
          </w:p>
        </w:tc>
        <w:tc>
          <w:tcPr>
            <w:tcW w:w="914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Kennametal Fallon</w:t>
            </w: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7"/>
              </w:rPr>
              <w:t>Active</w:t>
            </w:r>
          </w:p>
        </w:tc>
      </w:tr>
      <w:tr>
        <w:trPr>
          <w:trHeight w:val="210"/>
        </w:trPr>
        <w:tc>
          <w:tcPr>
            <w:tcW w:w="108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7"/>
              </w:rPr>
              <w:t>Tungsten</w:t>
            </w:r>
          </w:p>
        </w:tc>
        <w:tc>
          <w:tcPr>
            <w:tcW w:w="914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Kennametal Huntsville</w:t>
            </w: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210"/>
        </w:trPr>
        <w:tc>
          <w:tcPr>
            <w:tcW w:w="108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7"/>
              </w:rPr>
              <w:t>Tungsten</w:t>
            </w:r>
          </w:p>
        </w:tc>
        <w:tc>
          <w:tcPr>
            <w:tcW w:w="914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Malipo Haiyu Tungsten Co., Ltd.</w:t>
            </w: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210"/>
        </w:trPr>
        <w:tc>
          <w:tcPr>
            <w:tcW w:w="108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7"/>
              </w:rPr>
              <w:t>Tungsten</w:t>
            </w:r>
          </w:p>
        </w:tc>
        <w:tc>
          <w:tcPr>
            <w:tcW w:w="914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Niagara Refining LLC</w:t>
            </w: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210"/>
        </w:trPr>
        <w:tc>
          <w:tcPr>
            <w:tcW w:w="108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7"/>
              </w:rPr>
              <w:t>Tungsten</w:t>
            </w:r>
          </w:p>
        </w:tc>
        <w:tc>
          <w:tcPr>
            <w:tcW w:w="914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Nui Phao H.C. Starck Tungsten Chemicals Manufacturing LLC</w:t>
            </w: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358"/>
        </w:trPr>
        <w:tc>
          <w:tcPr>
            <w:tcW w:w="1080" w:type="dxa"/>
            <w:vAlign w:val="bottom"/>
          </w:tcPr>
          <w:p>
            <w:pPr>
              <w:spacing w:after="0"/>
              <w:rPr>
                <w:sz w:val="24"/>
                <w:szCs w:val="24"/>
                <w:color w:val="auto"/>
              </w:rPr>
            </w:pPr>
          </w:p>
        </w:tc>
        <w:tc>
          <w:tcPr>
            <w:tcW w:w="9140" w:type="dxa"/>
            <w:vAlign w:val="bottom"/>
          </w:tcPr>
          <w:p>
            <w:pPr>
              <w:ind w:left="4580"/>
              <w:spacing w:after="0"/>
              <w:rPr>
                <w:sz w:val="20"/>
                <w:szCs w:val="20"/>
                <w:color w:val="auto"/>
              </w:rPr>
            </w:pPr>
            <w:r>
              <w:rPr>
                <w:rFonts w:ascii="Arial" w:cs="Arial" w:eastAsia="Arial" w:hAnsi="Arial"/>
                <w:sz w:val="18"/>
                <w:szCs w:val="18"/>
                <w:color w:val="auto"/>
              </w:rPr>
              <w:t>8</w:t>
            </w:r>
          </w:p>
        </w:tc>
        <w:tc>
          <w:tcPr>
            <w:tcW w:w="1220" w:type="dxa"/>
            <w:vAlign w:val="bottom"/>
          </w:tcPr>
          <w:p>
            <w:pPr>
              <w:spacing w:after="0"/>
              <w:rPr>
                <w:sz w:val="24"/>
                <w:szCs w:val="24"/>
                <w:color w:val="auto"/>
              </w:rPr>
            </w:pPr>
          </w:p>
        </w:tc>
      </w:tr>
    </w:tbl>
    <w:p>
      <w:pPr>
        <w:sectPr>
          <w:pgSz w:w="11900" w:h="16838" w:orient="portrait"/>
          <w:cols w:equalWidth="0" w:num="1">
            <w:col w:w="11440"/>
          </w:cols>
          <w:pgMar w:left="240" w:top="268" w:right="219" w:bottom="1440" w:gutter="0" w:footer="0" w:header="0"/>
        </w:sectPr>
      </w:pPr>
    </w:p>
    <w:bookmarkStart w:id="18" w:name="page19"/>
    <w:bookmarkEnd w:id="18"/>
    <w:p>
      <w:pPr>
        <w:spacing w:after="0" w:line="1"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p>
    <w:tbl>
      <w:tblPr>
        <w:tblLayout w:type="fixed"/>
        <w:tblInd w:w="10" w:type="dxa"/>
        <w:tblCellMar>
          <w:top w:w="0" w:type="dxa"/>
          <w:left w:w="0" w:type="dxa"/>
          <w:bottom w:w="0" w:type="dxa"/>
          <w:right w:w="0" w:type="dxa"/>
        </w:tblCellMar>
      </w:tblPr>
      <w:tr>
        <w:trPr>
          <w:trHeight w:val="230"/>
        </w:trPr>
        <w:tc>
          <w:tcPr>
            <w:tcW w:w="1080" w:type="dxa"/>
            <w:vAlign w:val="bottom"/>
            <w:tcBorders>
              <w:top w:val="single" w:sz="8" w:color="auto"/>
              <w:left w:val="single" w:sz="8" w:color="auto"/>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Tungsten</w:t>
            </w:r>
          </w:p>
        </w:tc>
        <w:tc>
          <w:tcPr>
            <w:tcW w:w="9140" w:type="dxa"/>
            <w:vAlign w:val="bottom"/>
            <w:tcBorders>
              <w:top w:val="single" w:sz="8" w:color="auto"/>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Pobedit, JSC</w:t>
            </w:r>
          </w:p>
        </w:tc>
        <w:tc>
          <w:tcPr>
            <w:tcW w:w="1220" w:type="dxa"/>
            <w:vAlign w:val="bottom"/>
            <w:tcBorders>
              <w:top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7"/>
              </w:rPr>
              <w:t>Active</w:t>
            </w:r>
          </w:p>
        </w:tc>
      </w:tr>
      <w:tr>
        <w:trPr>
          <w:trHeight w:val="210"/>
        </w:trPr>
        <w:tc>
          <w:tcPr>
            <w:tcW w:w="1080" w:type="dxa"/>
            <w:vAlign w:val="bottom"/>
            <w:tcBorders>
              <w:left w:val="single" w:sz="8" w:color="auto"/>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Tungsten</w:t>
            </w:r>
          </w:p>
        </w:tc>
        <w:tc>
          <w:tcPr>
            <w:tcW w:w="914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Sanher Tungsten Vietnam Co., Ltd.</w:t>
            </w: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5"/>
              </w:rPr>
              <w:t>Not Active</w:t>
            </w:r>
          </w:p>
        </w:tc>
      </w:tr>
      <w:tr>
        <w:trPr>
          <w:trHeight w:val="210"/>
        </w:trPr>
        <w:tc>
          <w:tcPr>
            <w:tcW w:w="1080" w:type="dxa"/>
            <w:vAlign w:val="bottom"/>
            <w:tcBorders>
              <w:left w:val="single" w:sz="8" w:color="auto"/>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Tungsten</w:t>
            </w:r>
          </w:p>
        </w:tc>
        <w:tc>
          <w:tcPr>
            <w:tcW w:w="914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Tejing (Vietnam) Tungsten Co., Ltd.</w:t>
            </w: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210"/>
        </w:trPr>
        <w:tc>
          <w:tcPr>
            <w:tcW w:w="1080" w:type="dxa"/>
            <w:vAlign w:val="bottom"/>
            <w:tcBorders>
              <w:left w:val="single" w:sz="8" w:color="auto"/>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Tungsten</w:t>
            </w:r>
          </w:p>
        </w:tc>
        <w:tc>
          <w:tcPr>
            <w:tcW w:w="914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Vietnam Youngsun Tungsten Industry Co., Ltd.</w:t>
            </w: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210"/>
        </w:trPr>
        <w:tc>
          <w:tcPr>
            <w:tcW w:w="1080" w:type="dxa"/>
            <w:vAlign w:val="bottom"/>
            <w:tcBorders>
              <w:left w:val="single" w:sz="8" w:color="auto"/>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Tungsten</w:t>
            </w:r>
          </w:p>
        </w:tc>
        <w:tc>
          <w:tcPr>
            <w:tcW w:w="914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Wolfram Bergbau und Hütten AG</w:t>
            </w: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210"/>
        </w:trPr>
        <w:tc>
          <w:tcPr>
            <w:tcW w:w="1080" w:type="dxa"/>
            <w:vAlign w:val="bottom"/>
            <w:tcBorders>
              <w:left w:val="single" w:sz="8" w:color="auto"/>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Tungsten</w:t>
            </w:r>
          </w:p>
        </w:tc>
        <w:tc>
          <w:tcPr>
            <w:tcW w:w="914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Xiamen Tungsten (H.C.) Co., Ltd.</w:t>
            </w: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210"/>
        </w:trPr>
        <w:tc>
          <w:tcPr>
            <w:tcW w:w="1080" w:type="dxa"/>
            <w:vAlign w:val="bottom"/>
            <w:tcBorders>
              <w:left w:val="single" w:sz="8" w:color="auto"/>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Tungsten</w:t>
            </w:r>
          </w:p>
        </w:tc>
        <w:tc>
          <w:tcPr>
            <w:tcW w:w="914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Xiamen Tungsten Co., Ltd.</w:t>
            </w: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r>
        <w:trPr>
          <w:trHeight w:val="210"/>
        </w:trPr>
        <w:tc>
          <w:tcPr>
            <w:tcW w:w="1080" w:type="dxa"/>
            <w:vAlign w:val="bottom"/>
            <w:tcBorders>
              <w:left w:val="single" w:sz="8" w:color="auto"/>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Tungsten</w:t>
            </w:r>
          </w:p>
        </w:tc>
        <w:tc>
          <w:tcPr>
            <w:tcW w:w="914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Xinhai Rendan Shaoguan Tungsten Co., Ltd.</w:t>
            </w:r>
          </w:p>
        </w:tc>
        <w:tc>
          <w:tcPr>
            <w:tcW w:w="12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Validated</w:t>
            </w:r>
          </w:p>
        </w:tc>
      </w:tr>
    </w:tbl>
    <w:p>
      <w:pPr>
        <w:spacing w:after="0" w:line="202" w:lineRule="exact"/>
        <w:rPr>
          <w:sz w:val="20"/>
          <w:szCs w:val="20"/>
          <w:color w:val="auto"/>
        </w:rPr>
      </w:pPr>
    </w:p>
    <w:p>
      <w:pPr>
        <w:jc w:val="both"/>
        <w:ind w:right="180"/>
        <w:spacing w:after="0" w:line="277" w:lineRule="auto"/>
        <w:rPr>
          <w:sz w:val="20"/>
          <w:szCs w:val="20"/>
          <w:color w:val="auto"/>
        </w:rPr>
      </w:pPr>
      <w:r>
        <w:rPr>
          <w:rFonts w:ascii="Arial" w:cs="Arial" w:eastAsia="Arial" w:hAnsi="Arial"/>
          <w:sz w:val="18"/>
          <w:szCs w:val="18"/>
          <w:color w:val="auto"/>
        </w:rPr>
        <w:t>The “Validated” smelters and refiners in the list above that report country of origin information to the CFSI reported that the Conflict Minerals processed by these facilities originated from the following countries:</w:t>
      </w:r>
    </w:p>
    <w:p>
      <w:pPr>
        <w:spacing w:after="0" w:line="170" w:lineRule="exact"/>
        <w:rPr>
          <w:sz w:val="20"/>
          <w:szCs w:val="20"/>
          <w:color w:val="auto"/>
        </w:rPr>
      </w:pPr>
    </w:p>
    <w:p>
      <w:pPr>
        <w:ind w:right="160"/>
        <w:spacing w:after="0" w:line="297" w:lineRule="auto"/>
        <w:rPr>
          <w:sz w:val="20"/>
          <w:szCs w:val="20"/>
          <w:color w:val="auto"/>
        </w:rPr>
      </w:pPr>
      <w:r>
        <w:rPr>
          <w:rFonts w:ascii="Arial" w:cs="Arial" w:eastAsia="Arial" w:hAnsi="Arial"/>
          <w:sz w:val="16"/>
          <w:szCs w:val="16"/>
          <w:color w:val="auto"/>
        </w:rPr>
        <w:t>Angola, Argentina, Australia, Austria, Belgium, Bolivia, Brazil, Burundi, Cambodia, Canada, Central African Republic, Chile, China, Colombia, Cote D’Ivoire, Czech Republic, Democratic Republic of the Congo, Djibouti, Ecuador, Egypt, Estonia, Ethiopia, France, Germany, Guyana, Hungary, India, Indonesia, Ireland, Israel, Japan, Kazakhstan, Kenya, Laos, Luxembourg, Madagascar, Malaysia, Mongolia, Mozambique, Myanmar, Namibia, Netherlands, Nigeria, Peru, Portugal, Republic of Congo, Russia, Rwanda, Sierra Leone, Singapore, Slovakia, South Africa, South Korea, South Sudan, Spain, Suriname, Switzerland, Taiwan, Tanzania, Thailand, Uganda, United Kingdom, United States of America, Vietnam, Zambia and Zimbabwe.</w:t>
      </w:r>
    </w:p>
    <w:p>
      <w:pPr>
        <w:spacing w:after="0" w:line="91" w:lineRule="exact"/>
        <w:rPr>
          <w:sz w:val="20"/>
          <w:szCs w:val="20"/>
          <w:color w:val="auto"/>
        </w:rPr>
      </w:pPr>
    </w:p>
    <w:p>
      <w:pPr>
        <w:jc w:val="center"/>
        <w:ind w:right="20"/>
        <w:spacing w:after="0"/>
        <w:rPr>
          <w:sz w:val="20"/>
          <w:szCs w:val="20"/>
          <w:color w:val="auto"/>
        </w:rPr>
      </w:pPr>
      <w:r>
        <w:rPr>
          <w:rFonts w:ascii="Arial" w:cs="Arial" w:eastAsia="Arial" w:hAnsi="Arial"/>
          <w:sz w:val="18"/>
          <w:szCs w:val="18"/>
          <w:color w:val="auto"/>
        </w:rPr>
        <w:t>9</w:t>
      </w:r>
    </w:p>
    <w:sectPr>
      <w:pgSz w:w="11900" w:h="16838" w:orient="portrait"/>
      <w:cols w:equalWidth="0" w:num="1">
        <w:col w:w="11440"/>
      </w:cols>
      <w:pgMar w:left="240" w:top="268" w:right="21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EE"/>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238E1F29"/>
    <w:multiLevelType w:val="hybridMultilevel"/>
    <w:lvl w:ilvl="0">
      <w:lvlJc w:val="left"/>
      <w:lvlText w:val="☒"/>
      <w:numFmt w:val="bullet"/>
      <w:start w:val="1"/>
    </w:lvl>
  </w:abstractNum>
  <w:abstractNum w:abstractNumId="1">
    <w:nsid w:val="46E87CCD"/>
    <w:multiLevelType w:val="hybridMultilevel"/>
    <w:lvl w:ilvl="0">
      <w:lvlJc w:val="left"/>
      <w:lvlText w:val="•"/>
      <w:numFmt w:val="bullet"/>
      <w:start w:val="1"/>
    </w:lvl>
  </w:abstractNum>
  <w:abstractNum w:abstractNumId="2">
    <w:nsid w:val="3D1B58BA"/>
    <w:multiLevelType w:val="hybridMultilevel"/>
    <w:lvl w:ilvl="0">
      <w:lvlJc w:val="left"/>
      <w:lvlText w:val="•"/>
      <w:numFmt w:val="bullet"/>
      <w:start w:val="1"/>
    </w:lvl>
    <w:lvl w:ilvl="1">
      <w:lvlJc w:val="left"/>
      <w:lvlText w:val="•"/>
      <w:numFmt w:val="bullet"/>
      <w:start w:val="1"/>
    </w:lvl>
  </w:abstractNum>
  <w:abstractNum w:abstractNumId="3">
    <w:nsid w:val="507ED7AB"/>
    <w:multiLevelType w:val="hybridMultilevel"/>
    <w:lvl w:ilvl="0">
      <w:lvlJc w:val="left"/>
      <w:lvlText w:val="•"/>
      <w:numFmt w:val="bullet"/>
      <w:start w:val="1"/>
    </w:lvl>
  </w:abstractNum>
  <w:abstractNum w:abstractNumId="4">
    <w:nsid w:val="2EB141F2"/>
    <w:multiLevelType w:val="hybridMultilevel"/>
    <w:lvl w:ilvl="0">
      <w:lvlJc w:val="left"/>
      <w:lvlText w:val="•"/>
      <w:numFmt w:val="bullet"/>
      <w:start w:val="1"/>
    </w:lvl>
  </w:abstractNum>
  <w:abstractNum w:abstractNumId="5">
    <w:nsid w:val="41B71EFB"/>
    <w:multiLevelType w:val="hybridMultilevel"/>
    <w:lvl w:ilvl="0">
      <w:lvlJc w:val="left"/>
      <w:lvlText w:val="•"/>
      <w:numFmt w:val="bullet"/>
      <w:start w:val="1"/>
    </w:lvl>
  </w:abstractNum>
  <w:abstractNum w:abstractNumId="6">
    <w:nsid w:val="79E2A9E3"/>
    <w:multiLevelType w:val="hybridMultilevel"/>
    <w:lvl w:ilvl="0">
      <w:lvlJc w:val="left"/>
      <w:lvlText w:val="•"/>
      <w:numFmt w:val="bullet"/>
      <w:start w:val="1"/>
    </w:lvl>
    <w:lvl w:ilvl="1">
      <w:lvlJc w:val="left"/>
      <w:lvlText w:val="*"/>
      <w:numFmt w:val="bullet"/>
      <w:start w:val="1"/>
    </w:lvl>
  </w:abstractNum>
  <w:abstractNum w:abstractNumId="7">
    <w:nsid w:val="7545E146"/>
    <w:multiLevelType w:val="hybridMultilevel"/>
    <w:lvl w:ilvl="0">
      <w:lvlJc w:val="left"/>
      <w:lvlText w:val="%1."/>
      <w:numFmt w:val="decimal"/>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jpe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2019-12-06T21:22:39Z</dcterms:created>
  <dcterms:modified xsi:type="dcterms:W3CDTF">2019-12-06T21:22:39Z</dcterms:modified>
</cp:coreProperties>
</file>