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60629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6062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Nagesh Sukhi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05/22/2015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4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2"/>
          <w:szCs w:val="22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2"/>
            <w:szCs w:val="22"/>
            <w:color w:val="0000EE"/>
          </w:rPr>
          <w:t xml:space="preserve"> </w:t>
        </w:r>
      </w:hyperlink>
      <w:r>
        <w:rPr>
          <w:rFonts w:ascii="Arial" w:cs="Arial" w:eastAsia="Arial" w:hAnsi="Arial"/>
          <w:sz w:val="22"/>
          <w:szCs w:val="22"/>
          <w:color w:val="000000"/>
        </w:rPr>
        <w:t>[</w:t>
      </w:r>
      <w:r>
        <w:rPr>
          <w:rFonts w:ascii="Arial" w:cs="Arial" w:eastAsia="Arial" w:hAnsi="Arial"/>
          <w:sz w:val="22"/>
          <w:szCs w:val="22"/>
          <w:color w:val="0000EE"/>
        </w:rPr>
        <w:t xml:space="preserve"> </w:t>
      </w:r>
      <w:r>
        <w:rPr>
          <w:rFonts w:ascii="Arial" w:cs="Arial" w:eastAsia="Arial" w:hAnsi="Arial"/>
          <w:sz w:val="17"/>
          <w:szCs w:val="17"/>
          <w:color w:val="0000FF"/>
        </w:rPr>
        <w:t>MRVL</w:t>
      </w:r>
      <w:r>
        <w:rPr>
          <w:rFonts w:ascii="Arial" w:cs="Arial" w:eastAsia="Arial" w:hAnsi="Arial"/>
          <w:sz w:val="22"/>
          <w:szCs w:val="22"/>
          <w:color w:val="0000EE"/>
        </w:rPr>
        <w:t xml:space="preserve"> </w:t>
      </w:r>
      <w:r>
        <w:rPr>
          <w:rFonts w:ascii="Arial" w:cs="Arial" w:eastAsia="Arial" w:hAnsi="Arial"/>
          <w:sz w:val="22"/>
          <w:szCs w:val="22"/>
          <w:color w:val="000000"/>
        </w:rPr>
        <w:t>]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3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4. Relationship of Reporting Person(s) to Issuer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26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2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4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26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Applicable Line)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00" w:type="dxa"/>
            <w:vAlign w:val="bottom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4"/>
              </w:rPr>
              <w:t>interim CFO</w:t>
            </w: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X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</w:t>
      </w:r>
    </w:p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Reporting Person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0" w:gutter="0" w:footer="0" w:header="0"/>
          <w:type w:val="continuous"/>
        </w:sectPr>
      </w:pP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00" w:type="dxa"/>
            <w:vAlign w:val="bottom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48"/>
        </w:trPr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</w:tbl>
    <w:p>
      <w:pPr>
        <w:spacing w:after="0" w:line="46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5,713</w:t>
            </w:r>
          </w:p>
        </w:tc>
        <w:tc>
          <w:tcPr>
            <w:tcW w:w="880" w:type="dxa"/>
            <w:vAlign w:val="bottom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top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Beneficially Owned</w:t>
            </w: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6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Underlying Derivative Security (Instr. 4)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Employee Stock Option (Right to Buy)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jc w:val="center"/>
              <w:ind w:lef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06/27/2021</w:t>
            </w:r>
          </w:p>
        </w:tc>
        <w:tc>
          <w:tcPr>
            <w:tcW w:w="18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ind w:lef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6,250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14.14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4"/>
              </w:rPr>
              <w:t>Restricted Stock Units (Right to Acquire)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jc w:val="center"/>
              <w:ind w:lef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18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ind w:lef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2,000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Employee Stock Option (Right to Buy)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jc w:val="center"/>
              <w:ind w:lef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04/21/2022</w:t>
            </w:r>
          </w:p>
        </w:tc>
        <w:tc>
          <w:tcPr>
            <w:tcW w:w="18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ind w:lef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6,124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15.2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Employee Stock Option (Right to Buy)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jc w:val="center"/>
              <w:ind w:lef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04/30/2023</w:t>
            </w:r>
          </w:p>
        </w:tc>
        <w:tc>
          <w:tcPr>
            <w:tcW w:w="18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ind w:lef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24,750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10.76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4"/>
              </w:rPr>
              <w:t>Restricted Stock Units (Right to Acquire)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jc w:val="center"/>
              <w:ind w:lef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18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ind w:lef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325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Employee Stock Option (Right to Buy)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jc w:val="center"/>
              <w:ind w:lef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03/03/2024</w:t>
            </w:r>
          </w:p>
        </w:tc>
        <w:tc>
          <w:tcPr>
            <w:tcW w:w="18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ind w:lef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7,500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15.43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4"/>
              </w:rPr>
              <w:t>Restricted Stock Units (Right to Acquire)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jc w:val="center"/>
              <w:ind w:lef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(8)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(8)</w:t>
            </w:r>
          </w:p>
        </w:tc>
        <w:tc>
          <w:tcPr>
            <w:tcW w:w="18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ind w:lef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7,500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Employee Stock Option (Right to Buy)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jc w:val="center"/>
              <w:ind w:lef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(9)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06/16/2024</w:t>
            </w:r>
          </w:p>
        </w:tc>
        <w:tc>
          <w:tcPr>
            <w:tcW w:w="18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ind w:lef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40,000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14.59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4"/>
              </w:rPr>
              <w:t>Restricted Stock Units (Right to Acquire)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jc w:val="center"/>
              <w:ind w:lef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(10)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(10)</w:t>
            </w:r>
          </w:p>
        </w:tc>
        <w:tc>
          <w:tcPr>
            <w:tcW w:w="18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ind w:lef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8,800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40" w:right="740" w:firstLine="9"/>
        <w:spacing w:after="0" w:line="239" w:lineRule="auto"/>
        <w:tabs>
          <w:tab w:leader="none" w:pos="175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Original option amount of 25,000 options vest and become exercisable at the rate of 1/5th of the shares on May 09, 2012 and 1/60th of the shares after the completion of each additional month of employment with Marvell Technology Group Ltd. ("Marvell") therafter over the next four years.</w:t>
      </w:r>
    </w:p>
    <w:p>
      <w:pPr>
        <w:spacing w:after="0" w:line="30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40" w:right="320" w:firstLine="9"/>
        <w:spacing w:after="0" w:line="305" w:lineRule="auto"/>
        <w:tabs>
          <w:tab w:leader="none" w:pos="175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reporting person received 10,000 restricted stock units subject to a five-year vesting schedule, vesting 1/5th on May 15, 2012 and 1/20th after each full three (3) months of employment with Marvell thereafter over the next four years; provided employment is served through each applicable vesting date. Upon vesting, Marvell common shares will be delivered to the reporting person.</w:t>
      </w: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restricted stock unit represents a contingent right to receive one Marvell common share.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40" w:right="220" w:firstLine="9"/>
        <w:spacing w:after="0" w:line="239" w:lineRule="auto"/>
        <w:tabs>
          <w:tab w:leader="none" w:pos="175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Original option amount of 12,250 options vest and become exercisable in four equal annual installments beginning on April 1, 2013 and every year thereafter; provided employment is served through each applicable vesting date.</w:t>
      </w:r>
    </w:p>
    <w:p>
      <w:pPr>
        <w:spacing w:after="0" w:line="30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40" w:right="220" w:firstLine="9"/>
        <w:spacing w:after="0" w:line="239" w:lineRule="auto"/>
        <w:tabs>
          <w:tab w:leader="none" w:pos="175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Original option amount of 24,750 options vest and become exercisable in three equal annual installments beginning on April 1, 2015 and each year thereafter; provided employment is served through each applicable vesting date.</w:t>
      </w:r>
    </w:p>
    <w:p>
      <w:pPr>
        <w:spacing w:after="0" w:line="30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40" w:right="100" w:firstLine="9"/>
        <w:spacing w:after="0" w:line="239" w:lineRule="auto"/>
        <w:tabs>
          <w:tab w:leader="none" w:pos="175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reporting person received 1,300 restricted stock units subject to a four-year vesting schedule, vesting at 25% on April 1, 2013 and 25% each year thereafter; provided employment is served through each applicable vesting date. Upon vesting, Marvell common shares will be delivered to the reporting person.</w:t>
      </w:r>
    </w:p>
    <w:p>
      <w:pPr>
        <w:spacing w:after="0" w:line="30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40" w:right="300" w:firstLine="9"/>
        <w:spacing w:after="0" w:line="239" w:lineRule="auto"/>
        <w:tabs>
          <w:tab w:leader="none" w:pos="175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Original option amount of 10,000 options vest and become exercisable in four equal annual installments beginning on January 27, 2015 and every year thereafter; provided employment is served through each applicable vesting date.</w:t>
      </w:r>
    </w:p>
    <w:p>
      <w:pPr>
        <w:spacing w:after="0" w:line="30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40" w:right="40" w:firstLine="9"/>
        <w:spacing w:after="0" w:line="239" w:lineRule="auto"/>
        <w:tabs>
          <w:tab w:leader="none" w:pos="175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reporting person received 10,000 restricted stock units subject to a four-year vesting schedule, vesting at 25% on February 15, 2015 and 25% each year thereafter; provided employment is served through each applicable vesting date. Upon vesting, Marvell common shares will be delivered to the reporting person.</w:t>
      </w:r>
    </w:p>
    <w:p>
      <w:pPr>
        <w:spacing w:after="0" w:line="30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40" w:right="240" w:firstLine="9"/>
        <w:spacing w:after="0" w:line="239" w:lineRule="auto"/>
        <w:tabs>
          <w:tab w:leader="none" w:pos="175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Option amount of 40,000 options vest and become exercisable in two equal annual installments beginning on April 1, 2017 and the following year; provided employment is served through each applicable vesting date.</w:t>
      </w:r>
    </w:p>
    <w:p>
      <w:pPr>
        <w:spacing w:after="0" w:line="30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40" w:right="280" w:firstLine="9"/>
        <w:spacing w:after="0" w:line="298" w:lineRule="auto"/>
        <w:tabs>
          <w:tab w:leader="none" w:pos="24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original performance-based grant was for 20,000 restricted stock units subject to the achievement of certain performance criteria. A portion of the criteria was determined to be met and 8,800 shares will vest on April 1, 2016; provided employment is served through the vesting date. Upon vesting, Marvell common shares will be delivered to the reporting person.</w:t>
      </w: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/s/ Sukhi Nagesh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06/01/2015</w:t>
            </w:r>
          </w:p>
        </w:tc>
      </w:tr>
      <w:tr>
        <w:trPr>
          <w:trHeight w:val="20"/>
        </w:trPr>
        <w:tc>
          <w:tcPr>
            <w:tcW w:w="12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5 (b)(v).</w:t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0" w:gutter="0" w:footer="0" w:header="0"/>
          <w:type w:val="continuous"/>
        </w:sectPr>
      </w:pPr>
    </w:p>
    <w:bookmarkStart w:id="1" w:name="page2"/>
    <w:bookmarkEnd w:id="1"/>
    <w:p>
      <w:pPr>
        <w:jc w:val="both"/>
        <w:ind w:right="2520" w:firstLine="9"/>
        <w:spacing w:after="0" w:line="350" w:lineRule="auto"/>
        <w:tabs>
          <w:tab w:leader="none" w:pos="14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320"/>
      </w:cols>
      <w:pgMar w:left="280" w:top="125" w:right="12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643488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2019-12-07T03:42:14Z</dcterms:created>
  <dcterms:modified xsi:type="dcterms:W3CDTF">2019-12-07T03:42:14Z</dcterms:modified>
</cp:coreProperties>
</file>