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50082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500824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Brown Tudor</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040" w:type="dxa"/>
            <w:vAlign w:val="bottom"/>
          </w:tcPr>
          <w:p>
            <w:pPr>
              <w:spacing w:after="0"/>
              <w:rPr>
                <w:sz w:val="20"/>
                <w:szCs w:val="20"/>
                <w:color w:val="auto"/>
              </w:rPr>
            </w:pPr>
            <w:r>
              <w:rPr>
                <w:rFonts w:ascii="Arial" w:cs="Arial" w:eastAsia="Arial" w:hAnsi="Arial"/>
                <w:sz w:val="14"/>
                <w:szCs w:val="14"/>
                <w:color w:val="auto"/>
              </w:rPr>
              <w:t>(Last)</w:t>
            </w:r>
          </w:p>
        </w:tc>
        <w:tc>
          <w:tcPr>
            <w:tcW w:w="1100" w:type="dxa"/>
            <w:vAlign w:val="bottom"/>
          </w:tcPr>
          <w:p>
            <w:pPr>
              <w:ind w:left="2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04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10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040" w:type="dxa"/>
            <w:vAlign w:val="bottom"/>
          </w:tcPr>
          <w:p>
            <w:pPr>
              <w:spacing w:after="0"/>
              <w:rPr>
                <w:sz w:val="20"/>
                <w:szCs w:val="20"/>
                <w:color w:val="auto"/>
              </w:rPr>
            </w:pPr>
            <w:r>
              <w:rPr>
                <w:rFonts w:ascii="Arial" w:cs="Arial" w:eastAsia="Arial" w:hAnsi="Arial"/>
                <w:sz w:val="18"/>
                <w:szCs w:val="18"/>
                <w:color w:val="0000FF"/>
              </w:rPr>
              <w:t>SAN JOSE</w:t>
            </w:r>
          </w:p>
        </w:tc>
        <w:tc>
          <w:tcPr>
            <w:tcW w:w="1100" w:type="dxa"/>
            <w:vAlign w:val="bottom"/>
          </w:tcPr>
          <w:p>
            <w:pPr>
              <w:ind w:left="240"/>
              <w:spacing w:after="0"/>
              <w:rPr>
                <w:sz w:val="20"/>
                <w:szCs w:val="20"/>
                <w:color w:val="auto"/>
              </w:rPr>
            </w:pPr>
            <w:r>
              <w:rPr>
                <w:rFonts w:ascii="Arial" w:cs="Arial" w:eastAsia="Arial" w:hAnsi="Arial"/>
                <w:sz w:val="18"/>
                <w:szCs w:val="18"/>
                <w:color w:val="0000FF"/>
              </w:rPr>
              <w:t>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95134</w:t>
            </w:r>
          </w:p>
        </w:tc>
      </w:tr>
      <w:tr>
        <w:trPr>
          <w:trHeight w:val="158"/>
        </w:trPr>
        <w:tc>
          <w:tcPr>
            <w:tcW w:w="40" w:type="dxa"/>
            <w:vAlign w:val="bottom"/>
          </w:tcPr>
          <w:p>
            <w:pPr>
              <w:spacing w:after="0"/>
              <w:rPr>
                <w:sz w:val="13"/>
                <w:szCs w:val="13"/>
                <w:color w:val="auto"/>
              </w:rPr>
            </w:pPr>
          </w:p>
        </w:tc>
        <w:tc>
          <w:tcPr>
            <w:tcW w:w="104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040" w:type="dxa"/>
            <w:vAlign w:val="bottom"/>
          </w:tcPr>
          <w:p>
            <w:pPr>
              <w:spacing w:after="0"/>
              <w:rPr>
                <w:sz w:val="20"/>
                <w:szCs w:val="20"/>
                <w:color w:val="auto"/>
              </w:rPr>
            </w:pPr>
            <w:r>
              <w:rPr>
                <w:rFonts w:ascii="Arial" w:cs="Arial" w:eastAsia="Arial" w:hAnsi="Arial"/>
                <w:sz w:val="14"/>
                <w:szCs w:val="14"/>
                <w:color w:val="auto"/>
              </w:rPr>
              <w:t>(City)</w:t>
            </w:r>
          </w:p>
        </w:tc>
        <w:tc>
          <w:tcPr>
            <w:tcW w:w="1100" w:type="dxa"/>
            <w:vAlign w:val="bottom"/>
          </w:tcPr>
          <w:p>
            <w:pPr>
              <w:ind w:left="2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12/07/2016</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0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80" w:type="dxa"/>
            <w:vAlign w:val="bottom"/>
          </w:tcPr>
          <w:p>
            <w:pPr>
              <w:ind w:left="8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of Indirect</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Beneficial</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Ownership</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8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40" w:type="dxa"/>
            <w:vAlign w:val="bottom"/>
            <w:vMerge w:val="restart"/>
          </w:tcPr>
          <w:p>
            <w:pPr>
              <w:ind w:left="100"/>
              <w:spacing w:after="0" w:line="135" w:lineRule="exact"/>
              <w:rPr>
                <w:sz w:val="20"/>
                <w:szCs w:val="20"/>
                <w:color w:val="auto"/>
              </w:rPr>
            </w:pPr>
            <w:r>
              <w:rPr>
                <w:rFonts w:ascii="Arial" w:cs="Arial" w:eastAsia="Arial" w:hAnsi="Arial"/>
                <w:sz w:val="12"/>
                <w:szCs w:val="12"/>
                <w:b w:val="1"/>
                <w:bCs w:val="1"/>
                <w:color w:val="auto"/>
              </w:rPr>
              <w:t>(Instr. 4)</w:t>
            </w: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8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1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8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8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8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8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2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80" w:type="dxa"/>
            <w:vAlign w:val="bottom"/>
            <w:tcBorders>
              <w:top w:val="single" w:sz="8" w:color="808080"/>
            </w:tcBorders>
            <w:shd w:val="clear" w:color="auto" w:fill="2C2C2C"/>
          </w:tcPr>
          <w:p>
            <w:pPr>
              <w:spacing w:after="0" w:line="20" w:lineRule="exact"/>
              <w:rPr>
                <w:sz w:val="1"/>
                <w:szCs w:val="1"/>
                <w:color w:val="auto"/>
              </w:rPr>
            </w:pPr>
          </w:p>
        </w:tc>
        <w:tc>
          <w:tcPr>
            <w:tcW w:w="96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p>
      <w:pPr>
        <w:spacing w:after="0" w:line="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109"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2"/>
                <w:szCs w:val="12"/>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15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2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8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spacing w:after="0"/>
              <w:rPr>
                <w:sz w:val="11"/>
                <w:szCs w:val="11"/>
                <w:color w:val="auto"/>
              </w:rPr>
            </w:pPr>
          </w:p>
        </w:tc>
        <w:tc>
          <w:tcPr>
            <w:tcW w:w="54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Stock</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(1)</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2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vMerge w:val="restart"/>
          </w:tcPr>
          <w:p>
            <w:pPr>
              <w:jc w:val="right"/>
              <w:ind w:right="241"/>
              <w:spacing w:after="0"/>
              <w:rPr>
                <w:sz w:val="20"/>
                <w:szCs w:val="20"/>
                <w:color w:val="auto"/>
              </w:rPr>
            </w:pPr>
            <w:r>
              <w:rPr>
                <w:rFonts w:ascii="Arial" w:cs="Arial" w:eastAsia="Arial" w:hAnsi="Arial"/>
                <w:sz w:val="11"/>
                <w:szCs w:val="11"/>
                <w:color w:val="008000"/>
              </w:rPr>
              <w:t>(2)</w:t>
            </w:r>
          </w:p>
        </w:tc>
        <w:tc>
          <w:tcPr>
            <w:tcW w:w="720" w:type="dxa"/>
            <w:vAlign w:val="bottom"/>
            <w:vMerge w:val="restart"/>
          </w:tcPr>
          <w:p>
            <w:pPr>
              <w:ind w:left="8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ind w:left="40"/>
              <w:spacing w:after="0"/>
              <w:rPr>
                <w:sz w:val="20"/>
                <w:szCs w:val="20"/>
                <w:color w:val="auto"/>
              </w:rPr>
            </w:pPr>
            <w:r>
              <w:rPr>
                <w:rFonts w:ascii="Arial" w:cs="Arial" w:eastAsia="Arial" w:hAnsi="Arial"/>
                <w:sz w:val="18"/>
                <w:szCs w:val="18"/>
                <w:color w:val="0000FF"/>
              </w:rPr>
              <w:t>8,011</w:t>
            </w:r>
          </w:p>
        </w:tc>
        <w:tc>
          <w:tcPr>
            <w:tcW w:w="7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Units</w:t>
            </w:r>
          </w:p>
        </w:tc>
        <w:tc>
          <w:tcPr>
            <w:tcW w:w="820" w:type="dxa"/>
            <w:vAlign w:val="bottom"/>
            <w:vMerge w:val="continue"/>
          </w:tcPr>
          <w:p>
            <w:pPr>
              <w:spacing w:after="0"/>
              <w:rPr>
                <w:sz w:val="5"/>
                <w:szCs w:val="5"/>
                <w:color w:val="auto"/>
              </w:rPr>
            </w:pPr>
          </w:p>
        </w:tc>
        <w:tc>
          <w:tcPr>
            <w:tcW w:w="1140" w:type="dxa"/>
            <w:vAlign w:val="bottom"/>
            <w:vMerge w:val="restart"/>
          </w:tcPr>
          <w:p>
            <w:pPr>
              <w:jc w:val="right"/>
              <w:ind w:right="198"/>
              <w:spacing w:after="0" w:line="149" w:lineRule="exact"/>
              <w:rPr>
                <w:sz w:val="20"/>
                <w:szCs w:val="20"/>
                <w:color w:val="auto"/>
              </w:rPr>
            </w:pPr>
            <w:r>
              <w:rPr>
                <w:rFonts w:ascii="Arial" w:cs="Arial" w:eastAsia="Arial" w:hAnsi="Arial"/>
                <w:sz w:val="14"/>
                <w:szCs w:val="14"/>
                <w:color w:val="0000FF"/>
              </w:rPr>
              <w:t>12/07/2016</w:t>
            </w:r>
          </w:p>
        </w:tc>
        <w:tc>
          <w:tcPr>
            <w:tcW w:w="1140" w:type="dxa"/>
            <w:vAlign w:val="bottom"/>
          </w:tcPr>
          <w:p>
            <w:pPr>
              <w:spacing w:after="0"/>
              <w:rPr>
                <w:sz w:val="5"/>
                <w:szCs w:val="5"/>
                <w:color w:val="auto"/>
              </w:rPr>
            </w:pPr>
          </w:p>
        </w:tc>
        <w:tc>
          <w:tcPr>
            <w:tcW w:w="820" w:type="dxa"/>
            <w:vAlign w:val="bottom"/>
            <w:vMerge w:val="restart"/>
          </w:tcPr>
          <w:p>
            <w:pPr>
              <w:ind w:left="160"/>
              <w:spacing w:after="0" w:line="149" w:lineRule="exact"/>
              <w:rPr>
                <w:sz w:val="20"/>
                <w:szCs w:val="20"/>
                <w:color w:val="auto"/>
              </w:rPr>
            </w:pPr>
            <w:r>
              <w:rPr>
                <w:rFonts w:ascii="Arial" w:cs="Arial" w:eastAsia="Arial" w:hAnsi="Arial"/>
                <w:sz w:val="14"/>
                <w:szCs w:val="14"/>
                <w:color w:val="0000FF"/>
              </w:rPr>
              <w:t>A</w:t>
            </w:r>
          </w:p>
        </w:tc>
        <w:tc>
          <w:tcPr>
            <w:tcW w:w="500" w:type="dxa"/>
            <w:vAlign w:val="bottom"/>
            <w:vMerge w:val="restart"/>
          </w:tcPr>
          <w:p>
            <w:pPr>
              <w:ind w:left="100"/>
              <w:spacing w:after="0" w:line="149" w:lineRule="exact"/>
              <w:rPr>
                <w:sz w:val="20"/>
                <w:szCs w:val="20"/>
                <w:color w:val="auto"/>
              </w:rPr>
            </w:pPr>
            <w:r>
              <w:rPr>
                <w:rFonts w:ascii="Arial" w:cs="Arial" w:eastAsia="Arial" w:hAnsi="Arial"/>
                <w:sz w:val="14"/>
                <w:szCs w:val="14"/>
                <w:color w:val="0000FF"/>
              </w:rPr>
              <w:t>8,011</w:t>
            </w:r>
          </w:p>
        </w:tc>
        <w:tc>
          <w:tcPr>
            <w:tcW w:w="280" w:type="dxa"/>
            <w:vAlign w:val="bottom"/>
          </w:tcPr>
          <w:p>
            <w:pPr>
              <w:spacing w:after="0"/>
              <w:rPr>
                <w:sz w:val="5"/>
                <w:szCs w:val="5"/>
                <w:color w:val="auto"/>
              </w:rPr>
            </w:pPr>
          </w:p>
        </w:tc>
        <w:tc>
          <w:tcPr>
            <w:tcW w:w="82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540" w:type="dxa"/>
            <w:vAlign w:val="bottom"/>
            <w:vMerge w:val="continue"/>
          </w:tcPr>
          <w:p>
            <w:pPr>
              <w:spacing w:after="0"/>
              <w:rPr>
                <w:sz w:val="5"/>
                <w:szCs w:val="5"/>
                <w:color w:val="auto"/>
              </w:rPr>
            </w:pPr>
          </w:p>
        </w:tc>
        <w:tc>
          <w:tcPr>
            <w:tcW w:w="720" w:type="dxa"/>
            <w:vAlign w:val="bottom"/>
            <w:vMerge w:val="restart"/>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80" w:type="dxa"/>
            <w:vAlign w:val="bottom"/>
            <w:vMerge w:val="restart"/>
          </w:tcPr>
          <w:p>
            <w:pPr>
              <w:ind w:left="340"/>
              <w:spacing w:after="0" w:line="149" w:lineRule="exact"/>
              <w:rPr>
                <w:sz w:val="20"/>
                <w:szCs w:val="20"/>
                <w:color w:val="auto"/>
              </w:rPr>
            </w:pPr>
            <w:r>
              <w:rPr>
                <w:rFonts w:ascii="Arial" w:cs="Arial" w:eastAsia="Arial" w:hAnsi="Arial"/>
                <w:sz w:val="14"/>
                <w:szCs w:val="14"/>
                <w:color w:val="0000FF"/>
              </w:rPr>
              <w:t>8,011</w:t>
            </w:r>
          </w:p>
        </w:tc>
        <w:tc>
          <w:tcPr>
            <w:tcW w:w="760" w:type="dxa"/>
            <w:vAlign w:val="bottom"/>
            <w:vMerge w:val="restart"/>
          </w:tcPr>
          <w:p>
            <w:pPr>
              <w:ind w:left="340"/>
              <w:spacing w:after="0" w:line="149" w:lineRule="exact"/>
              <w:rPr>
                <w:sz w:val="20"/>
                <w:szCs w:val="20"/>
                <w:color w:val="auto"/>
              </w:rPr>
            </w:pPr>
            <w:r>
              <w:rPr>
                <w:rFonts w:ascii="Arial" w:cs="Arial" w:eastAsia="Arial" w:hAnsi="Arial"/>
                <w:sz w:val="14"/>
                <w:szCs w:val="14"/>
                <w:color w:val="0000FF"/>
              </w:rPr>
              <w:t>D</w:t>
            </w:r>
          </w:p>
        </w:tc>
        <w:tc>
          <w:tcPr>
            <w:tcW w:w="7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720" w:type="dxa"/>
            <w:vAlign w:val="bottom"/>
            <w:vMerge w:val="continue"/>
          </w:tcPr>
          <w:p>
            <w:pPr>
              <w:spacing w:after="0"/>
              <w:rPr>
                <w:sz w:val="7"/>
                <w:szCs w:val="7"/>
                <w:color w:val="auto"/>
              </w:rPr>
            </w:pPr>
          </w:p>
        </w:tc>
        <w:tc>
          <w:tcPr>
            <w:tcW w:w="820" w:type="dxa"/>
            <w:vAlign w:val="bottom"/>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50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720" w:type="dxa"/>
            <w:vAlign w:val="bottom"/>
            <w:vMerge w:val="restart"/>
          </w:tcPr>
          <w:p>
            <w:pPr>
              <w:ind w:left="180"/>
              <w:spacing w:after="0"/>
              <w:rPr>
                <w:sz w:val="20"/>
                <w:szCs w:val="20"/>
                <w:color w:val="auto"/>
              </w:rPr>
            </w:pPr>
            <w:r>
              <w:rPr>
                <w:rFonts w:ascii="Arial" w:cs="Arial" w:eastAsia="Arial" w:hAnsi="Arial"/>
                <w:sz w:val="14"/>
                <w:szCs w:val="14"/>
                <w:color w:val="0000FF"/>
              </w:rPr>
              <w:t>stock</w:t>
            </w:r>
          </w:p>
        </w:tc>
        <w:tc>
          <w:tcPr>
            <w:tcW w:w="54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98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20" w:type="dxa"/>
            <w:vAlign w:val="bottom"/>
          </w:tcPr>
          <w:p>
            <w:pPr>
              <w:spacing w:after="0"/>
              <w:rPr>
                <w:sz w:val="7"/>
                <w:szCs w:val="7"/>
                <w:color w:val="auto"/>
              </w:rPr>
            </w:pPr>
          </w:p>
        </w:tc>
        <w:tc>
          <w:tcPr>
            <w:tcW w:w="500" w:type="dxa"/>
            <w:vAlign w:val="bottom"/>
          </w:tcPr>
          <w:p>
            <w:pPr>
              <w:spacing w:after="0"/>
              <w:rPr>
                <w:sz w:val="7"/>
                <w:szCs w:val="7"/>
                <w:color w:val="auto"/>
              </w:rPr>
            </w:pPr>
          </w:p>
        </w:tc>
        <w:tc>
          <w:tcPr>
            <w:tcW w:w="2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8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9"/>
        </w:trPr>
        <w:tc>
          <w:tcPr>
            <w:tcW w:w="720" w:type="dxa"/>
            <w:vAlign w:val="bottom"/>
            <w:vMerge w:val="continue"/>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Pr>
          <w:p>
            <w:pPr>
              <w:spacing w:after="0"/>
              <w:rPr>
                <w:sz w:val="6"/>
                <w:szCs w:val="6"/>
                <w:color w:val="auto"/>
              </w:rPr>
            </w:pPr>
          </w:p>
        </w:tc>
        <w:tc>
          <w:tcPr>
            <w:tcW w:w="500" w:type="dxa"/>
            <w:vAlign w:val="bottom"/>
          </w:tcPr>
          <w:p>
            <w:pPr>
              <w:spacing w:after="0"/>
              <w:rPr>
                <w:sz w:val="6"/>
                <w:szCs w:val="6"/>
                <w:color w:val="auto"/>
              </w:rPr>
            </w:pPr>
          </w:p>
        </w:tc>
        <w:tc>
          <w:tcPr>
            <w:tcW w:w="2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40" w:type="dxa"/>
            <w:vAlign w:val="bottom"/>
          </w:tcPr>
          <w:p>
            <w:pPr>
              <w:spacing w:after="0"/>
              <w:rPr>
                <w:sz w:val="6"/>
                <w:szCs w:val="6"/>
                <w:color w:val="auto"/>
              </w:rPr>
            </w:pPr>
          </w:p>
        </w:tc>
        <w:tc>
          <w:tcPr>
            <w:tcW w:w="720" w:type="dxa"/>
            <w:vAlign w:val="bottom"/>
          </w:tcPr>
          <w:p>
            <w:pPr>
              <w:spacing w:after="0"/>
              <w:rPr>
                <w:sz w:val="6"/>
                <w:szCs w:val="6"/>
                <w:color w:val="auto"/>
              </w:rPr>
            </w:pPr>
          </w:p>
        </w:tc>
        <w:tc>
          <w:tcPr>
            <w:tcW w:w="980" w:type="dxa"/>
            <w:vAlign w:val="bottom"/>
          </w:tcPr>
          <w:p>
            <w:pPr>
              <w:spacing w:after="0"/>
              <w:rPr>
                <w:sz w:val="6"/>
                <w:szCs w:val="6"/>
                <w:color w:val="auto"/>
              </w:rPr>
            </w:pPr>
          </w:p>
        </w:tc>
        <w:tc>
          <w:tcPr>
            <w:tcW w:w="760" w:type="dxa"/>
            <w:vAlign w:val="bottom"/>
          </w:tcPr>
          <w:p>
            <w:pPr>
              <w:spacing w:after="0"/>
              <w:rPr>
                <w:sz w:val="6"/>
                <w:szCs w:val="6"/>
                <w:color w:val="auto"/>
              </w:rPr>
            </w:pPr>
          </w:p>
        </w:tc>
        <w:tc>
          <w:tcPr>
            <w:tcW w:w="780" w:type="dxa"/>
            <w:vAlign w:val="bottom"/>
          </w:tcPr>
          <w:p>
            <w:pPr>
              <w:spacing w:after="0"/>
              <w:rPr>
                <w:sz w:val="6"/>
                <w:szCs w:val="6"/>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ectPr>
          <w:pgSz w:w="11900" w:h="16838" w:orient="portrait"/>
          <w:cols w:equalWidth="0" w:num="1">
            <w:col w:w="11520"/>
          </w:cols>
          <w:pgMar w:left="240" w:top="226" w:right="139" w:bottom="1440" w:gutter="0" w:footer="0" w:header="0"/>
          <w:type w:val="continuous"/>
        </w:sectPr>
      </w:pP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Each restricted stock unit represented a contingent right to receive one Marvell Technology Group Ltd. ("Marvell") common stock upon vesting.</w:t>
      </w:r>
    </w:p>
    <w:p>
      <w:pPr>
        <w:spacing w:after="0" w:line="64" w:lineRule="exact"/>
        <w:rPr>
          <w:rFonts w:ascii="Arial" w:cs="Arial" w:eastAsia="Arial" w:hAnsi="Arial"/>
          <w:sz w:val="12"/>
          <w:szCs w:val="12"/>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w:t>
      </w:r>
    </w:p>
    <w:p>
      <w:pPr>
        <w:spacing w:after="0" w:line="57"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41" w:lineRule="exact"/>
        <w:rPr>
          <w:sz w:val="20"/>
          <w:szCs w:val="20"/>
          <w:color w:val="auto"/>
        </w:rPr>
      </w:pPr>
    </w:p>
    <w:p>
      <w:pPr>
        <w:ind w:left="6860"/>
        <w:spacing w:after="0"/>
        <w:rPr>
          <w:sz w:val="20"/>
          <w:szCs w:val="20"/>
          <w:color w:val="auto"/>
        </w:rPr>
      </w:pPr>
      <w:r>
        <w:rPr>
          <w:rFonts w:ascii="Arial" w:cs="Arial" w:eastAsia="Arial" w:hAnsi="Arial"/>
          <w:sz w:val="16"/>
          <w:szCs w:val="16"/>
          <w:color w:val="0000FF"/>
        </w:rPr>
        <w:t>Tudor Brown by Mary Ahern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31508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15085" cy="8890"/>
                    </a:xfrm>
                    <a:prstGeom prst="rect">
                      <a:avLst/>
                    </a:prstGeom>
                    <a:noFill/>
                  </pic:spPr>
                </pic:pic>
              </a:graphicData>
            </a:graphic>
          </wp:anchor>
        </w:drawing>
      </w:r>
    </w:p>
    <w:p>
      <w:pPr>
        <w:spacing w:after="0" w:line="18" w:lineRule="exact"/>
        <w:rPr>
          <w:sz w:val="20"/>
          <w:szCs w:val="20"/>
          <w:color w:val="auto"/>
        </w:rPr>
      </w:pPr>
    </w:p>
    <w:p>
      <w:pPr>
        <w:ind w:left="6860"/>
        <w:spacing w:after="0"/>
        <w:rPr>
          <w:sz w:val="20"/>
          <w:szCs w:val="20"/>
          <w:color w:val="auto"/>
        </w:rPr>
      </w:pPr>
      <w:r>
        <w:rPr>
          <w:rFonts w:ascii="Arial" w:cs="Arial" w:eastAsia="Arial" w:hAnsi="Arial"/>
          <w:sz w:val="18"/>
          <w:szCs w:val="18"/>
          <w:color w:val="0000FF"/>
        </w:rPr>
        <w:t>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-17780</wp:posOffset>
            </wp:positionV>
            <wp:extent cx="8140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814070" cy="8890"/>
                    </a:xfrm>
                    <a:prstGeom prst="rect">
                      <a:avLst/>
                    </a:prstGeom>
                    <a:noFill/>
                  </pic:spPr>
                </pic:pic>
              </a:graphicData>
            </a:graphic>
          </wp:anchor>
        </w:drawing>
      </w:r>
    </w:p>
    <w:p>
      <w:pPr>
        <w:spacing w:after="0" w:line="44" w:lineRule="exact"/>
        <w:rPr>
          <w:sz w:val="20"/>
          <w:szCs w:val="20"/>
          <w:color w:val="auto"/>
        </w:rPr>
      </w:pPr>
    </w:p>
    <w:p>
      <w:pPr>
        <w:ind w:left="6860"/>
        <w:spacing w:after="0"/>
        <w:rPr>
          <w:sz w:val="20"/>
          <w:szCs w:val="20"/>
          <w:color w:val="auto"/>
        </w:rPr>
      </w:pPr>
      <w:r>
        <w:rPr>
          <w:rFonts w:ascii="Arial" w:cs="Arial" w:eastAsia="Arial" w:hAnsi="Arial"/>
          <w:sz w:val="14"/>
          <w:szCs w:val="14"/>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spacing w:after="0"/>
        <w:rPr>
          <w:sz w:val="20"/>
          <w:szCs w:val="20"/>
          <w:color w:val="auto"/>
        </w:rPr>
      </w:pPr>
      <w:r>
        <w:rPr>
          <w:rFonts w:ascii="Arial" w:cs="Arial" w:eastAsia="Arial" w:hAnsi="Arial"/>
          <w:sz w:val="15"/>
          <w:szCs w:val="15"/>
          <w:color w:val="0000FF"/>
        </w:rPr>
        <w:t>12/09/2016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color w:val="auto"/>
        </w:rPr>
        <w:t>Date</w:t>
      </w:r>
    </w:p>
    <w:p>
      <w:pPr>
        <w:spacing w:after="0" w:line="42" w:lineRule="exact"/>
        <w:rPr>
          <w:sz w:val="20"/>
          <w:szCs w:val="20"/>
          <w:color w:val="auto"/>
        </w:rPr>
      </w:pPr>
    </w:p>
    <w:p>
      <w:pPr>
        <w:sectPr>
          <w:pgSz w:w="11900" w:h="16838" w:orient="portrait"/>
          <w:cols w:equalWidth="0" w:num="2">
            <w:col w:w="8940" w:space="220"/>
            <w:col w:w="2360"/>
          </w:cols>
          <w:pgMar w:left="240" w:top="226" w:right="139" w:bottom="1440" w:gutter="0" w:footer="0" w:header="0"/>
          <w:type w:val="continuous"/>
        </w:sect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6" w:right="1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039" w:firstLine="843"/>
        <w:spacing w:after="0" w:line="237" w:lineRule="auto"/>
        <w:rPr>
          <w:sz w:val="20"/>
          <w:szCs w:val="20"/>
          <w:color w:val="auto"/>
        </w:rPr>
      </w:pPr>
      <w:r>
        <w:rPr>
          <w:rFonts w:ascii="Courier New" w:cs="Courier New" w:eastAsia="Courier New" w:hAnsi="Courier New"/>
          <w:sz w:val="18"/>
          <w:szCs w:val="18"/>
          <w:color w:val="auto"/>
        </w:rPr>
        <w:t>Know all by these presents that the undersigned hereby constitutes and appoints each of Mitchell Gaynor, Blair Walters and Mary Ahern, or either of them signing singly, and with full power of substitution, the undersigned's true and lawful attorney in fact to:</w:t>
      </w:r>
    </w:p>
    <w:p>
      <w:pPr>
        <w:spacing w:after="0" w:line="207" w:lineRule="exact"/>
        <w:rPr>
          <w:sz w:val="20"/>
          <w:szCs w:val="20"/>
          <w:color w:val="auto"/>
        </w:rPr>
      </w:pPr>
    </w:p>
    <w:p>
      <w:pPr>
        <w:ind w:right="1459" w:firstLine="8"/>
        <w:spacing w:after="0" w:line="268" w:lineRule="auto"/>
        <w:tabs>
          <w:tab w:leader="none" w:pos="843"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in the undersigned's name and on the undersigned's behalf, and submit to the U.S. Securities and Exchange Commission (the "SEC") a Form ID, including amendments thereto, and any other documents necessary or appropriate</w:t>
      </w:r>
    </w:p>
    <w:p>
      <w:pPr>
        <w:ind w:right="2319"/>
        <w:spacing w:after="0" w:line="236"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to obtain codes and passwords enabling the undersigned to make electronic filings with the SEC of reports required by Section 16(a) of the Securities Exchange Act of 1934 or any rule or regulation of the SEC;</w:t>
      </w:r>
    </w:p>
    <w:p>
      <w:pPr>
        <w:spacing w:after="0" w:line="208" w:lineRule="exact"/>
        <w:rPr>
          <w:rFonts w:ascii="Courier New" w:cs="Courier New" w:eastAsia="Courier New" w:hAnsi="Courier New"/>
          <w:sz w:val="16"/>
          <w:szCs w:val="16"/>
          <w:color w:val="auto"/>
        </w:rPr>
      </w:pPr>
    </w:p>
    <w:p>
      <w:pPr>
        <w:ind w:right="1459" w:firstLine="8"/>
        <w:spacing w:after="0" w:line="268" w:lineRule="auto"/>
        <w:tabs>
          <w:tab w:leader="none" w:pos="843"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execute for and on behalf of the undersigned, in the undersigned's capacity as an officer and/or director of Marvell Technology Group Ltd. (the "Company"), Forms 3, 4, and 5 in accordance with Section 16(a) of the Securities Exchange</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Act of 1934 and the rules thereunder;</w:t>
      </w:r>
    </w:p>
    <w:p>
      <w:pPr>
        <w:spacing w:after="0" w:line="207" w:lineRule="exact"/>
        <w:rPr>
          <w:rFonts w:ascii="Courier New" w:cs="Courier New" w:eastAsia="Courier New" w:hAnsi="Courier New"/>
          <w:sz w:val="16"/>
          <w:szCs w:val="16"/>
          <w:color w:val="auto"/>
        </w:rPr>
      </w:pPr>
    </w:p>
    <w:p>
      <w:pPr>
        <w:ind w:right="739" w:firstLine="8"/>
        <w:spacing w:after="0" w:line="236" w:lineRule="auto"/>
        <w:tabs>
          <w:tab w:leader="none" w:pos="168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and perform any and all acts for and on behalf of the undersigned which may be necessary or desirable to complete and execute any such Form 3, 4, or 5, complete and execute any amendment or amendments thereto, and timely file such</w:t>
      </w:r>
    </w:p>
    <w:p>
      <w:pPr>
        <w:spacing w:after="0" w:line="1" w:lineRule="exact"/>
        <w:rPr>
          <w:rFonts w:ascii="Courier New" w:cs="Courier New" w:eastAsia="Courier New" w:hAnsi="Courier New"/>
          <w:sz w:val="18"/>
          <w:szCs w:val="18"/>
          <w:color w:val="auto"/>
        </w:rPr>
      </w:pP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form with the SEC and any stock exchange or similar authority; and</w:t>
      </w:r>
    </w:p>
    <w:p>
      <w:pPr>
        <w:spacing w:after="0" w:line="201" w:lineRule="exact"/>
        <w:rPr>
          <w:rFonts w:ascii="Courier New" w:cs="Courier New" w:eastAsia="Courier New" w:hAnsi="Courier New"/>
          <w:sz w:val="18"/>
          <w:szCs w:val="18"/>
          <w:color w:val="auto"/>
        </w:rPr>
      </w:pPr>
    </w:p>
    <w:p>
      <w:pPr>
        <w:ind w:left="860" w:hanging="852"/>
        <w:spacing w:after="0"/>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w:t>
      </w:r>
    </w:p>
    <w:p>
      <w:pPr>
        <w:spacing w:after="0" w:line="4"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foregoing which, in the opinion of such attorney in fact, may be of benefit to, in the best interest of, or legally required by, the undersigned, it being understood that the documents executed by such attorney in fact on behalf of the undersigned pursuant to this Power of Attorney shall be in such form and shall contain such terms and conditions as such attorney in fact may approve in such attorney in fact's discretion.</w:t>
      </w:r>
    </w:p>
    <w:p>
      <w:pPr>
        <w:spacing w:after="0" w:line="210" w:lineRule="exact"/>
        <w:rPr>
          <w:sz w:val="20"/>
          <w:szCs w:val="20"/>
          <w:color w:val="auto"/>
        </w:rPr>
      </w:pPr>
    </w:p>
    <w:p>
      <w:pPr>
        <w:ind w:right="1579" w:firstLine="843"/>
        <w:spacing w:after="0" w:line="270" w:lineRule="auto"/>
        <w:rPr>
          <w:sz w:val="20"/>
          <w:szCs w:val="20"/>
          <w:color w:val="auto"/>
        </w:rPr>
      </w:pPr>
      <w:r>
        <w:rPr>
          <w:rFonts w:ascii="Courier New" w:cs="Courier New" w:eastAsia="Courier New" w:hAnsi="Courier New"/>
          <w:sz w:val="16"/>
          <w:szCs w:val="16"/>
          <w:color w:val="auto"/>
        </w:rPr>
        <w:t>The undersigned hereby grants to each such attorney in 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 in fact, or such attorney in fact's substitute or substitutes, shall lawfully do or cause to be done by virtue of this power of attorney and the rights and powers herein granted. The undersigned acknowledges that the foregoing attorneys in fact, in serving in such capacity at the request of the undersigned, are not assuming, nor is the Company assuming, any of the undersigned's responsibilities to comply with Section 16 of the Securities Exchange Act of 1934.</w:t>
      </w:r>
    </w:p>
    <w:p>
      <w:pPr>
        <w:spacing w:after="0" w:line="391"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 in fact.</w:t>
      </w:r>
    </w:p>
    <w:p>
      <w:pPr>
        <w:spacing w:after="0" w:line="209"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7th day December, 2016.</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Tudor Brown</w:t>
      </w:r>
    </w:p>
    <w:p>
      <w:pPr>
        <w:ind w:left="86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1700"/>
        <w:spacing w:after="0"/>
        <w:rPr>
          <w:sz w:val="20"/>
          <w:szCs w:val="20"/>
          <w:color w:val="auto"/>
        </w:rPr>
      </w:pPr>
      <w:r>
        <w:rPr>
          <w:rFonts w:ascii="Courier New" w:cs="Courier New" w:eastAsia="Courier New" w:hAnsi="Courier New"/>
          <w:sz w:val="18"/>
          <w:szCs w:val="18"/>
          <w:color w:val="auto"/>
        </w:rPr>
        <w:t>Tudor Brown</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57781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2019-12-06T21:46:59Z</dcterms:created>
  <dcterms:modified xsi:type="dcterms:W3CDTF">2019-12-06T21:46:59Z</dcterms:modified>
</cp:coreProperties>
</file>