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369570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3695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Brown Tudor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3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12/07/2016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1"/>
          <w:szCs w:val="21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6"/>
          <w:szCs w:val="16"/>
          <w:color w:val="0000FF"/>
        </w:rPr>
        <w:t>MRVL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2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0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 JOSE</w:t>
            </w:r>
          </w:p>
        </w:tc>
        <w:tc>
          <w:tcPr>
            <w:tcW w:w="10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95134</w:t>
            </w: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0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31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jc w:val="right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below)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243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>
        <w:ind w:left="483" w:right="640"/>
        <w:spacing w:after="0" w:line="231" w:lineRule="auto"/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4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Beneficially Owned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6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2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20" w:type="dxa"/>
            <w:vAlign w:val="bottom"/>
            <w:gridSpan w:val="3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9"/>
              </w:rPr>
              <w:t>Underlying Derivative Security (Instr. 4)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5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5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3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No securities are beneficially owned.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Tudor Brown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12/09/2016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3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9"/>
              </w:rPr>
              <w:t>** Signature of Reporting Person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5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577816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2019-12-06T21:04:34Z</dcterms:created>
  <dcterms:modified xsi:type="dcterms:W3CDTF">2019-12-06T21:04:34Z</dcterms:modified>
</cp:coreProperties>
</file>