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51155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11556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KIM NEIL Y.</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6"/>
        </w:trPr>
        <w:tc>
          <w:tcPr>
            <w:tcW w:w="60" w:type="dxa"/>
            <w:vAlign w:val="bottom"/>
          </w:tcPr>
          <w:p>
            <w:pPr>
              <w:spacing w:after="0"/>
              <w:rPr>
                <w:sz w:val="18"/>
                <w:szCs w:val="18"/>
                <w:color w:val="auto"/>
              </w:rPr>
            </w:pPr>
          </w:p>
        </w:tc>
        <w:tc>
          <w:tcPr>
            <w:tcW w:w="3780" w:type="dxa"/>
            <w:vAlign w:val="bottom"/>
            <w:tcBorders>
              <w:bottom w:val="single" w:sz="8" w:color="0000EE"/>
            </w:tcBorders>
            <w:gridSpan w:val="2"/>
          </w:tcPr>
          <w:p>
            <w:pPr>
              <w:spacing w:after="0" w:line="210"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MARVELL TECHNOLOGY GROUP LTD</w:t>
              </w:r>
            </w:hyperlink>
          </w:p>
        </w:tc>
        <w:tc>
          <w:tcPr>
            <w:tcW w:w="120" w:type="dxa"/>
            <w:vAlign w:val="bottom"/>
          </w:tcPr>
          <w:p>
            <w:pPr>
              <w:spacing w:after="0"/>
              <w:rPr>
                <w:sz w:val="18"/>
                <w:szCs w:val="18"/>
                <w:color w:val="auto"/>
              </w:rPr>
            </w:pPr>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180" w:type="dxa"/>
            <w:vAlign w:val="bottom"/>
            <w:gridSpan w:val="2"/>
            <w:vMerge w:val="restart"/>
          </w:tcPr>
          <w:p>
            <w:pPr>
              <w:ind w:left="60"/>
              <w:spacing w:after="0"/>
              <w:rPr>
                <w:sz w:val="20"/>
                <w:szCs w:val="20"/>
                <w:color w:val="auto"/>
              </w:rPr>
            </w:pPr>
            <w:r>
              <w:rPr>
                <w:rFonts w:ascii="Arial" w:cs="Arial" w:eastAsia="Arial" w:hAnsi="Arial"/>
                <w:sz w:val="21"/>
                <w:szCs w:val="21"/>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20" w:type="dxa"/>
            <w:vAlign w:val="bottom"/>
          </w:tcPr>
          <w:p>
            <w:pPr>
              <w:ind w:left="100"/>
              <w:spacing w:after="0" w:line="135" w:lineRule="exact"/>
              <w:rPr>
                <w:sz w:val="20"/>
                <w:szCs w:val="20"/>
                <w:color w:val="auto"/>
              </w:rPr>
            </w:pPr>
            <w:r>
              <w:rPr>
                <w:rFonts w:ascii="Arial" w:cs="Arial" w:eastAsia="Arial" w:hAnsi="Arial"/>
                <w:sz w:val="13"/>
                <w:szCs w:val="13"/>
                <w:color w:val="auto"/>
              </w:rPr>
              <w:t>Director</w:t>
            </w:r>
          </w:p>
        </w:tc>
        <w:tc>
          <w:tcPr>
            <w:tcW w:w="1500" w:type="dxa"/>
            <w:vAlign w:val="bottom"/>
          </w:tcPr>
          <w:p>
            <w:pPr>
              <w:ind w:left="320"/>
              <w:spacing w:after="0" w:line="135"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0"/>
        </w:trPr>
        <w:tc>
          <w:tcPr>
            <w:tcW w:w="18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20" w:type="dxa"/>
            <w:vAlign w:val="bottom"/>
            <w:gridSpan w:val="2"/>
            <w:vMerge w:val="restart"/>
          </w:tcPr>
          <w:p>
            <w:pPr>
              <w:ind w:left="300"/>
              <w:spacing w:after="0"/>
              <w:rPr>
                <w:sz w:val="20"/>
                <w:szCs w:val="20"/>
                <w:color w:val="auto"/>
              </w:rPr>
            </w:pPr>
            <w:r>
              <w:rPr>
                <w:rFonts w:ascii="Arial" w:cs="Arial" w:eastAsia="Arial" w:hAnsi="Arial"/>
                <w:sz w:val="17"/>
                <w:szCs w:val="17"/>
                <w:color w:val="0000FF"/>
              </w:rPr>
              <w:t>Chief Technology Officer</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60"/>
              <w:spacing w:after="0"/>
              <w:rPr>
                <w:sz w:val="20"/>
                <w:szCs w:val="20"/>
                <w:color w:val="auto"/>
              </w:rPr>
            </w:pPr>
            <w:r>
              <w:rPr>
                <w:rFonts w:ascii="Arial" w:cs="Arial" w:eastAsia="Arial" w:hAnsi="Arial"/>
                <w:sz w:val="17"/>
                <w:szCs w:val="17"/>
                <w:color w:val="0000FF"/>
              </w:rPr>
              <w:t>04/15/2018</w:t>
            </w: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2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315" w:lineRule="exact"/>
        <w:rPr>
          <w:sz w:val="24"/>
          <w:szCs w:val="24"/>
          <w:color w:val="auto"/>
        </w:rPr>
      </w:pPr>
    </w:p>
    <w:p>
      <w:pPr>
        <w:sectPr>
          <w:pgSz w:w="11900" w:h="16838" w:orient="portrait"/>
          <w:cols w:equalWidth="0" w:num="2">
            <w:col w:w="3900" w:space="10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4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180" w:type="dxa"/>
            <w:vAlign w:val="bottom"/>
          </w:tcPr>
          <w:p>
            <w:pPr>
              <w:spacing w:after="0"/>
              <w:rPr>
                <w:sz w:val="13"/>
                <w:szCs w:val="13"/>
                <w:color w:val="auto"/>
              </w:rPr>
            </w:pPr>
          </w:p>
        </w:tc>
        <w:tc>
          <w:tcPr>
            <w:tcW w:w="182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spacing w:after="0"/>
              <w:rPr>
                <w:sz w:val="11"/>
                <w:szCs w:val="11"/>
                <w:color w:val="auto"/>
              </w:rPr>
            </w:pPr>
          </w:p>
        </w:tc>
        <w:tc>
          <w:tcPr>
            <w:tcW w:w="96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8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640" w:type="dxa"/>
            <w:vAlign w:val="bottom"/>
          </w:tcPr>
          <w:p>
            <w:pPr>
              <w:ind w:left="60"/>
              <w:spacing w:after="0" w:line="132" w:lineRule="exact"/>
              <w:rPr>
                <w:sz w:val="20"/>
                <w:szCs w:val="20"/>
                <w:color w:val="auto"/>
              </w:rPr>
            </w:pPr>
            <w:r>
              <w:rPr>
                <w:rFonts w:ascii="Arial" w:cs="Arial" w:eastAsia="Arial" w:hAnsi="Arial"/>
                <w:sz w:val="12"/>
                <w:szCs w:val="12"/>
                <w:b w:val="1"/>
                <w:bCs w:val="1"/>
                <w:color w:val="auto"/>
                <w:w w:val="97"/>
              </w:rPr>
              <w:t>Securities</w:t>
            </w:r>
          </w:p>
        </w:tc>
        <w:tc>
          <w:tcPr>
            <w:tcW w:w="620" w:type="dxa"/>
            <w:vAlign w:val="bottom"/>
          </w:tcPr>
          <w:p>
            <w:pPr>
              <w:spacing w:after="0"/>
              <w:rPr>
                <w:sz w:val="11"/>
                <w:szCs w:val="11"/>
                <w:color w:val="auto"/>
              </w:rPr>
            </w:pPr>
          </w:p>
        </w:tc>
        <w:tc>
          <w:tcPr>
            <w:tcW w:w="9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40" w:type="dxa"/>
            <w:vAlign w:val="bottom"/>
            <w:gridSpan w:val="2"/>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74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  8)</w:t>
            </w: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600" w:type="dxa"/>
            <w:vAlign w:val="bottom"/>
          </w:tcPr>
          <w:p>
            <w:pPr>
              <w:spacing w:after="0"/>
              <w:rPr>
                <w:sz w:val="6"/>
                <w:szCs w:val="6"/>
                <w:color w:val="auto"/>
              </w:rPr>
            </w:pPr>
          </w:p>
        </w:tc>
        <w:tc>
          <w:tcPr>
            <w:tcW w:w="36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1"/>
                <w:szCs w:val="11"/>
                <w:color w:val="auto"/>
              </w:rPr>
            </w:pPr>
          </w:p>
        </w:tc>
        <w:tc>
          <w:tcPr>
            <w:tcW w:w="5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2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jc w:val="right"/>
              <w:ind w:right="56"/>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60" w:type="dxa"/>
            <w:vAlign w:val="bottom"/>
          </w:tcPr>
          <w:p>
            <w:pPr>
              <w:spacing w:after="0"/>
              <w:rPr>
                <w:sz w:val="8"/>
                <w:szCs w:val="8"/>
                <w:color w:val="auto"/>
              </w:rPr>
            </w:pPr>
          </w:p>
        </w:tc>
        <w:tc>
          <w:tcPr>
            <w:tcW w:w="600" w:type="dxa"/>
            <w:vAlign w:val="bottom"/>
          </w:tcPr>
          <w:p>
            <w:pPr>
              <w:spacing w:after="0"/>
              <w:rPr>
                <w:sz w:val="8"/>
                <w:szCs w:val="8"/>
                <w:color w:val="auto"/>
              </w:rPr>
            </w:pPr>
          </w:p>
        </w:tc>
        <w:tc>
          <w:tcPr>
            <w:tcW w:w="3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700" w:type="dxa"/>
            <w:vAlign w:val="bottom"/>
            <w:vMerge w:val="restart"/>
          </w:tcPr>
          <w:p>
            <w:pPr>
              <w:ind w:left="32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00" w:type="dxa"/>
            <w:vAlign w:val="bottom"/>
          </w:tcPr>
          <w:p>
            <w:pPr>
              <w:spacing w:after="0"/>
              <w:rPr>
                <w:sz w:val="5"/>
                <w:szCs w:val="5"/>
                <w:color w:val="auto"/>
              </w:rPr>
            </w:pPr>
          </w:p>
        </w:tc>
        <w:tc>
          <w:tcPr>
            <w:tcW w:w="36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56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1400" w:type="dxa"/>
            <w:vAlign w:val="bottom"/>
            <w:tcBorders>
              <w:bottom w:val="single" w:sz="8" w:color="2C2C2C"/>
            </w:tcBorders>
            <w:gridSpan w:val="3"/>
          </w:tcPr>
          <w:p>
            <w:pPr>
              <w:ind w:left="480"/>
              <w:spacing w:after="0"/>
              <w:rPr>
                <w:sz w:val="20"/>
                <w:szCs w:val="20"/>
                <w:color w:val="auto"/>
              </w:rPr>
            </w:pPr>
            <w:r>
              <w:rPr>
                <w:rFonts w:ascii="Arial" w:cs="Arial" w:eastAsia="Arial" w:hAnsi="Arial"/>
                <w:sz w:val="17"/>
                <w:szCs w:val="17"/>
                <w:color w:val="0000FF"/>
              </w:rPr>
              <w:t>1,401</w:t>
            </w:r>
            <w:r>
              <w:rPr>
                <w:rFonts w:ascii="Arial" w:cs="Arial" w:eastAsia="Arial" w:hAnsi="Arial"/>
                <w:sz w:val="22"/>
                <w:szCs w:val="22"/>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jc w:val="right"/>
              <w:ind w:right="56"/>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60" w:type="dxa"/>
            <w:vAlign w:val="bottom"/>
            <w:gridSpan w:val="2"/>
          </w:tcPr>
          <w:p>
            <w:pPr>
              <w:ind w:left="16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Transaction</w:t>
            </w:r>
          </w:p>
        </w:tc>
        <w:tc>
          <w:tcPr>
            <w:tcW w:w="6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9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gridSpan w:val="2"/>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60" w:type="dxa"/>
            <w:vAlign w:val="bottom"/>
            <w:gridSpan w:val="2"/>
          </w:tcPr>
          <w:p>
            <w:pPr>
              <w:ind w:left="160"/>
              <w:spacing w:after="0"/>
              <w:rPr>
                <w:sz w:val="20"/>
                <w:szCs w:val="20"/>
                <w:color w:val="auto"/>
              </w:rPr>
            </w:pPr>
            <w:r>
              <w:rPr>
                <w:rFonts w:ascii="Arial" w:cs="Arial" w:eastAsia="Arial" w:hAnsi="Arial"/>
                <w:sz w:val="12"/>
                <w:szCs w:val="12"/>
                <w:b w:val="1"/>
                <w:bCs w:val="1"/>
                <w:color w:val="auto"/>
              </w:rPr>
              <w:t>3, 4 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Pr>
          <w:p>
            <w:pPr>
              <w:spacing w:after="0"/>
              <w:rPr>
                <w:sz w:val="4"/>
                <w:szCs w:val="4"/>
                <w:color w:val="auto"/>
              </w:rPr>
            </w:pPr>
          </w:p>
        </w:tc>
        <w:tc>
          <w:tcPr>
            <w:tcW w:w="6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600" w:type="dxa"/>
            <w:vAlign w:val="bottom"/>
          </w:tcPr>
          <w:p>
            <w:pPr>
              <w:ind w:left="16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8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180" w:type="dxa"/>
            <w:vAlign w:val="bottom"/>
          </w:tcPr>
          <w:p>
            <w:pPr>
              <w:spacing w:after="0"/>
              <w:rPr>
                <w:sz w:val="12"/>
                <w:szCs w:val="12"/>
                <w:color w:val="auto"/>
              </w:rPr>
            </w:pPr>
          </w:p>
        </w:tc>
        <w:tc>
          <w:tcPr>
            <w:tcW w:w="56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31,259</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vMerge w:val="continue"/>
          </w:tcPr>
          <w:p>
            <w:pPr>
              <w:spacing w:after="0"/>
              <w:rPr>
                <w:sz w:val="11"/>
                <w:szCs w:val="11"/>
                <w:color w:val="auto"/>
              </w:rPr>
            </w:pP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04/15/2018</w:t>
            </w:r>
          </w:p>
        </w:tc>
        <w:tc>
          <w:tcPr>
            <w:tcW w:w="1180" w:type="dxa"/>
            <w:vAlign w:val="bottom"/>
          </w:tcPr>
          <w:p>
            <w:pPr>
              <w:spacing w:after="0"/>
              <w:rPr>
                <w:sz w:val="11"/>
                <w:szCs w:val="11"/>
                <w:color w:val="auto"/>
              </w:rPr>
            </w:pPr>
          </w:p>
        </w:tc>
        <w:tc>
          <w:tcPr>
            <w:tcW w:w="760" w:type="dxa"/>
            <w:vAlign w:val="bottom"/>
          </w:tcPr>
          <w:p>
            <w:pPr>
              <w:ind w:left="180"/>
              <w:spacing w:after="0" w:line="132" w:lineRule="exact"/>
              <w:rPr>
                <w:sz w:val="20"/>
                <w:szCs w:val="20"/>
                <w:color w:val="auto"/>
              </w:rPr>
            </w:pPr>
            <w:r>
              <w:rPr>
                <w:rFonts w:ascii="Arial" w:cs="Arial" w:eastAsia="Arial" w:hAnsi="Arial"/>
                <w:sz w:val="13"/>
                <w:szCs w:val="13"/>
                <w:color w:val="0000FF"/>
              </w:rPr>
              <w:t>A</w:t>
            </w:r>
          </w:p>
        </w:tc>
        <w:tc>
          <w:tcPr>
            <w:tcW w:w="600" w:type="dxa"/>
            <w:vAlign w:val="bottom"/>
          </w:tcPr>
          <w:p>
            <w:pPr>
              <w:ind w:left="160"/>
              <w:spacing w:after="0" w:line="132" w:lineRule="exact"/>
              <w:rPr>
                <w:sz w:val="20"/>
                <w:szCs w:val="20"/>
                <w:color w:val="auto"/>
              </w:rPr>
            </w:pPr>
            <w:r>
              <w:rPr>
                <w:rFonts w:ascii="Arial" w:cs="Arial" w:eastAsia="Arial" w:hAnsi="Arial"/>
                <w:sz w:val="13"/>
                <w:szCs w:val="13"/>
                <w:color w:val="0000FF"/>
              </w:rPr>
              <w:t>31,259</w:t>
            </w:r>
          </w:p>
        </w:tc>
        <w:tc>
          <w:tcPr>
            <w:tcW w:w="360" w:type="dxa"/>
            <w:vAlign w:val="bottom"/>
          </w:tcPr>
          <w:p>
            <w:pPr>
              <w:spacing w:after="0"/>
              <w:rPr>
                <w:sz w:val="11"/>
                <w:szCs w:val="11"/>
                <w:color w:val="auto"/>
              </w:rPr>
            </w:pPr>
          </w:p>
        </w:tc>
        <w:tc>
          <w:tcPr>
            <w:tcW w:w="780" w:type="dxa"/>
            <w:vAlign w:val="bottom"/>
            <w:gridSpan w:val="2"/>
            <w:vMerge w:val="continue"/>
          </w:tcPr>
          <w:p>
            <w:pPr>
              <w:spacing w:after="0"/>
              <w:rPr>
                <w:sz w:val="11"/>
                <w:szCs w:val="11"/>
                <w:color w:val="auto"/>
              </w:rPr>
            </w:pPr>
          </w:p>
        </w:tc>
        <w:tc>
          <w:tcPr>
            <w:tcW w:w="18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80" w:type="dxa"/>
            <w:vAlign w:val="bottom"/>
            <w:gridSpan w:val="2"/>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20" w:type="dxa"/>
            <w:vAlign w:val="bottom"/>
          </w:tcPr>
          <w:p>
            <w:pPr>
              <w:ind w:left="240"/>
              <w:spacing w:after="0" w:line="132" w:lineRule="exact"/>
              <w:rPr>
                <w:sz w:val="20"/>
                <w:szCs w:val="20"/>
                <w:color w:val="auto"/>
              </w:rPr>
            </w:pPr>
            <w:r>
              <w:rPr>
                <w:rFonts w:ascii="Arial" w:cs="Arial" w:eastAsia="Arial" w:hAnsi="Arial"/>
                <w:sz w:val="13"/>
                <w:szCs w:val="13"/>
                <w:color w:val="0000FF"/>
                <w:w w:val="90"/>
              </w:rPr>
              <w:t>31,259</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700" w:type="dxa"/>
            <w:vAlign w:val="bottom"/>
          </w:tcPr>
          <w:p>
            <w:pPr>
              <w:ind w:left="160"/>
              <w:spacing w:after="0" w:line="148"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760" w:type="dxa"/>
            <w:vAlign w:val="bottom"/>
          </w:tcPr>
          <w:p>
            <w:pPr>
              <w:spacing w:after="0"/>
              <w:rPr>
                <w:sz w:val="2"/>
                <w:szCs w:val="2"/>
                <w:color w:val="auto"/>
              </w:rPr>
            </w:pPr>
          </w:p>
        </w:tc>
        <w:tc>
          <w:tcPr>
            <w:tcW w:w="6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18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1,401 shares acquired under the Marvell 2000 Employee Stock Purchase Plan on December 7, 2017 in an exempt transaction under Rule 16b-3(c) of the Securities Exchange Act of 1934.</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common share.</w:t>
      </w:r>
    </w:p>
    <w:p>
      <w:pPr>
        <w:spacing w:after="0" w:line="51" w:lineRule="exact"/>
        <w:rPr>
          <w:rFonts w:ascii="Arial" w:cs="Arial" w:eastAsia="Arial" w:hAnsi="Arial"/>
          <w:sz w:val="13"/>
          <w:szCs w:val="13"/>
          <w:color w:val="008000"/>
        </w:rPr>
      </w:pPr>
    </w:p>
    <w:p>
      <w:pPr>
        <w:ind w:left="40" w:right="30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RSUs vest as to 33% on April 15, 2019 and in eight equal quarterly installments on each of July 15, 2019, October 15, 2019, January 15, 2020, April 15, 2020, July 15, 2020, October 15, 2020, January 15, 2021 and April 15, 2021.</w:t>
      </w:r>
    </w:p>
    <w:p>
      <w:pPr>
        <w:spacing w:after="0" w:line="2"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7"/>
              </w:rPr>
              <w:t>Neil Kim by Mary Ahern as</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04/17/2018</w:t>
            </w:r>
          </w:p>
        </w:tc>
        <w:tc>
          <w:tcPr>
            <w:tcW w:w="0" w:type="dxa"/>
            <w:vAlign w:val="bottom"/>
          </w:tcPr>
          <w:p>
            <w:pPr>
              <w:spacing w:after="0"/>
              <w:rPr>
                <w:sz w:val="1"/>
                <w:szCs w:val="1"/>
                <w:color w:val="auto"/>
              </w:rPr>
            </w:pPr>
          </w:p>
        </w:tc>
      </w:tr>
      <w:tr>
        <w:trPr>
          <w:trHeight w:val="92"/>
        </w:trPr>
        <w:tc>
          <w:tcPr>
            <w:tcW w:w="1100" w:type="dxa"/>
            <w:vAlign w:val="bottom"/>
            <w:vMerge w:val="restart"/>
          </w:tcPr>
          <w:p>
            <w:pPr>
              <w:spacing w:after="0"/>
              <w:rPr>
                <w:sz w:val="20"/>
                <w:szCs w:val="20"/>
                <w:color w:val="auto"/>
              </w:rPr>
            </w:pPr>
            <w:r>
              <w:rPr>
                <w:rFonts w:ascii="Arial" w:cs="Arial" w:eastAsia="Arial" w:hAnsi="Arial"/>
                <w:sz w:val="17"/>
                <w:szCs w:val="17"/>
                <w:color w:val="0000FF"/>
                <w:w w:val="95"/>
              </w:rPr>
              <w:t>attorney-in-fact</w:t>
            </w:r>
          </w:p>
        </w:tc>
        <w:tc>
          <w:tcPr>
            <w:tcW w:w="1200" w:type="dxa"/>
            <w:vAlign w:val="bottom"/>
            <w:gridSpan w:val="2"/>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100" w:type="dxa"/>
            <w:vAlign w:val="bottom"/>
            <w:tcBorders>
              <w:bottom w:val="single" w:sz="8" w:color="auto"/>
            </w:tcBorders>
            <w:vMerge w:val="continue"/>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6322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2019-12-03T23:31:49Z</dcterms:created>
  <dcterms:modified xsi:type="dcterms:W3CDTF">2019-12-03T23:31:49Z</dcterms:modified>
</cp:coreProperties>
</file>