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6</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7"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spacing w:after="0" w:line="4" w:lineRule="exact"/>
        <w:rPr>
          <w:rFonts w:ascii="Courier New" w:cs="Courier New" w:eastAsia="Courier New" w:hAnsi="Courier New"/>
          <w:sz w:val="18"/>
          <w:szCs w:val="18"/>
          <w:color w:val="auto"/>
        </w:rPr>
      </w:pPr>
    </w:p>
    <w:p>
      <w:pPr>
        <w:ind w:right="7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line="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203"/>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 ]</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Delaware</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5,155,992</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53,104,188</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53,104,188</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10.711%</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HC</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422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 ]</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53,104,188</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53,104,188</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10.711%</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 Issuer:</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42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MARVELL TECHNOLOGY GROUP LTD</w:t>
            </w: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Canon's Court</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22 Victoria Street</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Hamilton HM 12,</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Bermuda</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Name of Person Filing:</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FMR LLC</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480" w:type="dxa"/>
            <w:vAlign w:val="bottom"/>
            <w:gridSpan w:val="4"/>
          </w:tcPr>
          <w:p>
            <w:pPr>
              <w:ind w:left="160"/>
              <w:spacing w:after="0"/>
              <w:rPr>
                <w:sz w:val="20"/>
                <w:szCs w:val="20"/>
                <w:color w:val="auto"/>
              </w:rPr>
            </w:pPr>
            <w:r>
              <w:rPr>
                <w:rFonts w:ascii="Courier New" w:cs="Courier New" w:eastAsia="Courier New" w:hAnsi="Courier New"/>
                <w:sz w:val="18"/>
                <w:szCs w:val="18"/>
                <w:color w:val="auto"/>
              </w:rPr>
              <w:t>Address or Principal Business Office or, if None,</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80" w:type="dxa"/>
            <w:vAlign w:val="bottom"/>
            <w:gridSpan w:val="3"/>
          </w:tcPr>
          <w:p>
            <w:pPr>
              <w:ind w:left="200"/>
              <w:spacing w:after="0"/>
              <w:rPr>
                <w:sz w:val="20"/>
                <w:szCs w:val="20"/>
                <w:color w:val="auto"/>
              </w:rPr>
            </w:pPr>
            <w:r>
              <w:rPr>
                <w:rFonts w:ascii="Courier New" w:cs="Courier New" w:eastAsia="Courier New" w:hAnsi="Courier New"/>
                <w:sz w:val="18"/>
                <w:szCs w:val="18"/>
                <w:color w:val="auto"/>
              </w:rPr>
              <w:t>245 Summer Street, Boston, Massachusetts 02210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Citizenship:</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Not applicable</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Title of Class of Securities:</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COMMON STOCK</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CUSIP Number:</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G5876H105</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or (c) and the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person filing, FMR LLC,</w:t>
            </w:r>
          </w:p>
        </w:tc>
        <w:tc>
          <w:tcPr>
            <w:tcW w:w="64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is a parent holding company in accordance with</w:t>
            </w:r>
          </w:p>
        </w:tc>
      </w:tr>
      <w:tr>
        <w:trPr>
          <w:trHeight w:val="203"/>
        </w:trPr>
        <w:tc>
          <w:tcPr>
            <w:tcW w:w="670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Section 240.13d-1(b)(1)(ii)(G).   (Note:  See Exhibit A).</w:t>
            </w: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Ownership</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3420" w:type="dxa"/>
            <w:vAlign w:val="bottom"/>
            <w:gridSpan w:val="2"/>
          </w:tcPr>
          <w:p>
            <w:pPr>
              <w:spacing w:after="0"/>
              <w:rPr>
                <w:sz w:val="20"/>
                <w:szCs w:val="20"/>
                <w:color w:val="auto"/>
              </w:rPr>
            </w:pPr>
            <w:r>
              <w:rPr>
                <w:rFonts w:ascii="Courier New" w:cs="Courier New" w:eastAsia="Courier New" w:hAnsi="Courier New"/>
                <w:sz w:val="18"/>
                <w:szCs w:val="18"/>
                <w:color w:val="auto"/>
              </w:rPr>
              <w:t>Amount Beneficially Owned:</w:t>
            </w:r>
          </w:p>
        </w:tc>
        <w:tc>
          <w:tcPr>
            <w:tcW w:w="2260" w:type="dxa"/>
            <w:vAlign w:val="bottom"/>
          </w:tcPr>
          <w:p>
            <w:pPr>
              <w:jc w:val="right"/>
              <w:ind w:right="1072"/>
              <w:spacing w:after="0"/>
              <w:rPr>
                <w:sz w:val="20"/>
                <w:szCs w:val="20"/>
                <w:color w:val="auto"/>
              </w:rPr>
            </w:pPr>
            <w:r>
              <w:rPr>
                <w:rFonts w:ascii="Courier New" w:cs="Courier New" w:eastAsia="Courier New" w:hAnsi="Courier New"/>
                <w:sz w:val="18"/>
                <w:szCs w:val="18"/>
                <w:color w:val="auto"/>
                <w:w w:val="99"/>
              </w:rPr>
              <w:t>53,104,188</w:t>
            </w: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(b)</w:t>
            </w:r>
          </w:p>
        </w:tc>
        <w:tc>
          <w:tcPr>
            <w:tcW w:w="2520" w:type="dxa"/>
            <w:vAlign w:val="bottom"/>
          </w:tcPr>
          <w:p>
            <w:pPr>
              <w:spacing w:after="0"/>
              <w:rPr>
                <w:sz w:val="20"/>
                <w:szCs w:val="20"/>
                <w:color w:val="auto"/>
              </w:rPr>
            </w:pPr>
            <w:r>
              <w:rPr>
                <w:rFonts w:ascii="Courier New" w:cs="Courier New" w:eastAsia="Courier New" w:hAnsi="Courier New"/>
                <w:sz w:val="18"/>
                <w:szCs w:val="18"/>
                <w:color w:val="auto"/>
              </w:rPr>
              <w:t>Percent of Class:</w:t>
            </w:r>
          </w:p>
        </w:tc>
        <w:tc>
          <w:tcPr>
            <w:tcW w:w="900" w:type="dxa"/>
            <w:vAlign w:val="bottom"/>
          </w:tcPr>
          <w:p>
            <w:pPr>
              <w:jc w:val="right"/>
              <w:spacing w:after="0"/>
              <w:rPr>
                <w:sz w:val="20"/>
                <w:szCs w:val="20"/>
                <w:color w:val="auto"/>
              </w:rPr>
            </w:pPr>
            <w:r>
              <w:rPr>
                <w:rFonts w:ascii="Courier New" w:cs="Courier New" w:eastAsia="Courier New" w:hAnsi="Courier New"/>
                <w:sz w:val="18"/>
                <w:szCs w:val="18"/>
                <w:color w:val="auto"/>
              </w:rPr>
              <w:t>10.711%</w:t>
            </w: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5680" w:type="dxa"/>
            <w:vAlign w:val="bottom"/>
            <w:gridSpan w:val="3"/>
          </w:tcPr>
          <w:p>
            <w:pPr>
              <w:spacing w:after="0"/>
              <w:rPr>
                <w:sz w:val="20"/>
                <w:szCs w:val="20"/>
                <w:color w:val="auto"/>
              </w:rPr>
            </w:pPr>
            <w:r>
              <w:rPr>
                <w:rFonts w:ascii="Courier New" w:cs="Courier New" w:eastAsia="Courier New" w:hAnsi="Courier New"/>
                <w:sz w:val="18"/>
                <w:szCs w:val="18"/>
                <w:color w:val="auto"/>
              </w:rPr>
              <w:t>Number of shares as to which such person has:</w:t>
            </w:r>
          </w:p>
        </w:tc>
      </w:tr>
    </w:tbl>
    <w:p>
      <w:pPr>
        <w:sectPr>
          <w:pgSz w:w="11900" w:h="16838" w:orient="portrait"/>
          <w:cols w:equalWidth="0" w:num="1">
            <w:col w:w="10219"/>
          </w:cols>
          <w:pgMar w:left="240" w:top="244" w:right="1440"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60" w:type="dxa"/>
            <w:vAlign w:val="bottom"/>
          </w:tcPr>
          <w:p>
            <w:pPr>
              <w:spacing w:after="0"/>
              <w:rPr>
                <w:sz w:val="17"/>
                <w:szCs w:val="17"/>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sole power to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vote or to</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direct the vote:</w:t>
            </w:r>
          </w:p>
        </w:tc>
        <w:tc>
          <w:tcPr>
            <w:tcW w:w="420" w:type="dxa"/>
            <w:vAlign w:val="bottom"/>
          </w:tcPr>
          <w:p>
            <w:pPr>
              <w:spacing w:after="0"/>
              <w:rPr>
                <w:sz w:val="17"/>
                <w:szCs w:val="17"/>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5,155,992</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50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53,104,188</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0</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3"/>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4"/>
                <w:szCs w:val="24"/>
                <w:color w:val="auto"/>
              </w:rPr>
            </w:pPr>
          </w:p>
        </w:tc>
        <w:tc>
          <w:tcPr>
            <w:tcW w:w="338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 applicable.</w:t>
            </w: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338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bl>
    <w:p>
      <w:pPr>
        <w:spacing w:after="0" w:line="207" w:lineRule="exact"/>
        <w:rPr>
          <w:sz w:val="20"/>
          <w:szCs w:val="20"/>
          <w:color w:val="auto"/>
        </w:rPr>
      </w:pPr>
    </w:p>
    <w:p>
      <w:pPr>
        <w:ind w:right="1779" w:firstLine="948"/>
        <w:spacing w:after="0" w:line="235"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w:t>
      </w:r>
    </w:p>
    <w:p>
      <w:pPr>
        <w:spacing w:after="0" w:line="6" w:lineRule="exact"/>
        <w:rPr>
          <w:sz w:val="20"/>
          <w:szCs w:val="20"/>
          <w:color w:val="auto"/>
        </w:rPr>
      </w:pPr>
    </w:p>
    <w:p>
      <w:pPr>
        <w:ind w:right="2619"/>
        <w:spacing w:after="0" w:line="279" w:lineRule="auto"/>
        <w:rPr>
          <w:sz w:val="20"/>
          <w:szCs w:val="20"/>
          <w:color w:val="auto"/>
        </w:rPr>
      </w:pPr>
      <w:r>
        <w:rPr>
          <w:rFonts w:ascii="Courier New" w:cs="Courier New" w:eastAsia="Courier New" w:hAnsi="Courier New"/>
          <w:sz w:val="16"/>
          <w:szCs w:val="16"/>
          <w:color w:val="auto"/>
        </w:rPr>
        <w:t>sale of, the COMMON STOCK of MARVELL TECHNOLOGY GROUP LTD. No one other person's interest in the COMMON STOCK of MARVELL TECHNOLOGY GROUP LTD is more than five percent of the total outstanding COMMON STOCK.</w:t>
      </w:r>
    </w:p>
    <w:p>
      <w:pPr>
        <w:spacing w:after="0" w:line="178" w:lineRule="exact"/>
        <w:rPr>
          <w:sz w:val="20"/>
          <w:szCs w:val="20"/>
          <w:color w:val="auto"/>
        </w:rPr>
      </w:pPr>
    </w:p>
    <w:p>
      <w:pPr>
        <w:ind w:right="167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36"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April 9, 2018</w:t>
      </w:r>
    </w:p>
    <w:p>
      <w:pPr>
        <w:ind w:left="860"/>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Marc R. Bryant</w:t>
      </w:r>
    </w:p>
    <w:p>
      <w:pPr>
        <w:ind w:left="860"/>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spacing w:after="0" w:line="4" w:lineRule="exact"/>
        <w:rPr>
          <w:sz w:val="20"/>
          <w:szCs w:val="20"/>
          <w:color w:val="auto"/>
        </w:rPr>
      </w:pPr>
    </w:p>
    <w:p>
      <w:pPr>
        <w:ind w:right="1999" w:firstLine="948"/>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372" w:lineRule="exact"/>
        <w:rPr>
          <w:sz w:val="20"/>
          <w:szCs w:val="20"/>
          <w:color w:val="auto"/>
        </w:rPr>
      </w:pPr>
    </w:p>
    <w:p>
      <w:pPr>
        <w:ind w:right="2419" w:firstLine="8"/>
        <w:spacing w:after="0" w:line="236" w:lineRule="auto"/>
        <w:tabs>
          <w:tab w:leader="none" w:pos="21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June 10, 2016, accession number: 0000315066-16-005935</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619" w:firstLine="1791"/>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219"/>
          </w:cols>
          <w:pgMar w:left="240" w:top="136" w:right="1440" w:bottom="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860" w:type="dxa"/>
            <w:vAlign w:val="bottom"/>
          </w:tcPr>
          <w:p>
            <w:pPr>
              <w:spacing w:after="0"/>
              <w:rPr>
                <w:sz w:val="20"/>
                <w:szCs w:val="20"/>
                <w:color w:val="auto"/>
              </w:rPr>
            </w:pPr>
            <w:r>
              <w:rPr>
                <w:rFonts w:ascii="Courier New" w:cs="Courier New" w:eastAsia="Courier New" w:hAnsi="Courier New"/>
                <w:sz w:val="18"/>
                <w:szCs w:val="18"/>
                <w:color w:val="auto"/>
              </w:rPr>
              <w:t>Entity</w:t>
            </w:r>
          </w:p>
        </w:tc>
        <w:tc>
          <w:tcPr>
            <w:tcW w:w="6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4200" w:type="dxa"/>
            <w:vAlign w:val="bottom"/>
          </w:tcPr>
          <w:p>
            <w:pPr>
              <w:ind w:left="40"/>
              <w:spacing w:after="0"/>
              <w:rPr>
                <w:sz w:val="20"/>
                <w:szCs w:val="20"/>
                <w:color w:val="auto"/>
              </w:rPr>
            </w:pPr>
            <w:r>
              <w:rPr>
                <w:rFonts w:ascii="Courier New" w:cs="Courier New" w:eastAsia="Courier New" w:hAnsi="Courier New"/>
                <w:sz w:val="18"/>
                <w:szCs w:val="18"/>
                <w:color w:val="auto"/>
              </w:rPr>
              <w:t>Classification</w:t>
            </w: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FIAM LLC</w:t>
            </w:r>
          </w:p>
        </w:tc>
        <w:tc>
          <w:tcPr>
            <w:tcW w:w="680" w:type="dxa"/>
            <w:vAlign w:val="bottom"/>
          </w:tcPr>
          <w:p>
            <w:pPr>
              <w:spacing w:after="0"/>
              <w:rPr>
                <w:sz w:val="17"/>
                <w:szCs w:val="17"/>
                <w:color w:val="auto"/>
              </w:rPr>
            </w:pPr>
          </w:p>
        </w:tc>
        <w:tc>
          <w:tcPr>
            <w:tcW w:w="42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IA</w:t>
            </w: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88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Institutional Asset Management Trust Company</w:t>
            </w:r>
          </w:p>
        </w:tc>
        <w:tc>
          <w:tcPr>
            <w:tcW w:w="3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2"/>
              </w:rPr>
              <w:t>BK</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88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MANAGEMENT &amp; RESEARCH (HONG KONG) LIMITED</w:t>
            </w:r>
          </w:p>
        </w:tc>
        <w:tc>
          <w:tcPr>
            <w:tcW w:w="3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2"/>
              </w:rPr>
              <w:t>IA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FMR CO.,</w:t>
            </w:r>
          </w:p>
        </w:tc>
        <w:tc>
          <w:tcPr>
            <w:tcW w:w="6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INC *</w:t>
            </w:r>
          </w:p>
        </w:tc>
        <w:tc>
          <w:tcPr>
            <w:tcW w:w="42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IA</w:t>
            </w:r>
          </w:p>
        </w:tc>
        <w:tc>
          <w:tcPr>
            <w:tcW w:w="380" w:type="dxa"/>
            <w:vAlign w:val="bottom"/>
          </w:tcPr>
          <w:p>
            <w:pPr>
              <w:spacing w:after="0"/>
              <w:rPr>
                <w:sz w:val="17"/>
                <w:szCs w:val="17"/>
                <w:color w:val="auto"/>
              </w:rPr>
            </w:pPr>
          </w:p>
        </w:tc>
      </w:tr>
    </w:tbl>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pacing w:after="0" w:line="200" w:lineRule="exact"/>
        <w:rPr>
          <w:sz w:val="20"/>
          <w:szCs w:val="20"/>
          <w:color w:val="auto"/>
        </w:rPr>
      </w:pPr>
    </w:p>
    <w:p>
      <w:pPr>
        <w:spacing w:after="0" w:line="210" w:lineRule="exact"/>
        <w:rPr>
          <w:sz w:val="20"/>
          <w:szCs w:val="20"/>
          <w:color w:val="auto"/>
        </w:rPr>
      </w:pPr>
    </w:p>
    <w:p>
      <w:pPr>
        <w:ind w:right="2519" w:firstLine="8"/>
        <w:spacing w:after="0" w:line="235"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right="2839" w:firstLine="1685"/>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9" w:lineRule="exact"/>
        <w:rPr>
          <w:sz w:val="20"/>
          <w:szCs w:val="20"/>
          <w:color w:val="auto"/>
        </w:rPr>
      </w:pPr>
    </w:p>
    <w:p>
      <w:pPr>
        <w:ind w:right="2519" w:firstLine="1685"/>
        <w:spacing w:after="0" w:line="237" w:lineRule="auto"/>
        <w:rPr>
          <w:sz w:val="20"/>
          <w:szCs w:val="20"/>
          <w:color w:val="auto"/>
        </w:rPr>
      </w:pPr>
      <w:r>
        <w:rPr>
          <w:rFonts w:ascii="Courier New" w:cs="Courier New" w:eastAsia="Courier New" w:hAnsi="Courier New"/>
          <w:sz w:val="18"/>
          <w:szCs w:val="18"/>
          <w:color w:val="auto"/>
        </w:rPr>
        <w:t>The undersigned persons, on April 9, 2018, agree and consent to the joint filing on their behalf of this Schedule 13G in connection with their beneficial ownership of the COMMON STOCK of MARVELL TECHNOLOGY GROUP LTD at March 29, 2018.</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0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19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December 16, 2015, by and on behalf of Abigail P. Johnson*</w:t>
      </w:r>
    </w:p>
    <w:p>
      <w:pPr>
        <w:sectPr>
          <w:pgSz w:w="11900" w:h="16838" w:orient="portrait"/>
          <w:cols w:equalWidth="0" w:num="1">
            <w:col w:w="10219"/>
          </w:cols>
          <w:pgMar w:left="240" w:top="339" w:right="1440" w:bottom="0" w:gutter="0" w:footer="0" w:header="0"/>
        </w:sectPr>
      </w:pPr>
    </w:p>
    <w:bookmarkStart w:id="3" w:name="page4"/>
    <w:bookmarkEnd w:id="3"/>
    <w:p>
      <w:pPr>
        <w:ind w:left="-8" w:right="2419" w:firstLine="8"/>
        <w:spacing w:after="0" w:line="236" w:lineRule="auto"/>
        <w:tabs>
          <w:tab w:leader="none" w:pos="203"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June 10, 2016, accession number: 0000315066-16-005935</w:t>
      </w:r>
    </w:p>
    <w:sectPr>
      <w:pgSz w:w="11900" w:h="16838" w:orient="portrait"/>
      <w:cols w:equalWidth="0" w:num="1">
        <w:col w:w="10211"/>
      </w:cols>
      <w:pgMar w:left="248"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Roman"/>
      <w:start w:val="10"/>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2019-12-06T12:32:26Z</dcterms:created>
  <dcterms:modified xsi:type="dcterms:W3CDTF">2019-12-06T12:32:26Z</dcterms:modified>
</cp:coreProperties>
</file>