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5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6" w:lineRule="exact"/>
        <w:rPr>
          <w:sz w:val="24"/>
          <w:szCs w:val="24"/>
          <w:color w:val="auto"/>
        </w:rPr>
      </w:pPr>
    </w:p>
    <w:p>
      <w:pPr>
        <w:jc w:val="center"/>
        <w:ind w:right="-59"/>
        <w:spacing w:after="0"/>
        <w:rPr>
          <w:sz w:val="20"/>
          <w:szCs w:val="20"/>
          <w:color w:val="auto"/>
        </w:rPr>
      </w:pPr>
      <w:r>
        <w:rPr>
          <w:rFonts w:ascii="Arial" w:cs="Arial" w:eastAsia="Arial" w:hAnsi="Arial"/>
          <w:sz w:val="25"/>
          <w:szCs w:val="25"/>
          <w:b w:val="1"/>
          <w:bCs w:val="1"/>
          <w:color w:val="auto"/>
        </w:rPr>
        <w:t>CURRENT REPORT</w:t>
      </w:r>
    </w:p>
    <w:p>
      <w:pPr>
        <w:spacing w:after="0" w:line="19"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Pursuant to Section 13 or 15(d)</w:t>
      </w:r>
    </w:p>
    <w:p>
      <w:pPr>
        <w:jc w:val="center"/>
        <w:ind w:right="-5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Date of Report (Date of earliest event reported): May 24, 2018</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5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60"/>
          </w:cols>
          <w:pgMar w:left="240" w:top="368" w:right="29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00"/>
          </w:cols>
          <w:pgMar w:left="240" w:top="368" w:right="29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20"/>
          </w:cols>
          <w:pgMar w:left="240" w:top="368" w:right="299" w:bottom="1440" w:gutter="0" w:footer="0" w:header="0"/>
          <w:type w:val="continuous"/>
        </w:sectPr>
      </w:pPr>
    </w:p>
    <w:p>
      <w:pPr>
        <w:spacing w:after="0" w:line="6"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7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60"/>
          </w:cols>
          <w:pgMar w:left="240" w:top="368" w:right="29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ind w:right="6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30" w:lineRule="exact"/>
        <w:rPr>
          <w:sz w:val="24"/>
          <w:szCs w:val="24"/>
          <w:color w:val="auto"/>
        </w:rPr>
      </w:pPr>
    </w:p>
    <w:p>
      <w:pPr>
        <w:spacing w:after="0" w:line="207" w:lineRule="exact"/>
        <w:rPr>
          <w:sz w:val="20"/>
          <w:szCs w:val="20"/>
          <w:color w:val="auto"/>
        </w:rPr>
      </w:pPr>
      <w:r>
        <w:rPr>
          <w:rFonts w:ascii="Arial" w:cs="Arial" w:eastAsia="Arial" w:hAnsi="Arial"/>
          <w:sz w:val="18"/>
          <w:szCs w:val="18"/>
          <w:color w:val="auto"/>
        </w:rPr>
        <w:t xml:space="preserve">Emerging growth company </w:t>
      </w:r>
      <w:r>
        <w:rPr>
          <w:rFonts w:ascii="MS PGothic" w:cs="MS PGothic" w:eastAsia="MS PGothic" w:hAnsi="MS PGothic"/>
          <w:sz w:val="18"/>
          <w:szCs w:val="18"/>
          <w:color w:val="auto"/>
        </w:rPr>
        <w:t>☐</w:t>
      </w:r>
    </w:p>
    <w:p>
      <w:pPr>
        <w:spacing w:after="0" w:line="258" w:lineRule="exact"/>
        <w:rPr>
          <w:sz w:val="24"/>
          <w:szCs w:val="24"/>
          <w:color w:val="auto"/>
        </w:rPr>
      </w:pPr>
    </w:p>
    <w:p>
      <w:pPr>
        <w:ind w:right="8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73660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116205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60"/>
          </w:cols>
          <w:pgMar w:left="240" w:top="368" w:right="299" w:bottom="1440" w:gutter="0" w:footer="0" w:header="0"/>
          <w:type w:val="continuous"/>
        </w:sectPr>
      </w:pPr>
    </w:p>
    <w:bookmarkStart w:id="1" w:name="page2"/>
    <w:bookmarkEnd w:id="1"/>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right="140"/>
        <w:spacing w:after="0" w:line="297" w:lineRule="auto"/>
        <w:rPr>
          <w:sz w:val="20"/>
          <w:szCs w:val="20"/>
          <w:color w:val="auto"/>
        </w:rPr>
      </w:pPr>
      <w:r>
        <w:rPr>
          <w:rFonts w:ascii="Arial" w:cs="Arial" w:eastAsia="Arial" w:hAnsi="Arial"/>
          <w:sz w:val="16"/>
          <w:szCs w:val="16"/>
          <w:color w:val="auto"/>
        </w:rPr>
        <w:t>On May 24, 2018, Marvell Technology Group Ltd. (the “Company”) issued a press release announcing that it has received written communication from the Committee on Foreign Investment in the United States (“CFIUS”) that CFIUS has completed its review of the Company’s previously announced merger transaction with Cavium, Inc. (the “Merger”) and determined that there are no unresolved national security concerns with respect to the Merger. The Merger remains subject to customary closing conditions, including receipt of regulatory approval from China’s MOFCOM Anti-Monopoly Bureau which has been transferred into China’s State Administration for Market Regulation. Marvell continues to expect the Merger to close mid-calendar year of 2018.</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color w:val="auto"/>
        </w:rPr>
        <w:t>A copy of the press release is attached hereto as Exhibit 99.1 and is incorporated by reference herein.</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Cautionary Statement Regarding Forward-Looking Statements</w:t>
      </w:r>
    </w:p>
    <w:p>
      <w:pPr>
        <w:spacing w:after="0" w:line="121" w:lineRule="exact"/>
        <w:rPr>
          <w:sz w:val="20"/>
          <w:szCs w:val="20"/>
          <w:color w:val="auto"/>
        </w:rPr>
      </w:pPr>
    </w:p>
    <w:p>
      <w:pPr>
        <w:spacing w:after="0" w:line="283" w:lineRule="auto"/>
        <w:rPr>
          <w:sz w:val="20"/>
          <w:szCs w:val="20"/>
          <w:color w:val="auto"/>
        </w:rPr>
      </w:pPr>
      <w:r>
        <w:rPr>
          <w:rFonts w:ascii="Arial" w:cs="Arial" w:eastAsia="Arial" w:hAnsi="Arial"/>
          <w:sz w:val="16"/>
          <w:szCs w:val="16"/>
          <w:color w:val="auto"/>
        </w:rPr>
        <w:t>This document contains certain forward-looking statements within the meaning of the federal securities laws with respect to the proposed transaction between Cavium and Marvell,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document, including but not limited to: (i) uncertainties as to the timing of the consummation of the transaction and the ability of each party to consummate the transaction, (ii) the failure to satisfy the conditions to the consummation of the transaction, (iii) the failure to realize the anticipated benefits of the proposed transaction, including as a result of delay in completing the transaction or integrating the businesses of Cavium and Marvell, (iv) the effect of the announcement or pendency of the transaction on Cavium’s business relationships, operating results, and business generally, (v) risks that the proposed transaction disrupts current plans and operations of Cavium or Marvell and potential difficulties in Cavium employee retention as a result of the transaction,</w:t>
      </w:r>
    </w:p>
    <w:p>
      <w:pPr>
        <w:spacing w:after="0" w:line="5" w:lineRule="exact"/>
        <w:rPr>
          <w:sz w:val="20"/>
          <w:szCs w:val="20"/>
          <w:color w:val="auto"/>
        </w:rPr>
      </w:pPr>
    </w:p>
    <w:p>
      <w:pPr>
        <w:ind w:right="20" w:firstLine="8"/>
        <w:spacing w:after="0" w:line="268" w:lineRule="auto"/>
        <w:tabs>
          <w:tab w:leader="none" w:pos="305" w:val="left"/>
        </w:tabs>
        <w:numPr>
          <w:ilvl w:val="0"/>
          <w:numId w:val="2"/>
        </w:numPr>
        <w:rPr>
          <w:rFonts w:ascii="Arial" w:cs="Arial" w:eastAsia="Arial" w:hAnsi="Arial"/>
          <w:sz w:val="17"/>
          <w:szCs w:val="17"/>
          <w:color w:val="auto"/>
        </w:rPr>
      </w:pPr>
      <w:r>
        <w:rPr>
          <w:rFonts w:ascii="Arial" w:cs="Arial" w:eastAsia="Arial" w:hAnsi="Arial"/>
          <w:sz w:val="17"/>
          <w:szCs w:val="17"/>
          <w:color w:val="auto"/>
        </w:rPr>
        <w:t>the outcome of litigation and other legal proceedings against Cavium and/or Marvell or to which Cavium and/or Marvell become subject, and (vii) the ability of Marvell to successfully integrate Cavium’s operations and product lines. The foregoing review of important factors should not be construed as exhaustive. You should carefully consider the foregoing factors and the other risks and uncertainties that affect the businesses of Marvell and Cavium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Cavium assume no obligation and do not intend to update or revise these forward-looking statements, whether as a result of new information, future events, or otherwise. Neither Marvell nor Cavium gives any assurance that either Marvell or Cavium will achieve its expectations.</w:t>
      </w:r>
    </w:p>
    <w:p>
      <w:pPr>
        <w:spacing w:after="0" w:line="327"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1120" w:hanging="666"/>
        <w:spacing w:after="0"/>
        <w:tabs>
          <w:tab w:leader="none" w:pos="1120" w:val="left"/>
        </w:tabs>
        <w:numPr>
          <w:ilvl w:val="0"/>
          <w:numId w:val="3"/>
        </w:numPr>
        <w:rPr>
          <w:rFonts w:ascii="Arial" w:cs="Arial" w:eastAsia="Arial" w:hAnsi="Arial"/>
          <w:sz w:val="18"/>
          <w:szCs w:val="18"/>
          <w:color w:val="auto"/>
        </w:rPr>
      </w:pPr>
      <w:r>
        <w:rPr>
          <w:rFonts w:ascii="Arial" w:cs="Arial" w:eastAsia="Arial" w:hAnsi="Arial"/>
          <w:sz w:val="18"/>
          <w:szCs w:val="18"/>
          <w:color w:val="auto"/>
        </w:rPr>
        <w:t>Exhibits.</w:t>
      </w:r>
    </w:p>
    <w:p>
      <w:pPr>
        <w:spacing w:after="0" w:line="130" w:lineRule="exact"/>
        <w:rPr>
          <w:rFonts w:ascii="Arial" w:cs="Arial" w:eastAsia="Arial" w:hAnsi="Arial"/>
          <w:sz w:val="18"/>
          <w:szCs w:val="18"/>
          <w:color w:val="auto"/>
        </w:rPr>
      </w:pPr>
    </w:p>
    <w:p>
      <w:pPr>
        <w:ind w:left="1140"/>
        <w:spacing w:after="0"/>
        <w:rPr>
          <w:rFonts w:ascii="Arial" w:cs="Arial" w:eastAsia="Arial" w:hAnsi="Arial"/>
          <w:sz w:val="15"/>
          <w:szCs w:val="15"/>
          <w:u w:val="single" w:color="auto"/>
          <w:color w:val="0000EE"/>
        </w:rPr>
      </w:pPr>
      <w:r>
        <w:rPr>
          <w:rFonts w:ascii="Arial" w:cs="Arial" w:eastAsia="Arial" w:hAnsi="Arial"/>
          <w:sz w:val="18"/>
          <w:szCs w:val="18"/>
          <w:color w:val="auto"/>
        </w:rPr>
        <w:t>99.1</w:t>
      </w:r>
      <w:hyperlink w:anchor="page4">
        <w:r>
          <w:rPr>
            <w:rFonts w:ascii="Arial" w:cs="Arial" w:eastAsia="Arial" w:hAnsi="Arial"/>
            <w:sz w:val="15"/>
            <w:szCs w:val="15"/>
            <w:u w:val="single" w:color="auto"/>
            <w:color w:val="0000EE"/>
          </w:rPr>
          <w:t>Press Release dated May 24, 2018</w:t>
        </w:r>
      </w:hyperlink>
    </w:p>
    <w:p>
      <w:pPr>
        <w:sectPr>
          <w:pgSz w:w="11900" w:h="16838" w:orient="portrait"/>
          <w:cols w:equalWidth="0" w:num="1">
            <w:col w:w="11400"/>
          </w:cols>
          <w:pgMar w:left="240" w:top="270" w:right="259" w:bottom="1440" w:gutter="0" w:footer="0" w:header="0"/>
        </w:sectPr>
      </w:pPr>
    </w:p>
    <w:bookmarkStart w:id="2" w:name="page3"/>
    <w:bookmarkEnd w:id="2"/>
    <w:p>
      <w:pPr>
        <w:jc w:val="center"/>
        <w:ind w:right="-1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Dated: May 24, 2018</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Mitchell 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Mitchell L. Gaynor</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7"/>
          <w:szCs w:val="17"/>
          <w:i w:val="1"/>
          <w:iCs w:val="1"/>
          <w:color w:val="auto"/>
        </w:rPr>
        <w:t>Chief Administration and Legal Officer and Secretary</w:t>
      </w:r>
    </w:p>
    <w:p>
      <w:pPr>
        <w:sectPr>
          <w:pgSz w:w="11900" w:h="16838" w:orient="portrait"/>
          <w:cols w:equalWidth="0" w:num="1">
            <w:col w:w="11220"/>
          </w:cols>
          <w:pgMar w:left="240" w:top="270" w:right="43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172085</wp:posOffset>
            </wp:positionV>
            <wp:extent cx="2246630" cy="22288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246630" cy="22288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jc w:val="center"/>
        <w:spacing w:after="0"/>
        <w:rPr>
          <w:sz w:val="20"/>
          <w:szCs w:val="20"/>
          <w:color w:val="auto"/>
        </w:rPr>
      </w:pPr>
      <w:r>
        <w:rPr>
          <w:rFonts w:ascii="Arial" w:cs="Arial" w:eastAsia="Arial" w:hAnsi="Arial"/>
          <w:sz w:val="25"/>
          <w:szCs w:val="25"/>
          <w:b w:val="1"/>
          <w:bCs w:val="1"/>
          <w:color w:val="auto"/>
        </w:rPr>
        <w:t>Marvell Technology Group Ltd. Announces Completion of CFIUS Review</w:t>
      </w:r>
    </w:p>
    <w:p>
      <w:pPr>
        <w:spacing w:after="0" w:line="230" w:lineRule="exact"/>
        <w:rPr>
          <w:sz w:val="20"/>
          <w:szCs w:val="20"/>
          <w:color w:val="auto"/>
        </w:rPr>
      </w:pPr>
    </w:p>
    <w:p>
      <w:pPr>
        <w:ind w:right="100"/>
        <w:spacing w:after="0" w:line="258" w:lineRule="auto"/>
        <w:rPr>
          <w:sz w:val="20"/>
          <w:szCs w:val="20"/>
          <w:color w:val="auto"/>
        </w:rPr>
      </w:pPr>
      <w:r>
        <w:rPr>
          <w:rFonts w:ascii="Arial" w:cs="Arial" w:eastAsia="Arial" w:hAnsi="Arial"/>
          <w:sz w:val="18"/>
          <w:szCs w:val="18"/>
          <w:b w:val="1"/>
          <w:bCs w:val="1"/>
          <w:color w:val="auto"/>
        </w:rPr>
        <w:t xml:space="preserve">SANTA CLARA, Calif. (May 24, 2018) </w:t>
      </w:r>
      <w:r>
        <w:rPr>
          <w:rFonts w:ascii="Arial" w:cs="Arial" w:eastAsia="Arial" w:hAnsi="Arial"/>
          <w:sz w:val="18"/>
          <w:szCs w:val="18"/>
          <w:color w:val="auto"/>
        </w:rPr>
        <w:t>– Marvell (NASDAQ: MRVL), a leader in storage, networking, and connectivity semiconductor solutions, today</w:t>
      </w:r>
      <w:r>
        <w:rPr>
          <w:rFonts w:ascii="Arial" w:cs="Arial" w:eastAsia="Arial" w:hAnsi="Arial"/>
          <w:sz w:val="18"/>
          <w:szCs w:val="18"/>
          <w:b w:val="1"/>
          <w:bCs w:val="1"/>
          <w:color w:val="auto"/>
        </w:rPr>
        <w:t xml:space="preserve"> </w:t>
      </w:r>
      <w:r>
        <w:rPr>
          <w:rFonts w:ascii="Arial" w:cs="Arial" w:eastAsia="Arial" w:hAnsi="Arial"/>
          <w:sz w:val="18"/>
          <w:szCs w:val="18"/>
          <w:color w:val="auto"/>
        </w:rPr>
        <w:t>announced that the Committee on Foreign Investment in the United States (CFIUS) has completed its review of the company’s previously announced merger transaction with Cavium, Inc. and determined that there are no unresolved national security concerns with respect to the merger. The merger remains subject to customary closing conditions, including receipt of regulatory approval from China’s State Administration for Market Regulation. Marvell continues to expect the merger to close mid-calendar year of 2018.</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20"/>
        <w:spacing w:after="0" w:line="259" w:lineRule="auto"/>
        <w:rPr>
          <w:sz w:val="20"/>
          <w:szCs w:val="20"/>
          <w:color w:val="auto"/>
        </w:rPr>
      </w:pPr>
      <w:r>
        <w:rPr>
          <w:rFonts w:ascii="Arial" w:cs="Arial" w:eastAsia="Arial" w:hAnsi="Arial"/>
          <w:sz w:val="18"/>
          <w:szCs w:val="18"/>
          <w:color w:val="auto"/>
        </w:rPr>
        <w:t xml:space="preserve">Marvell first revolutionized the digital storage industry by moving information at speeds never thought possible. Today, that same breakthrough innovation remains at the heart of the company’s storage, networking, and connectivity solutions. With leading intellectual property and deep system-level knowledge, Marvell’s semiconductor solutions continue to transform the enterprise, cloud, automotive, industrial, and consumer markets. To learn more,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Cautionary Statement Regarding Forward-Looking Statements</w:t>
      </w:r>
    </w:p>
    <w:p>
      <w:pPr>
        <w:spacing w:after="0" w:line="121" w:lineRule="exact"/>
        <w:rPr>
          <w:sz w:val="20"/>
          <w:szCs w:val="20"/>
          <w:color w:val="auto"/>
        </w:rPr>
      </w:pPr>
    </w:p>
    <w:p>
      <w:pPr>
        <w:ind w:right="20"/>
        <w:spacing w:after="0" w:line="287" w:lineRule="auto"/>
        <w:rPr>
          <w:sz w:val="20"/>
          <w:szCs w:val="20"/>
          <w:color w:val="auto"/>
        </w:rPr>
      </w:pPr>
      <w:r>
        <w:rPr>
          <w:rFonts w:ascii="Arial" w:cs="Arial" w:eastAsia="Arial" w:hAnsi="Arial"/>
          <w:sz w:val="16"/>
          <w:szCs w:val="16"/>
          <w:color w:val="auto"/>
        </w:rPr>
        <w:t>This document contains certain forward-looking statements within the meaning of the federal securities laws with respect to the proposed transaction between Cavium and Marvell,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document, including but not limited to: (i) uncertainties as to the timing of the consummation of the transaction and the ability of each party to consummate the transaction, (ii) the failure to satisfy the conditions to the consummation of the transaction, (iii) the failure to realize the anticipated benefits of the proposed transaction, including as a result of delay in completing the transaction or integrating the businesses of Cavium and Marvell, (iv) the effect of the announcement or pendency of the transaction on Cavium’s business relationships, operating results, and business generally, (v) risks that the proposed transaction disrupts current plans and operations of Cavium or Marvell and potential difficulties in Cavium employee retention as a result of the transaction, (vi) the outcome of litigation and other legal proceedings against Cavium and/or Marvell or to which Cavium and/or</w:t>
      </w:r>
    </w:p>
    <w:p>
      <w:pPr>
        <w:sectPr>
          <w:pgSz w:w="11900" w:h="16838" w:orient="portrait"/>
          <w:cols w:equalWidth="0" w:num="1">
            <w:col w:w="11420"/>
          </w:cols>
          <w:pgMar w:left="240" w:top="121" w:right="239" w:bottom="1440" w:gutter="0" w:footer="0" w:header="0"/>
        </w:sectPr>
      </w:pPr>
    </w:p>
    <w:bookmarkStart w:id="4" w:name="page5"/>
    <w:bookmarkEnd w:id="4"/>
    <w:p>
      <w:pPr>
        <w:ind w:right="100"/>
        <w:spacing w:after="0" w:line="288"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become subject, and (vii) the ability of Marvell to successfully integrate Cavium’s operations and product lines. The foregoing review of important factors should not be construed as exhaustive. You should carefully consider the foregoing factors and the other risks and uncertainties that affect the businesses of Marvell and Cavium described in the “Risk Factors” section of their respective Annual Reports on Form 10-K, Quarterly Reports on</w:t>
      </w:r>
    </w:p>
    <w:p>
      <w:pPr>
        <w:spacing w:after="0" w:line="271" w:lineRule="auto"/>
        <w:rPr>
          <w:sz w:val="20"/>
          <w:szCs w:val="20"/>
          <w:color w:val="auto"/>
        </w:rPr>
      </w:pPr>
      <w:r>
        <w:rPr>
          <w:rFonts w:ascii="Arial" w:cs="Arial" w:eastAsia="Arial" w:hAnsi="Arial"/>
          <w:sz w:val="17"/>
          <w:szCs w:val="17"/>
          <w:color w:val="auto"/>
        </w:rPr>
        <w:t>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Cavium assume no obligation and do not intend to update or revise these forward-looking statements, whether as a result of new information, future events, or otherwise. Neither Marvell nor Cavium gives any assurance that either Marvell or Cavium will achieve its expectations.</w:t>
      </w:r>
    </w:p>
    <w:p>
      <w:pPr>
        <w:spacing w:after="0" w:line="17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w:t>
      </w:r>
    </w:p>
    <w:p>
      <w:pPr>
        <w:spacing w:after="0" w:line="225" w:lineRule="exact"/>
        <w:rPr>
          <w:sz w:val="20"/>
          <w:szCs w:val="20"/>
          <w:color w:val="auto"/>
        </w:rPr>
      </w:pPr>
    </w:p>
    <w:p>
      <w:pPr>
        <w:spacing w:after="0"/>
        <w:rPr>
          <w:sz w:val="20"/>
          <w:szCs w:val="20"/>
          <w:color w:val="auto"/>
        </w:rPr>
      </w:pPr>
      <w:r>
        <w:rPr>
          <w:rFonts w:ascii="Arial" w:cs="Arial" w:eastAsia="Arial" w:hAnsi="Arial"/>
          <w:sz w:val="17"/>
          <w:szCs w:val="17"/>
          <w:color w:val="auto"/>
        </w:rPr>
        <w:t>Marvell and the M logo are registered trademarks of Marvell and/or its affiliates. Other names and brands may be claimed as the property of others.</w:t>
      </w:r>
    </w:p>
    <w:p>
      <w:pPr>
        <w:spacing w:after="0" w:line="34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T. Peter Andrew</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Treasury and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ir@marvell.com</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 222-0777</w:t>
      </w:r>
    </w:p>
    <w:sectPr>
      <w:pgSz w:w="11900" w:h="16838" w:orient="portrait"/>
      <w:cols w:equalWidth="0" w:num="1">
        <w:col w:w="11300"/>
      </w:cols>
      <w:pgMar w:left="240" w:top="274" w:right="3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6334873"/>
    <w:multiLevelType w:val="hybridMultilevel"/>
    <w:lvl w:ilvl="0">
      <w:lvlJc w:val="left"/>
      <w:lvlText w:val="☐"/>
      <w:numFmt w:val="bullet"/>
      <w:start w:val="1"/>
    </w:lvl>
  </w:abstractNum>
  <w:abstractNum w:abstractNumId="1">
    <w:nsid w:val="74B0DC51"/>
    <w:multiLevelType w:val="hybridMultilevel"/>
    <w:lvl w:ilvl="0">
      <w:lvlJc w:val="left"/>
      <w:lvlText w:val="(%1)"/>
      <w:numFmt w:val="lowerRoman"/>
      <w:start w:val="6"/>
    </w:lvl>
  </w:abstractNum>
  <w:abstractNum w:abstractNumId="2">
    <w:nsid w:val="19495CFF"/>
    <w:multiLevelType w:val="hybridMultilevel"/>
    <w:lvl w:ilvl="0">
      <w:lvlJc w:val="left"/>
      <w:lvlText w:val="(%1)"/>
      <w:numFmt w:val="lowerLetter"/>
      <w:start w:val="4"/>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jpeg"/><Relationship Id="rId21" Type="http://schemas.openxmlformats.org/officeDocument/2006/relationships/image" Target="media/image1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2019-12-28T21:36:22Z</dcterms:created>
  <dcterms:modified xsi:type="dcterms:W3CDTF">2019-12-28T21:36:22Z</dcterms:modified>
</cp:coreProperties>
</file>