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Date of Report: May 31, 2018</w:t>
      </w:r>
    </w:p>
    <w:p>
      <w:pPr>
        <w:spacing w:after="0" w:line="5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bl>
    <w:p>
      <w:pPr>
        <w:spacing w:after="0" w:line="25"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right="1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2"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ectPr>
          <w:pgSz w:w="11900" w:h="16838" w:orient="portrait"/>
          <w:cols w:equalWidth="0" w:num="1">
            <w:col w:w="11420"/>
          </w:cols>
          <w:pgMar w:left="240" w:top="702" w:right="239" w:bottom="0" w:gutter="0" w:footer="0" w:header="0"/>
        </w:sectPr>
      </w:pPr>
    </w:p>
    <w:bookmarkStart w:id="1" w:name="page2"/>
    <w:bookmarkEnd w:id="1"/>
    <w:p>
      <w:pPr>
        <w:ind w:firstLine="648"/>
        <w:spacing w:after="0" w:line="277" w:lineRule="auto"/>
        <w:rPr>
          <w:sz w:val="20"/>
          <w:szCs w:val="20"/>
          <w:color w:val="auto"/>
        </w:rPr>
      </w:pPr>
      <w:r>
        <w:rPr>
          <w:rFonts w:ascii="Arial" w:cs="Arial" w:eastAsia="Arial" w:hAnsi="Arial"/>
          <w:sz w:val="18"/>
          <w:szCs w:val="18"/>
          <w:color w:val="auto"/>
        </w:rPr>
        <w:t>On May 31, 2018, Marvell Technology Group Ltd. (“Marvell”) issued a press release reporting its financial results for the first quarter of fiscal 2019 ended May 5, 2018. A copy of the press release is furnished herewith as Exhibit 99.1 and is incorporated by reference herein.</w:t>
      </w:r>
    </w:p>
    <w:p>
      <w:pPr>
        <w:spacing w:after="0" w:line="170" w:lineRule="exact"/>
        <w:rPr>
          <w:sz w:val="20"/>
          <w:szCs w:val="20"/>
          <w:color w:val="auto"/>
        </w:rPr>
      </w:pPr>
    </w:p>
    <w:p>
      <w:pPr>
        <w:ind w:right="160" w:firstLine="648"/>
        <w:spacing w:after="0" w:line="259" w:lineRule="auto"/>
        <w:rPr>
          <w:sz w:val="20"/>
          <w:szCs w:val="20"/>
          <w:color w:val="auto"/>
        </w:rPr>
      </w:pPr>
      <w:r>
        <w:rPr>
          <w:rFonts w:ascii="Arial" w:cs="Arial" w:eastAsia="Arial" w:hAnsi="Arial"/>
          <w:sz w:val="18"/>
          <w:szCs w:val="18"/>
          <w:color w:val="auto"/>
        </w:rPr>
        <w:t xml:space="preserve">Marvell will conduct a conference call on Thursday, May 31, 2018 at 1:45 p.m. Pacific Time to discuss results for the first quarter of fiscal 2019. Interested parties may join the conference call by dialing 1-844-647-5488 or 1-615-247-0258, pass-code </w:t>
      </w:r>
      <w:r>
        <w:rPr>
          <w:rFonts w:ascii="Arial" w:cs="Arial" w:eastAsia="Arial" w:hAnsi="Arial"/>
          <w:sz w:val="18"/>
          <w:szCs w:val="18"/>
          <w:b w:val="1"/>
          <w:bCs w:val="1"/>
          <w:color w:val="auto"/>
        </w:rPr>
        <w:t>1449837</w:t>
      </w:r>
      <w:r>
        <w:rPr>
          <w:rFonts w:ascii="Arial" w:cs="Arial" w:eastAsia="Arial" w:hAnsi="Arial"/>
          <w:sz w:val="18"/>
          <w:szCs w:val="18"/>
          <w:color w:val="auto"/>
        </w:rPr>
        <w:t>. The call will be webcast by Thomson Reuters and can be accessed at the Marvell Investor Relations website at http://investor.marvell.com/ with a replay available following the call until Friday, June 8, 2018.</w:t>
      </w:r>
    </w:p>
    <w:p>
      <w:pPr>
        <w:spacing w:after="0" w:line="399"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300" w:hanging="647"/>
        <w:spacing w:after="0" w:line="277" w:lineRule="auto"/>
        <w:tabs>
          <w:tab w:leader="none" w:pos="1940" w:val="left"/>
        </w:tabs>
        <w:rPr>
          <w:rFonts w:ascii="Arial" w:cs="Arial" w:eastAsia="Arial" w:hAnsi="Arial"/>
          <w:sz w:val="18"/>
          <w:szCs w:val="18"/>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8"/>
            <w:szCs w:val="18"/>
            <w:u w:val="single" w:color="auto"/>
            <w:color w:val="0000FF"/>
          </w:rPr>
          <w:t>Press Release dated May 31, 2018, titled “Marvell Technology Group Ltd. Reports First Quarter of Fiscal Year 2019 Financial</w:t>
        </w:r>
      </w:hyperlink>
      <w:r>
        <w:rPr>
          <w:rFonts w:ascii="Arial" w:cs="Arial" w:eastAsia="Arial" w:hAnsi="Arial"/>
          <w:sz w:val="18"/>
          <w:szCs w:val="18"/>
          <w:u w:val="single" w:color="auto"/>
          <w:color w:val="0000FF"/>
        </w:rPr>
        <w:t xml:space="preserve"> </w:t>
      </w:r>
      <w:hyperlink w:anchor="page4">
        <w:r>
          <w:rPr>
            <w:rFonts w:ascii="Arial" w:cs="Arial" w:eastAsia="Arial" w:hAnsi="Arial"/>
            <w:sz w:val="18"/>
            <w:szCs w:val="18"/>
            <w:u w:val="single" w:color="auto"/>
            <w:color w:val="0000FF"/>
          </w:rPr>
          <w:t>Results”</w:t>
        </w:r>
      </w:hyperlink>
    </w:p>
    <w:p>
      <w:pPr>
        <w:sectPr>
          <w:pgSz w:w="11900" w:h="16838" w:orient="portrait"/>
          <w:cols w:equalWidth="0" w:num="1">
            <w:col w:w="11360"/>
          </w:cols>
          <w:pgMar w:left="240" w:top="125" w:right="299" w:bottom="1440" w:gutter="0" w:footer="0" w:header="0"/>
        </w:sectPr>
      </w:pPr>
    </w:p>
    <w:bookmarkStart w:id="2" w:name="page3"/>
    <w:bookmarkEnd w:id="2"/>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840"/>
        <w:spacing w:after="0"/>
        <w:tabs>
          <w:tab w:leader="none" w:pos="6520" w:val="left"/>
          <w:tab w:leader="none" w:pos="7020" w:val="left"/>
        </w:tabs>
        <w:rPr>
          <w:sz w:val="20"/>
          <w:szCs w:val="20"/>
          <w:color w:val="auto"/>
        </w:rPr>
      </w:pPr>
      <w:r>
        <w:rPr>
          <w:rFonts w:ascii="Arial" w:cs="Arial" w:eastAsia="Arial" w:hAnsi="Arial"/>
          <w:sz w:val="18"/>
          <w:szCs w:val="18"/>
          <w:color w:val="auto"/>
        </w:rPr>
        <w:t>Date: May 31,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4447540</wp:posOffset>
            </wp:positionH>
            <wp:positionV relativeFrom="paragraph">
              <wp:posOffset>31750</wp:posOffset>
            </wp:positionV>
            <wp:extent cx="22980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98065" cy="8890"/>
                    </a:xfrm>
                    <a:prstGeom prst="rect">
                      <a:avLst/>
                    </a:prstGeom>
                    <a:noFill/>
                  </pic:spPr>
                </pic:pic>
              </a:graphicData>
            </a:graphic>
          </wp:anchor>
        </w:drawing>
      </w:r>
    </w:p>
    <w:p>
      <w:pPr>
        <w:spacing w:after="0" w:line="53" w:lineRule="exact"/>
        <w:rPr>
          <w:sz w:val="20"/>
          <w:szCs w:val="20"/>
          <w:color w:val="auto"/>
        </w:rPr>
      </w:pPr>
    </w:p>
    <w:p>
      <w:pPr>
        <w:ind w:left="704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580" w:right="2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First Quarter of Fiscal Year 2019</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238" w:lineRule="exact"/>
        <w:rPr>
          <w:sz w:val="20"/>
          <w:szCs w:val="20"/>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Q1 Revenue: $605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Q1 Gross Margin: 62.1% GAAP gross margin; 62.5% non-GAAP gross margin</w:t>
      </w:r>
    </w:p>
    <w:p>
      <w:pPr>
        <w:spacing w:after="0" w:line="9" w:lineRule="exact"/>
        <w:rPr>
          <w:rFonts w:ascii="Arial" w:cs="Arial" w:eastAsia="Arial" w:hAnsi="Arial"/>
          <w:sz w:val="18"/>
          <w:szCs w:val="18"/>
          <w:color w:val="auto"/>
        </w:rPr>
      </w:pPr>
    </w:p>
    <w:p>
      <w:pPr>
        <w:ind w:left="660" w:hanging="328"/>
        <w:spacing w:after="0" w:line="250" w:lineRule="auto"/>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Q1 Diluted earnings per share: $0.25 GAAP diluted earnings per share from continuing operations; $0.32 non-GAAP diluted earnings per share from continuing operations</w:t>
      </w: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Cash and short-term investments: $1.9 billion</w:t>
      </w:r>
    </w:p>
    <w:p>
      <w:pPr>
        <w:spacing w:after="0" w:line="328" w:lineRule="exact"/>
        <w:rPr>
          <w:sz w:val="20"/>
          <w:szCs w:val="20"/>
          <w:color w:val="auto"/>
        </w:rPr>
      </w:pPr>
    </w:p>
    <w:p>
      <w:pPr>
        <w:jc w:val="both"/>
        <w:ind w:right="160"/>
        <w:spacing w:after="0" w:line="266" w:lineRule="auto"/>
        <w:rPr>
          <w:sz w:val="20"/>
          <w:szCs w:val="20"/>
          <w:color w:val="auto"/>
        </w:rPr>
      </w:pPr>
      <w:r>
        <w:rPr>
          <w:rFonts w:ascii="Arial" w:cs="Arial" w:eastAsia="Arial" w:hAnsi="Arial"/>
          <w:sz w:val="18"/>
          <w:szCs w:val="18"/>
          <w:b w:val="1"/>
          <w:bCs w:val="1"/>
          <w:color w:val="auto"/>
        </w:rPr>
        <w:t xml:space="preserve">Santa Clara, Calif. (May 31, 2018) </w:t>
      </w:r>
      <w:r>
        <w:rPr>
          <w:rFonts w:ascii="Arial" w:cs="Arial" w:eastAsia="Arial" w:hAnsi="Arial"/>
          <w:sz w:val="18"/>
          <w:szCs w:val="18"/>
          <w:color w:val="auto"/>
        </w:rPr>
        <w:t>- Marvell Technology Group Ltd. (NASDAQ: MRVL), a leader in storage, networking and connectivity semiconductor</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today reported financial results for the first fiscal quarter of fiscal year 2019. Revenue for the first quarter of fiscal 2019 was $605 million, which exceeded the midpoint of the Company’s guidance provided on March 8, 2018.</w:t>
      </w:r>
    </w:p>
    <w:p>
      <w:pPr>
        <w:spacing w:after="0" w:line="7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GAAP net income from continuing operations for the first quarter of fiscal 2019 was $129 million, or $0.25 per diluted share. Non-GAAP net income from continuing operations for the first quarter of fiscal 2019 was $165 million, or $0.32 per diluted share. Cash flow from operations for the first quarter was $129 million.</w:t>
      </w:r>
    </w:p>
    <w:p>
      <w:pPr>
        <w:spacing w:after="0" w:line="289" w:lineRule="exact"/>
        <w:rPr>
          <w:sz w:val="20"/>
          <w:szCs w:val="20"/>
          <w:color w:val="auto"/>
        </w:rPr>
      </w:pPr>
    </w:p>
    <w:p>
      <w:pPr>
        <w:ind w:right="180"/>
        <w:spacing w:after="0" w:line="286" w:lineRule="auto"/>
        <w:rPr>
          <w:sz w:val="20"/>
          <w:szCs w:val="20"/>
          <w:color w:val="auto"/>
        </w:rPr>
      </w:pPr>
      <w:r>
        <w:rPr>
          <w:rFonts w:ascii="Arial" w:cs="Arial" w:eastAsia="Arial" w:hAnsi="Arial"/>
          <w:sz w:val="17"/>
          <w:szCs w:val="17"/>
          <w:color w:val="auto"/>
        </w:rPr>
        <w:t>“Fiscal 2019 is off to a strong start, driven by the performance of our storage, networking and connectivity businesses which grew 7% year over year in Q1. Marvell’s R&amp;D engine is executing well, and our newly announced products are fueling a growing design win pipeline,” said Marvell President and CEO Matt Murphy. “Overall, I'm pleased with the results and thank the entire Marvell team for their effort and contribution.”</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Second Quarter of Fiscal 2019 Financial Outlook</w:t>
      </w:r>
    </w:p>
    <w:p>
      <w:pPr>
        <w:spacing w:after="0" w:line="135" w:lineRule="exact"/>
        <w:rPr>
          <w:sz w:val="20"/>
          <w:szCs w:val="20"/>
          <w:color w:val="auto"/>
        </w:rPr>
      </w:pPr>
    </w:p>
    <w:p>
      <w:pPr>
        <w:ind w:left="660" w:right="280" w:hanging="328"/>
        <w:spacing w:after="0" w:line="258"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is expected to be $600 million to $630 million. This guidance range excludes approximately $7 million in revenue from a Chinese OEM due to the trade restrictions imposed by the U.S. government.</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approximately 63% to 64%.</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$260 million to $270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approximately $210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EPS from continuing operations is expected to be in the range of $0.22 to $0.26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EPS from continuing operations is expected to be in the range of $0.32 to $0.36 per share.</w:t>
      </w:r>
    </w:p>
    <w:p>
      <w:pPr>
        <w:sectPr>
          <w:pgSz w:w="11900" w:h="16838" w:orient="portrait"/>
          <w:cols w:equalWidth="0" w:num="1">
            <w:col w:w="11420"/>
          </w:cols>
          <w:pgMar w:left="240" w:top="121"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100"/>
        <w:spacing w:after="0" w:line="312" w:lineRule="auto"/>
        <w:rPr>
          <w:sz w:val="20"/>
          <w:szCs w:val="20"/>
          <w:color w:val="auto"/>
        </w:rPr>
      </w:pPr>
      <w:r>
        <w:rPr>
          <w:rFonts w:ascii="Arial" w:cs="Arial" w:eastAsia="Arial" w:hAnsi="Arial"/>
          <w:sz w:val="16"/>
          <w:szCs w:val="16"/>
          <w:color w:val="auto"/>
        </w:rPr>
        <w:t>Marvell will conduct a conference call on Thursday, May 31, 2018 at 1:45 p.m. Pacific Time to discuss results for the first quarter of fiscal 2019. Interested parties may join the conference call by dialing 1-844-647-5488 or 1-615-247-0258, pass-code 1449837. The call will be webcast by Thomson Reuters and can be accessed at the Marvell Investor Relations website at http://investor.marvell.com/ with a replay available following the call until Friday, June 8, 2018.</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business.</w:t>
      </w:r>
    </w:p>
    <w:p>
      <w:pPr>
        <w:spacing w:after="0" w:line="7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first quarter of fiscal 2019, a non-GAAP tax rate of 4% has been applied to the non-GAAP financial results.</w:t>
      </w:r>
    </w:p>
    <w:p>
      <w:pPr>
        <w:spacing w:after="0" w:line="85"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Non-GAAP diluted net income per share from continuing operations is calculated by dividing non-GAAP net income from continuing operations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additional proceeds assumed to be used to repurchase shares under the GAAP treasury stock method.</w:t>
      </w:r>
    </w:p>
    <w:p>
      <w:pPr>
        <w:spacing w:after="0" w:line="188"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47"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40" w:hanging="328"/>
        <w:spacing w:after="0" w:line="261"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364" w:right="25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the impact on future performance of Marvell’s newly announced products; Marvell’s expectations regarding its second quarter of fiscal 2019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risk that the Cavium transaction may not be completed in a timely manner or at all, which may adversely affect Cavium’s business and the price of its common stock and/or Marvell’s business and the price of its common shares; the failure to satisfy the conditions to the consummation of the transaction, including receipt of certain governmental and regulatory approvals; the failure of Marvell to obtain the necessary financing pursuant to the arrangements set forth in the debt commitment letters delivered pursuant to the merger agreement or otherwise; the occurrence of any event, change or other circumstance that could give rise to the termination of the merger agreement; the effect of the announcement or pendency of the transaction on Cavium’s business relationships, operating results, and business generally; risks that the proposed transaction disrupts current plans and operations of Cavium or Marvell and potential difficulties in Cavium employee retention as a result of the transaction; risks related to diverting management’s attention from Cavium’s ongoing business operations; the outcome of any legal proceedings that may be instituted against Marvell or against Cavium related to the merger agreement or the transaction; the ability of Marvell to successfully integrate Cavium’s operations and product lines;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the risk of downturns in the highly cyclical semiconductor industry; Marvell’s dependence upon the storage, networking and connectivity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continued economic volatility in either domestic or foreign markets; the effects of transitioning to smaller geometry process technologies; the risks associated with manufacturing and selling a majority of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potential acquisitions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Annual Report on Form 10-K for the fiscal year ended February 3, 2018 as filed with the SEC on March 29, 2018,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364"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200"/>
          </w:cols>
          <w:pgMar w:left="240" w:top="580" w:right="45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3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64"/>
        </w:trPr>
        <w:tc>
          <w:tcPr>
            <w:tcW w:w="73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200" w:type="dxa"/>
            <w:vAlign w:val="bottom"/>
            <w:gridSpan w:val="2"/>
          </w:tcPr>
          <w:p>
            <w:pPr>
              <w:ind w:left="80"/>
              <w:spacing w:after="0"/>
              <w:rPr>
                <w:sz w:val="20"/>
                <w:szCs w:val="20"/>
                <w:color w:val="auto"/>
              </w:rPr>
            </w:pPr>
            <w:r>
              <w:rPr>
                <w:rFonts w:ascii="Arial" w:cs="Arial" w:eastAsia="Arial" w:hAnsi="Arial"/>
                <w:sz w:val="14"/>
                <w:szCs w:val="14"/>
                <w:b w:val="1"/>
                <w:bCs w:val="1"/>
                <w:color w:val="auto"/>
              </w:rPr>
              <w:t>May 5, 2018</w:t>
            </w:r>
          </w:p>
        </w:tc>
        <w:tc>
          <w:tcPr>
            <w:tcW w:w="120" w:type="dxa"/>
            <w:vAlign w:val="bottom"/>
          </w:tcPr>
          <w:p>
            <w:pPr>
              <w:spacing w:after="0"/>
              <w:rPr>
                <w:sz w:val="22"/>
                <w:szCs w:val="22"/>
                <w:color w:val="auto"/>
              </w:rPr>
            </w:pPr>
          </w:p>
        </w:tc>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February 3, 2018</w:t>
            </w:r>
          </w:p>
        </w:tc>
        <w:tc>
          <w:tcPr>
            <w:tcW w:w="160" w:type="dxa"/>
            <w:vAlign w:val="bottom"/>
          </w:tcPr>
          <w:p>
            <w:pPr>
              <w:spacing w:after="0"/>
              <w:rPr>
                <w:sz w:val="22"/>
                <w:szCs w:val="22"/>
                <w:color w:val="auto"/>
              </w:rPr>
            </w:pPr>
          </w:p>
        </w:tc>
        <w:tc>
          <w:tcPr>
            <w:tcW w:w="1100" w:type="dxa"/>
            <w:vAlign w:val="bottom"/>
          </w:tcPr>
          <w:p>
            <w:pPr>
              <w:jc w:val="right"/>
              <w:ind w:right="111"/>
              <w:spacing w:after="0"/>
              <w:rPr>
                <w:sz w:val="20"/>
                <w:szCs w:val="20"/>
                <w:color w:val="auto"/>
              </w:rPr>
            </w:pPr>
            <w:r>
              <w:rPr>
                <w:rFonts w:ascii="Arial" w:cs="Arial" w:eastAsia="Arial" w:hAnsi="Arial"/>
                <w:sz w:val="14"/>
                <w:szCs w:val="14"/>
                <w:b w:val="1"/>
                <w:bCs w:val="1"/>
                <w:color w:val="auto"/>
                <w:w w:val="97"/>
              </w:rPr>
              <w:t>April 29, 2017</w:t>
            </w:r>
          </w:p>
        </w:tc>
        <w:tc>
          <w:tcPr>
            <w:tcW w:w="0" w:type="dxa"/>
            <w:vAlign w:val="bottom"/>
          </w:tcPr>
          <w:p>
            <w:pPr>
              <w:spacing w:after="0"/>
              <w:rPr>
                <w:sz w:val="1"/>
                <w:szCs w:val="1"/>
                <w:color w:val="auto"/>
              </w:rPr>
            </w:pPr>
          </w:p>
        </w:tc>
      </w:tr>
      <w:tr>
        <w:trPr>
          <w:trHeight w:val="250"/>
        </w:trPr>
        <w:tc>
          <w:tcPr>
            <w:tcW w:w="73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604,631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615,409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572,709</w:t>
            </w: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228,938</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241,927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227,198</w:t>
            </w:r>
          </w:p>
        </w:tc>
        <w:tc>
          <w:tcPr>
            <w:tcW w:w="0" w:type="dxa"/>
            <w:vAlign w:val="bottom"/>
          </w:tcPr>
          <w:p>
            <w:pPr>
              <w:spacing w:after="0"/>
              <w:rPr>
                <w:sz w:val="1"/>
                <w:szCs w:val="1"/>
                <w:color w:val="auto"/>
              </w:rPr>
            </w:pPr>
          </w:p>
        </w:tc>
      </w:tr>
      <w:tr>
        <w:trPr>
          <w:trHeight w:val="27"/>
        </w:trPr>
        <w:tc>
          <w:tcPr>
            <w:tcW w:w="73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375,693</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373,482</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345,511</w:t>
            </w:r>
          </w:p>
        </w:tc>
        <w:tc>
          <w:tcPr>
            <w:tcW w:w="0" w:type="dxa"/>
            <w:vAlign w:val="bottom"/>
          </w:tcPr>
          <w:p>
            <w:pPr>
              <w:spacing w:after="0"/>
              <w:rPr>
                <w:sz w:val="1"/>
                <w:szCs w:val="1"/>
                <w:color w:val="auto"/>
              </w:rPr>
            </w:pPr>
          </w:p>
        </w:tc>
      </w:tr>
      <w:tr>
        <w:trPr>
          <w:trHeight w:val="318"/>
        </w:trPr>
        <w:tc>
          <w:tcPr>
            <w:tcW w:w="732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24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10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32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176,734</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180,000</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188,096</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3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72,313</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68,291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55,104</w:t>
            </w:r>
          </w:p>
        </w:tc>
        <w:tc>
          <w:tcPr>
            <w:tcW w:w="0" w:type="dxa"/>
            <w:vAlign w:val="bottom"/>
          </w:tcPr>
          <w:p>
            <w:pPr>
              <w:spacing w:after="0"/>
              <w:rPr>
                <w:sz w:val="1"/>
                <w:szCs w:val="1"/>
                <w:color w:val="auto"/>
              </w:rPr>
            </w:pPr>
          </w:p>
        </w:tc>
      </w:tr>
      <w:tr>
        <w:trPr>
          <w:trHeight w:val="243"/>
        </w:trPr>
        <w:tc>
          <w:tcPr>
            <w:tcW w:w="7320" w:type="dxa"/>
            <w:vAlign w:val="bottom"/>
          </w:tcPr>
          <w:p>
            <w:pPr>
              <w:ind w:left="460"/>
              <w:spacing w:after="0"/>
              <w:rPr>
                <w:sz w:val="20"/>
                <w:szCs w:val="20"/>
                <w:color w:val="auto"/>
              </w:rPr>
            </w:pPr>
            <w:r>
              <w:rPr>
                <w:rFonts w:ascii="Arial" w:cs="Arial" w:eastAsia="Arial" w:hAnsi="Arial"/>
                <w:sz w:val="18"/>
                <w:szCs w:val="18"/>
                <w:color w:val="auto"/>
              </w:rPr>
              <w:t>Litigation settlement (a)</w:t>
            </w:r>
          </w:p>
        </w:tc>
        <w:tc>
          <w:tcPr>
            <w:tcW w:w="18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74,385</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73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charges (gain)</w:t>
            </w: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1,567</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(3,205)</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886</w:t>
            </w:r>
          </w:p>
        </w:tc>
        <w:tc>
          <w:tcPr>
            <w:tcW w:w="0" w:type="dxa"/>
            <w:vAlign w:val="bottom"/>
          </w:tcPr>
          <w:p>
            <w:pPr>
              <w:spacing w:after="0"/>
              <w:rPr>
                <w:sz w:val="1"/>
                <w:szCs w:val="1"/>
                <w:color w:val="auto"/>
              </w:rPr>
            </w:pPr>
          </w:p>
        </w:tc>
      </w:tr>
      <w:tr>
        <w:trPr>
          <w:trHeight w:val="237"/>
        </w:trPr>
        <w:tc>
          <w:tcPr>
            <w:tcW w:w="7320" w:type="dxa"/>
            <w:vAlign w:val="bottom"/>
          </w:tcPr>
          <w:p>
            <w:pPr>
              <w:ind w:left="900"/>
              <w:spacing w:after="0"/>
              <w:rPr>
                <w:sz w:val="20"/>
                <w:szCs w:val="20"/>
                <w:color w:val="auto"/>
              </w:rPr>
            </w:pPr>
            <w:r>
              <w:rPr>
                <w:rFonts w:ascii="Arial" w:cs="Arial" w:eastAsia="Arial" w:hAnsi="Arial"/>
                <w:sz w:val="18"/>
                <w:szCs w:val="18"/>
                <w:color w:val="auto"/>
              </w:rPr>
              <w:t>Total operating expenses</w:t>
            </w: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250,614</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319,471</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244,086</w:t>
            </w:r>
          </w:p>
        </w:tc>
        <w:tc>
          <w:tcPr>
            <w:tcW w:w="0" w:type="dxa"/>
            <w:vAlign w:val="bottom"/>
          </w:tcPr>
          <w:p>
            <w:pPr>
              <w:spacing w:after="0"/>
              <w:rPr>
                <w:sz w:val="1"/>
                <w:szCs w:val="1"/>
                <w:color w:val="auto"/>
              </w:rPr>
            </w:pPr>
          </w:p>
        </w:tc>
      </w:tr>
      <w:tr>
        <w:trPr>
          <w:trHeight w:val="27"/>
        </w:trPr>
        <w:tc>
          <w:tcPr>
            <w:tcW w:w="73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125,079</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54,011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101,425</w:t>
            </w: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Interest and other income, net</w:t>
            </w: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7,296</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4,788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3,333</w:t>
            </w:r>
          </w:p>
        </w:tc>
        <w:tc>
          <w:tcPr>
            <w:tcW w:w="0" w:type="dxa"/>
            <w:vAlign w:val="bottom"/>
          </w:tcPr>
          <w:p>
            <w:pPr>
              <w:spacing w:after="0"/>
              <w:rPr>
                <w:sz w:val="1"/>
                <w:szCs w:val="1"/>
                <w:color w:val="auto"/>
              </w:rPr>
            </w:pPr>
          </w:p>
        </w:tc>
      </w:tr>
      <w:tr>
        <w:trPr>
          <w:trHeight w:val="27"/>
        </w:trPr>
        <w:tc>
          <w:tcPr>
            <w:tcW w:w="73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before income taxes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132,375</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58,799</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104,758</w:t>
            </w: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Provision for income taxes</w:t>
            </w: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3,763</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10,036</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5,166</w:t>
            </w:r>
          </w:p>
        </w:tc>
        <w:tc>
          <w:tcPr>
            <w:tcW w:w="0" w:type="dxa"/>
            <w:vAlign w:val="bottom"/>
          </w:tcPr>
          <w:p>
            <w:pPr>
              <w:spacing w:after="0"/>
              <w:rPr>
                <w:sz w:val="1"/>
                <w:szCs w:val="1"/>
                <w:color w:val="auto"/>
              </w:rPr>
            </w:pPr>
          </w:p>
        </w:tc>
      </w:tr>
      <w:tr>
        <w:trPr>
          <w:trHeight w:val="27"/>
        </w:trPr>
        <w:tc>
          <w:tcPr>
            <w:tcW w:w="73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128,612</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48,763</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99,592</w:t>
            </w:r>
          </w:p>
        </w:tc>
        <w:tc>
          <w:tcPr>
            <w:tcW w:w="0" w:type="dxa"/>
            <w:vAlign w:val="bottom"/>
          </w:tcPr>
          <w:p>
            <w:pPr>
              <w:spacing w:after="0"/>
              <w:rPr>
                <w:sz w:val="1"/>
                <w:szCs w:val="1"/>
                <w:color w:val="auto"/>
              </w:rPr>
            </w:pPr>
          </w:p>
        </w:tc>
      </w:tr>
      <w:tr>
        <w:trPr>
          <w:trHeight w:val="237"/>
        </w:trPr>
        <w:tc>
          <w:tcPr>
            <w:tcW w:w="7320" w:type="dxa"/>
            <w:vAlign w:val="bottom"/>
          </w:tcPr>
          <w:p>
            <w:pPr>
              <w:ind w:left="40"/>
              <w:spacing w:after="0"/>
              <w:rPr>
                <w:sz w:val="20"/>
                <w:szCs w:val="20"/>
                <w:color w:val="auto"/>
              </w:rPr>
            </w:pPr>
            <w:r>
              <w:rPr>
                <w:rFonts w:ascii="Arial" w:cs="Arial" w:eastAsia="Arial" w:hAnsi="Arial"/>
                <w:sz w:val="18"/>
                <w:szCs w:val="18"/>
                <w:color w:val="auto"/>
              </w:rPr>
              <w:t>Income from discontinued operations, net of tax</w:t>
            </w: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7,029</w:t>
            </w:r>
          </w:p>
        </w:tc>
        <w:tc>
          <w:tcPr>
            <w:tcW w:w="0" w:type="dxa"/>
            <w:vAlign w:val="bottom"/>
          </w:tcPr>
          <w:p>
            <w:pPr>
              <w:spacing w:after="0"/>
              <w:rPr>
                <w:sz w:val="1"/>
                <w:szCs w:val="1"/>
                <w:color w:val="auto"/>
              </w:rPr>
            </w:pPr>
          </w:p>
        </w:tc>
      </w:tr>
      <w:tr>
        <w:trPr>
          <w:trHeight w:val="27"/>
        </w:trPr>
        <w:tc>
          <w:tcPr>
            <w:tcW w:w="73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128,612</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auto"/>
            </w:tcBorders>
            <w:shd w:val="clear" w:color="auto" w:fill="CCEEFF"/>
          </w:tcPr>
          <w:p>
            <w:pPr>
              <w:jc w:val="right"/>
              <w:ind w:right="31"/>
              <w:spacing w:after="0"/>
              <w:rPr>
                <w:sz w:val="20"/>
                <w:szCs w:val="20"/>
                <w:color w:val="auto"/>
              </w:rPr>
            </w:pPr>
            <w:r>
              <w:rPr>
                <w:rFonts w:ascii="Arial" w:cs="Arial" w:eastAsia="Arial" w:hAnsi="Arial"/>
                <w:sz w:val="18"/>
                <w:szCs w:val="18"/>
                <w:color w:val="auto"/>
              </w:rPr>
              <w:t>48,763</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106,621</w:t>
            </w:r>
          </w:p>
        </w:tc>
        <w:tc>
          <w:tcPr>
            <w:tcW w:w="0" w:type="dxa"/>
            <w:vAlign w:val="bottom"/>
          </w:tcPr>
          <w:p>
            <w:pPr>
              <w:spacing w:after="0"/>
              <w:rPr>
                <w:sz w:val="1"/>
                <w:szCs w:val="1"/>
                <w:color w:val="auto"/>
              </w:rPr>
            </w:pPr>
          </w:p>
        </w:tc>
      </w:tr>
      <w:tr>
        <w:trPr>
          <w:trHeight w:val="20"/>
        </w:trPr>
        <w:tc>
          <w:tcPr>
            <w:tcW w:w="73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4"/>
        </w:trPr>
        <w:tc>
          <w:tcPr>
            <w:tcW w:w="7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per share — Basic:</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320" w:type="dxa"/>
            <w:vAlign w:val="bottom"/>
          </w:tcPr>
          <w:p>
            <w:pPr>
              <w:ind w:left="460"/>
              <w:spacing w:after="0"/>
              <w:rPr>
                <w:sz w:val="20"/>
                <w:szCs w:val="20"/>
                <w:color w:val="auto"/>
              </w:rPr>
            </w:pPr>
            <w:r>
              <w:rPr>
                <w:rFonts w:ascii="Arial" w:cs="Arial" w:eastAsia="Arial" w:hAnsi="Arial"/>
                <w:sz w:val="18"/>
                <w:szCs w:val="18"/>
                <w:color w:val="auto"/>
              </w:rPr>
              <w:t>Continuing operations</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0.26</w:t>
            </w:r>
          </w:p>
        </w:tc>
        <w:tc>
          <w:tcPr>
            <w:tcW w:w="120" w:type="dxa"/>
            <w:vAlign w:val="bottom"/>
          </w:tcPr>
          <w:p>
            <w:pPr>
              <w:spacing w:after="0"/>
              <w:rPr>
                <w:sz w:val="21"/>
                <w:szCs w:val="21"/>
                <w:color w:val="auto"/>
              </w:rPr>
            </w:pPr>
          </w:p>
        </w:tc>
        <w:tc>
          <w:tcPr>
            <w:tcW w:w="120" w:type="dxa"/>
            <w:vAlign w:val="bottom"/>
          </w:tcPr>
          <w:p>
            <w:pPr>
              <w:ind w:left="2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0.10</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67"/>
        </w:trPr>
        <w:tc>
          <w:tcPr>
            <w:tcW w:w="73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7320" w:type="dxa"/>
            <w:vAlign w:val="bottom"/>
            <w:tcBorders>
              <w:bottom w:val="single" w:sz="8" w:color="CCEEFF"/>
            </w:tcBorders>
            <w:shd w:val="clear" w:color="auto" w:fill="CCEEFF"/>
          </w:tcPr>
          <w:p>
            <w:pPr>
              <w:ind w:left="460"/>
              <w:spacing w:after="0" w:line="196" w:lineRule="exact"/>
              <w:rPr>
                <w:sz w:val="20"/>
                <w:szCs w:val="20"/>
                <w:color w:val="auto"/>
              </w:rPr>
            </w:pPr>
            <w:r>
              <w:rPr>
                <w:rFonts w:ascii="Arial" w:cs="Arial" w:eastAsia="Arial" w:hAnsi="Arial"/>
                <w:sz w:val="18"/>
                <w:szCs w:val="18"/>
                <w:color w:val="auto"/>
              </w:rPr>
              <w:t>Discontinued operations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0.01</w:t>
            </w:r>
          </w:p>
        </w:tc>
        <w:tc>
          <w:tcPr>
            <w:tcW w:w="0" w:type="dxa"/>
            <w:vAlign w:val="bottom"/>
          </w:tcPr>
          <w:p>
            <w:pPr>
              <w:spacing w:after="0"/>
              <w:rPr>
                <w:sz w:val="1"/>
                <w:szCs w:val="1"/>
                <w:color w:val="auto"/>
              </w:rPr>
            </w:pPr>
          </w:p>
        </w:tc>
      </w:tr>
      <w:tr>
        <w:trPr>
          <w:trHeight w:val="20"/>
        </w:trPr>
        <w:tc>
          <w:tcPr>
            <w:tcW w:w="732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per share - Basic</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7320" w:type="dxa"/>
            <w:vAlign w:val="bottom"/>
            <w:vMerge w:val="continue"/>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0.26</w:t>
            </w:r>
          </w:p>
        </w:tc>
        <w:tc>
          <w:tcPr>
            <w:tcW w:w="120" w:type="dxa"/>
            <w:vAlign w:val="bottom"/>
          </w:tcPr>
          <w:p>
            <w:pPr>
              <w:spacing w:after="0"/>
              <w:rPr>
                <w:sz w:val="19"/>
                <w:szCs w:val="19"/>
                <w:color w:val="auto"/>
              </w:rPr>
            </w:pPr>
          </w:p>
        </w:tc>
        <w:tc>
          <w:tcPr>
            <w:tcW w:w="120" w:type="dxa"/>
            <w:vAlign w:val="bottom"/>
          </w:tcPr>
          <w:p>
            <w:pPr>
              <w:ind w:left="2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0.10</w:t>
            </w:r>
          </w:p>
        </w:tc>
        <w:tc>
          <w:tcPr>
            <w:tcW w:w="10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0.21</w:t>
            </w:r>
          </w:p>
        </w:tc>
        <w:tc>
          <w:tcPr>
            <w:tcW w:w="0" w:type="dxa"/>
            <w:vAlign w:val="bottom"/>
          </w:tcPr>
          <w:p>
            <w:pPr>
              <w:spacing w:after="0"/>
              <w:rPr>
                <w:sz w:val="1"/>
                <w:szCs w:val="1"/>
                <w:color w:val="auto"/>
              </w:rPr>
            </w:pPr>
          </w:p>
        </w:tc>
      </w:tr>
      <w:tr>
        <w:trPr>
          <w:trHeight w:val="67"/>
        </w:trPr>
        <w:tc>
          <w:tcPr>
            <w:tcW w:w="73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78"/>
        </w:trPr>
        <w:tc>
          <w:tcPr>
            <w:tcW w:w="73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Net income per share — Diluted:</w:t>
            </w: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5"/>
        </w:trPr>
        <w:tc>
          <w:tcPr>
            <w:tcW w:w="73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Continuing operations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0.25</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0.10</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20"/>
        </w:trPr>
        <w:tc>
          <w:tcPr>
            <w:tcW w:w="732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color w:val="auto"/>
              </w:rPr>
              <w:t>Discontinued operations</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7320" w:type="dxa"/>
            <w:vAlign w:val="bottom"/>
            <w:vMerge w:val="continue"/>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ind w:left="20"/>
              <w:spacing w:after="0"/>
              <w:rPr>
                <w:sz w:val="20"/>
                <w:szCs w:val="20"/>
                <w:color w:val="auto"/>
              </w:rPr>
            </w:pPr>
            <w:r>
              <w:rPr>
                <w:rFonts w:ascii="Arial" w:cs="Arial" w:eastAsia="Arial" w:hAnsi="Arial"/>
                <w:sz w:val="18"/>
                <w:szCs w:val="18"/>
                <w:color w:val="auto"/>
                <w:w w:val="79"/>
              </w:rPr>
              <w:t>$</w:t>
            </w: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0.01</w:t>
            </w:r>
          </w:p>
        </w:tc>
        <w:tc>
          <w:tcPr>
            <w:tcW w:w="0" w:type="dxa"/>
            <w:vAlign w:val="bottom"/>
          </w:tcPr>
          <w:p>
            <w:pPr>
              <w:spacing w:after="0"/>
              <w:rPr>
                <w:sz w:val="1"/>
                <w:szCs w:val="1"/>
                <w:color w:val="auto"/>
              </w:rPr>
            </w:pPr>
          </w:p>
        </w:tc>
      </w:tr>
      <w:tr>
        <w:trPr>
          <w:trHeight w:val="67"/>
        </w:trPr>
        <w:tc>
          <w:tcPr>
            <w:tcW w:w="73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732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per share - Diluted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0.25</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0.10</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0.21</w:t>
            </w:r>
          </w:p>
        </w:tc>
        <w:tc>
          <w:tcPr>
            <w:tcW w:w="0" w:type="dxa"/>
            <w:vAlign w:val="bottom"/>
          </w:tcPr>
          <w:p>
            <w:pPr>
              <w:spacing w:after="0"/>
              <w:rPr>
                <w:sz w:val="1"/>
                <w:szCs w:val="1"/>
                <w:color w:val="auto"/>
              </w:rPr>
            </w:pP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7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w:t>
            </w: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320" w:type="dxa"/>
            <w:vAlign w:val="bottom"/>
          </w:tcPr>
          <w:p>
            <w:pPr>
              <w:ind w:left="460"/>
              <w:spacing w:after="0"/>
              <w:rPr>
                <w:sz w:val="20"/>
                <w:szCs w:val="20"/>
                <w:color w:val="auto"/>
              </w:rPr>
            </w:pPr>
            <w:r>
              <w:rPr>
                <w:rFonts w:ascii="Arial" w:cs="Arial" w:eastAsia="Arial" w:hAnsi="Arial"/>
                <w:sz w:val="18"/>
                <w:szCs w:val="18"/>
                <w:color w:val="auto"/>
              </w:rPr>
              <w:t>Basic</w:t>
            </w: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497,335</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1"/>
              <w:spacing w:after="0"/>
              <w:rPr>
                <w:sz w:val="20"/>
                <w:szCs w:val="20"/>
                <w:color w:val="auto"/>
              </w:rPr>
            </w:pPr>
            <w:r>
              <w:rPr>
                <w:rFonts w:ascii="Arial" w:cs="Arial" w:eastAsia="Arial" w:hAnsi="Arial"/>
                <w:sz w:val="18"/>
                <w:szCs w:val="18"/>
                <w:color w:val="auto"/>
              </w:rPr>
              <w:t>493,663</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503,790</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73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Diluted</w:t>
            </w:r>
          </w:p>
        </w:tc>
        <w:tc>
          <w:tcPr>
            <w:tcW w:w="180" w:type="dxa"/>
            <w:vAlign w:val="bottom"/>
            <w:shd w:val="clear" w:color="auto" w:fill="CCEEFF"/>
          </w:tcPr>
          <w:p>
            <w:pPr>
              <w:spacing w:after="0"/>
              <w:rPr>
                <w:sz w:val="21"/>
                <w:szCs w:val="21"/>
                <w:color w:val="auto"/>
              </w:rPr>
            </w:pPr>
          </w:p>
        </w:tc>
        <w:tc>
          <w:tcPr>
            <w:tcW w:w="10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508,716</w:t>
            </w:r>
          </w:p>
        </w:tc>
        <w:tc>
          <w:tcPr>
            <w:tcW w:w="1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24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506,197</w:t>
            </w:r>
          </w:p>
        </w:tc>
        <w:tc>
          <w:tcPr>
            <w:tcW w:w="10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10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517,592</w:t>
            </w:r>
          </w:p>
        </w:tc>
        <w:tc>
          <w:tcPr>
            <w:tcW w:w="0" w:type="dxa"/>
            <w:vAlign w:val="bottom"/>
          </w:tcPr>
          <w:p>
            <w:pPr>
              <w:spacing w:after="0"/>
              <w:rPr>
                <w:sz w:val="1"/>
                <w:szCs w:val="1"/>
                <w:color w:val="auto"/>
              </w:rPr>
            </w:pPr>
          </w:p>
        </w:tc>
      </w:tr>
      <w:tr>
        <w:trPr>
          <w:trHeight w:val="27"/>
        </w:trPr>
        <w:tc>
          <w:tcPr>
            <w:tcW w:w="732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left="260" w:hanging="252"/>
        <w:spacing w:after="0"/>
        <w:tabs>
          <w:tab w:leader="none" w:pos="26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Represents legal settlement and associated costs related to Luna shareholder litigation matter.</w:t>
      </w:r>
    </w:p>
    <w:p>
      <w:pPr>
        <w:sectPr>
          <w:pgSz w:w="11900" w:h="16838" w:orient="portrait"/>
          <w:cols w:equalWidth="0" w:num="1">
            <w:col w:w="11420"/>
          </w:cols>
          <w:pgMar w:left="240" w:top="364" w:right="23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9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520" w:type="dxa"/>
            <w:vAlign w:val="bottom"/>
            <w:gridSpan w:val="2"/>
          </w:tcPr>
          <w:p>
            <w:pPr>
              <w:ind w:left="140"/>
              <w:spacing w:after="0"/>
              <w:rPr>
                <w:sz w:val="20"/>
                <w:szCs w:val="20"/>
                <w:color w:val="auto"/>
              </w:rPr>
            </w:pPr>
            <w:r>
              <w:rPr>
                <w:rFonts w:ascii="Arial" w:cs="Arial" w:eastAsia="Arial" w:hAnsi="Arial"/>
                <w:sz w:val="14"/>
                <w:szCs w:val="14"/>
                <w:b w:val="1"/>
                <w:bCs w:val="1"/>
                <w:color w:val="auto"/>
              </w:rPr>
              <w:t>May 5, 2018</w:t>
            </w:r>
          </w:p>
        </w:tc>
        <w:tc>
          <w:tcPr>
            <w:tcW w:w="200" w:type="dxa"/>
            <w:vAlign w:val="bottom"/>
          </w:tcPr>
          <w:p>
            <w:pPr>
              <w:spacing w:after="0"/>
              <w:rPr>
                <w:sz w:val="16"/>
                <w:szCs w:val="16"/>
                <w:color w:val="auto"/>
              </w:rPr>
            </w:pPr>
          </w:p>
        </w:tc>
        <w:tc>
          <w:tcPr>
            <w:tcW w:w="1380" w:type="dxa"/>
            <w:vAlign w:val="bottom"/>
          </w:tcPr>
          <w:p>
            <w:pPr>
              <w:jc w:val="right"/>
              <w:ind w:right="171"/>
              <w:spacing w:after="0"/>
              <w:rPr>
                <w:sz w:val="20"/>
                <w:szCs w:val="20"/>
                <w:color w:val="auto"/>
              </w:rPr>
            </w:pPr>
            <w:r>
              <w:rPr>
                <w:rFonts w:ascii="Arial" w:cs="Arial" w:eastAsia="Arial" w:hAnsi="Arial"/>
                <w:sz w:val="14"/>
                <w:szCs w:val="14"/>
                <w:b w:val="1"/>
                <w:bCs w:val="1"/>
                <w:color w:val="auto"/>
                <w:w w:val="99"/>
              </w:rPr>
              <w:t>February 3, 2018</w:t>
            </w:r>
          </w:p>
        </w:tc>
      </w:tr>
      <w:tr>
        <w:trPr>
          <w:trHeight w:val="250"/>
        </w:trPr>
        <w:tc>
          <w:tcPr>
            <w:tcW w:w="79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Assets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3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138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2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1,167,258</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888,482</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Short-term investments</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712,053</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952,790</w:t>
            </w: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329,650</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280,395</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169,556</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170,039</w:t>
            </w: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38,868</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41,482</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Assets held for sale</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30,707</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30,767</w:t>
            </w:r>
          </w:p>
        </w:tc>
      </w:tr>
      <w:tr>
        <w:trPr>
          <w:trHeight w:val="27"/>
        </w:trPr>
        <w:tc>
          <w:tcPr>
            <w:tcW w:w="7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44"/>
        </w:trPr>
        <w:tc>
          <w:tcPr>
            <w:tcW w:w="79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assets</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2,448,092</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2,363,955</w:t>
            </w: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213,656</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202,222</w:t>
            </w: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1,993,310</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1,993,310</w:t>
            </w: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209,261</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148,800</w:t>
            </w:r>
          </w:p>
        </w:tc>
      </w:tr>
      <w:tr>
        <w:trPr>
          <w:trHeight w:val="27"/>
        </w:trPr>
        <w:tc>
          <w:tcPr>
            <w:tcW w:w="7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69"/>
        </w:trPr>
        <w:tc>
          <w:tcPr>
            <w:tcW w:w="79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assets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4,864,319</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4,708,287</w:t>
            </w:r>
          </w:p>
        </w:tc>
      </w:tr>
      <w:tr>
        <w:trPr>
          <w:trHeight w:val="20"/>
        </w:trPr>
        <w:tc>
          <w:tcPr>
            <w:tcW w:w="79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r>
      <w:tr>
        <w:trPr>
          <w:trHeight w:val="264"/>
        </w:trPr>
        <w:tc>
          <w:tcPr>
            <w:tcW w:w="79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380" w:type="dxa"/>
            <w:vAlign w:val="bottom"/>
          </w:tcPr>
          <w:p>
            <w:pPr>
              <w:spacing w:after="0"/>
              <w:rPr>
                <w:sz w:val="22"/>
                <w:szCs w:val="22"/>
                <w:color w:val="auto"/>
              </w:rPr>
            </w:pPr>
          </w:p>
        </w:tc>
      </w:tr>
      <w:tr>
        <w:trPr>
          <w:trHeight w:val="250"/>
        </w:trPr>
        <w:tc>
          <w:tcPr>
            <w:tcW w:w="7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Liabilities and Shareholders’ Equity</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spacing w:after="0"/>
              <w:rPr>
                <w:sz w:val="21"/>
                <w:szCs w:val="21"/>
                <w:color w:val="auto"/>
              </w:rPr>
            </w:pP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2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payable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157,043</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145,236</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Accrued liabilities</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180,117</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86,958</w:t>
            </w: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employee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105,601</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127,711</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Deferred income</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1,880</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61,237</w:t>
            </w:r>
          </w:p>
        </w:tc>
      </w:tr>
      <w:tr>
        <w:trPr>
          <w:trHeight w:val="27"/>
        </w:trPr>
        <w:tc>
          <w:tcPr>
            <w:tcW w:w="7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44"/>
        </w:trPr>
        <w:tc>
          <w:tcPr>
            <w:tcW w:w="79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444,641</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421,142</w:t>
            </w: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Non-current income taxes payable</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56,606</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56,976</w:t>
            </w: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70"/>
        </w:trPr>
        <w:tc>
          <w:tcPr>
            <w:tcW w:w="7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2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77,561</w:t>
            </w:r>
          </w:p>
        </w:tc>
        <w:tc>
          <w:tcPr>
            <w:tcW w:w="2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88,756</w:t>
            </w:r>
          </w:p>
        </w:tc>
      </w:tr>
      <w:tr>
        <w:trPr>
          <w:trHeight w:val="237"/>
        </w:trPr>
        <w:tc>
          <w:tcPr>
            <w:tcW w:w="7920" w:type="dxa"/>
            <w:vAlign w:val="bottom"/>
          </w:tcPr>
          <w:p>
            <w:pPr>
              <w:ind w:left="900"/>
              <w:spacing w:after="0"/>
              <w:rPr>
                <w:sz w:val="20"/>
                <w:szCs w:val="20"/>
                <w:color w:val="auto"/>
              </w:rPr>
            </w:pPr>
            <w:r>
              <w:rPr>
                <w:rFonts w:ascii="Arial" w:cs="Arial" w:eastAsia="Arial" w:hAnsi="Arial"/>
                <w:sz w:val="18"/>
                <w:szCs w:val="18"/>
                <w:color w:val="auto"/>
              </w:rPr>
              <w:t>Total liabilities</w:t>
            </w:r>
          </w:p>
        </w:tc>
        <w:tc>
          <w:tcPr>
            <w:tcW w:w="28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578,808</w:t>
            </w:r>
          </w:p>
        </w:tc>
        <w:tc>
          <w:tcPr>
            <w:tcW w:w="2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3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566,874</w:t>
            </w:r>
          </w:p>
        </w:tc>
      </w:tr>
      <w:tr>
        <w:trPr>
          <w:trHeight w:val="27"/>
        </w:trPr>
        <w:tc>
          <w:tcPr>
            <w:tcW w:w="7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77"/>
        </w:trPr>
        <w:tc>
          <w:tcPr>
            <w:tcW w:w="79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3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380" w:type="dxa"/>
            <w:vAlign w:val="bottom"/>
            <w:shd w:val="clear" w:color="auto" w:fill="CCEEFF"/>
          </w:tcPr>
          <w:p>
            <w:pPr>
              <w:spacing w:after="0"/>
              <w:rPr>
                <w:sz w:val="24"/>
                <w:szCs w:val="24"/>
                <w:color w:val="auto"/>
              </w:rPr>
            </w:pP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Shareholders’ equity:</w:t>
            </w:r>
          </w:p>
        </w:tc>
        <w:tc>
          <w:tcPr>
            <w:tcW w:w="28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Common stock</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1,000</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991</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Additional paid-in capital</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2,744,478</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2,733,292</w:t>
            </w:r>
          </w:p>
        </w:tc>
      </w:tr>
      <w:tr>
        <w:trPr>
          <w:trHeight w:val="27"/>
        </w:trPr>
        <w:tc>
          <w:tcPr>
            <w:tcW w:w="79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Accumulated other comprehensive loss</w:t>
            </w:r>
          </w:p>
        </w:tc>
        <w:tc>
          <w:tcPr>
            <w:tcW w:w="2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(2,404)</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Retained earnings</w:t>
            </w:r>
          </w:p>
        </w:tc>
        <w:tc>
          <w:tcPr>
            <w:tcW w:w="28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1,542,437</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1,409,452</w:t>
            </w:r>
          </w:p>
        </w:tc>
      </w:tr>
      <w:tr>
        <w:trPr>
          <w:trHeight w:val="27"/>
        </w:trPr>
        <w:tc>
          <w:tcPr>
            <w:tcW w:w="7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64"/>
        </w:trPr>
        <w:tc>
          <w:tcPr>
            <w:tcW w:w="79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shareholders’ equity</w:t>
            </w:r>
          </w:p>
        </w:tc>
        <w:tc>
          <w:tcPr>
            <w:tcW w:w="28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4,285,511</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4,141,413</w:t>
            </w:r>
          </w:p>
        </w:tc>
      </w:tr>
      <w:tr>
        <w:trPr>
          <w:trHeight w:val="237"/>
        </w:trPr>
        <w:tc>
          <w:tcPr>
            <w:tcW w:w="7920" w:type="dxa"/>
            <w:vAlign w:val="bottom"/>
          </w:tcPr>
          <w:p>
            <w:pPr>
              <w:ind w:left="900"/>
              <w:spacing w:after="0"/>
              <w:rPr>
                <w:sz w:val="20"/>
                <w:szCs w:val="20"/>
                <w:color w:val="auto"/>
              </w:rPr>
            </w:pPr>
            <w:r>
              <w:rPr>
                <w:rFonts w:ascii="Arial" w:cs="Arial" w:eastAsia="Arial" w:hAnsi="Arial"/>
                <w:sz w:val="18"/>
                <w:szCs w:val="18"/>
                <w:color w:val="auto"/>
              </w:rPr>
              <w:t>Total liabilities and shareholders’ equity</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4,864,319</w:t>
            </w:r>
          </w:p>
        </w:tc>
        <w:tc>
          <w:tcPr>
            <w:tcW w:w="2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4,708,287</w:t>
            </w:r>
          </w:p>
        </w:tc>
      </w:tr>
      <w:tr>
        <w:trPr>
          <w:trHeight w:val="27"/>
        </w:trPr>
        <w:tc>
          <w:tcPr>
            <w:tcW w:w="79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0"/>
        </w:trPr>
        <w:tc>
          <w:tcPr>
            <w:tcW w:w="79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300"/>
          </w:cols>
          <w:pgMar w:left="300" w:top="364" w:right="29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5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4"/>
          </w:tcPr>
          <w:p>
            <w:pPr>
              <w:jc w:val="right"/>
              <w:ind w:right="670"/>
              <w:spacing w:after="0"/>
              <w:rPr>
                <w:sz w:val="20"/>
                <w:szCs w:val="20"/>
                <w:color w:val="auto"/>
              </w:rPr>
            </w:pPr>
            <w:r>
              <w:rPr>
                <w:rFonts w:ascii="Arial" w:cs="Arial" w:eastAsia="Arial" w:hAnsi="Arial"/>
                <w:sz w:val="14"/>
                <w:szCs w:val="14"/>
                <w:b w:val="1"/>
                <w:bCs w:val="1"/>
                <w:color w:val="auto"/>
              </w:rPr>
              <w:t>Three Months Ended</w:t>
            </w:r>
          </w:p>
        </w:tc>
      </w:tr>
      <w:tr>
        <w:trPr>
          <w:trHeight w:val="250"/>
        </w:trPr>
        <w:tc>
          <w:tcPr>
            <w:tcW w:w="85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gridSpan w:val="2"/>
          </w:tcPr>
          <w:p>
            <w:pPr>
              <w:ind w:left="100"/>
              <w:spacing w:after="0"/>
              <w:rPr>
                <w:sz w:val="20"/>
                <w:szCs w:val="20"/>
                <w:color w:val="auto"/>
              </w:rPr>
            </w:pPr>
            <w:r>
              <w:rPr>
                <w:rFonts w:ascii="Arial" w:cs="Arial" w:eastAsia="Arial" w:hAnsi="Arial"/>
                <w:sz w:val="14"/>
                <w:szCs w:val="14"/>
                <w:b w:val="1"/>
                <w:bCs w:val="1"/>
                <w:color w:val="auto"/>
              </w:rPr>
              <w:t>May 5, 2018</w:t>
            </w:r>
          </w:p>
        </w:tc>
        <w:tc>
          <w:tcPr>
            <w:tcW w:w="180" w:type="dxa"/>
            <w:vAlign w:val="bottom"/>
          </w:tcPr>
          <w:p>
            <w:pPr>
              <w:spacing w:after="0"/>
              <w:rPr>
                <w:sz w:val="21"/>
                <w:szCs w:val="21"/>
                <w:color w:val="auto"/>
              </w:rPr>
            </w:pPr>
          </w:p>
        </w:tc>
        <w:tc>
          <w:tcPr>
            <w:tcW w:w="1180" w:type="dxa"/>
            <w:vAlign w:val="bottom"/>
          </w:tcPr>
          <w:p>
            <w:pPr>
              <w:jc w:val="right"/>
              <w:ind w:right="150"/>
              <w:spacing w:after="0"/>
              <w:rPr>
                <w:sz w:val="20"/>
                <w:szCs w:val="20"/>
                <w:color w:val="auto"/>
              </w:rPr>
            </w:pPr>
            <w:r>
              <w:rPr>
                <w:rFonts w:ascii="Arial" w:cs="Arial" w:eastAsia="Arial" w:hAnsi="Arial"/>
                <w:sz w:val="14"/>
                <w:szCs w:val="14"/>
                <w:b w:val="1"/>
                <w:bCs w:val="1"/>
                <w:color w:val="auto"/>
              </w:rPr>
              <w:t>April 29, 2017</w:t>
            </w:r>
          </w:p>
        </w:tc>
      </w:tr>
      <w:tr>
        <w:trPr>
          <w:trHeight w:val="263"/>
        </w:trPr>
        <w:tc>
          <w:tcPr>
            <w:tcW w:w="85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200" w:type="dxa"/>
            <w:vAlign w:val="bottom"/>
            <w:tcBorders>
              <w:top w:val="single" w:sz="8" w:color="auto"/>
              <w:bottom w:val="single" w:sz="8" w:color="CCEEFF"/>
            </w:tcBorders>
            <w:shd w:val="clear" w:color="auto" w:fill="CCEEFF"/>
          </w:tcPr>
          <w:p>
            <w:pPr>
              <w:spacing w:after="0"/>
              <w:rPr>
                <w:sz w:val="22"/>
                <w:szCs w:val="22"/>
                <w:color w:val="auto"/>
              </w:rPr>
            </w:pPr>
          </w:p>
        </w:tc>
        <w:tc>
          <w:tcPr>
            <w:tcW w:w="1160" w:type="dxa"/>
            <w:vAlign w:val="bottom"/>
            <w:tcBorders>
              <w:top w:val="single" w:sz="8" w:color="auto"/>
              <w:bottom w:val="single" w:sz="8" w:color="CCEEFF"/>
            </w:tcBorders>
            <w:shd w:val="clear" w:color="auto" w:fill="CCEEFF"/>
          </w:tcPr>
          <w:p>
            <w:pPr>
              <w:spacing w:after="0"/>
              <w:rPr>
                <w:sz w:val="22"/>
                <w:szCs w:val="22"/>
                <w:color w:val="auto"/>
              </w:rPr>
            </w:pP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180" w:type="dxa"/>
            <w:vAlign w:val="bottom"/>
            <w:tcBorders>
              <w:top w:val="single" w:sz="8" w:color="auto"/>
              <w:bottom w:val="single" w:sz="8" w:color="CCEEFF"/>
            </w:tcBorders>
            <w:shd w:val="clear" w:color="auto" w:fill="CCEEFF"/>
          </w:tcPr>
          <w:p>
            <w:pPr>
              <w:spacing w:after="0"/>
              <w:rPr>
                <w:sz w:val="22"/>
                <w:szCs w:val="22"/>
                <w:color w:val="auto"/>
              </w:rPr>
            </w:pPr>
          </w:p>
        </w:tc>
        <w:tc>
          <w:tcPr>
            <w:tcW w:w="1180" w:type="dxa"/>
            <w:vAlign w:val="bottom"/>
            <w:tcBorders>
              <w:top w:val="single" w:sz="8" w:color="auto"/>
              <w:bottom w:val="single" w:sz="8" w:color="CCEEFF"/>
            </w:tcBorders>
            <w:shd w:val="clear" w:color="auto" w:fill="CCEEFF"/>
          </w:tcPr>
          <w:p>
            <w:pPr>
              <w:spacing w:after="0"/>
              <w:rPr>
                <w:sz w:val="22"/>
                <w:szCs w:val="22"/>
                <w:color w:val="auto"/>
              </w:rPr>
            </w:pPr>
          </w:p>
        </w:tc>
      </w:tr>
      <w:tr>
        <w:trPr>
          <w:trHeight w:val="243"/>
        </w:trPr>
        <w:tc>
          <w:tcPr>
            <w:tcW w:w="8580" w:type="dxa"/>
            <w:vAlign w:val="bottom"/>
          </w:tcPr>
          <w:p>
            <w:pPr>
              <w:ind w:left="40"/>
              <w:spacing w:after="0"/>
              <w:rPr>
                <w:sz w:val="20"/>
                <w:szCs w:val="20"/>
                <w:color w:val="auto"/>
              </w:rPr>
            </w:pPr>
            <w:r>
              <w:rPr>
                <w:rFonts w:ascii="Arial" w:cs="Arial" w:eastAsia="Arial" w:hAnsi="Arial"/>
                <w:sz w:val="18"/>
                <w:szCs w:val="18"/>
                <w:color w:val="auto"/>
              </w:rPr>
              <w:t>Net income</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128,612</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106,621</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Adjustments to reconcile net income to net cash provided by (used in) operating activities: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Depreciation and amortization</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20,343</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20,742</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23,852</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24,017</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Amortization and write-off of acquired intangible assets</w:t>
            </w:r>
          </w:p>
        </w:tc>
        <w:tc>
          <w:tcPr>
            <w:tcW w:w="200" w:type="dxa"/>
            <w:vAlign w:val="bottom"/>
          </w:tcPr>
          <w:p>
            <w:pPr>
              <w:spacing w:after="0"/>
              <w:rPr>
                <w:sz w:val="21"/>
                <w:szCs w:val="21"/>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1,071</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impairment charges (gain)</w:t>
            </w: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(516)</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Gain from investments in privately-held companies</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of premium /discount on available-for-sale securities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1,161</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206</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Other non-cash expense (income), net</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813</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 taxes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824</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783</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Loss on sale of property and equipment</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17</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58</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Gain on sale of discontinued operations</w:t>
            </w: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(8,155)</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Changes in assets and liabilities:</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receivable</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(47,393)</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(21,763)</w:t>
            </w:r>
          </w:p>
        </w:tc>
      </w:tr>
      <w:tr>
        <w:trPr>
          <w:trHeight w:val="243"/>
        </w:trPr>
        <w:tc>
          <w:tcPr>
            <w:tcW w:w="8580" w:type="dxa"/>
            <w:vAlign w:val="bottom"/>
          </w:tcPr>
          <w:p>
            <w:pPr>
              <w:ind w:left="900"/>
              <w:spacing w:after="0"/>
              <w:rPr>
                <w:sz w:val="20"/>
                <w:szCs w:val="20"/>
                <w:color w:val="auto"/>
              </w:rPr>
            </w:pPr>
            <w:r>
              <w:rPr>
                <w:rFonts w:ascii="Arial" w:cs="Arial" w:eastAsia="Arial" w:hAnsi="Arial"/>
                <w:sz w:val="18"/>
                <w:szCs w:val="18"/>
                <w:color w:val="auto"/>
              </w:rPr>
              <w:t>Inventories</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2,680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(11,542)</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Prepaid expenses and other assets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(14,108)</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5,394</w:t>
            </w:r>
          </w:p>
        </w:tc>
      </w:tr>
      <w:tr>
        <w:trPr>
          <w:trHeight w:val="243"/>
        </w:trPr>
        <w:tc>
          <w:tcPr>
            <w:tcW w:w="8580" w:type="dxa"/>
            <w:vAlign w:val="bottom"/>
          </w:tcPr>
          <w:p>
            <w:pPr>
              <w:ind w:left="900"/>
              <w:spacing w:after="0"/>
              <w:rPr>
                <w:sz w:val="20"/>
                <w:szCs w:val="20"/>
                <w:color w:val="auto"/>
              </w:rPr>
            </w:pPr>
            <w:r>
              <w:rPr>
                <w:rFonts w:ascii="Arial" w:cs="Arial" w:eastAsia="Arial" w:hAnsi="Arial"/>
                <w:sz w:val="18"/>
                <w:szCs w:val="18"/>
                <w:color w:val="auto"/>
              </w:rPr>
              <w:t>Accounts payable</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14,744</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31,423</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21,236</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(11,625)</w:t>
            </w:r>
          </w:p>
        </w:tc>
      </w:tr>
      <w:tr>
        <w:trPr>
          <w:trHeight w:val="243"/>
        </w:trPr>
        <w:tc>
          <w:tcPr>
            <w:tcW w:w="8580" w:type="dxa"/>
            <w:vAlign w:val="bottom"/>
          </w:tcPr>
          <w:p>
            <w:pPr>
              <w:ind w:left="900"/>
              <w:spacing w:after="0"/>
              <w:rPr>
                <w:sz w:val="20"/>
                <w:szCs w:val="20"/>
                <w:color w:val="auto"/>
              </w:rPr>
            </w:pPr>
            <w:r>
              <w:rPr>
                <w:rFonts w:ascii="Arial" w:cs="Arial" w:eastAsia="Arial" w:hAnsi="Arial"/>
                <w:sz w:val="18"/>
                <w:szCs w:val="18"/>
                <w:color w:val="auto"/>
              </w:rPr>
              <w:t>Accrued employee compensation</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(22,110)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(7,529)</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85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Deferred income</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(797)</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5,016</w:t>
            </w:r>
          </w:p>
        </w:tc>
      </w:tr>
      <w:tr>
        <w:trPr>
          <w:trHeight w:val="237"/>
        </w:trPr>
        <w:tc>
          <w:tcPr>
            <w:tcW w:w="8580" w:type="dxa"/>
            <w:vAlign w:val="bottom"/>
          </w:tcPr>
          <w:p>
            <w:pPr>
              <w:ind w:left="1340"/>
              <w:spacing w:after="0"/>
              <w:rPr>
                <w:sz w:val="20"/>
                <w:szCs w:val="20"/>
                <w:color w:val="auto"/>
              </w:rPr>
            </w:pPr>
            <w:r>
              <w:rPr>
                <w:rFonts w:ascii="Arial" w:cs="Arial" w:eastAsia="Arial" w:hAnsi="Arial"/>
                <w:sz w:val="18"/>
                <w:szCs w:val="18"/>
                <w:color w:val="auto"/>
              </w:rPr>
              <w:t>Net cash provided by operating activities</w:t>
            </w: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128,774</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134,176</w:t>
            </w:r>
          </w:p>
        </w:tc>
      </w:tr>
      <w:tr>
        <w:trPr>
          <w:trHeight w:val="27"/>
        </w:trPr>
        <w:tc>
          <w:tcPr>
            <w:tcW w:w="85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8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(13,457)</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(198,416)</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Sales of available-for-sale securities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70,273</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78,764</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128,820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82,235</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time deposits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(75,000)</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Maturities of time deposits</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75,000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75,000</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technology licenses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(1,093)</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Purchases of property and equipment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(13,588)</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(9,741)</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sales of property and equipment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685</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Net proceeds from sale of discontinued operations</w:t>
            </w:r>
          </w:p>
        </w:tc>
        <w:tc>
          <w:tcPr>
            <w:tcW w:w="200" w:type="dxa"/>
            <w:vAlign w:val="bottom"/>
          </w:tcPr>
          <w:p>
            <w:pPr>
              <w:spacing w:after="0"/>
              <w:rPr>
                <w:sz w:val="21"/>
                <w:szCs w:val="21"/>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22,954</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7,275</w:t>
            </w:r>
          </w:p>
        </w:tc>
      </w:tr>
      <w:tr>
        <w:trPr>
          <w:trHeight w:val="237"/>
        </w:trPr>
        <w:tc>
          <w:tcPr>
            <w:tcW w:w="8580" w:type="dxa"/>
            <w:vAlign w:val="bottom"/>
          </w:tcPr>
          <w:p>
            <w:pPr>
              <w:ind w:left="1340"/>
              <w:spacing w:after="0"/>
              <w:rPr>
                <w:sz w:val="20"/>
                <w:szCs w:val="20"/>
                <w:color w:val="auto"/>
              </w:rPr>
            </w:pPr>
            <w:r>
              <w:rPr>
                <w:rFonts w:ascii="Arial" w:cs="Arial" w:eastAsia="Arial" w:hAnsi="Arial"/>
                <w:sz w:val="18"/>
                <w:szCs w:val="18"/>
                <w:color w:val="auto"/>
              </w:rPr>
              <w:t>Net cash provided by (used in) investing activities</w:t>
            </w: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216,699</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(17,337)</w:t>
            </w:r>
          </w:p>
        </w:tc>
      </w:tr>
      <w:tr>
        <w:trPr>
          <w:trHeight w:val="27"/>
        </w:trPr>
        <w:tc>
          <w:tcPr>
            <w:tcW w:w="85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8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Repurchases of common stock</w:t>
            </w:r>
          </w:p>
        </w:tc>
        <w:tc>
          <w:tcPr>
            <w:tcW w:w="200" w:type="dxa"/>
            <w:vAlign w:val="bottom"/>
          </w:tcPr>
          <w:p>
            <w:pPr>
              <w:spacing w:after="0"/>
              <w:rPr>
                <w:sz w:val="21"/>
                <w:szCs w:val="21"/>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(166,293)</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employee stock plans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11,055</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19,939</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(23,893)</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(21,809)</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Dividend payments to shareholders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(29,798)</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(29,991)</w:t>
            </w:r>
          </w:p>
        </w:tc>
      </w:tr>
      <w:tr>
        <w:trPr>
          <w:trHeight w:val="243"/>
        </w:trPr>
        <w:tc>
          <w:tcPr>
            <w:tcW w:w="8580" w:type="dxa"/>
            <w:vAlign w:val="bottom"/>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(20,461)</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(6,815)</w:t>
            </w:r>
          </w:p>
        </w:tc>
      </w:tr>
      <w:tr>
        <w:trPr>
          <w:trHeight w:val="27"/>
        </w:trPr>
        <w:tc>
          <w:tcPr>
            <w:tcW w:w="8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858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Payment of equity and debt financing costs</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37"/>
        </w:trPr>
        <w:tc>
          <w:tcPr>
            <w:tcW w:w="8580" w:type="dxa"/>
            <w:vAlign w:val="bottom"/>
          </w:tcPr>
          <w:p>
            <w:pPr>
              <w:ind w:left="1340"/>
              <w:spacing w:after="0"/>
              <w:rPr>
                <w:sz w:val="20"/>
                <w:szCs w:val="20"/>
                <w:color w:val="auto"/>
              </w:rPr>
            </w:pPr>
            <w:r>
              <w:rPr>
                <w:rFonts w:ascii="Arial" w:cs="Arial" w:eastAsia="Arial" w:hAnsi="Arial"/>
                <w:sz w:val="18"/>
                <w:szCs w:val="18"/>
                <w:color w:val="auto"/>
              </w:rPr>
              <w:t>Net cash used in financing activities</w:t>
            </w: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(66,697)</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(204,969)</w:t>
            </w:r>
          </w:p>
        </w:tc>
      </w:tr>
      <w:tr>
        <w:trPr>
          <w:trHeight w:val="27"/>
        </w:trPr>
        <w:tc>
          <w:tcPr>
            <w:tcW w:w="85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8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increase (decrease) in cash and cash equivalents</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278,776</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(88,130)</w:t>
            </w:r>
          </w:p>
        </w:tc>
      </w:tr>
      <w:tr>
        <w:trPr>
          <w:trHeight w:val="243"/>
        </w:trPr>
        <w:tc>
          <w:tcPr>
            <w:tcW w:w="8580" w:type="dxa"/>
            <w:vAlign w:val="bottom"/>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888,482</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0"/>
              <w:spacing w:after="0"/>
              <w:rPr>
                <w:sz w:val="20"/>
                <w:szCs w:val="20"/>
                <w:color w:val="auto"/>
              </w:rPr>
            </w:pPr>
            <w:r>
              <w:rPr>
                <w:rFonts w:ascii="Arial" w:cs="Arial" w:eastAsia="Arial" w:hAnsi="Arial"/>
                <w:sz w:val="18"/>
                <w:szCs w:val="18"/>
                <w:color w:val="auto"/>
              </w:rPr>
              <w:t>814,092</w:t>
            </w:r>
          </w:p>
        </w:tc>
      </w:tr>
      <w:tr>
        <w:trPr>
          <w:trHeight w:val="27"/>
        </w:trPr>
        <w:tc>
          <w:tcPr>
            <w:tcW w:w="85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9"/>
        </w:trPr>
        <w:tc>
          <w:tcPr>
            <w:tcW w:w="8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1,167,258</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725,962</w:t>
            </w:r>
          </w:p>
        </w:tc>
      </w:tr>
      <w:tr>
        <w:trPr>
          <w:trHeight w:val="20"/>
        </w:trPr>
        <w:tc>
          <w:tcPr>
            <w:tcW w:w="85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715"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0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3"/>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r>
      <w:tr>
        <w:trPr>
          <w:trHeight w:val="250"/>
        </w:trPr>
        <w:tc>
          <w:tcPr>
            <w:tcW w:w="70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20" w:type="dxa"/>
            <w:vAlign w:val="bottom"/>
            <w:gridSpan w:val="2"/>
          </w:tcPr>
          <w:p>
            <w:pPr>
              <w:ind w:left="80"/>
              <w:spacing w:after="0"/>
              <w:rPr>
                <w:sz w:val="20"/>
                <w:szCs w:val="20"/>
                <w:color w:val="auto"/>
              </w:rPr>
            </w:pPr>
            <w:r>
              <w:rPr>
                <w:rFonts w:ascii="Arial" w:cs="Arial" w:eastAsia="Arial" w:hAnsi="Arial"/>
                <w:sz w:val="14"/>
                <w:szCs w:val="14"/>
                <w:b w:val="1"/>
                <w:bCs w:val="1"/>
                <w:color w:val="auto"/>
              </w:rPr>
              <w:t>May 5, 2018</w:t>
            </w:r>
          </w:p>
        </w:tc>
        <w:tc>
          <w:tcPr>
            <w:tcW w:w="140" w:type="dxa"/>
            <w:vAlign w:val="bottom"/>
          </w:tcPr>
          <w:p>
            <w:pPr>
              <w:spacing w:after="0"/>
              <w:rPr>
                <w:sz w:val="21"/>
                <w:szCs w:val="21"/>
                <w:color w:val="auto"/>
              </w:rPr>
            </w:pPr>
          </w:p>
        </w:tc>
        <w:tc>
          <w:tcPr>
            <w:tcW w:w="1460" w:type="dxa"/>
            <w:vAlign w:val="bottom"/>
            <w:gridSpan w:val="2"/>
          </w:tcPr>
          <w:p>
            <w:pPr>
              <w:ind w:left="20"/>
              <w:spacing w:after="0"/>
              <w:rPr>
                <w:sz w:val="20"/>
                <w:szCs w:val="20"/>
                <w:color w:val="auto"/>
              </w:rPr>
            </w:pPr>
            <w:r>
              <w:rPr>
                <w:rFonts w:ascii="Arial" w:cs="Arial" w:eastAsia="Arial" w:hAnsi="Arial"/>
                <w:sz w:val="14"/>
                <w:szCs w:val="14"/>
                <w:b w:val="1"/>
                <w:bCs w:val="1"/>
                <w:color w:val="auto"/>
              </w:rPr>
              <w:t>February 3, 2018</w:t>
            </w:r>
          </w:p>
        </w:tc>
        <w:tc>
          <w:tcPr>
            <w:tcW w:w="160" w:type="dxa"/>
            <w:vAlign w:val="bottom"/>
          </w:tcPr>
          <w:p>
            <w:pPr>
              <w:spacing w:after="0"/>
              <w:rPr>
                <w:sz w:val="21"/>
                <w:szCs w:val="21"/>
                <w:color w:val="auto"/>
              </w:rPr>
            </w:pPr>
          </w:p>
        </w:tc>
        <w:tc>
          <w:tcPr>
            <w:tcW w:w="1160" w:type="dxa"/>
            <w:vAlign w:val="bottom"/>
          </w:tcPr>
          <w:p>
            <w:pPr>
              <w:jc w:val="right"/>
              <w:ind w:right="132"/>
              <w:spacing w:after="0"/>
              <w:rPr>
                <w:sz w:val="20"/>
                <w:szCs w:val="20"/>
                <w:color w:val="auto"/>
              </w:rPr>
            </w:pPr>
            <w:r>
              <w:rPr>
                <w:rFonts w:ascii="Arial" w:cs="Arial" w:eastAsia="Arial" w:hAnsi="Arial"/>
                <w:sz w:val="14"/>
                <w:szCs w:val="14"/>
                <w:b w:val="1"/>
                <w:bCs w:val="1"/>
                <w:color w:val="auto"/>
              </w:rPr>
              <w:t>April 29, 2017</w:t>
            </w:r>
          </w:p>
        </w:tc>
      </w:tr>
      <w:tr>
        <w:trPr>
          <w:trHeight w:val="250"/>
        </w:trPr>
        <w:tc>
          <w:tcPr>
            <w:tcW w:w="70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20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375,693</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373,482</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345,511</w:t>
            </w:r>
          </w:p>
        </w:tc>
      </w:tr>
      <w:tr>
        <w:trPr>
          <w:trHeight w:val="243"/>
        </w:trPr>
        <w:tc>
          <w:tcPr>
            <w:tcW w:w="70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60" w:type="dxa"/>
            <w:vAlign w:val="bottom"/>
          </w:tcPr>
          <w:p>
            <w:pPr>
              <w:spacing w:after="0"/>
              <w:rPr>
                <w:sz w:val="21"/>
                <w:szCs w:val="21"/>
                <w:color w:val="auto"/>
              </w:rPr>
            </w:pPr>
          </w:p>
        </w:tc>
      </w:tr>
      <w:tr>
        <w:trPr>
          <w:trHeight w:val="27"/>
        </w:trPr>
        <w:tc>
          <w:tcPr>
            <w:tcW w:w="70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7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1,905</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1,662</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1,426</w:t>
            </w:r>
          </w:p>
        </w:tc>
      </w:tr>
      <w:tr>
        <w:trPr>
          <w:trHeight w:val="243"/>
        </w:trPr>
        <w:tc>
          <w:tcPr>
            <w:tcW w:w="7080" w:type="dxa"/>
            <w:vAlign w:val="bottom"/>
          </w:tcPr>
          <w:p>
            <w:pPr>
              <w:ind w:left="46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(a)</w:t>
            </w:r>
          </w:p>
        </w:tc>
        <w:tc>
          <w:tcPr>
            <w:tcW w:w="200" w:type="dxa"/>
            <w:vAlign w:val="bottom"/>
          </w:tcPr>
          <w:p>
            <w:pPr>
              <w:spacing w:after="0"/>
              <w:rPr>
                <w:sz w:val="21"/>
                <w:szCs w:val="21"/>
                <w:color w:val="auto"/>
              </w:rPr>
            </w:pP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40" w:type="dxa"/>
            <w:vAlign w:val="bottom"/>
          </w:tcPr>
          <w:p>
            <w:pPr>
              <w:jc w:val="right"/>
              <w:ind w:right="152"/>
              <w:spacing w:after="0"/>
              <w:rPr>
                <w:sz w:val="20"/>
                <w:szCs w:val="20"/>
                <w:color w:val="auto"/>
              </w:rPr>
            </w:pPr>
            <w:r>
              <w:rPr>
                <w:rFonts w:ascii="Arial" w:cs="Arial" w:eastAsia="Arial" w:hAnsi="Arial"/>
                <w:sz w:val="18"/>
                <w:szCs w:val="18"/>
                <w:color w:val="auto"/>
              </w:rPr>
              <w:t>8,000</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60" w:type="dxa"/>
            <w:vAlign w:val="bottom"/>
          </w:tcPr>
          <w:p>
            <w:pPr>
              <w:jc w:val="right"/>
              <w:ind w:right="92"/>
              <w:spacing w:after="0"/>
              <w:rPr>
                <w:sz w:val="20"/>
                <w:szCs w:val="20"/>
                <w:color w:val="auto"/>
              </w:rPr>
            </w:pPr>
            <w:r>
              <w:rPr>
                <w:rFonts w:ascii="Arial" w:cs="Arial" w:eastAsia="Arial" w:hAnsi="Arial"/>
                <w:sz w:val="18"/>
                <w:szCs w:val="18"/>
                <w:color w:val="auto"/>
              </w:rPr>
              <w:t>—</w:t>
            </w:r>
          </w:p>
        </w:tc>
      </w:tr>
      <w:tr>
        <w:trPr>
          <w:trHeight w:val="27"/>
        </w:trPr>
        <w:tc>
          <w:tcPr>
            <w:tcW w:w="70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20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1,905</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9,662</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1,426</w:t>
            </w:r>
          </w:p>
        </w:tc>
      </w:tr>
      <w:tr>
        <w:trPr>
          <w:trHeight w:val="237"/>
        </w:trPr>
        <w:tc>
          <w:tcPr>
            <w:tcW w:w="7080" w:type="dxa"/>
            <w:vAlign w:val="bottom"/>
          </w:tcPr>
          <w:p>
            <w:pPr>
              <w:ind w:left="40"/>
              <w:spacing w:after="0"/>
              <w:rPr>
                <w:sz w:val="20"/>
                <w:szCs w:val="20"/>
                <w:color w:val="auto"/>
              </w:rPr>
            </w:pPr>
            <w:r>
              <w:rPr>
                <w:rFonts w:ascii="Arial" w:cs="Arial" w:eastAsia="Arial" w:hAnsi="Arial"/>
                <w:sz w:val="18"/>
                <w:szCs w:val="18"/>
                <w:color w:val="auto"/>
              </w:rPr>
              <w:t>Non-GAAP gross profit</w:t>
            </w: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tcPr>
          <w:p>
            <w:pPr>
              <w:jc w:val="right"/>
              <w:ind w:right="112"/>
              <w:spacing w:after="0"/>
              <w:rPr>
                <w:sz w:val="20"/>
                <w:szCs w:val="20"/>
                <w:color w:val="auto"/>
              </w:rPr>
            </w:pPr>
            <w:r>
              <w:rPr>
                <w:rFonts w:ascii="Arial" w:cs="Arial" w:eastAsia="Arial" w:hAnsi="Arial"/>
                <w:sz w:val="18"/>
                <w:szCs w:val="18"/>
                <w:color w:val="auto"/>
              </w:rPr>
              <w:t>377,598</w:t>
            </w: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383,144</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346,937</w:t>
            </w:r>
          </w:p>
        </w:tc>
      </w:tr>
      <w:tr>
        <w:trPr>
          <w:trHeight w:val="67"/>
        </w:trPr>
        <w:tc>
          <w:tcPr>
            <w:tcW w:w="708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r>
      <w:tr>
        <w:trPr>
          <w:trHeight w:val="251"/>
        </w:trPr>
        <w:tc>
          <w:tcPr>
            <w:tcW w:w="708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2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160" w:type="dxa"/>
            <w:vAlign w:val="bottom"/>
            <w:shd w:val="clear" w:color="auto" w:fill="CCEEFF"/>
          </w:tcPr>
          <w:p>
            <w:pPr>
              <w:spacing w:after="0"/>
              <w:rPr>
                <w:sz w:val="21"/>
                <w:szCs w:val="21"/>
                <w:color w:val="auto"/>
              </w:rPr>
            </w:pPr>
          </w:p>
        </w:tc>
      </w:tr>
      <w:tr>
        <w:trPr>
          <w:trHeight w:val="243"/>
        </w:trPr>
        <w:tc>
          <w:tcPr>
            <w:tcW w:w="7080" w:type="dxa"/>
            <w:vAlign w:val="bottom"/>
          </w:tcPr>
          <w:p>
            <w:pPr>
              <w:ind w:left="40"/>
              <w:spacing w:after="0"/>
              <w:rPr>
                <w:sz w:val="20"/>
                <w:szCs w:val="20"/>
                <w:color w:val="auto"/>
              </w:rPr>
            </w:pPr>
            <w:r>
              <w:rPr>
                <w:rFonts w:ascii="Arial" w:cs="Arial" w:eastAsia="Arial" w:hAnsi="Arial"/>
                <w:sz w:val="18"/>
                <w:szCs w:val="18"/>
                <w:color w:val="auto"/>
              </w:rPr>
              <w:t>GAAP gross margin</w:t>
            </w:r>
          </w:p>
        </w:tc>
        <w:tc>
          <w:tcPr>
            <w:tcW w:w="20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62.1%</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60.7 %</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60.3%</w:t>
            </w:r>
          </w:p>
        </w:tc>
      </w:tr>
      <w:tr>
        <w:trPr>
          <w:trHeight w:val="67"/>
        </w:trPr>
        <w:tc>
          <w:tcPr>
            <w:tcW w:w="708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r>
      <w:tr>
        <w:trPr>
          <w:trHeight w:val="256"/>
        </w:trPr>
        <w:tc>
          <w:tcPr>
            <w:tcW w:w="708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gross margin</w:t>
            </w: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62.5%</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62.3 %</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60.6%</w:t>
            </w:r>
          </w:p>
        </w:tc>
      </w:tr>
      <w:tr>
        <w:trPr>
          <w:trHeight w:val="20"/>
        </w:trPr>
        <w:tc>
          <w:tcPr>
            <w:tcW w:w="70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70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324"/>
        </w:trPr>
        <w:tc>
          <w:tcPr>
            <w:tcW w:w="708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r>
    </w:tbl>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7080" w:type="dxa"/>
            <w:vAlign w:val="bottom"/>
            <w:shd w:val="clear" w:color="auto" w:fill="CCEEFF"/>
          </w:tcPr>
          <w:p>
            <w:pPr>
              <w:ind w:left="40"/>
              <w:spacing w:after="0"/>
              <w:rPr>
                <w:sz w:val="20"/>
                <w:szCs w:val="20"/>
                <w:color w:val="auto"/>
              </w:rPr>
            </w:pPr>
            <w:r>
              <w:rPr>
                <w:rFonts w:ascii="Arial" w:cs="Arial" w:eastAsia="Arial" w:hAnsi="Arial"/>
                <w:sz w:val="18"/>
                <w:szCs w:val="18"/>
                <w:color w:val="auto"/>
              </w:rPr>
              <w:t>Total GAAP operating expenses</w:t>
            </w: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250,614</w:t>
            </w:r>
          </w:p>
        </w:tc>
        <w:tc>
          <w:tcPr>
            <w:tcW w:w="100" w:type="dxa"/>
            <w:vAlign w:val="bottom"/>
            <w:shd w:val="clear" w:color="auto" w:fill="CCEEFF"/>
          </w:tcPr>
          <w:p>
            <w:pPr>
              <w:spacing w:after="0"/>
              <w:rPr>
                <w:sz w:val="23"/>
                <w:szCs w:val="23"/>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319,471</w:t>
            </w:r>
          </w:p>
        </w:tc>
        <w:tc>
          <w:tcPr>
            <w:tcW w:w="220" w:type="dxa"/>
            <w:vAlign w:val="bottom"/>
            <w:shd w:val="clear" w:color="auto" w:fill="CCEEFF"/>
          </w:tcPr>
          <w:p>
            <w:pPr>
              <w:spacing w:after="0"/>
              <w:rPr>
                <w:sz w:val="23"/>
                <w:szCs w:val="23"/>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244,086</w:t>
            </w:r>
          </w:p>
        </w:tc>
      </w:tr>
      <w:tr>
        <w:trPr>
          <w:trHeight w:val="243"/>
        </w:trPr>
        <w:tc>
          <w:tcPr>
            <w:tcW w:w="70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32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00" w:type="dxa"/>
            <w:vAlign w:val="bottom"/>
          </w:tcPr>
          <w:p>
            <w:pPr>
              <w:spacing w:after="0"/>
              <w:rPr>
                <w:sz w:val="21"/>
                <w:szCs w:val="21"/>
                <w:color w:val="auto"/>
              </w:rPr>
            </w:pPr>
          </w:p>
        </w:tc>
      </w:tr>
      <w:tr>
        <w:trPr>
          <w:trHeight w:val="27"/>
        </w:trPr>
        <w:tc>
          <w:tcPr>
            <w:tcW w:w="70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7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3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(21,947)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(19,715)</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(20,313)</w:t>
            </w:r>
          </w:p>
        </w:tc>
      </w:tr>
      <w:tr>
        <w:trPr>
          <w:trHeight w:val="243"/>
        </w:trPr>
        <w:tc>
          <w:tcPr>
            <w:tcW w:w="7080" w:type="dxa"/>
            <w:vAlign w:val="bottom"/>
          </w:tcPr>
          <w:p>
            <w:pPr>
              <w:ind w:left="460"/>
              <w:spacing w:after="0"/>
              <w:rPr>
                <w:sz w:val="20"/>
                <w:szCs w:val="20"/>
                <w:color w:val="auto"/>
              </w:rPr>
            </w:pPr>
            <w:r>
              <w:rPr>
                <w:rFonts w:ascii="Arial" w:cs="Arial" w:eastAsia="Arial" w:hAnsi="Arial"/>
                <w:sz w:val="18"/>
                <w:szCs w:val="18"/>
                <w:color w:val="auto"/>
              </w:rPr>
              <w:t xml:space="preserve">Restructuring related (charges) gain </w:t>
            </w:r>
            <w:r>
              <w:rPr>
                <w:rFonts w:ascii="Arial" w:cs="Arial" w:eastAsia="Arial" w:hAnsi="Arial"/>
                <w:sz w:val="18"/>
                <w:szCs w:val="18"/>
                <w:i w:val="1"/>
                <w:iCs w:val="1"/>
                <w:color w:val="auto"/>
              </w:rPr>
              <w:t>(b)</w:t>
            </w:r>
          </w:p>
        </w:tc>
        <w:tc>
          <w:tcPr>
            <w:tcW w:w="320" w:type="dxa"/>
            <w:vAlign w:val="bottom"/>
          </w:tcPr>
          <w:p>
            <w:pPr>
              <w:spacing w:after="0"/>
              <w:rPr>
                <w:sz w:val="21"/>
                <w:szCs w:val="21"/>
                <w:color w:val="auto"/>
              </w:rPr>
            </w:pPr>
          </w:p>
        </w:tc>
        <w:tc>
          <w:tcPr>
            <w:tcW w:w="1000" w:type="dxa"/>
            <w:vAlign w:val="bottom"/>
          </w:tcPr>
          <w:p>
            <w:pPr>
              <w:jc w:val="right"/>
              <w:ind w:right="50"/>
              <w:spacing w:after="0"/>
              <w:rPr>
                <w:sz w:val="20"/>
                <w:szCs w:val="20"/>
                <w:color w:val="auto"/>
              </w:rPr>
            </w:pPr>
            <w:r>
              <w:rPr>
                <w:rFonts w:ascii="Arial" w:cs="Arial" w:eastAsia="Arial" w:hAnsi="Arial"/>
                <w:sz w:val="18"/>
                <w:szCs w:val="18"/>
                <w:color w:val="auto"/>
              </w:rPr>
              <w:t>(1,567)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80" w:type="dxa"/>
            <w:vAlign w:val="bottom"/>
          </w:tcPr>
          <w:p>
            <w:pPr>
              <w:jc w:val="right"/>
              <w:ind w:right="150"/>
              <w:spacing w:after="0"/>
              <w:rPr>
                <w:sz w:val="20"/>
                <w:szCs w:val="20"/>
                <w:color w:val="auto"/>
              </w:rPr>
            </w:pPr>
            <w:r>
              <w:rPr>
                <w:rFonts w:ascii="Arial" w:cs="Arial" w:eastAsia="Arial" w:hAnsi="Arial"/>
                <w:sz w:val="18"/>
                <w:szCs w:val="18"/>
                <w:color w:val="auto"/>
              </w:rPr>
              <w:t>3,205</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(886)</w:t>
            </w:r>
          </w:p>
        </w:tc>
      </w:tr>
      <w:tr>
        <w:trPr>
          <w:trHeight w:val="27"/>
        </w:trPr>
        <w:tc>
          <w:tcPr>
            <w:tcW w:w="70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7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of and write-off acquired intangible assets</w:t>
            </w:r>
          </w:p>
        </w:tc>
        <w:tc>
          <w:tcPr>
            <w:tcW w:w="32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(358)</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(1,071)</w:t>
            </w:r>
          </w:p>
        </w:tc>
      </w:tr>
      <w:tr>
        <w:trPr>
          <w:trHeight w:val="243"/>
        </w:trPr>
        <w:tc>
          <w:tcPr>
            <w:tcW w:w="7080" w:type="dxa"/>
            <w:vAlign w:val="bottom"/>
          </w:tcPr>
          <w:p>
            <w:pPr>
              <w:ind w:left="46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320" w:type="dxa"/>
            <w:vAlign w:val="bottom"/>
          </w:tcPr>
          <w:p>
            <w:pPr>
              <w:spacing w:after="0"/>
              <w:rPr>
                <w:sz w:val="21"/>
                <w:szCs w:val="21"/>
                <w:color w:val="auto"/>
              </w:rPr>
            </w:pP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080" w:type="dxa"/>
            <w:vAlign w:val="bottom"/>
          </w:tcPr>
          <w:p>
            <w:pPr>
              <w:jc w:val="right"/>
              <w:ind w:right="90"/>
              <w:spacing w:after="0"/>
              <w:rPr>
                <w:sz w:val="20"/>
                <w:szCs w:val="20"/>
                <w:color w:val="auto"/>
              </w:rPr>
            </w:pPr>
            <w:r>
              <w:rPr>
                <w:rFonts w:ascii="Arial" w:cs="Arial" w:eastAsia="Arial" w:hAnsi="Arial"/>
                <w:sz w:val="18"/>
                <w:szCs w:val="18"/>
                <w:color w:val="auto"/>
              </w:rPr>
              <w:t>(74,385)</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00" w:type="dxa"/>
            <w:vAlign w:val="bottom"/>
          </w:tcPr>
          <w:p>
            <w:pPr>
              <w:jc w:val="right"/>
              <w:ind w:right="90"/>
              <w:spacing w:after="0"/>
              <w:rPr>
                <w:sz w:val="20"/>
                <w:szCs w:val="20"/>
                <w:color w:val="auto"/>
              </w:rPr>
            </w:pPr>
            <w:r>
              <w:rPr>
                <w:rFonts w:ascii="Arial" w:cs="Arial" w:eastAsia="Arial" w:hAnsi="Arial"/>
                <w:sz w:val="18"/>
                <w:szCs w:val="18"/>
                <w:color w:val="auto"/>
              </w:rPr>
              <w:t>—</w:t>
            </w:r>
          </w:p>
        </w:tc>
      </w:tr>
      <w:tr>
        <w:trPr>
          <w:trHeight w:val="27"/>
        </w:trPr>
        <w:tc>
          <w:tcPr>
            <w:tcW w:w="70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70"/>
        </w:trPr>
        <w:tc>
          <w:tcPr>
            <w:tcW w:w="7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operating expenses (d)</w:t>
            </w:r>
          </w:p>
        </w:tc>
        <w:tc>
          <w:tcPr>
            <w:tcW w:w="32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(15,252)</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(10,579)</w:t>
            </w:r>
          </w:p>
        </w:tc>
        <w:tc>
          <w:tcPr>
            <w:tcW w:w="2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(2,303)</w:t>
            </w:r>
          </w:p>
        </w:tc>
      </w:tr>
      <w:tr>
        <w:trPr>
          <w:trHeight w:val="237"/>
        </w:trPr>
        <w:tc>
          <w:tcPr>
            <w:tcW w:w="708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32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(38,766)</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(101,832)</w:t>
            </w:r>
          </w:p>
        </w:tc>
        <w:tc>
          <w:tcPr>
            <w:tcW w:w="2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(24,573)</w:t>
            </w:r>
          </w:p>
        </w:tc>
      </w:tr>
      <w:tr>
        <w:trPr>
          <w:trHeight w:val="27"/>
        </w:trPr>
        <w:tc>
          <w:tcPr>
            <w:tcW w:w="708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69"/>
        </w:trPr>
        <w:tc>
          <w:tcPr>
            <w:tcW w:w="7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operating expenses</w:t>
            </w:r>
          </w:p>
        </w:tc>
        <w:tc>
          <w:tcPr>
            <w:tcW w:w="32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211,848</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217,639</w:t>
            </w:r>
          </w:p>
        </w:tc>
        <w:tc>
          <w:tcPr>
            <w:tcW w:w="2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219,513</w:t>
            </w:r>
          </w:p>
        </w:tc>
      </w:tr>
      <w:tr>
        <w:trPr>
          <w:trHeight w:val="20"/>
        </w:trPr>
        <w:tc>
          <w:tcPr>
            <w:tcW w:w="708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708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00" w:type="dxa"/>
            <w:vAlign w:val="bottom"/>
          </w:tcPr>
          <w:p>
            <w:pPr>
              <w:spacing w:after="0"/>
              <w:rPr>
                <w:sz w:val="21"/>
                <w:szCs w:val="21"/>
                <w:color w:val="auto"/>
              </w:rPr>
            </w:pPr>
          </w:p>
        </w:tc>
      </w:tr>
      <w:tr>
        <w:trPr>
          <w:trHeight w:val="324"/>
        </w:trPr>
        <w:tc>
          <w:tcPr>
            <w:tcW w:w="708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7080" w:type="dxa"/>
            <w:vAlign w:val="bottom"/>
            <w:shd w:val="clear" w:color="auto" w:fill="CCEEFF"/>
          </w:tcPr>
          <w:p>
            <w:pPr>
              <w:ind w:left="40"/>
              <w:spacing w:after="0"/>
              <w:rPr>
                <w:sz w:val="20"/>
                <w:szCs w:val="20"/>
                <w:color w:val="auto"/>
              </w:rPr>
            </w:pPr>
            <w:r>
              <w:rPr>
                <w:rFonts w:ascii="Arial" w:cs="Arial" w:eastAsia="Arial" w:hAnsi="Arial"/>
                <w:sz w:val="18"/>
                <w:szCs w:val="18"/>
                <w:color w:val="auto"/>
              </w:rPr>
              <w:t>GAAP operating margin</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w:t>
            </w:r>
          </w:p>
        </w:tc>
        <w:tc>
          <w:tcPr>
            <w:tcW w:w="100" w:type="dxa"/>
            <w:vAlign w:val="bottom"/>
            <w:shd w:val="clear" w:color="auto" w:fill="CCEEFF"/>
          </w:tcPr>
          <w:p>
            <w:pPr>
              <w:spacing w:after="0"/>
              <w:rPr>
                <w:sz w:val="23"/>
                <w:szCs w:val="23"/>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8.8 %</w:t>
            </w:r>
          </w:p>
        </w:tc>
        <w:tc>
          <w:tcPr>
            <w:tcW w:w="220" w:type="dxa"/>
            <w:vAlign w:val="bottom"/>
            <w:shd w:val="clear" w:color="auto" w:fill="CCEEFF"/>
          </w:tcPr>
          <w:p>
            <w:pPr>
              <w:spacing w:after="0"/>
              <w:rPr>
                <w:sz w:val="23"/>
                <w:szCs w:val="23"/>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w:t>
            </w:r>
          </w:p>
        </w:tc>
      </w:tr>
      <w:tr>
        <w:trPr>
          <w:trHeight w:val="243"/>
        </w:trPr>
        <w:tc>
          <w:tcPr>
            <w:tcW w:w="7080" w:type="dxa"/>
            <w:vAlign w:val="bottom"/>
          </w:tcPr>
          <w:p>
            <w:pPr>
              <w:ind w:left="46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(a)</w:t>
            </w:r>
          </w:p>
        </w:tc>
        <w:tc>
          <w:tcPr>
            <w:tcW w:w="14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380" w:type="dxa"/>
            <w:vAlign w:val="bottom"/>
          </w:tcPr>
          <w:p>
            <w:pPr>
              <w:jc w:val="right"/>
              <w:spacing w:after="0"/>
              <w:rPr>
                <w:sz w:val="20"/>
                <w:szCs w:val="20"/>
                <w:color w:val="auto"/>
              </w:rPr>
            </w:pPr>
            <w:r>
              <w:rPr>
                <w:rFonts w:ascii="Arial" w:cs="Arial" w:eastAsia="Arial" w:hAnsi="Arial"/>
                <w:sz w:val="18"/>
                <w:szCs w:val="18"/>
                <w:color w:val="auto"/>
              </w:rPr>
              <w:t>1.3 %</w:t>
            </w:r>
          </w:p>
        </w:tc>
        <w:tc>
          <w:tcPr>
            <w:tcW w:w="22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7"/>
        </w:trPr>
        <w:tc>
          <w:tcPr>
            <w:tcW w:w="70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7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1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3.5 %</w:t>
            </w:r>
          </w:p>
        </w:tc>
        <w:tc>
          <w:tcPr>
            <w:tcW w:w="2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w:t>
            </w:r>
          </w:p>
        </w:tc>
      </w:tr>
      <w:tr>
        <w:trPr>
          <w:trHeight w:val="243"/>
        </w:trPr>
        <w:tc>
          <w:tcPr>
            <w:tcW w:w="7080" w:type="dxa"/>
            <w:vAlign w:val="bottom"/>
          </w:tcPr>
          <w:p>
            <w:pPr>
              <w:ind w:left="460"/>
              <w:spacing w:after="0"/>
              <w:rPr>
                <w:sz w:val="20"/>
                <w:szCs w:val="20"/>
                <w:color w:val="auto"/>
              </w:rPr>
            </w:pPr>
            <w:r>
              <w:rPr>
                <w:rFonts w:ascii="Arial" w:cs="Arial" w:eastAsia="Arial" w:hAnsi="Arial"/>
                <w:sz w:val="18"/>
                <w:szCs w:val="18"/>
                <w:color w:val="auto"/>
              </w:rPr>
              <w:t xml:space="preserve">Restructuring related charges (gain) </w:t>
            </w:r>
            <w:r>
              <w:rPr>
                <w:rFonts w:ascii="Arial" w:cs="Arial" w:eastAsia="Arial" w:hAnsi="Arial"/>
                <w:sz w:val="18"/>
                <w:szCs w:val="18"/>
                <w:i w:val="1"/>
                <w:iCs w:val="1"/>
                <w:color w:val="auto"/>
              </w:rPr>
              <w:t>(b)</w:t>
            </w:r>
          </w:p>
        </w:tc>
        <w:tc>
          <w:tcPr>
            <w:tcW w:w="1320" w:type="dxa"/>
            <w:vAlign w:val="bottom"/>
          </w:tcPr>
          <w:p>
            <w:pPr>
              <w:jc w:val="right"/>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(0.5)%</w:t>
            </w:r>
          </w:p>
        </w:tc>
        <w:tc>
          <w:tcPr>
            <w:tcW w:w="22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0.2%</w:t>
            </w:r>
          </w:p>
        </w:tc>
      </w:tr>
      <w:tr>
        <w:trPr>
          <w:trHeight w:val="27"/>
        </w:trPr>
        <w:tc>
          <w:tcPr>
            <w:tcW w:w="70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7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and write-off of acquired intangible assets</w:t>
            </w:r>
          </w:p>
        </w:tc>
        <w:tc>
          <w:tcPr>
            <w:tcW w:w="142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0.1 %</w:t>
            </w:r>
          </w:p>
        </w:tc>
        <w:tc>
          <w:tcPr>
            <w:tcW w:w="22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r>
      <w:tr>
        <w:trPr>
          <w:trHeight w:val="243"/>
        </w:trPr>
        <w:tc>
          <w:tcPr>
            <w:tcW w:w="7080" w:type="dxa"/>
            <w:vAlign w:val="bottom"/>
          </w:tcPr>
          <w:p>
            <w:pPr>
              <w:ind w:left="46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4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380" w:type="dxa"/>
            <w:vAlign w:val="bottom"/>
          </w:tcPr>
          <w:p>
            <w:pPr>
              <w:jc w:val="right"/>
              <w:spacing w:after="0"/>
              <w:rPr>
                <w:sz w:val="20"/>
                <w:szCs w:val="20"/>
                <w:color w:val="auto"/>
              </w:rPr>
            </w:pPr>
            <w:r>
              <w:rPr>
                <w:rFonts w:ascii="Arial" w:cs="Arial" w:eastAsia="Arial" w:hAnsi="Arial"/>
                <w:sz w:val="18"/>
                <w:szCs w:val="18"/>
                <w:color w:val="auto"/>
              </w:rPr>
              <w:t>12.1 %</w:t>
            </w:r>
          </w:p>
        </w:tc>
        <w:tc>
          <w:tcPr>
            <w:tcW w:w="22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7"/>
        </w:trPr>
        <w:tc>
          <w:tcPr>
            <w:tcW w:w="70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70"/>
        </w:trPr>
        <w:tc>
          <w:tcPr>
            <w:tcW w:w="7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(d)</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10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22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r>
      <w:tr>
        <w:trPr>
          <w:trHeight w:val="257"/>
        </w:trPr>
        <w:tc>
          <w:tcPr>
            <w:tcW w:w="7080" w:type="dxa"/>
            <w:vAlign w:val="bottom"/>
          </w:tcPr>
          <w:p>
            <w:pPr>
              <w:ind w:left="40"/>
              <w:spacing w:after="0"/>
              <w:rPr>
                <w:sz w:val="20"/>
                <w:szCs w:val="20"/>
                <w:color w:val="auto"/>
              </w:rPr>
            </w:pPr>
            <w:r>
              <w:rPr>
                <w:rFonts w:ascii="Arial" w:cs="Arial" w:eastAsia="Arial" w:hAnsi="Arial"/>
                <w:sz w:val="18"/>
                <w:szCs w:val="18"/>
                <w:color w:val="auto"/>
              </w:rPr>
              <w:t>Non-GAAP operating margin</w:t>
            </w:r>
          </w:p>
        </w:tc>
        <w:tc>
          <w:tcPr>
            <w:tcW w:w="1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27.4%</w:t>
            </w:r>
          </w:p>
        </w:tc>
        <w:tc>
          <w:tcPr>
            <w:tcW w:w="100" w:type="dxa"/>
            <w:vAlign w:val="bottom"/>
          </w:tcPr>
          <w:p>
            <w:pPr>
              <w:spacing w:after="0"/>
              <w:rPr>
                <w:sz w:val="22"/>
                <w:szCs w:val="22"/>
                <w:color w:val="auto"/>
              </w:rPr>
            </w:pPr>
          </w:p>
        </w:tc>
        <w:tc>
          <w:tcPr>
            <w:tcW w:w="13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26.9 %</w:t>
            </w:r>
          </w:p>
        </w:tc>
        <w:tc>
          <w:tcPr>
            <w:tcW w:w="220" w:type="dxa"/>
            <w:vAlign w:val="bottom"/>
          </w:tcPr>
          <w:p>
            <w:pPr>
              <w:spacing w:after="0"/>
              <w:rPr>
                <w:sz w:val="22"/>
                <w:szCs w:val="22"/>
                <w:color w:val="auto"/>
              </w:rPr>
            </w:pPr>
          </w:p>
        </w:tc>
        <w:tc>
          <w:tcPr>
            <w:tcW w:w="1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22.2%</w:t>
            </w:r>
          </w:p>
        </w:tc>
      </w:tr>
      <w:tr>
        <w:trPr>
          <w:trHeight w:val="20"/>
        </w:trPr>
        <w:tc>
          <w:tcPr>
            <w:tcW w:w="7080" w:type="dxa"/>
            <w:vAlign w:val="bottom"/>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810"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3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73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gridSpan w:val="2"/>
          </w:tcPr>
          <w:p>
            <w:pPr>
              <w:ind w:left="60"/>
              <w:spacing w:after="0"/>
              <w:rPr>
                <w:sz w:val="20"/>
                <w:szCs w:val="20"/>
                <w:color w:val="auto"/>
              </w:rPr>
            </w:pPr>
            <w:r>
              <w:rPr>
                <w:rFonts w:ascii="Arial" w:cs="Arial" w:eastAsia="Arial" w:hAnsi="Arial"/>
                <w:sz w:val="14"/>
                <w:szCs w:val="14"/>
                <w:b w:val="1"/>
                <w:bCs w:val="1"/>
                <w:color w:val="auto"/>
              </w:rPr>
              <w:t>May 5, 2018</w:t>
            </w:r>
          </w:p>
        </w:tc>
        <w:tc>
          <w:tcPr>
            <w:tcW w:w="1460" w:type="dxa"/>
            <w:vAlign w:val="bottom"/>
            <w:gridSpan w:val="3"/>
          </w:tcPr>
          <w:p>
            <w:pPr>
              <w:ind w:left="100"/>
              <w:spacing w:after="0"/>
              <w:rPr>
                <w:sz w:val="20"/>
                <w:szCs w:val="20"/>
                <w:color w:val="auto"/>
              </w:rPr>
            </w:pPr>
            <w:r>
              <w:rPr>
                <w:rFonts w:ascii="Arial" w:cs="Arial" w:eastAsia="Arial" w:hAnsi="Arial"/>
                <w:sz w:val="14"/>
                <w:szCs w:val="14"/>
                <w:b w:val="1"/>
                <w:bCs w:val="1"/>
                <w:color w:val="auto"/>
              </w:rPr>
              <w:t>February 3, 2018</w:t>
            </w:r>
          </w:p>
        </w:tc>
        <w:tc>
          <w:tcPr>
            <w:tcW w:w="160" w:type="dxa"/>
            <w:vAlign w:val="bottom"/>
          </w:tcPr>
          <w:p>
            <w:pPr>
              <w:spacing w:after="0"/>
              <w:rPr>
                <w:sz w:val="21"/>
                <w:szCs w:val="21"/>
                <w:color w:val="auto"/>
              </w:rPr>
            </w:pPr>
          </w:p>
        </w:tc>
        <w:tc>
          <w:tcPr>
            <w:tcW w:w="1100" w:type="dxa"/>
            <w:vAlign w:val="bottom"/>
          </w:tcPr>
          <w:p>
            <w:pPr>
              <w:jc w:val="right"/>
              <w:ind w:right="111"/>
              <w:spacing w:after="0"/>
              <w:rPr>
                <w:sz w:val="20"/>
                <w:szCs w:val="20"/>
                <w:color w:val="auto"/>
              </w:rPr>
            </w:pPr>
            <w:r>
              <w:rPr>
                <w:rFonts w:ascii="Arial" w:cs="Arial" w:eastAsia="Arial" w:hAnsi="Arial"/>
                <w:sz w:val="14"/>
                <w:szCs w:val="14"/>
                <w:b w:val="1"/>
                <w:bCs w:val="1"/>
                <w:color w:val="auto"/>
                <w:w w:val="97"/>
              </w:rPr>
              <w:t>April 29, 2017</w:t>
            </w:r>
          </w:p>
        </w:tc>
        <w:tc>
          <w:tcPr>
            <w:tcW w:w="0" w:type="dxa"/>
            <w:vAlign w:val="bottom"/>
          </w:tcPr>
          <w:p>
            <w:pPr>
              <w:spacing w:after="0"/>
              <w:rPr>
                <w:sz w:val="1"/>
                <w:szCs w:val="1"/>
                <w:color w:val="auto"/>
              </w:rPr>
            </w:pPr>
          </w:p>
        </w:tc>
      </w:tr>
      <w:tr>
        <w:trPr>
          <w:trHeight w:val="250"/>
        </w:trPr>
        <w:tc>
          <w:tcPr>
            <w:tcW w:w="73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interest and other income, net</w:t>
            </w:r>
          </w:p>
        </w:tc>
        <w:tc>
          <w:tcPr>
            <w:tcW w:w="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7,296</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4,788</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3,333</w:t>
            </w: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732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 xml:space="preserve">Restructuring related items </w:t>
            </w:r>
            <w:r>
              <w:rPr>
                <w:rFonts w:ascii="Arial" w:cs="Arial" w:eastAsia="Arial" w:hAnsi="Arial"/>
                <w:sz w:val="18"/>
                <w:szCs w:val="18"/>
                <w:i w:val="1"/>
                <w:iCs w:val="1"/>
                <w:color w:val="auto"/>
              </w:rPr>
              <w:t>(e)</w:t>
            </w: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(1,512)</w:t>
            </w:r>
          </w:p>
        </w:tc>
        <w:tc>
          <w:tcPr>
            <w:tcW w:w="12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1,355</w:t>
            </w:r>
          </w:p>
        </w:tc>
        <w:tc>
          <w:tcPr>
            <w:tcW w:w="2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7"/>
        </w:trPr>
        <w:tc>
          <w:tcPr>
            <w:tcW w:w="732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20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(1,512)</w:t>
            </w:r>
          </w:p>
        </w:tc>
        <w:tc>
          <w:tcPr>
            <w:tcW w:w="1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1,355</w:t>
            </w:r>
          </w:p>
        </w:tc>
        <w:tc>
          <w:tcPr>
            <w:tcW w:w="2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73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interest and other income, net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5,784</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6,143</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3,333</w:t>
            </w:r>
          </w:p>
        </w:tc>
        <w:tc>
          <w:tcPr>
            <w:tcW w:w="0" w:type="dxa"/>
            <w:vAlign w:val="bottom"/>
          </w:tcPr>
          <w:p>
            <w:pPr>
              <w:spacing w:after="0"/>
              <w:rPr>
                <w:sz w:val="1"/>
                <w:szCs w:val="1"/>
                <w:color w:val="auto"/>
              </w:rPr>
            </w:pP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5"/>
        </w:trPr>
        <w:tc>
          <w:tcPr>
            <w:tcW w:w="7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3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128,612</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48,763</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106,621</w:t>
            </w:r>
          </w:p>
        </w:tc>
        <w:tc>
          <w:tcPr>
            <w:tcW w:w="0" w:type="dxa"/>
            <w:vAlign w:val="bottom"/>
          </w:tcPr>
          <w:p>
            <w:pPr>
              <w:spacing w:after="0"/>
              <w:rPr>
                <w:sz w:val="1"/>
                <w:szCs w:val="1"/>
                <w:color w:val="auto"/>
              </w:rPr>
            </w:pPr>
          </w:p>
        </w:tc>
      </w:tr>
      <w:tr>
        <w:trPr>
          <w:trHeight w:val="243"/>
        </w:trPr>
        <w:tc>
          <w:tcPr>
            <w:tcW w:w="7320" w:type="dxa"/>
            <w:vAlign w:val="bottom"/>
          </w:tcPr>
          <w:p>
            <w:pPr>
              <w:ind w:left="440"/>
              <w:spacing w:after="0"/>
              <w:rPr>
                <w:sz w:val="20"/>
                <w:szCs w:val="20"/>
                <w:color w:val="auto"/>
              </w:rPr>
            </w:pPr>
            <w:r>
              <w:rPr>
                <w:rFonts w:ascii="Arial" w:cs="Arial" w:eastAsia="Arial" w:hAnsi="Arial"/>
                <w:sz w:val="18"/>
                <w:szCs w:val="18"/>
                <w:color w:val="auto"/>
              </w:rPr>
              <w:t>Less: Income from discontinued operations, net of tax</w:t>
            </w:r>
          </w:p>
        </w:tc>
        <w:tc>
          <w:tcPr>
            <w:tcW w:w="20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7,029</w:t>
            </w:r>
          </w:p>
        </w:tc>
        <w:tc>
          <w:tcPr>
            <w:tcW w:w="0" w:type="dxa"/>
            <w:vAlign w:val="bottom"/>
          </w:tcPr>
          <w:p>
            <w:pPr>
              <w:spacing w:after="0"/>
              <w:rPr>
                <w:sz w:val="1"/>
                <w:szCs w:val="1"/>
                <w:color w:val="auto"/>
              </w:rPr>
            </w:pPr>
          </w:p>
        </w:tc>
      </w:tr>
      <w:tr>
        <w:trPr>
          <w:trHeight w:val="27"/>
        </w:trPr>
        <w:tc>
          <w:tcPr>
            <w:tcW w:w="73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7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 from continuing operations</w:t>
            </w:r>
          </w:p>
        </w:tc>
        <w:tc>
          <w:tcPr>
            <w:tcW w:w="20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128,612</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48,763</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99,592</w:t>
            </w:r>
          </w:p>
        </w:tc>
        <w:tc>
          <w:tcPr>
            <w:tcW w:w="0" w:type="dxa"/>
            <w:vAlign w:val="bottom"/>
          </w:tcPr>
          <w:p>
            <w:pPr>
              <w:spacing w:after="0"/>
              <w:rPr>
                <w:sz w:val="1"/>
                <w:szCs w:val="1"/>
                <w:color w:val="auto"/>
              </w:rPr>
            </w:pPr>
          </w:p>
        </w:tc>
      </w:tr>
      <w:tr>
        <w:trPr>
          <w:trHeight w:val="223"/>
        </w:trPr>
        <w:tc>
          <w:tcPr>
            <w:tcW w:w="732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0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340" w:type="dxa"/>
            <w:vAlign w:val="bottom"/>
            <w:tcBorders>
              <w:top w:val="single" w:sz="8" w:color="auto"/>
            </w:tcBorders>
          </w:tcPr>
          <w:p>
            <w:pPr>
              <w:spacing w:after="0"/>
              <w:rPr>
                <w:sz w:val="19"/>
                <w:szCs w:val="19"/>
                <w:color w:val="auto"/>
              </w:rPr>
            </w:pPr>
          </w:p>
        </w:tc>
        <w:tc>
          <w:tcPr>
            <w:tcW w:w="90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73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40" w:type="dxa"/>
            <w:vAlign w:val="bottom"/>
          </w:tcPr>
          <w:p>
            <w:pPr>
              <w:spacing w:after="0"/>
              <w:rPr>
                <w:sz w:val="3"/>
                <w:szCs w:val="3"/>
                <w:color w:val="auto"/>
              </w:rPr>
            </w:pPr>
          </w:p>
        </w:tc>
        <w:tc>
          <w:tcPr>
            <w:tcW w:w="900" w:type="dxa"/>
            <w:vAlign w:val="bottom"/>
          </w:tcPr>
          <w:p>
            <w:pPr>
              <w:spacing w:after="0"/>
              <w:rPr>
                <w:sz w:val="3"/>
                <w:szCs w:val="3"/>
                <w:color w:val="auto"/>
              </w:rPr>
            </w:pPr>
          </w:p>
        </w:tc>
        <w:tc>
          <w:tcPr>
            <w:tcW w:w="2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73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w:t>
            </w:r>
            <w:r>
              <w:rPr>
                <w:rFonts w:ascii="Arial" w:cs="Arial" w:eastAsia="Arial" w:hAnsi="Arial"/>
                <w:sz w:val="18"/>
                <w:szCs w:val="18"/>
                <w:i w:val="1"/>
                <w:iCs w:val="1"/>
                <w:color w:val="auto"/>
              </w:rPr>
              <w:t>a</w:t>
            </w: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8,000</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732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21"/>
                <w:szCs w:val="21"/>
                <w:color w:val="auto"/>
              </w:rPr>
            </w:pP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23,852</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21,377</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21,739</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3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Restructuring related charges (gain) in operating expenses </w:t>
            </w:r>
            <w:r>
              <w:rPr>
                <w:rFonts w:ascii="Arial" w:cs="Arial" w:eastAsia="Arial" w:hAnsi="Arial"/>
                <w:sz w:val="18"/>
                <w:szCs w:val="18"/>
                <w:i w:val="1"/>
                <w:iCs w:val="1"/>
                <w:color w:val="auto"/>
              </w:rPr>
              <w:t>(b)</w:t>
            </w: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1,567</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(3,205)</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886</w:t>
            </w:r>
          </w:p>
        </w:tc>
        <w:tc>
          <w:tcPr>
            <w:tcW w:w="0" w:type="dxa"/>
            <w:vAlign w:val="bottom"/>
          </w:tcPr>
          <w:p>
            <w:pPr>
              <w:spacing w:after="0"/>
              <w:rPr>
                <w:sz w:val="1"/>
                <w:szCs w:val="1"/>
                <w:color w:val="auto"/>
              </w:rPr>
            </w:pPr>
          </w:p>
        </w:tc>
      </w:tr>
      <w:tr>
        <w:trPr>
          <w:trHeight w:val="243"/>
        </w:trPr>
        <w:tc>
          <w:tcPr>
            <w:tcW w:w="7320" w:type="dxa"/>
            <w:vAlign w:val="bottom"/>
          </w:tcPr>
          <w:p>
            <w:pPr>
              <w:ind w:left="460"/>
              <w:spacing w:after="0"/>
              <w:rPr>
                <w:sz w:val="20"/>
                <w:szCs w:val="20"/>
                <w:color w:val="auto"/>
              </w:rPr>
            </w:pPr>
            <w:r>
              <w:rPr>
                <w:rFonts w:ascii="Arial" w:cs="Arial" w:eastAsia="Arial" w:hAnsi="Arial"/>
                <w:sz w:val="18"/>
                <w:szCs w:val="18"/>
                <w:color w:val="auto"/>
              </w:rPr>
              <w:t xml:space="preserve">Restructuring related items in interest and other income, net </w:t>
            </w:r>
            <w:r>
              <w:rPr>
                <w:rFonts w:ascii="Arial" w:cs="Arial" w:eastAsia="Arial" w:hAnsi="Arial"/>
                <w:sz w:val="18"/>
                <w:szCs w:val="18"/>
                <w:i w:val="1"/>
                <w:iCs w:val="1"/>
                <w:color w:val="auto"/>
              </w:rPr>
              <w:t>(e)</w:t>
            </w: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(1,512)</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1,355</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3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of and write-off acquired intangible assets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358</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1,071</w:t>
            </w:r>
          </w:p>
        </w:tc>
        <w:tc>
          <w:tcPr>
            <w:tcW w:w="0" w:type="dxa"/>
            <w:vAlign w:val="bottom"/>
          </w:tcPr>
          <w:p>
            <w:pPr>
              <w:spacing w:after="0"/>
              <w:rPr>
                <w:sz w:val="1"/>
                <w:szCs w:val="1"/>
                <w:color w:val="auto"/>
              </w:rPr>
            </w:pPr>
          </w:p>
        </w:tc>
      </w:tr>
      <w:tr>
        <w:trPr>
          <w:trHeight w:val="243"/>
        </w:trPr>
        <w:tc>
          <w:tcPr>
            <w:tcW w:w="7320" w:type="dxa"/>
            <w:vAlign w:val="bottom"/>
          </w:tcPr>
          <w:p>
            <w:pPr>
              <w:ind w:left="46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20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74,385</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73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73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(d)</w:t>
            </w: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15,252</w:t>
            </w:r>
          </w:p>
        </w:tc>
        <w:tc>
          <w:tcPr>
            <w:tcW w:w="12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10,579</w:t>
            </w:r>
          </w:p>
        </w:tc>
        <w:tc>
          <w:tcPr>
            <w:tcW w:w="2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2,303</w:t>
            </w:r>
          </w:p>
        </w:tc>
        <w:tc>
          <w:tcPr>
            <w:tcW w:w="0" w:type="dxa"/>
            <w:vAlign w:val="bottom"/>
          </w:tcPr>
          <w:p>
            <w:pPr>
              <w:spacing w:after="0"/>
              <w:rPr>
                <w:sz w:val="1"/>
                <w:szCs w:val="1"/>
                <w:color w:val="auto"/>
              </w:rPr>
            </w:pPr>
          </w:p>
        </w:tc>
      </w:tr>
      <w:tr>
        <w:trPr>
          <w:trHeight w:val="237"/>
        </w:trPr>
        <w:tc>
          <w:tcPr>
            <w:tcW w:w="7320" w:type="dxa"/>
            <w:vAlign w:val="bottom"/>
          </w:tcPr>
          <w:p>
            <w:pPr>
              <w:ind w:left="40"/>
              <w:spacing w:after="0"/>
              <w:rPr>
                <w:sz w:val="20"/>
                <w:szCs w:val="20"/>
                <w:color w:val="auto"/>
              </w:rPr>
            </w:pPr>
            <w:r>
              <w:rPr>
                <w:rFonts w:ascii="Arial" w:cs="Arial" w:eastAsia="Arial" w:hAnsi="Arial"/>
                <w:sz w:val="18"/>
                <w:szCs w:val="18"/>
                <w:color w:val="auto"/>
              </w:rPr>
              <w:t>Pre-tax total special items</w:t>
            </w:r>
          </w:p>
        </w:tc>
        <w:tc>
          <w:tcPr>
            <w:tcW w:w="20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39,159</w:t>
            </w:r>
          </w:p>
        </w:tc>
        <w:tc>
          <w:tcPr>
            <w:tcW w:w="1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112,849</w:t>
            </w:r>
          </w:p>
        </w:tc>
        <w:tc>
          <w:tcPr>
            <w:tcW w:w="2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25,999</w:t>
            </w:r>
          </w:p>
        </w:tc>
        <w:tc>
          <w:tcPr>
            <w:tcW w:w="0" w:type="dxa"/>
            <w:vAlign w:val="bottom"/>
          </w:tcPr>
          <w:p>
            <w:pPr>
              <w:spacing w:after="0"/>
              <w:rPr>
                <w:sz w:val="1"/>
                <w:szCs w:val="1"/>
                <w:color w:val="auto"/>
              </w:rPr>
            </w:pPr>
          </w:p>
        </w:tc>
      </w:tr>
      <w:tr>
        <w:trPr>
          <w:trHeight w:val="27"/>
        </w:trPr>
        <w:tc>
          <w:tcPr>
            <w:tcW w:w="73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732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 xml:space="preserve">Other income tax effects and adjustments </w:t>
            </w:r>
            <w:r>
              <w:rPr>
                <w:rFonts w:ascii="Arial" w:cs="Arial" w:eastAsia="Arial" w:hAnsi="Arial"/>
                <w:sz w:val="18"/>
                <w:szCs w:val="18"/>
                <w:i w:val="1"/>
                <w:iCs w:val="1"/>
                <w:color w:val="auto"/>
              </w:rPr>
              <w:t>(f)</w:t>
            </w:r>
          </w:p>
        </w:tc>
        <w:tc>
          <w:tcPr>
            <w:tcW w:w="20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(3,098)</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3,170</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37"/>
        </w:trPr>
        <w:tc>
          <w:tcPr>
            <w:tcW w:w="7320" w:type="dxa"/>
            <w:vAlign w:val="bottom"/>
          </w:tcPr>
          <w:p>
            <w:pPr>
              <w:ind w:left="40"/>
              <w:spacing w:after="0"/>
              <w:rPr>
                <w:sz w:val="20"/>
                <w:szCs w:val="20"/>
                <w:color w:val="auto"/>
              </w:rPr>
            </w:pPr>
            <w:r>
              <w:rPr>
                <w:rFonts w:ascii="Arial" w:cs="Arial" w:eastAsia="Arial" w:hAnsi="Arial"/>
                <w:sz w:val="18"/>
                <w:szCs w:val="18"/>
                <w:color w:val="auto"/>
              </w:rPr>
              <w:t>Non-GAAP net income from continuing operations</w:t>
            </w: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164,673</w:t>
            </w:r>
          </w:p>
        </w:tc>
        <w:tc>
          <w:tcPr>
            <w:tcW w:w="120" w:type="dxa"/>
            <w:vAlign w:val="bottom"/>
          </w:tcPr>
          <w:p>
            <w:pPr>
              <w:spacing w:after="0"/>
              <w:rPr>
                <w:sz w:val="20"/>
                <w:szCs w:val="20"/>
                <w:color w:val="auto"/>
              </w:rPr>
            </w:pPr>
          </w:p>
        </w:tc>
        <w:tc>
          <w:tcPr>
            <w:tcW w:w="34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164,782</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125,527</w:t>
            </w:r>
          </w:p>
        </w:tc>
        <w:tc>
          <w:tcPr>
            <w:tcW w:w="0" w:type="dxa"/>
            <w:vAlign w:val="bottom"/>
          </w:tcPr>
          <w:p>
            <w:pPr>
              <w:spacing w:after="0"/>
              <w:rPr>
                <w:sz w:val="1"/>
                <w:szCs w:val="1"/>
                <w:color w:val="auto"/>
              </w:rPr>
            </w:pPr>
          </w:p>
        </w:tc>
      </w:tr>
      <w:tr>
        <w:trPr>
          <w:trHeight w:val="67"/>
        </w:trPr>
        <w:tc>
          <w:tcPr>
            <w:tcW w:w="73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73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06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10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324"/>
        </w:trPr>
        <w:tc>
          <w:tcPr>
            <w:tcW w:w="7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3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Weighted average shares — diluted</w:t>
            </w:r>
          </w:p>
        </w:tc>
        <w:tc>
          <w:tcPr>
            <w:tcW w:w="200" w:type="dxa"/>
            <w:vAlign w:val="bottom"/>
          </w:tcPr>
          <w:p>
            <w:pPr>
              <w:spacing w:after="0"/>
              <w:rPr>
                <w:sz w:val="21"/>
                <w:szCs w:val="21"/>
                <w:color w:val="auto"/>
              </w:rPr>
            </w:pP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508,716</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506,197</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517,592</w:t>
            </w:r>
          </w:p>
        </w:tc>
        <w:tc>
          <w:tcPr>
            <w:tcW w:w="0" w:type="dxa"/>
            <w:vAlign w:val="bottom"/>
          </w:tcPr>
          <w:p>
            <w:pPr>
              <w:spacing w:after="0"/>
              <w:rPr>
                <w:sz w:val="1"/>
                <w:szCs w:val="1"/>
                <w:color w:val="auto"/>
              </w:rPr>
            </w:pPr>
          </w:p>
        </w:tc>
      </w:tr>
      <w:tr>
        <w:trPr>
          <w:trHeight w:val="67"/>
        </w:trPr>
        <w:tc>
          <w:tcPr>
            <w:tcW w:w="73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7320" w:type="dxa"/>
            <w:vAlign w:val="bottom"/>
            <w:tcBorders>
              <w:bottom w:val="single" w:sz="8" w:color="CCEEFF"/>
            </w:tcBorders>
            <w:shd w:val="clear" w:color="auto" w:fill="CCEEFF"/>
          </w:tcPr>
          <w:p>
            <w:pPr>
              <w:ind w:left="500"/>
              <w:spacing w:after="0" w:line="196" w:lineRule="exact"/>
              <w:rPr>
                <w:sz w:val="20"/>
                <w:szCs w:val="20"/>
                <w:color w:val="auto"/>
              </w:rPr>
            </w:pPr>
            <w:r>
              <w:rPr>
                <w:rFonts w:ascii="Arial" w:cs="Arial" w:eastAsia="Arial" w:hAnsi="Arial"/>
                <w:sz w:val="18"/>
                <w:szCs w:val="18"/>
                <w:color w:val="auto"/>
              </w:rPr>
              <w:t>Non-GAAP adjustment</w:t>
            </w: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6,871</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6,026</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5,562</w:t>
            </w:r>
          </w:p>
        </w:tc>
        <w:tc>
          <w:tcPr>
            <w:tcW w:w="0" w:type="dxa"/>
            <w:vAlign w:val="bottom"/>
          </w:tcPr>
          <w:p>
            <w:pPr>
              <w:spacing w:after="0"/>
              <w:rPr>
                <w:sz w:val="1"/>
                <w:szCs w:val="1"/>
                <w:color w:val="auto"/>
              </w:rPr>
            </w:pPr>
          </w:p>
        </w:tc>
      </w:tr>
      <w:tr>
        <w:trPr>
          <w:trHeight w:val="20"/>
        </w:trPr>
        <w:tc>
          <w:tcPr>
            <w:tcW w:w="732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weighted average shares — diluted (g)</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7320" w:type="dxa"/>
            <w:vAlign w:val="bottom"/>
            <w:vMerge w:val="continue"/>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515,587</w:t>
            </w:r>
          </w:p>
        </w:tc>
        <w:tc>
          <w:tcPr>
            <w:tcW w:w="1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512,223</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523,154</w:t>
            </w:r>
          </w:p>
        </w:tc>
        <w:tc>
          <w:tcPr>
            <w:tcW w:w="0" w:type="dxa"/>
            <w:vAlign w:val="bottom"/>
          </w:tcPr>
          <w:p>
            <w:pPr>
              <w:spacing w:after="0"/>
              <w:rPr>
                <w:sz w:val="1"/>
                <w:szCs w:val="1"/>
                <w:color w:val="auto"/>
              </w:rPr>
            </w:pPr>
          </w:p>
        </w:tc>
      </w:tr>
      <w:tr>
        <w:trPr>
          <w:trHeight w:val="67"/>
        </w:trPr>
        <w:tc>
          <w:tcPr>
            <w:tcW w:w="73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73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06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10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320" w:type="dxa"/>
            <w:vAlign w:val="bottom"/>
          </w:tcPr>
          <w:p>
            <w:pPr>
              <w:ind w:left="40"/>
              <w:spacing w:after="0"/>
              <w:rPr>
                <w:sz w:val="20"/>
                <w:szCs w:val="20"/>
                <w:color w:val="auto"/>
              </w:rPr>
            </w:pPr>
            <w:r>
              <w:rPr>
                <w:rFonts w:ascii="Arial" w:cs="Arial" w:eastAsia="Arial" w:hAnsi="Arial"/>
                <w:sz w:val="18"/>
                <w:szCs w:val="18"/>
                <w:color w:val="auto"/>
              </w:rPr>
              <w:t>GAAP diluted net income per share from continuing operations</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1"/>
              <w:spacing w:after="0"/>
              <w:rPr>
                <w:sz w:val="20"/>
                <w:szCs w:val="20"/>
                <w:color w:val="auto"/>
              </w:rPr>
            </w:pPr>
            <w:r>
              <w:rPr>
                <w:rFonts w:ascii="Arial" w:cs="Arial" w:eastAsia="Arial" w:hAnsi="Arial"/>
                <w:sz w:val="18"/>
                <w:szCs w:val="18"/>
                <w:color w:val="auto"/>
              </w:rPr>
              <w:t>0.25</w:t>
            </w:r>
          </w:p>
        </w:tc>
        <w:tc>
          <w:tcPr>
            <w:tcW w:w="120" w:type="dxa"/>
            <w:vAlign w:val="bottom"/>
          </w:tcPr>
          <w:p>
            <w:pPr>
              <w:spacing w:after="0"/>
              <w:rPr>
                <w:sz w:val="21"/>
                <w:szCs w:val="21"/>
                <w:color w:val="auto"/>
              </w:rPr>
            </w:pPr>
          </w:p>
        </w:tc>
        <w:tc>
          <w:tcPr>
            <w:tcW w:w="340" w:type="dxa"/>
            <w:vAlign w:val="bottom"/>
          </w:tcPr>
          <w:p>
            <w:pPr>
              <w:ind w:left="20"/>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0.10</w:t>
            </w:r>
          </w:p>
        </w:tc>
        <w:tc>
          <w:tcPr>
            <w:tcW w:w="2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67"/>
        </w:trPr>
        <w:tc>
          <w:tcPr>
            <w:tcW w:w="73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732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diluted net income per share from continuing operations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0.32</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0.32</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ind w:left="500" w:hanging="465"/>
        <w:spacing w:after="0"/>
        <w:tabs>
          <w:tab w:leader="none" w:pos="50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costs of goods sold in the three months ended February 3, 2018 include charges for past intellectual property licensing matters.</w:t>
      </w:r>
    </w:p>
    <w:p>
      <w:pPr>
        <w:spacing w:after="0" w:line="198" w:lineRule="exact"/>
        <w:rPr>
          <w:rFonts w:ascii="Arial" w:cs="Arial" w:eastAsia="Arial" w:hAnsi="Arial"/>
          <w:sz w:val="18"/>
          <w:szCs w:val="18"/>
          <w:i w:val="1"/>
          <w:iCs w:val="1"/>
          <w:color w:val="auto"/>
        </w:rPr>
      </w:pPr>
    </w:p>
    <w:p>
      <w:pPr>
        <w:ind w:left="500" w:right="220" w:hanging="465"/>
        <w:spacing w:after="0" w:line="308" w:lineRule="auto"/>
        <w:tabs>
          <w:tab w:leader="none" w:pos="500" w:val="left"/>
        </w:tabs>
        <w:numPr>
          <w:ilvl w:val="0"/>
          <w:numId w:val="6"/>
        </w:numPr>
        <w:rPr>
          <w:rFonts w:ascii="Arial" w:cs="Arial" w:eastAsia="Arial" w:hAnsi="Arial"/>
          <w:sz w:val="17"/>
          <w:szCs w:val="17"/>
          <w:i w:val="1"/>
          <w:iCs w:val="1"/>
          <w:color w:val="auto"/>
        </w:rPr>
      </w:pPr>
      <w:r>
        <w:rPr>
          <w:rFonts w:ascii="Arial" w:cs="Arial" w:eastAsia="Arial" w:hAnsi="Arial"/>
          <w:sz w:val="17"/>
          <w:szCs w:val="17"/>
          <w:color w:val="auto"/>
        </w:rPr>
        <w:t>Restructuring related charges include employee severance, facilities related costs, and impairment of equipment. Restructuring related charges in the three months ended February 3, 2018 includes the gain on sale of a building that was the direct result of restructuring.</w:t>
      </w:r>
    </w:p>
    <w:p>
      <w:pPr>
        <w:sectPr>
          <w:pgSz w:w="11900" w:h="16838" w:orient="portrait"/>
          <w:cols w:equalWidth="0" w:num="1">
            <w:col w:w="11420"/>
          </w:cols>
          <w:pgMar w:left="240" w:top="553" w:right="239" w:bottom="1440" w:gutter="0" w:footer="0" w:header="0"/>
        </w:sectPr>
      </w:pPr>
    </w:p>
    <w:bookmarkStart w:id="12" w:name="page13"/>
    <w:bookmarkEnd w:id="12"/>
    <w:p>
      <w:pPr>
        <w:ind w:left="465" w:hanging="465"/>
        <w:spacing w:after="0"/>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Represents legal settlement and associated costs related to shareholder litigation matter.</w:t>
      </w:r>
    </w:p>
    <w:p>
      <w:pPr>
        <w:spacing w:after="0" w:line="198" w:lineRule="exact"/>
        <w:rPr>
          <w:rFonts w:ascii="Arial" w:cs="Arial" w:eastAsia="Arial" w:hAnsi="Arial"/>
          <w:sz w:val="18"/>
          <w:szCs w:val="18"/>
          <w:i w:val="1"/>
          <w:iCs w:val="1"/>
          <w:color w:val="auto"/>
        </w:rPr>
      </w:pPr>
    </w:p>
    <w:p>
      <w:pPr>
        <w:ind w:left="465"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operating expenses primarily include Cavium merger costs and costs of retention bonuses offered to employees who remained through the ramp down of certain operations due to restructuring actions.</w:t>
      </w:r>
    </w:p>
    <w:p>
      <w:pPr>
        <w:spacing w:after="0" w:line="143" w:lineRule="exact"/>
        <w:rPr>
          <w:rFonts w:ascii="Arial" w:cs="Arial" w:eastAsia="Arial" w:hAnsi="Arial"/>
          <w:sz w:val="18"/>
          <w:szCs w:val="18"/>
          <w:i w:val="1"/>
          <w:iCs w:val="1"/>
          <w:color w:val="auto"/>
        </w:rPr>
      </w:pPr>
    </w:p>
    <w:p>
      <w:pPr>
        <w:ind w:left="465" w:right="500"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Interest and other income, net includes restructuring related items such as foreign currency remeasurement associated with restructuring related accruals.</w:t>
      </w:r>
    </w:p>
    <w:p>
      <w:pPr>
        <w:spacing w:after="0" w:line="143" w:lineRule="exact"/>
        <w:rPr>
          <w:rFonts w:ascii="Arial" w:cs="Arial" w:eastAsia="Arial" w:hAnsi="Arial"/>
          <w:sz w:val="18"/>
          <w:szCs w:val="18"/>
          <w:i w:val="1"/>
          <w:iCs w:val="1"/>
          <w:color w:val="auto"/>
        </w:rPr>
      </w:pPr>
    </w:p>
    <w:p>
      <w:pPr>
        <w:ind w:left="465" w:hanging="465"/>
        <w:spacing w:after="0"/>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4%.</w:t>
      </w:r>
    </w:p>
    <w:p>
      <w:pPr>
        <w:spacing w:after="0" w:line="198" w:lineRule="exact"/>
        <w:rPr>
          <w:rFonts w:ascii="Arial" w:cs="Arial" w:eastAsia="Arial" w:hAnsi="Arial"/>
          <w:sz w:val="18"/>
          <w:szCs w:val="18"/>
          <w:i w:val="1"/>
          <w:iCs w:val="1"/>
          <w:color w:val="auto"/>
        </w:rPr>
      </w:pPr>
    </w:p>
    <w:p>
      <w:pPr>
        <w:ind w:left="465" w:right="20" w:hanging="465"/>
        <w:spacing w:after="0" w:line="264"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Non-GAAP diluted share count excludes the impact of share-based compensation expense expected to be incurred in future periods and not yet recognized in the Company's financial statements, which would otherwise be assumed to be used to repurchase shares under the GAAP treasury stock method.</w:t>
      </w:r>
    </w:p>
    <w:p>
      <w:pPr>
        <w:sectPr>
          <w:pgSz w:w="11900" w:h="16838" w:orient="portrait"/>
          <w:cols w:equalWidth="0" w:num="1">
            <w:col w:w="11285"/>
          </w:cols>
          <w:pgMar w:left="275" w:top="530" w:right="3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6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93"/>
              </w:rPr>
              <w:t>Three Months Ended</w:t>
            </w:r>
          </w:p>
        </w:tc>
        <w:tc>
          <w:tcPr>
            <w:tcW w:w="26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60" w:type="dxa"/>
            <w:vAlign w:val="bottom"/>
            <w:gridSpan w:val="3"/>
          </w:tcPr>
          <w:p>
            <w:pPr>
              <w:ind w:left="1040"/>
              <w:spacing w:after="0"/>
              <w:rPr>
                <w:sz w:val="20"/>
                <w:szCs w:val="20"/>
                <w:color w:val="auto"/>
              </w:rPr>
            </w:pPr>
            <w:r>
              <w:rPr>
                <w:rFonts w:ascii="Arial" w:cs="Arial" w:eastAsia="Arial" w:hAnsi="Arial"/>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9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gridSpan w:val="2"/>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860" w:type="dxa"/>
            <w:vAlign w:val="bottom"/>
            <w:tcBorders>
              <w:bottom w:val="single" w:sz="8" w:color="auto"/>
            </w:tcBorders>
            <w:gridSpan w:val="3"/>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1"/>
        </w:trPr>
        <w:tc>
          <w:tcPr>
            <w:tcW w:w="29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600" w:type="dxa"/>
            <w:vAlign w:val="bottom"/>
            <w:gridSpan w:val="2"/>
          </w:tcPr>
          <w:p>
            <w:pPr>
              <w:ind w:left="180"/>
              <w:spacing w:after="0"/>
              <w:rPr>
                <w:sz w:val="20"/>
                <w:szCs w:val="20"/>
                <w:color w:val="auto"/>
              </w:rPr>
            </w:pPr>
            <w:r>
              <w:rPr>
                <w:rFonts w:ascii="Arial" w:cs="Arial" w:eastAsia="Arial" w:hAnsi="Arial"/>
                <w:sz w:val="16"/>
                <w:szCs w:val="16"/>
                <w:b w:val="1"/>
                <w:bCs w:val="1"/>
                <w:color w:val="auto"/>
              </w:rPr>
              <w:t>May 5, 2018</w:t>
            </w:r>
          </w:p>
        </w:tc>
        <w:tc>
          <w:tcPr>
            <w:tcW w:w="160" w:type="dxa"/>
            <w:vAlign w:val="bottom"/>
          </w:tcPr>
          <w:p>
            <w:pPr>
              <w:spacing w:after="0"/>
              <w:rPr>
                <w:sz w:val="20"/>
                <w:szCs w:val="20"/>
                <w:color w:val="auto"/>
              </w:rPr>
            </w:pPr>
          </w:p>
        </w:tc>
        <w:tc>
          <w:tcPr>
            <w:tcW w:w="176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3"/>
              </w:rPr>
              <w:t>February 3, 2018</w:t>
            </w:r>
          </w:p>
        </w:tc>
        <w:tc>
          <w:tcPr>
            <w:tcW w:w="260" w:type="dxa"/>
            <w:vAlign w:val="bottom"/>
          </w:tcPr>
          <w:p>
            <w:pPr>
              <w:spacing w:after="0"/>
              <w:rPr>
                <w:sz w:val="20"/>
                <w:szCs w:val="20"/>
                <w:color w:val="auto"/>
              </w:rPr>
            </w:pPr>
          </w:p>
        </w:tc>
        <w:tc>
          <w:tcPr>
            <w:tcW w:w="1640" w:type="dxa"/>
            <w:vAlign w:val="bottom"/>
            <w:gridSpan w:val="2"/>
          </w:tcPr>
          <w:p>
            <w:pPr>
              <w:ind w:left="140"/>
              <w:spacing w:after="0"/>
              <w:rPr>
                <w:sz w:val="20"/>
                <w:szCs w:val="20"/>
                <w:color w:val="auto"/>
              </w:rPr>
            </w:pPr>
            <w:r>
              <w:rPr>
                <w:rFonts w:ascii="Arial" w:cs="Arial" w:eastAsia="Arial" w:hAnsi="Arial"/>
                <w:sz w:val="16"/>
                <w:szCs w:val="16"/>
                <w:b w:val="1"/>
                <w:bCs w:val="1"/>
                <w:color w:val="auto"/>
              </w:rPr>
              <w:t>April 29, 2017</w:t>
            </w:r>
          </w:p>
        </w:tc>
        <w:tc>
          <w:tcPr>
            <w:tcW w:w="1860" w:type="dxa"/>
            <w:vAlign w:val="bottom"/>
            <w:gridSpan w:val="3"/>
          </w:tcPr>
          <w:p>
            <w:pPr>
              <w:ind w:left="520"/>
              <w:spacing w:after="0"/>
              <w:rPr>
                <w:sz w:val="20"/>
                <w:szCs w:val="20"/>
                <w:color w:val="auto"/>
              </w:rPr>
            </w:pPr>
            <w:r>
              <w:rPr>
                <w:rFonts w:ascii="Arial" w:cs="Arial" w:eastAsia="Arial" w:hAnsi="Arial"/>
                <w:sz w:val="16"/>
                <w:szCs w:val="16"/>
                <w:b w:val="1"/>
                <w:bCs w:val="1"/>
                <w:color w:val="auto"/>
              </w:rPr>
              <w:t>YoY</w:t>
            </w:r>
          </w:p>
        </w:tc>
        <w:tc>
          <w:tcPr>
            <w:tcW w:w="920" w:type="dxa"/>
            <w:vAlign w:val="bottom"/>
          </w:tcPr>
          <w:p>
            <w:pPr>
              <w:jc w:val="right"/>
              <w:ind w:right="419"/>
              <w:spacing w:after="0"/>
              <w:rPr>
                <w:sz w:val="20"/>
                <w:szCs w:val="20"/>
                <w:color w:val="auto"/>
              </w:rPr>
            </w:pPr>
            <w:r>
              <w:rPr>
                <w:rFonts w:ascii="Arial" w:cs="Arial" w:eastAsia="Arial" w:hAnsi="Arial"/>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30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6"/>
                <w:szCs w:val="16"/>
                <w:color w:val="auto"/>
              </w:rPr>
              <w:t>$</w:t>
            </w: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317,069</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323,718</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w w:val="89"/>
              </w:rPr>
              <w:t>$</w:t>
            </w: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303,808</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4 %</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300" w:type="dxa"/>
            <w:vAlign w:val="bottom"/>
          </w:tcPr>
          <w:p>
            <w:pPr>
              <w:spacing w:after="0"/>
              <w:rPr>
                <w:sz w:val="20"/>
                <w:szCs w:val="20"/>
                <w:color w:val="auto"/>
              </w:rPr>
            </w:pPr>
          </w:p>
        </w:tc>
        <w:tc>
          <w:tcPr>
            <w:tcW w:w="1500" w:type="dxa"/>
            <w:vAlign w:val="bottom"/>
          </w:tcPr>
          <w:p>
            <w:pPr>
              <w:jc w:val="right"/>
              <w:ind w:right="19"/>
              <w:spacing w:after="0"/>
              <w:rPr>
                <w:sz w:val="20"/>
                <w:szCs w:val="20"/>
                <w:color w:val="auto"/>
              </w:rPr>
            </w:pPr>
            <w:r>
              <w:rPr>
                <w:rFonts w:ascii="Arial" w:cs="Arial" w:eastAsia="Arial" w:hAnsi="Arial"/>
                <w:sz w:val="16"/>
                <w:szCs w:val="16"/>
                <w:color w:val="auto"/>
              </w:rPr>
              <w:t>153,734</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40" w:type="dxa"/>
            <w:vAlign w:val="bottom"/>
          </w:tcPr>
          <w:p>
            <w:pPr>
              <w:jc w:val="right"/>
              <w:ind w:right="19"/>
              <w:spacing w:after="0"/>
              <w:rPr>
                <w:sz w:val="20"/>
                <w:szCs w:val="20"/>
                <w:color w:val="auto"/>
              </w:rPr>
            </w:pPr>
            <w:r>
              <w:rPr>
                <w:rFonts w:ascii="Arial" w:cs="Arial" w:eastAsia="Arial" w:hAnsi="Arial"/>
                <w:sz w:val="16"/>
                <w:szCs w:val="16"/>
                <w:color w:val="auto"/>
              </w:rPr>
              <w:t>155,340</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520" w:type="dxa"/>
            <w:vAlign w:val="bottom"/>
          </w:tcPr>
          <w:p>
            <w:pPr>
              <w:jc w:val="right"/>
              <w:ind w:right="19"/>
              <w:spacing w:after="0"/>
              <w:rPr>
                <w:sz w:val="20"/>
                <w:szCs w:val="20"/>
                <w:color w:val="auto"/>
              </w:rPr>
            </w:pPr>
            <w:r>
              <w:rPr>
                <w:rFonts w:ascii="Arial" w:cs="Arial" w:eastAsia="Arial" w:hAnsi="Arial"/>
                <w:sz w:val="16"/>
                <w:szCs w:val="16"/>
                <w:color w:val="auto"/>
              </w:rPr>
              <w:t>144,815</w:t>
            </w:r>
          </w:p>
        </w:tc>
        <w:tc>
          <w:tcPr>
            <w:tcW w:w="12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Arial" w:cs="Arial" w:eastAsia="Arial" w:hAnsi="Arial"/>
                <w:sz w:val="16"/>
                <w:szCs w:val="16"/>
                <w:color w:val="auto"/>
              </w:rPr>
              <w:t>6 %</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(1)%</w:t>
            </w:r>
          </w:p>
        </w:tc>
      </w:tr>
      <w:tr>
        <w:trPr>
          <w:trHeight w:val="33"/>
        </w:trPr>
        <w:tc>
          <w:tcPr>
            <w:tcW w:w="29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30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90,494</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86,271</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76,091</w:t>
            </w: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19 %</w:t>
            </w:r>
          </w:p>
        </w:tc>
        <w:tc>
          <w:tcPr>
            <w:tcW w:w="10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5 %</w:t>
            </w:r>
          </w:p>
        </w:tc>
      </w:tr>
      <w:tr>
        <w:trPr>
          <w:trHeight w:val="217"/>
        </w:trPr>
        <w:tc>
          <w:tcPr>
            <w:tcW w:w="2920" w:type="dxa"/>
            <w:vAlign w:val="bottom"/>
          </w:tcPr>
          <w:p>
            <w:pPr>
              <w:ind w:left="160"/>
              <w:spacing w:after="0"/>
              <w:rPr>
                <w:sz w:val="20"/>
                <w:szCs w:val="20"/>
                <w:color w:val="auto"/>
              </w:rPr>
            </w:pPr>
            <w:r>
              <w:rPr>
                <w:rFonts w:ascii="Arial" w:cs="Arial" w:eastAsia="Arial" w:hAnsi="Arial"/>
                <w:sz w:val="16"/>
                <w:szCs w:val="16"/>
                <w:color w:val="auto"/>
              </w:rPr>
              <w:t>Total Core</w:t>
            </w:r>
          </w:p>
        </w:tc>
        <w:tc>
          <w:tcPr>
            <w:tcW w:w="300" w:type="dxa"/>
            <w:vAlign w:val="bottom"/>
            <w:tcBorders>
              <w:top w:val="single" w:sz="8" w:color="auto"/>
            </w:tcBorders>
          </w:tcPr>
          <w:p>
            <w:pPr>
              <w:spacing w:after="0"/>
              <w:rPr>
                <w:sz w:val="18"/>
                <w:szCs w:val="18"/>
                <w:color w:val="auto"/>
              </w:rPr>
            </w:pPr>
          </w:p>
        </w:tc>
        <w:tc>
          <w:tcPr>
            <w:tcW w:w="150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561,297</w:t>
            </w:r>
          </w:p>
        </w:tc>
        <w:tc>
          <w:tcPr>
            <w:tcW w:w="10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164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565,329</w:t>
            </w:r>
          </w:p>
        </w:tc>
        <w:tc>
          <w:tcPr>
            <w:tcW w:w="12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152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524,714</w:t>
            </w:r>
          </w:p>
        </w:tc>
        <w:tc>
          <w:tcPr>
            <w:tcW w:w="120" w:type="dxa"/>
            <w:vAlign w:val="bottom"/>
          </w:tcPr>
          <w:p>
            <w:pPr>
              <w:spacing w:after="0"/>
              <w:rPr>
                <w:sz w:val="18"/>
                <w:szCs w:val="18"/>
                <w:color w:val="auto"/>
              </w:rPr>
            </w:pPr>
          </w:p>
        </w:tc>
        <w:tc>
          <w:tcPr>
            <w:tcW w:w="134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7 %</w:t>
            </w:r>
          </w:p>
        </w:tc>
        <w:tc>
          <w:tcPr>
            <w:tcW w:w="100" w:type="dxa"/>
            <w:vAlign w:val="bottom"/>
          </w:tcPr>
          <w:p>
            <w:pPr>
              <w:spacing w:after="0"/>
              <w:rPr>
                <w:sz w:val="18"/>
                <w:szCs w:val="18"/>
                <w:color w:val="auto"/>
              </w:rPr>
            </w:pPr>
          </w:p>
        </w:tc>
        <w:tc>
          <w:tcPr>
            <w:tcW w:w="42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w:t>
            </w:r>
          </w:p>
        </w:tc>
      </w:tr>
      <w:tr>
        <w:trPr>
          <w:trHeight w:val="33"/>
        </w:trPr>
        <w:tc>
          <w:tcPr>
            <w:tcW w:w="29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30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43,334</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50,080</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47,995</w:t>
            </w: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w:t>
            </w:r>
          </w:p>
        </w:tc>
        <w:tc>
          <w:tcPr>
            <w:tcW w:w="10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(13)%</w:t>
            </w:r>
          </w:p>
        </w:tc>
      </w:tr>
      <w:tr>
        <w:trPr>
          <w:trHeight w:val="244"/>
        </w:trPr>
        <w:tc>
          <w:tcPr>
            <w:tcW w:w="2920" w:type="dxa"/>
            <w:vAlign w:val="bottom"/>
          </w:tcPr>
          <w:p>
            <w:pPr>
              <w:ind w:left="40"/>
              <w:spacing w:after="0"/>
              <w:rPr>
                <w:sz w:val="20"/>
                <w:szCs w:val="20"/>
                <w:color w:val="auto"/>
              </w:rPr>
            </w:pPr>
            <w:r>
              <w:rPr>
                <w:rFonts w:ascii="Arial" w:cs="Arial" w:eastAsia="Arial" w:hAnsi="Arial"/>
                <w:sz w:val="16"/>
                <w:szCs w:val="16"/>
                <w:color w:val="auto"/>
              </w:rPr>
              <w:t>Total Revenue</w:t>
            </w:r>
          </w:p>
        </w:tc>
        <w:tc>
          <w:tcPr>
            <w:tcW w:w="300" w:type="dxa"/>
            <w:vAlign w:val="bottom"/>
            <w:tcBorders>
              <w:top w:val="single" w:sz="8" w:color="auto"/>
              <w:bottom w:val="single" w:sz="8" w:color="auto"/>
            </w:tcBorders>
          </w:tcPr>
          <w:p>
            <w:pPr>
              <w:jc w:val="right"/>
              <w:ind w:right="99"/>
              <w:spacing w:after="0"/>
              <w:rPr>
                <w:sz w:val="20"/>
                <w:szCs w:val="20"/>
                <w:color w:val="auto"/>
              </w:rPr>
            </w:pPr>
            <w:r>
              <w:rPr>
                <w:rFonts w:ascii="Arial" w:cs="Arial" w:eastAsia="Arial" w:hAnsi="Arial"/>
                <w:sz w:val="16"/>
                <w:szCs w:val="16"/>
                <w:color w:val="auto"/>
              </w:rPr>
              <w:t>$</w:t>
            </w:r>
          </w:p>
        </w:tc>
        <w:tc>
          <w:tcPr>
            <w:tcW w:w="150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604,631</w:t>
            </w:r>
          </w:p>
        </w:tc>
        <w:tc>
          <w:tcPr>
            <w:tcW w:w="100" w:type="dxa"/>
            <w:vAlign w:val="bottom"/>
          </w:tcPr>
          <w:p>
            <w:pPr>
              <w:spacing w:after="0"/>
              <w:rPr>
                <w:sz w:val="21"/>
                <w:szCs w:val="21"/>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64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615,409</w:t>
            </w:r>
          </w:p>
        </w:tc>
        <w:tc>
          <w:tcPr>
            <w:tcW w:w="120" w:type="dxa"/>
            <w:vAlign w:val="bottom"/>
          </w:tcPr>
          <w:p>
            <w:pPr>
              <w:spacing w:after="0"/>
              <w:rPr>
                <w:sz w:val="21"/>
                <w:szCs w:val="21"/>
                <w:color w:val="auto"/>
              </w:rPr>
            </w:pPr>
          </w:p>
        </w:tc>
        <w:tc>
          <w:tcPr>
            <w:tcW w:w="260" w:type="dxa"/>
            <w:vAlign w:val="bottom"/>
            <w:tcBorders>
              <w:top w:val="single" w:sz="8" w:color="auto"/>
              <w:bottom w:val="single" w:sz="8" w:color="auto"/>
            </w:tcBorders>
          </w:tcPr>
          <w:p>
            <w:pPr>
              <w:jc w:val="right"/>
              <w:ind w:right="79"/>
              <w:spacing w:after="0"/>
              <w:rPr>
                <w:sz w:val="20"/>
                <w:szCs w:val="20"/>
                <w:color w:val="auto"/>
              </w:rPr>
            </w:pPr>
            <w:r>
              <w:rPr>
                <w:rFonts w:ascii="Arial" w:cs="Arial" w:eastAsia="Arial" w:hAnsi="Arial"/>
                <w:sz w:val="16"/>
                <w:szCs w:val="16"/>
                <w:color w:val="auto"/>
                <w:w w:val="89"/>
              </w:rPr>
              <w:t>$</w:t>
            </w:r>
          </w:p>
        </w:tc>
        <w:tc>
          <w:tcPr>
            <w:tcW w:w="152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572,709</w:t>
            </w:r>
          </w:p>
        </w:tc>
        <w:tc>
          <w:tcPr>
            <w:tcW w:w="120" w:type="dxa"/>
            <w:vAlign w:val="bottom"/>
          </w:tcPr>
          <w:p>
            <w:pPr>
              <w:spacing w:after="0"/>
              <w:rPr>
                <w:sz w:val="21"/>
                <w:szCs w:val="21"/>
                <w:color w:val="auto"/>
              </w:rPr>
            </w:pPr>
          </w:p>
        </w:tc>
        <w:tc>
          <w:tcPr>
            <w:tcW w:w="13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6 %</w:t>
            </w:r>
          </w:p>
        </w:tc>
        <w:tc>
          <w:tcPr>
            <w:tcW w:w="100" w:type="dxa"/>
            <w:vAlign w:val="bottom"/>
          </w:tcPr>
          <w:p>
            <w:pPr>
              <w:spacing w:after="0"/>
              <w:rPr>
                <w:sz w:val="21"/>
                <w:szCs w:val="21"/>
                <w:color w:val="auto"/>
              </w:rPr>
            </w:pPr>
          </w:p>
        </w:tc>
        <w:tc>
          <w:tcPr>
            <w:tcW w:w="420" w:type="dxa"/>
            <w:vAlign w:val="bottom"/>
            <w:tcBorders>
              <w:top w:val="single" w:sz="8" w:color="auto"/>
              <w:bottom w:val="single" w:sz="8" w:color="auto"/>
            </w:tcBorders>
          </w:tcPr>
          <w:p>
            <w:pPr>
              <w:spacing w:after="0"/>
              <w:rPr>
                <w:sz w:val="21"/>
                <w:szCs w:val="21"/>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(2)%</w:t>
            </w:r>
          </w:p>
        </w:tc>
      </w:tr>
      <w:tr>
        <w:trPr>
          <w:trHeight w:val="20"/>
        </w:trPr>
        <w:tc>
          <w:tcPr>
            <w:tcW w:w="29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94"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28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jc w:val="center"/>
              <w:ind w:right="60"/>
              <w:spacing w:after="0"/>
              <w:rPr>
                <w:sz w:val="20"/>
                <w:szCs w:val="20"/>
                <w:color w:val="auto"/>
              </w:rPr>
            </w:pPr>
            <w:r>
              <w:rPr>
                <w:rFonts w:ascii="Arial" w:cs="Arial" w:eastAsia="Arial" w:hAnsi="Arial"/>
                <w:sz w:val="16"/>
                <w:szCs w:val="16"/>
                <w:b w:val="1"/>
                <w:bCs w:val="1"/>
                <w:color w:val="auto"/>
                <w:w w:val="92"/>
              </w:rPr>
              <w:t>Three Months Ended</w:t>
            </w:r>
          </w:p>
        </w:tc>
        <w:tc>
          <w:tcPr>
            <w:tcW w:w="1980" w:type="dxa"/>
            <w:vAlign w:val="bottom"/>
          </w:tcPr>
          <w:p>
            <w:pPr>
              <w:spacing w:after="0"/>
              <w:rPr>
                <w:sz w:val="18"/>
                <w:szCs w:val="18"/>
                <w:color w:val="auto"/>
              </w:rPr>
            </w:pPr>
          </w:p>
        </w:tc>
      </w:tr>
      <w:tr>
        <w:trPr>
          <w:trHeight w:val="33"/>
        </w:trPr>
        <w:tc>
          <w:tcPr>
            <w:tcW w:w="5280" w:type="dxa"/>
            <w:vAlign w:val="bottom"/>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1"/>
        </w:trPr>
        <w:tc>
          <w:tcPr>
            <w:tcW w:w="5280" w:type="dxa"/>
            <w:vAlign w:val="bottom"/>
          </w:tcPr>
          <w:p>
            <w:pPr>
              <w:ind w:left="40"/>
              <w:spacing w:after="0"/>
              <w:rPr>
                <w:sz w:val="20"/>
                <w:szCs w:val="20"/>
                <w:color w:val="auto"/>
              </w:rPr>
            </w:pPr>
            <w:r>
              <w:rPr>
                <w:rFonts w:ascii="Arial" w:cs="Arial" w:eastAsia="Arial" w:hAnsi="Arial"/>
                <w:sz w:val="16"/>
                <w:szCs w:val="16"/>
                <w:b w:val="1"/>
                <w:bCs w:val="1"/>
                <w:color w:val="auto"/>
              </w:rPr>
              <w:t>% of Total</w:t>
            </w:r>
          </w:p>
        </w:tc>
        <w:tc>
          <w:tcPr>
            <w:tcW w:w="2080" w:type="dxa"/>
            <w:vAlign w:val="bottom"/>
            <w:gridSpan w:val="2"/>
          </w:tcPr>
          <w:p>
            <w:pPr>
              <w:ind w:left="580"/>
              <w:spacing w:after="0"/>
              <w:rPr>
                <w:sz w:val="20"/>
                <w:szCs w:val="20"/>
                <w:color w:val="auto"/>
              </w:rPr>
            </w:pPr>
            <w:r>
              <w:rPr>
                <w:rFonts w:ascii="Arial" w:cs="Arial" w:eastAsia="Arial" w:hAnsi="Arial"/>
                <w:sz w:val="16"/>
                <w:szCs w:val="16"/>
                <w:b w:val="1"/>
                <w:bCs w:val="1"/>
                <w:color w:val="auto"/>
              </w:rPr>
              <w:t>May 5, 2018</w:t>
            </w:r>
          </w:p>
        </w:tc>
        <w:tc>
          <w:tcPr>
            <w:tcW w:w="2080" w:type="dxa"/>
            <w:vAlign w:val="bottom"/>
            <w:gridSpan w:val="2"/>
          </w:tcPr>
          <w:p>
            <w:pPr>
              <w:jc w:val="center"/>
              <w:ind w:right="100"/>
              <w:spacing w:after="0"/>
              <w:rPr>
                <w:sz w:val="20"/>
                <w:szCs w:val="20"/>
                <w:color w:val="auto"/>
              </w:rPr>
            </w:pPr>
            <w:r>
              <w:rPr>
                <w:rFonts w:ascii="Arial" w:cs="Arial" w:eastAsia="Arial" w:hAnsi="Arial"/>
                <w:sz w:val="16"/>
                <w:szCs w:val="16"/>
                <w:b w:val="1"/>
                <w:bCs w:val="1"/>
                <w:color w:val="auto"/>
                <w:w w:val="93"/>
              </w:rPr>
              <w:t>February 3, 2018</w:t>
            </w:r>
          </w:p>
        </w:tc>
        <w:tc>
          <w:tcPr>
            <w:tcW w:w="1980" w:type="dxa"/>
            <w:vAlign w:val="bottom"/>
          </w:tcPr>
          <w:p>
            <w:pPr>
              <w:jc w:val="right"/>
              <w:ind w:right="419"/>
              <w:spacing w:after="0"/>
              <w:rPr>
                <w:sz w:val="20"/>
                <w:szCs w:val="20"/>
                <w:color w:val="auto"/>
              </w:rPr>
            </w:pPr>
            <w:r>
              <w:rPr>
                <w:rFonts w:ascii="Arial" w:cs="Arial" w:eastAsia="Arial" w:hAnsi="Arial"/>
                <w:sz w:val="16"/>
                <w:szCs w:val="16"/>
                <w:b w:val="1"/>
                <w:bCs w:val="1"/>
                <w:color w:val="auto"/>
              </w:rPr>
              <w:t>April 29, 2017</w:t>
            </w:r>
          </w:p>
        </w:tc>
      </w:tr>
      <w:tr>
        <w:trPr>
          <w:trHeight w:val="33"/>
        </w:trPr>
        <w:tc>
          <w:tcPr>
            <w:tcW w:w="528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53%</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53%</w:t>
            </w: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980" w:type="dxa"/>
            <w:vAlign w:val="bottom"/>
          </w:tcPr>
          <w:p>
            <w:pPr>
              <w:jc w:val="right"/>
              <w:spacing w:after="0"/>
              <w:rPr>
                <w:sz w:val="20"/>
                <w:szCs w:val="20"/>
                <w:color w:val="auto"/>
              </w:rPr>
            </w:pPr>
            <w:r>
              <w:rPr>
                <w:rFonts w:ascii="Arial" w:cs="Arial" w:eastAsia="Arial" w:hAnsi="Arial"/>
                <w:sz w:val="16"/>
                <w:szCs w:val="16"/>
                <w:color w:val="auto"/>
              </w:rPr>
              <w:t>26%</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25%</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25%</w:t>
            </w:r>
          </w:p>
        </w:tc>
      </w:tr>
      <w:tr>
        <w:trPr>
          <w:trHeight w:val="33"/>
        </w:trPr>
        <w:tc>
          <w:tcPr>
            <w:tcW w:w="528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r>
      <w:tr>
        <w:trPr>
          <w:trHeight w:val="27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15%</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14%</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13%</w:t>
            </w:r>
          </w:p>
        </w:tc>
      </w:tr>
      <w:tr>
        <w:trPr>
          <w:trHeight w:val="217"/>
        </w:trPr>
        <w:tc>
          <w:tcPr>
            <w:tcW w:w="5280" w:type="dxa"/>
            <w:vAlign w:val="bottom"/>
          </w:tcPr>
          <w:p>
            <w:pPr>
              <w:ind w:left="160"/>
              <w:spacing w:after="0"/>
              <w:rPr>
                <w:sz w:val="20"/>
                <w:szCs w:val="20"/>
                <w:color w:val="auto"/>
              </w:rPr>
            </w:pPr>
            <w:r>
              <w:rPr>
                <w:rFonts w:ascii="Arial" w:cs="Arial" w:eastAsia="Arial" w:hAnsi="Arial"/>
                <w:sz w:val="16"/>
                <w:szCs w:val="16"/>
                <w:color w:val="auto"/>
              </w:rPr>
              <w:t>Total Core</w:t>
            </w: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93%</w:t>
            </w:r>
          </w:p>
        </w:tc>
        <w:tc>
          <w:tcPr>
            <w:tcW w:w="100" w:type="dxa"/>
            <w:vAlign w:val="bottom"/>
          </w:tcPr>
          <w:p>
            <w:pPr>
              <w:spacing w:after="0"/>
              <w:rPr>
                <w:sz w:val="18"/>
                <w:szCs w:val="18"/>
                <w:color w:val="auto"/>
              </w:rPr>
            </w:pP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92%</w:t>
            </w:r>
          </w:p>
        </w:tc>
        <w:tc>
          <w:tcPr>
            <w:tcW w:w="100" w:type="dxa"/>
            <w:vAlign w:val="bottom"/>
          </w:tcPr>
          <w:p>
            <w:pPr>
              <w:spacing w:after="0"/>
              <w:rPr>
                <w:sz w:val="18"/>
                <w:szCs w:val="18"/>
                <w:color w:val="auto"/>
              </w:rPr>
            </w:pP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91%</w:t>
            </w:r>
          </w:p>
        </w:tc>
      </w:tr>
      <w:tr>
        <w:trPr>
          <w:trHeight w:val="33"/>
        </w:trPr>
        <w:tc>
          <w:tcPr>
            <w:tcW w:w="528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r>
      <w:tr>
        <w:trPr>
          <w:trHeight w:val="27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7%</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8%</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w:t>
            </w:r>
          </w:p>
        </w:tc>
      </w:tr>
      <w:tr>
        <w:trPr>
          <w:trHeight w:val="217"/>
        </w:trPr>
        <w:tc>
          <w:tcPr>
            <w:tcW w:w="5280" w:type="dxa"/>
            <w:vAlign w:val="bottom"/>
          </w:tcPr>
          <w:p>
            <w:pPr>
              <w:ind w:left="40"/>
              <w:spacing w:after="0"/>
              <w:rPr>
                <w:sz w:val="20"/>
                <w:szCs w:val="20"/>
                <w:color w:val="auto"/>
              </w:rPr>
            </w:pPr>
            <w:r>
              <w:rPr>
                <w:rFonts w:ascii="Arial" w:cs="Arial" w:eastAsia="Arial" w:hAnsi="Arial"/>
                <w:sz w:val="16"/>
                <w:szCs w:val="16"/>
                <w:color w:val="auto"/>
              </w:rPr>
              <w:t>Total Revenue</w:t>
            </w: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Pr>
          <w:p>
            <w:pPr>
              <w:spacing w:after="0"/>
              <w:rPr>
                <w:sz w:val="18"/>
                <w:szCs w:val="18"/>
                <w:color w:val="auto"/>
              </w:rPr>
            </w:pP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Pr>
          <w:p>
            <w:pPr>
              <w:spacing w:after="0"/>
              <w:rPr>
                <w:sz w:val="18"/>
                <w:szCs w:val="18"/>
                <w:color w:val="auto"/>
              </w:rPr>
            </w:pP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100%</w:t>
            </w:r>
          </w:p>
        </w:tc>
      </w:tr>
      <w:tr>
        <w:trPr>
          <w:trHeight w:val="33"/>
        </w:trPr>
        <w:tc>
          <w:tcPr>
            <w:tcW w:w="5280" w:type="dxa"/>
            <w:vAlign w:val="bottom"/>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0"/>
        </w:trPr>
        <w:tc>
          <w:tcPr>
            <w:tcW w:w="5280" w:type="dxa"/>
            <w:vAlign w:val="bottom"/>
          </w:tcPr>
          <w:p>
            <w:pPr>
              <w:spacing w:after="0" w:line="20" w:lineRule="exact"/>
              <w:rPr>
                <w:sz w:val="1"/>
                <w:szCs w:val="1"/>
                <w:color w:val="auto"/>
              </w:rPr>
            </w:pPr>
          </w:p>
        </w:tc>
        <w:tc>
          <w:tcPr>
            <w:tcW w:w="1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80" w:type="dxa"/>
            <w:vAlign w:val="bottom"/>
            <w:tcBorders>
              <w:bottom w:val="single" w:sz="8" w:color="auto"/>
            </w:tcBorders>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SSD Controllers and Data Center Storage Solutions.</w:t>
      </w:r>
    </w:p>
    <w:p>
      <w:pPr>
        <w:spacing w:after="0" w:line="63" w:lineRule="exact"/>
        <w:rPr>
          <w:rFonts w:ascii="Arial" w:cs="Arial" w:eastAsia="Arial" w:hAnsi="Arial"/>
          <w:sz w:val="18"/>
          <w:szCs w:val="18"/>
          <w:i w:val="1"/>
          <w:iCs w:val="1"/>
          <w:color w:val="auto"/>
        </w:rPr>
      </w:pPr>
    </w:p>
    <w:p>
      <w:pPr>
        <w:ind w:left="40" w:right="40" w:hanging="5"/>
        <w:spacing w:after="0" w:line="277" w:lineRule="auto"/>
        <w:tabs>
          <w:tab w:leader="none" w:pos="295"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Switches, Ethernet Transceivers, Embedded ARM Processors and Automotive Ethernet, as well as a few legacy product lines in which we no longer invest, but will generate revenue for several years.</w:t>
      </w:r>
    </w:p>
    <w:p>
      <w:pPr>
        <w:spacing w:after="0" w:line="8" w:lineRule="exact"/>
        <w:rPr>
          <w:rFonts w:ascii="Arial" w:cs="Arial" w:eastAsia="Arial" w:hAnsi="Arial"/>
          <w:sz w:val="18"/>
          <w:szCs w:val="18"/>
          <w:i w:val="1"/>
          <w:iCs w:val="1"/>
          <w:color w:val="auto"/>
        </w:rPr>
      </w:pPr>
    </w:p>
    <w:p>
      <w:pPr>
        <w:ind w:left="280" w:hanging="245"/>
        <w:spacing w:after="0"/>
        <w:tabs>
          <w:tab w:leader="none" w:pos="280" w:val="left"/>
        </w:tabs>
        <w:numPr>
          <w:ilvl w:val="0"/>
          <w:numId w:val="8"/>
        </w:numPr>
        <w:rPr>
          <w:rFonts w:ascii="Arial" w:cs="Arial" w:eastAsia="Arial" w:hAnsi="Arial"/>
          <w:sz w:val="17"/>
          <w:szCs w:val="17"/>
          <w:i w:val="1"/>
          <w:iCs w:val="1"/>
          <w:color w:val="auto"/>
        </w:rPr>
      </w:pPr>
      <w:r>
        <w:rPr>
          <w:rFonts w:ascii="Arial" w:cs="Arial" w:eastAsia="Arial" w:hAnsi="Arial"/>
          <w:sz w:val="17"/>
          <w:szCs w:val="17"/>
          <w:color w:val="auto"/>
        </w:rPr>
        <w:t>Connectivity products are comprised primarily of WiFi solutions including WiFi only, WiFi/Bluetooth combos and WiFi Microcontroller combos.</w:t>
      </w:r>
    </w:p>
    <w:p>
      <w:pPr>
        <w:spacing w:after="0" w:line="74" w:lineRule="exact"/>
        <w:rPr>
          <w:rFonts w:ascii="Arial" w:cs="Arial" w:eastAsia="Arial" w:hAnsi="Arial"/>
          <w:sz w:val="17"/>
          <w:szCs w:val="17"/>
          <w:i w:val="1"/>
          <w:iCs w:val="1"/>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1)"/>
      <w:numFmt w:val="lowerLetter"/>
      <w:start w:val="1"/>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3"/>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2019-12-28T21:38:15Z</dcterms:created>
  <dcterms:modified xsi:type="dcterms:W3CDTF">2019-12-28T21:38:15Z</dcterms:modified>
</cp:coreProperties>
</file>