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SEC Form 4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2" w:lineRule="exact"/>
        <w:rPr>
          <w:sz w:val="24"/>
          <w:szCs w:val="24"/>
          <w:color w:val="auto"/>
        </w:rPr>
      </w:pPr>
    </w:p>
    <w:p>
      <w:pPr>
        <w:ind w:left="380"/>
        <w:spacing w:after="0" w:line="23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39370</wp:posOffset>
            </wp:positionH>
            <wp:positionV relativeFrom="paragraph">
              <wp:posOffset>-244475</wp:posOffset>
            </wp:positionV>
            <wp:extent cx="137160" cy="13716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6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5"/>
        </w:trPr>
        <w:tc>
          <w:tcPr>
            <w:tcW w:w="6580" w:type="dxa"/>
            <w:vAlign w:val="bottom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5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6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5506720</wp:posOffset>
            </wp:positionH>
            <wp:positionV relativeFrom="paragraph">
              <wp:posOffset>-655320</wp:posOffset>
            </wp:positionV>
            <wp:extent cx="59690" cy="6686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4168775</wp:posOffset>
            </wp:positionH>
            <wp:positionV relativeFrom="paragraph">
              <wp:posOffset>-655320</wp:posOffset>
            </wp:positionV>
            <wp:extent cx="59690" cy="66865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-1670685</wp:posOffset>
            </wp:positionH>
            <wp:positionV relativeFrom="paragraph">
              <wp:posOffset>13970</wp:posOffset>
            </wp:positionV>
            <wp:extent cx="7272020" cy="482790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2020" cy="4827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80" w:space="240"/>
            <w:col w:w="8800"/>
          </w:cols>
          <w:pgMar w:left="240" w:top="226" w:right="23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 w:line="237" w:lineRule="auto"/>
        <w:rPr>
          <w:rFonts w:ascii="Arial" w:cs="Arial" w:eastAsia="Arial" w:hAnsi="Arial"/>
          <w:sz w:val="22"/>
          <w:szCs w:val="22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2"/>
            <w:szCs w:val="22"/>
            <w:u w:val="single" w:color="auto"/>
            <w:color w:val="0000EE"/>
          </w:rPr>
          <w:t>MARVELL SEMICONDUCTOR, INC.</w:t>
        </w:r>
      </w:hyperlink>
      <w:r>
        <w:rPr>
          <w:rFonts w:ascii="Arial" w:cs="Arial" w:eastAsia="Arial" w:hAnsi="Arial"/>
          <w:sz w:val="22"/>
          <w:szCs w:val="22"/>
          <w:u w:val="single" w:color="auto"/>
          <w:color w:val="0000EE"/>
        </w:rPr>
        <w:t xml:space="preserve"> </w:t>
      </w:r>
      <w:hyperlink r:id="rId12">
        <w:r>
          <w:rPr>
            <w:rFonts w:ascii="Arial" w:cs="Arial" w:eastAsia="Arial" w:hAnsi="Arial"/>
            <w:sz w:val="22"/>
            <w:szCs w:val="22"/>
            <w:u w:val="single" w:color="auto"/>
            <w:color w:val="0000EE"/>
          </w:rPr>
          <w:t>CARON DAVID</w:t>
        </w:r>
      </w:hyperlink>
    </w:p>
    <w:p>
      <w:pPr>
        <w:spacing w:after="0" w:line="313" w:lineRule="exact"/>
        <w:rPr>
          <w:sz w:val="20"/>
          <w:szCs w:val="20"/>
          <w:color w:val="auto"/>
        </w:rPr>
      </w:pPr>
    </w:p>
    <w:p>
      <w:pPr>
        <w:ind w:left="120"/>
        <w:spacing w:after="0"/>
        <w:tabs>
          <w:tab w:leader="none" w:pos="1380" w:val="left"/>
          <w:tab w:leader="none" w:pos="26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(Middle)</w:t>
      </w:r>
    </w:p>
    <w:p>
      <w:pPr>
        <w:spacing w:after="0" w:line="61" w:lineRule="exact"/>
        <w:rPr>
          <w:sz w:val="20"/>
          <w:szCs w:val="20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5488 MARVELL LANE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ind w:left="7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2. Issuer Name </w:t>
      </w: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Ticker or Trading Symbol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ind w:left="7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3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MARVELL TECHNOLOGY GROUP LTD</w:t>
        </w:r>
      </w:hyperlink>
    </w:p>
    <w:p>
      <w:pPr>
        <w:spacing w:after="0" w:line="2" w:lineRule="exact"/>
        <w:rPr>
          <w:sz w:val="20"/>
          <w:szCs w:val="20"/>
          <w:color w:val="auto"/>
        </w:rPr>
      </w:pPr>
    </w:p>
    <w:p>
      <w:pPr>
        <w:ind w:left="127" w:hanging="127"/>
        <w:spacing w:after="0"/>
        <w:tabs>
          <w:tab w:leader="none" w:pos="127" w:val="left"/>
        </w:tabs>
        <w:numPr>
          <w:ilvl w:val="0"/>
          <w:numId w:val="1"/>
        </w:numPr>
        <w:rPr>
          <w:rFonts w:ascii="Arial" w:cs="Arial" w:eastAsia="Arial" w:hAnsi="Arial"/>
          <w:sz w:val="22"/>
          <w:szCs w:val="22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 xml:space="preserve">MRVL </w:t>
      </w:r>
      <w:r>
        <w:rPr>
          <w:rFonts w:ascii="Arial" w:cs="Arial" w:eastAsia="Arial" w:hAnsi="Arial"/>
          <w:sz w:val="21"/>
          <w:szCs w:val="21"/>
          <w:color w:val="000000"/>
        </w:rPr>
        <w:t>]</w:t>
      </w:r>
    </w:p>
    <w:p>
      <w:pPr>
        <w:spacing w:after="0" w:line="284" w:lineRule="exact"/>
        <w:rPr>
          <w:sz w:val="20"/>
          <w:szCs w:val="20"/>
          <w:color w:val="auto"/>
        </w:rPr>
      </w:pPr>
    </w:p>
    <w:p>
      <w:pPr>
        <w:ind w:left="7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3. Date of Earliest Transaction (Month/Day/Year)</w:t>
      </w:r>
    </w:p>
    <w:p>
      <w:pPr>
        <w:ind w:left="7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06/11/2018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7" w:lineRule="exact"/>
        <w:rPr>
          <w:sz w:val="20"/>
          <w:szCs w:val="20"/>
          <w:color w:val="auto"/>
        </w:rPr>
      </w:pPr>
    </w:p>
    <w:p>
      <w:pPr>
        <w:ind w:left="3" w:right="520" w:hanging="3"/>
        <w:spacing w:after="0" w:line="231" w:lineRule="auto"/>
        <w:tabs>
          <w:tab w:leader="none" w:pos="153" w:val="left"/>
        </w:tabs>
        <w:numPr>
          <w:ilvl w:val="0"/>
          <w:numId w:val="2"/>
        </w:numPr>
        <w:rPr>
          <w:rFonts w:ascii="Arial" w:cs="Arial" w:eastAsia="Arial" w:hAnsi="Arial"/>
          <w:sz w:val="14"/>
          <w:szCs w:val="14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Relationship of Reporting Person(s) to Issuer (Check all applicable)</w:t>
      </w:r>
    </w:p>
    <w:p>
      <w:pPr>
        <w:spacing w:after="0" w:line="28" w:lineRule="exact"/>
        <w:rPr>
          <w:sz w:val="20"/>
          <w:szCs w:val="20"/>
          <w:color w:val="auto"/>
        </w:rPr>
      </w:pPr>
    </w:p>
    <w:tbl>
      <w:tblPr>
        <w:tblLayout w:type="fixed"/>
        <w:tblInd w:w="203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Director</w:t>
            </w:r>
          </w:p>
        </w:tc>
        <w:tc>
          <w:tcPr>
            <w:tcW w:w="118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X</w:t>
            </w: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Officer (give title</w:t>
            </w:r>
          </w:p>
        </w:tc>
        <w:tc>
          <w:tcPr>
            <w:tcW w:w="118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4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2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3" w:lineRule="exact"/>
        <w:rPr>
          <w:sz w:val="20"/>
          <w:szCs w:val="20"/>
          <w:color w:val="auto"/>
        </w:rPr>
      </w:pPr>
    </w:p>
    <w:p>
      <w:pPr>
        <w:ind w:left="543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Corporate Controller and CAO</w:t>
      </w:r>
    </w:p>
    <w:p>
      <w:pPr>
        <w:spacing w:after="0" w:line="437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3">
            <w:col w:w="3600" w:space="473"/>
            <w:col w:w="3807" w:space="177"/>
            <w:col w:w="3363"/>
          </w:cols>
          <w:pgMar w:left="240" w:top="226" w:right="239" w:bottom="1440" w:gutter="0" w:footer="0" w:header="0"/>
          <w:type w:val="continuous"/>
        </w:sect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880" w:type="dxa"/>
            <w:vAlign w:val="bottom"/>
            <w:gridSpan w:val="7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4. If Amendment, Date of Original Filed (Month/Day/Year)</w:t>
            </w:r>
          </w:p>
        </w:tc>
        <w:tc>
          <w:tcPr>
            <w:tcW w:w="3620" w:type="dxa"/>
            <w:vAlign w:val="bottom"/>
            <w:gridSpan w:val="7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(Street)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</w:tcPr>
          <w:p>
            <w:pPr>
              <w:ind w:left="2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Line)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60" w:type="dxa"/>
            <w:vAlign w:val="bottom"/>
            <w:gridSpan w:val="6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Form filed by One Reporting Person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6"/>
              </w:rPr>
              <w:t>SANTA CLARA CA</w:t>
            </w: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95054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60" w:type="dxa"/>
            <w:vAlign w:val="bottom"/>
            <w:gridSpan w:val="6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960" w:type="dxa"/>
            <w:vAlign w:val="bottom"/>
            <w:gridSpan w:val="5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96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Person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(City)</w:t>
            </w:r>
          </w:p>
        </w:tc>
        <w:tc>
          <w:tcPr>
            <w:tcW w:w="1900" w:type="dxa"/>
            <w:vAlign w:val="bottom"/>
            <w:gridSpan w:val="2"/>
            <w:vMerge w:val="restart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(State)</w:t>
            </w: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(Zip)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5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5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6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jc w:val="center"/>
              <w:ind w:left="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7"/>
              </w:rPr>
              <w:t>Table I - Non-Derivative Securities Acquired, Disposed of, or Beneficially Owned</w:t>
            </w:r>
          </w:p>
        </w:tc>
        <w:tc>
          <w:tcPr>
            <w:tcW w:w="9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4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40" w:type="dxa"/>
            <w:vAlign w:val="bottom"/>
            <w:gridSpan w:val="3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080" w:type="dxa"/>
            <w:vAlign w:val="bottom"/>
            <w:gridSpan w:val="4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7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Transaction</w:t>
            </w:r>
          </w:p>
        </w:tc>
        <w:tc>
          <w:tcPr>
            <w:tcW w:w="2080" w:type="dxa"/>
            <w:vAlign w:val="bottom"/>
            <w:gridSpan w:val="4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40" w:type="dxa"/>
            <w:vAlign w:val="bottom"/>
            <w:gridSpan w:val="3"/>
          </w:tcPr>
          <w:p>
            <w:pPr>
              <w:ind w:left="7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04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40" w:type="dxa"/>
            <w:vAlign w:val="bottom"/>
          </w:tcPr>
          <w:p>
            <w:pPr>
              <w:ind w:left="1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8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ind w:left="8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06/11/2018</w:t>
            </w: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</w:t>
            </w: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2"/>
              </w:rPr>
              <w:t>1,755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w w:val="82"/>
                <w:vertAlign w:val="superscript"/>
              </w:rPr>
              <w:t>(1)</w:t>
            </w: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21.55</w:t>
            </w: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</w:t>
            </w: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80" w:type="dxa"/>
            <w:vAlign w:val="bottom"/>
            <w:tcBorders>
              <w:top w:val="single" w:sz="8" w:color="2C2C2C"/>
            </w:tcBorders>
            <w:gridSpan w:val="13"/>
          </w:tcPr>
          <w:p>
            <w:pPr>
              <w:jc w:val="center"/>
              <w:ind w:left="80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7"/>
              </w:rPr>
              <w:t>Table II - Derivative Securities Acquired, Disposed of, or Beneficially Owned</w:t>
            </w: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0" w:type="dxa"/>
            <w:vAlign w:val="bottom"/>
            <w:gridSpan w:val="11"/>
          </w:tcPr>
          <w:p>
            <w:pPr>
              <w:jc w:val="center"/>
              <w:ind w:left="2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7"/>
              </w:rPr>
              <w:t>(e.g., puts, calls, warrants, options, convertible securities)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26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260" w:type="dxa"/>
            <w:vAlign w:val="bottom"/>
            <w:gridSpan w:val="2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68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of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260" w:type="dxa"/>
            <w:vAlign w:val="bottom"/>
            <w:gridSpan w:val="2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8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58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Underlying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 (Instr. 3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4)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0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4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</w:tcPr>
          <w:p>
            <w:pPr>
              <w:ind w:left="4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80" w:type="dxa"/>
            <w:vAlign w:val="bottom"/>
          </w:tcPr>
          <w:p>
            <w:pPr>
              <w:ind w:left="4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3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   Shares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96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Explanation of Responses:</w:t>
      </w:r>
    </w:p>
    <w:p>
      <w:pPr>
        <w:spacing w:after="0" w:line="47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008000"/>
        </w:rPr>
        <w:t>1. The 1,755 shares were acquired under the Marvell 2000 Employee Stock Purchase Plan on June 7, 2018, in an exempt transaction under Rule 16b-3(c)of the Securities Exchange Act of 1934.</w:t>
      </w:r>
    </w:p>
    <w:p>
      <w:pPr>
        <w:spacing w:after="0" w:line="57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Remarks:</w:t>
      </w:r>
    </w:p>
    <w:p>
      <w:pPr>
        <w:spacing w:after="0" w:line="118" w:lineRule="exact"/>
        <w:rPr>
          <w:sz w:val="20"/>
          <w:szCs w:val="20"/>
          <w:color w:val="auto"/>
        </w:rPr>
      </w:pPr>
    </w:p>
    <w:tbl>
      <w:tblPr>
        <w:tblLayout w:type="fixed"/>
        <w:tblInd w:w="68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07"/>
        </w:trPr>
        <w:tc>
          <w:tcPr>
            <w:tcW w:w="22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4"/>
              </w:rPr>
              <w:t>David Caron by Blair Walters</w:t>
            </w:r>
          </w:p>
        </w:tc>
        <w:tc>
          <w:tcPr>
            <w:tcW w:w="900" w:type="dxa"/>
            <w:vAlign w:val="bottom"/>
            <w:gridSpan w:val="2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6"/>
              </w:rPr>
              <w:t>06/13/2018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1300" w:type="dxa"/>
            <w:vAlign w:val="bottom"/>
            <w:tcBorders>
              <w:top w:val="single" w:sz="8" w:color="auto"/>
            </w:tcBorders>
            <w:vMerge w:val="restart"/>
          </w:tcPr>
          <w:p>
            <w:pPr>
              <w:spacing w:after="0" w:line="19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as attorney-in-fact</w:t>
            </w:r>
          </w:p>
        </w:tc>
        <w:tc>
          <w:tcPr>
            <w:tcW w:w="800" w:type="dxa"/>
            <w:vAlign w:val="bottom"/>
            <w:tcBorders>
              <w:top w:val="single" w:sz="8" w:color="auto"/>
            </w:tcBorders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3"/>
        </w:trPr>
        <w:tc>
          <w:tcPr>
            <w:tcW w:w="1300" w:type="dxa"/>
            <w:vAlign w:val="bottom"/>
            <w:tcBorders>
              <w:top w:val="single" w:sz="8" w:color="auto"/>
              <w:bottom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6"/>
        </w:trPr>
        <w:tc>
          <w:tcPr>
            <w:tcW w:w="22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** Signature of Reporting Person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40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Reminder: Report on a separate line for each class of securities beneficially owned directly or indirectly.</w:t>
      </w:r>
    </w:p>
    <w:p>
      <w:pPr>
        <w:spacing w:after="0" w:line="28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4"/>
          <w:szCs w:val="14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Instruction 4 (b)(v).</w:t>
      </w:r>
    </w:p>
    <w:p>
      <w:pPr>
        <w:spacing w:after="0" w:line="42" w:lineRule="exact"/>
        <w:rPr>
          <w:sz w:val="20"/>
          <w:szCs w:val="20"/>
          <w:color w:val="auto"/>
        </w:rPr>
      </w:pPr>
    </w:p>
    <w:p>
      <w:pPr>
        <w:jc w:val="both"/>
        <w:ind w:left="40" w:right="3580" w:firstLine="9"/>
        <w:spacing w:after="0" w:line="350" w:lineRule="auto"/>
        <w:tabs>
          <w:tab w:leader="none" w:pos="183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420"/>
      </w:cols>
      <w:pgMar w:left="240" w:top="226" w:right="2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["/>
      <w:numFmt w:val="bullet"/>
      <w:start w:val="1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5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498569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2019-12-03T23:38:15Z</dcterms:created>
  <dcterms:modified xsi:type="dcterms:W3CDTF">2019-12-03T23:38:15Z</dcterms:modified>
</cp:coreProperties>
</file>