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Issuer Free Writing Prospectus</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Filed Pursuant to Rule 433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Registration Statement No. 333-225591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June 20, 2018</w:t>
      </w:r>
    </w:p>
    <w:p>
      <w:pPr>
        <w:spacing w:after="0" w:line="200" w:lineRule="exact"/>
        <w:rPr>
          <w:sz w:val="24"/>
          <w:szCs w:val="24"/>
          <w:color w:val="auto"/>
        </w:rPr>
      </w:pPr>
    </w:p>
    <w:p>
      <w:pPr>
        <w:spacing w:after="0" w:line="22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FINAL TERM SHEET</w:t>
      </w:r>
    </w:p>
    <w:p>
      <w:pPr>
        <w:spacing w:after="0" w:line="225" w:lineRule="exact"/>
        <w:rPr>
          <w:sz w:val="24"/>
          <w:szCs w:val="24"/>
          <w:color w:val="auto"/>
        </w:rPr>
      </w:pPr>
    </w:p>
    <w:p>
      <w:pPr>
        <w:ind w:left="4020"/>
        <w:spacing w:after="0"/>
        <w:rPr>
          <w:sz w:val="20"/>
          <w:szCs w:val="20"/>
          <w:color w:val="auto"/>
        </w:rPr>
      </w:pPr>
      <w:r>
        <w:rPr>
          <w:rFonts w:ascii="Arial" w:cs="Arial" w:eastAsia="Arial" w:hAnsi="Arial"/>
          <w:sz w:val="18"/>
          <w:szCs w:val="18"/>
          <w:b w:val="1"/>
          <w:bCs w:val="1"/>
          <w:u w:val="single" w:color="auto"/>
          <w:color w:val="auto"/>
        </w:rPr>
        <w:t>$500,000,000 4.200% Senior Notes due 2023</w:t>
      </w:r>
    </w:p>
    <w:p>
      <w:pPr>
        <w:spacing w:after="0" w:line="27" w:lineRule="exact"/>
        <w:rPr>
          <w:sz w:val="24"/>
          <w:szCs w:val="24"/>
          <w:color w:val="auto"/>
        </w:rPr>
      </w:pPr>
    </w:p>
    <w:p>
      <w:pPr>
        <w:ind w:left="4020"/>
        <w:spacing w:after="0"/>
        <w:rPr>
          <w:sz w:val="20"/>
          <w:szCs w:val="20"/>
          <w:color w:val="auto"/>
        </w:rPr>
      </w:pPr>
      <w:r>
        <w:rPr>
          <w:rFonts w:ascii="Arial" w:cs="Arial" w:eastAsia="Arial" w:hAnsi="Arial"/>
          <w:sz w:val="18"/>
          <w:szCs w:val="18"/>
          <w:b w:val="1"/>
          <w:bCs w:val="1"/>
          <w:u w:val="single" w:color="auto"/>
          <w:color w:val="auto"/>
        </w:rPr>
        <w:t>$500,000,000 4.875% Senior Notes due 2028</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Dated June 20, 2018</w:t>
      </w:r>
    </w:p>
    <w:p>
      <w:pPr>
        <w:spacing w:after="0" w:line="229" w:lineRule="exact"/>
        <w:rPr>
          <w:sz w:val="24"/>
          <w:szCs w:val="24"/>
          <w:color w:val="auto"/>
        </w:rPr>
      </w:pPr>
    </w:p>
    <w:p>
      <w:pPr>
        <w:ind w:right="60"/>
        <w:spacing w:after="0" w:line="255" w:lineRule="auto"/>
        <w:rPr>
          <w:sz w:val="20"/>
          <w:szCs w:val="20"/>
          <w:color w:val="auto"/>
        </w:rPr>
      </w:pPr>
      <w:r>
        <w:rPr>
          <w:rFonts w:ascii="Arial" w:cs="Arial" w:eastAsia="Arial" w:hAnsi="Arial"/>
          <w:sz w:val="18"/>
          <w:szCs w:val="18"/>
          <w:color w:val="auto"/>
        </w:rPr>
        <w:t>This pricing term sheet (the “Final Term Sheet”) relates only to the securities described below and should be read together with Marvell Technology Group Ltd.’s preliminary prospectus supplement dated June 20, 2018 (the “Preliminary Prospectus Supplement”), the accompanying prospectus dated June 13, 2018 and the documents incorporated and deemed to be incorporated by reference therein. The information in this Final Term Sheet supplements the Preliminary Prospectus Supplement and supersedes the information contained in the Preliminary Prospectus Supplement to the extent inconsistent with the information in the Preliminary Prospectus Supplement. Capitalized terms used in this Final Term Sheet but not defined have the meanings given them in the Preliminary Prospectus Supplement.</w:t>
      </w:r>
    </w:p>
    <w:p>
      <w:pPr>
        <w:spacing w:after="0" w:line="216" w:lineRule="exact"/>
        <w:rPr>
          <w:sz w:val="24"/>
          <w:szCs w:val="24"/>
          <w:color w:val="auto"/>
        </w:rPr>
      </w:pPr>
    </w:p>
    <w:tbl>
      <w:tblPr>
        <w:tblLayout w:type="fixed"/>
        <w:tblInd w:w="0" w:type="dxa"/>
        <w:tblCellMar>
          <w:top w:w="0" w:type="dxa"/>
          <w:left w:w="0" w:type="dxa"/>
          <w:bottom w:w="0" w:type="dxa"/>
          <w:right w:w="0" w:type="dxa"/>
        </w:tblCellMar>
      </w:tblPr>
      <w:tr>
        <w:trPr>
          <w:trHeight w:val="234"/>
        </w:trPr>
        <w:tc>
          <w:tcPr>
            <w:tcW w:w="3260" w:type="dxa"/>
            <w:vAlign w:val="bottom"/>
          </w:tcPr>
          <w:p>
            <w:pPr>
              <w:spacing w:after="0"/>
              <w:rPr>
                <w:sz w:val="20"/>
                <w:szCs w:val="20"/>
                <w:color w:val="auto"/>
              </w:rPr>
            </w:pPr>
            <w:r>
              <w:rPr>
                <w:rFonts w:ascii="Arial" w:cs="Arial" w:eastAsia="Arial" w:hAnsi="Arial"/>
                <w:sz w:val="18"/>
                <w:szCs w:val="18"/>
                <w:b w:val="1"/>
                <w:bCs w:val="1"/>
                <w:color w:val="auto"/>
              </w:rPr>
              <w:t>Issuer:</w:t>
            </w:r>
          </w:p>
        </w:tc>
        <w:tc>
          <w:tcPr>
            <w:tcW w:w="760" w:type="dxa"/>
            <w:vAlign w:val="bottom"/>
          </w:tcPr>
          <w:p>
            <w:pPr>
              <w:spacing w:after="0"/>
              <w:rPr>
                <w:sz w:val="20"/>
                <w:szCs w:val="20"/>
                <w:color w:val="auto"/>
              </w:rPr>
            </w:pPr>
          </w:p>
        </w:tc>
        <w:tc>
          <w:tcPr>
            <w:tcW w:w="5700" w:type="dxa"/>
            <w:vAlign w:val="bottom"/>
            <w:gridSpan w:val="2"/>
          </w:tcPr>
          <w:p>
            <w:pPr>
              <w:ind w:left="2040"/>
              <w:spacing w:after="0"/>
              <w:rPr>
                <w:sz w:val="20"/>
                <w:szCs w:val="20"/>
                <w:color w:val="auto"/>
              </w:rPr>
            </w:pPr>
            <w:r>
              <w:rPr>
                <w:rFonts w:ascii="Arial" w:cs="Arial" w:eastAsia="Arial" w:hAnsi="Arial"/>
                <w:sz w:val="18"/>
                <w:szCs w:val="18"/>
                <w:color w:val="auto"/>
              </w:rPr>
              <w:t>Marvell Technology Group Ltd.</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Trade Date:</w:t>
            </w:r>
          </w:p>
        </w:tc>
        <w:tc>
          <w:tcPr>
            <w:tcW w:w="760" w:type="dxa"/>
            <w:vAlign w:val="bottom"/>
          </w:tcPr>
          <w:p>
            <w:pPr>
              <w:spacing w:after="0"/>
              <w:rPr>
                <w:sz w:val="24"/>
                <w:szCs w:val="24"/>
                <w:color w:val="auto"/>
              </w:rPr>
            </w:pPr>
          </w:p>
        </w:tc>
        <w:tc>
          <w:tcPr>
            <w:tcW w:w="5700" w:type="dxa"/>
            <w:vAlign w:val="bottom"/>
            <w:gridSpan w:val="2"/>
          </w:tcPr>
          <w:p>
            <w:pPr>
              <w:ind w:left="2040"/>
              <w:spacing w:after="0"/>
              <w:rPr>
                <w:sz w:val="20"/>
                <w:szCs w:val="20"/>
                <w:color w:val="auto"/>
              </w:rPr>
            </w:pPr>
            <w:r>
              <w:rPr>
                <w:rFonts w:ascii="Arial" w:cs="Arial" w:eastAsia="Arial" w:hAnsi="Arial"/>
                <w:sz w:val="18"/>
                <w:szCs w:val="18"/>
                <w:color w:val="auto"/>
              </w:rPr>
              <w:t>June 20, 2018</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Settlement Date:</w:t>
            </w:r>
          </w:p>
        </w:tc>
        <w:tc>
          <w:tcPr>
            <w:tcW w:w="760" w:type="dxa"/>
            <w:vAlign w:val="bottom"/>
          </w:tcPr>
          <w:p>
            <w:pPr>
              <w:spacing w:after="0"/>
              <w:rPr>
                <w:sz w:val="24"/>
                <w:szCs w:val="24"/>
                <w:color w:val="auto"/>
              </w:rPr>
            </w:pPr>
          </w:p>
        </w:tc>
        <w:tc>
          <w:tcPr>
            <w:tcW w:w="5700" w:type="dxa"/>
            <w:vAlign w:val="bottom"/>
            <w:gridSpan w:val="2"/>
          </w:tcPr>
          <w:p>
            <w:pPr>
              <w:ind w:left="2040"/>
              <w:spacing w:after="0"/>
              <w:rPr>
                <w:sz w:val="20"/>
                <w:szCs w:val="20"/>
                <w:color w:val="auto"/>
              </w:rPr>
            </w:pPr>
            <w:r>
              <w:rPr>
                <w:rFonts w:ascii="Arial" w:cs="Arial" w:eastAsia="Arial" w:hAnsi="Arial"/>
                <w:sz w:val="18"/>
                <w:szCs w:val="18"/>
                <w:color w:val="auto"/>
              </w:rPr>
              <w:t>June 22, 2018 (T+2)</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Ratings (Moody’s/S&amp;P/Fitch):*</w:t>
            </w:r>
          </w:p>
        </w:tc>
        <w:tc>
          <w:tcPr>
            <w:tcW w:w="760" w:type="dxa"/>
            <w:vAlign w:val="bottom"/>
          </w:tcPr>
          <w:p>
            <w:pPr>
              <w:spacing w:after="0"/>
              <w:rPr>
                <w:sz w:val="24"/>
                <w:szCs w:val="24"/>
                <w:color w:val="auto"/>
              </w:rPr>
            </w:pPr>
          </w:p>
        </w:tc>
        <w:tc>
          <w:tcPr>
            <w:tcW w:w="5700" w:type="dxa"/>
            <w:vAlign w:val="bottom"/>
            <w:gridSpan w:val="2"/>
          </w:tcPr>
          <w:p>
            <w:pPr>
              <w:ind w:left="2040"/>
              <w:spacing w:after="0"/>
              <w:rPr>
                <w:sz w:val="20"/>
                <w:szCs w:val="20"/>
                <w:color w:val="auto"/>
              </w:rPr>
            </w:pPr>
            <w:r>
              <w:rPr>
                <w:rFonts w:ascii="Arial" w:cs="Arial" w:eastAsia="Arial" w:hAnsi="Arial"/>
                <w:sz w:val="18"/>
                <w:szCs w:val="18"/>
                <w:color w:val="auto"/>
              </w:rPr>
              <w:t>Baa3/BBB-/BBB-</w:t>
            </w:r>
          </w:p>
        </w:tc>
      </w:tr>
      <w:tr>
        <w:trPr>
          <w:trHeight w:val="392"/>
        </w:trPr>
        <w:tc>
          <w:tcPr>
            <w:tcW w:w="3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38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u w:val="single" w:color="auto"/>
                <w:color w:val="auto"/>
                <w:w w:val="89"/>
              </w:rPr>
              <w:t>$</w:t>
            </w:r>
            <w:r>
              <w:rPr>
                <w:rFonts w:ascii="Arial" w:cs="Arial" w:eastAsia="Arial" w:hAnsi="Arial"/>
                <w:sz w:val="18"/>
                <w:szCs w:val="18"/>
                <w:b w:val="1"/>
                <w:bCs w:val="1"/>
                <w:color w:val="auto"/>
                <w:w w:val="89"/>
              </w:rPr>
              <w:t>500,000,000 4.200% Senior Notes due 2023</w:t>
            </w:r>
          </w:p>
        </w:tc>
        <w:tc>
          <w:tcPr>
            <w:tcW w:w="2320" w:type="dxa"/>
            <w:vAlign w:val="bottom"/>
          </w:tcPr>
          <w:p>
            <w:pPr>
              <w:spacing w:after="0"/>
              <w:rPr>
                <w:sz w:val="24"/>
                <w:szCs w:val="24"/>
                <w:color w:val="auto"/>
              </w:rPr>
            </w:pPr>
          </w:p>
        </w:tc>
      </w:tr>
      <w:tr>
        <w:trPr>
          <w:trHeight w:val="345"/>
        </w:trPr>
        <w:tc>
          <w:tcPr>
            <w:tcW w:w="3260" w:type="dxa"/>
            <w:vAlign w:val="bottom"/>
          </w:tcPr>
          <w:p>
            <w:pPr>
              <w:spacing w:after="0"/>
              <w:rPr>
                <w:sz w:val="20"/>
                <w:szCs w:val="20"/>
                <w:color w:val="auto"/>
              </w:rPr>
            </w:pPr>
            <w:r>
              <w:rPr>
                <w:rFonts w:ascii="Arial" w:cs="Arial" w:eastAsia="Arial" w:hAnsi="Arial"/>
                <w:sz w:val="18"/>
                <w:szCs w:val="18"/>
                <w:b w:val="1"/>
                <w:bCs w:val="1"/>
                <w:color w:val="auto"/>
              </w:rPr>
              <w:t>Title of Securities:</w:t>
            </w:r>
          </w:p>
        </w:tc>
        <w:tc>
          <w:tcPr>
            <w:tcW w:w="760" w:type="dxa"/>
            <w:vAlign w:val="bottom"/>
          </w:tcPr>
          <w:p>
            <w:pPr>
              <w:spacing w:after="0"/>
              <w:rPr>
                <w:sz w:val="24"/>
                <w:szCs w:val="24"/>
                <w:color w:val="auto"/>
              </w:rPr>
            </w:pPr>
          </w:p>
        </w:tc>
        <w:tc>
          <w:tcPr>
            <w:tcW w:w="5700" w:type="dxa"/>
            <w:vAlign w:val="bottom"/>
            <w:gridSpan w:val="2"/>
          </w:tcPr>
          <w:p>
            <w:pPr>
              <w:ind w:left="2040"/>
              <w:spacing w:after="0"/>
              <w:rPr>
                <w:sz w:val="20"/>
                <w:szCs w:val="20"/>
                <w:color w:val="auto"/>
              </w:rPr>
            </w:pPr>
            <w:r>
              <w:rPr>
                <w:rFonts w:ascii="Arial" w:cs="Arial" w:eastAsia="Arial" w:hAnsi="Arial"/>
                <w:sz w:val="18"/>
                <w:szCs w:val="18"/>
                <w:color w:val="auto"/>
                <w:w w:val="90"/>
              </w:rPr>
              <w:t>4.200% Senior Notes due 2023 (the “2023 Notes”)</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Principal Amount:</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$500,000,000</w:t>
            </w:r>
          </w:p>
        </w:tc>
        <w:tc>
          <w:tcPr>
            <w:tcW w:w="2320" w:type="dxa"/>
            <w:vAlign w:val="bottom"/>
          </w:tcPr>
          <w:p>
            <w:pPr>
              <w:spacing w:after="0"/>
              <w:rPr>
                <w:sz w:val="24"/>
                <w:szCs w:val="24"/>
                <w:color w:val="auto"/>
              </w:rPr>
            </w:pP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Stated Maturity Date:</w:t>
            </w:r>
          </w:p>
        </w:tc>
        <w:tc>
          <w:tcPr>
            <w:tcW w:w="760" w:type="dxa"/>
            <w:vAlign w:val="bottom"/>
          </w:tcPr>
          <w:p>
            <w:pPr>
              <w:spacing w:after="0"/>
              <w:rPr>
                <w:sz w:val="24"/>
                <w:szCs w:val="24"/>
                <w:color w:val="auto"/>
              </w:rPr>
            </w:pPr>
          </w:p>
        </w:tc>
        <w:tc>
          <w:tcPr>
            <w:tcW w:w="5700" w:type="dxa"/>
            <w:vAlign w:val="bottom"/>
            <w:gridSpan w:val="2"/>
          </w:tcPr>
          <w:p>
            <w:pPr>
              <w:ind w:left="2040"/>
              <w:spacing w:after="0"/>
              <w:rPr>
                <w:sz w:val="20"/>
                <w:szCs w:val="20"/>
                <w:color w:val="auto"/>
              </w:rPr>
            </w:pPr>
            <w:r>
              <w:rPr>
                <w:rFonts w:ascii="Arial" w:cs="Arial" w:eastAsia="Arial" w:hAnsi="Arial"/>
                <w:sz w:val="18"/>
                <w:szCs w:val="18"/>
                <w:color w:val="auto"/>
              </w:rPr>
              <w:t>June 22, 2023</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w:t>
            </w:r>
          </w:p>
        </w:tc>
        <w:tc>
          <w:tcPr>
            <w:tcW w:w="760" w:type="dxa"/>
            <w:vAlign w:val="bottom"/>
          </w:tcPr>
          <w:p>
            <w:pPr>
              <w:spacing w:after="0"/>
              <w:rPr>
                <w:sz w:val="24"/>
                <w:szCs w:val="24"/>
                <w:color w:val="auto"/>
              </w:rPr>
            </w:pPr>
          </w:p>
        </w:tc>
        <w:tc>
          <w:tcPr>
            <w:tcW w:w="5700" w:type="dxa"/>
            <w:vAlign w:val="bottom"/>
            <w:gridSpan w:val="2"/>
          </w:tcPr>
          <w:p>
            <w:pPr>
              <w:ind w:left="2040"/>
              <w:spacing w:after="0"/>
              <w:rPr>
                <w:sz w:val="20"/>
                <w:szCs w:val="20"/>
                <w:color w:val="auto"/>
              </w:rPr>
            </w:pPr>
            <w:r>
              <w:rPr>
                <w:rFonts w:ascii="Arial" w:cs="Arial" w:eastAsia="Arial" w:hAnsi="Arial"/>
                <w:sz w:val="18"/>
                <w:szCs w:val="18"/>
                <w:color w:val="auto"/>
              </w:rPr>
              <w:t>2.750% UST due May 31, 2023</w:t>
            </w:r>
          </w:p>
        </w:tc>
      </w:tr>
      <w:tr>
        <w:trPr>
          <w:trHeight w:val="414"/>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 Price:</w:t>
            </w:r>
          </w:p>
        </w:tc>
        <w:tc>
          <w:tcPr>
            <w:tcW w:w="760" w:type="dxa"/>
            <w:vAlign w:val="bottom"/>
          </w:tcPr>
          <w:p>
            <w:pPr>
              <w:spacing w:after="0"/>
              <w:rPr>
                <w:sz w:val="24"/>
                <w:szCs w:val="24"/>
                <w:color w:val="auto"/>
              </w:rPr>
            </w:pPr>
          </w:p>
        </w:tc>
        <w:tc>
          <w:tcPr>
            <w:tcW w:w="5700" w:type="dxa"/>
            <w:vAlign w:val="bottom"/>
            <w:gridSpan w:val="2"/>
          </w:tcPr>
          <w:p>
            <w:pPr>
              <w:ind w:left="2040"/>
              <w:spacing w:after="0"/>
              <w:rPr>
                <w:sz w:val="20"/>
                <w:szCs w:val="20"/>
                <w:color w:val="auto"/>
              </w:rPr>
            </w:pPr>
            <w:r>
              <w:rPr>
                <w:rFonts w:ascii="Arial" w:cs="Arial" w:eastAsia="Arial" w:hAnsi="Arial"/>
                <w:sz w:val="18"/>
                <w:szCs w:val="18"/>
                <w:color w:val="auto"/>
              </w:rPr>
              <w:t xml:space="preserve">99-25 </w:t>
            </w:r>
            <w:r>
              <w:rPr>
                <w:rFonts w:ascii="Arial" w:cs="Arial" w:eastAsia="Arial" w:hAnsi="Arial"/>
                <w:sz w:val="30"/>
                <w:szCs w:val="30"/>
                <w:color w:val="auto"/>
                <w:vertAlign w:val="superscript"/>
              </w:rPr>
              <w:t>1</w:t>
            </w:r>
            <w:r>
              <w:rPr>
                <w:rFonts w:ascii="Arial" w:cs="Arial" w:eastAsia="Arial" w:hAnsi="Arial"/>
                <w:sz w:val="18"/>
                <w:szCs w:val="18"/>
                <w:color w:val="auto"/>
              </w:rPr>
              <w:t>⁄</w:t>
            </w:r>
            <w:r>
              <w:rPr>
                <w:rFonts w:ascii="Arial" w:cs="Arial" w:eastAsia="Arial" w:hAnsi="Arial"/>
                <w:sz w:val="30"/>
                <w:szCs w:val="30"/>
                <w:color w:val="auto"/>
                <w:vertAlign w:val="subscript"/>
              </w:rPr>
              <w:t>4</w:t>
            </w:r>
          </w:p>
        </w:tc>
      </w:tr>
      <w:tr>
        <w:trPr>
          <w:trHeight w:val="234"/>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 Yield:</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2.796%</w:t>
            </w:r>
          </w:p>
        </w:tc>
        <w:tc>
          <w:tcPr>
            <w:tcW w:w="2320" w:type="dxa"/>
            <w:vAlign w:val="bottom"/>
          </w:tcPr>
          <w:p>
            <w:pPr>
              <w:spacing w:after="0"/>
              <w:rPr>
                <w:sz w:val="20"/>
                <w:szCs w:val="20"/>
                <w:color w:val="auto"/>
              </w:rPr>
            </w:pP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Spread to Benchmark Treasury:</w:t>
            </w:r>
          </w:p>
        </w:tc>
        <w:tc>
          <w:tcPr>
            <w:tcW w:w="760" w:type="dxa"/>
            <w:vAlign w:val="bottom"/>
          </w:tcPr>
          <w:p>
            <w:pPr>
              <w:spacing w:after="0"/>
              <w:rPr>
                <w:sz w:val="24"/>
                <w:szCs w:val="24"/>
                <w:color w:val="auto"/>
              </w:rPr>
            </w:pPr>
          </w:p>
        </w:tc>
        <w:tc>
          <w:tcPr>
            <w:tcW w:w="5700" w:type="dxa"/>
            <w:vAlign w:val="bottom"/>
            <w:gridSpan w:val="2"/>
          </w:tcPr>
          <w:p>
            <w:pPr>
              <w:ind w:left="2040"/>
              <w:spacing w:after="0"/>
              <w:rPr>
                <w:sz w:val="20"/>
                <w:szCs w:val="20"/>
                <w:color w:val="auto"/>
              </w:rPr>
            </w:pPr>
            <w:r>
              <w:rPr>
                <w:rFonts w:ascii="Arial" w:cs="Arial" w:eastAsia="Arial" w:hAnsi="Arial"/>
                <w:sz w:val="18"/>
                <w:szCs w:val="18"/>
                <w:color w:val="auto"/>
              </w:rPr>
              <w:t>+145 basis points</w:t>
            </w:r>
          </w:p>
        </w:tc>
      </w:tr>
    </w:tbl>
    <w:p>
      <w:pPr>
        <w:sectPr>
          <w:pgSz w:w="11900" w:h="16838" w:orient="portrait"/>
          <w:cols w:equalWidth="0" w:num="1">
            <w:col w:w="11420"/>
          </w:cols>
          <w:pgMar w:left="240" w:top="233" w:right="239" w:bottom="1440" w:gutter="0" w:footer="0" w:header="0"/>
        </w:sectPr>
      </w:pPr>
    </w:p>
    <w:bookmarkStart w:id="1" w:name="page2"/>
    <w:bookmarkEnd w:id="1"/>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3260" w:type="dxa"/>
            <w:vAlign w:val="bottom"/>
          </w:tcPr>
          <w:p>
            <w:pPr>
              <w:spacing w:after="0"/>
              <w:rPr>
                <w:sz w:val="20"/>
                <w:szCs w:val="20"/>
                <w:color w:val="auto"/>
              </w:rPr>
            </w:pPr>
            <w:r>
              <w:rPr>
                <w:rFonts w:ascii="Arial" w:cs="Arial" w:eastAsia="Arial" w:hAnsi="Arial"/>
                <w:sz w:val="18"/>
                <w:szCs w:val="18"/>
                <w:b w:val="1"/>
                <w:bCs w:val="1"/>
                <w:color w:val="auto"/>
              </w:rPr>
              <w:t>Yield to Maturity:</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4.246%</w:t>
            </w:r>
          </w:p>
        </w:tc>
        <w:tc>
          <w:tcPr>
            <w:tcW w:w="3980" w:type="dxa"/>
            <w:vAlign w:val="bottom"/>
          </w:tcPr>
          <w:p>
            <w:pPr>
              <w:spacing w:after="0"/>
              <w:rPr>
                <w:sz w:val="20"/>
                <w:szCs w:val="20"/>
                <w:color w:val="auto"/>
              </w:rPr>
            </w:pP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Public Offering Price:</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99.795%</w:t>
            </w:r>
          </w:p>
        </w:tc>
        <w:tc>
          <w:tcPr>
            <w:tcW w:w="3980" w:type="dxa"/>
            <w:vAlign w:val="bottom"/>
          </w:tcPr>
          <w:p>
            <w:pPr>
              <w:spacing w:after="0"/>
              <w:rPr>
                <w:sz w:val="24"/>
                <w:szCs w:val="24"/>
                <w:color w:val="auto"/>
              </w:rPr>
            </w:pP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Coupon:</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4.200%</w:t>
            </w:r>
          </w:p>
        </w:tc>
        <w:tc>
          <w:tcPr>
            <w:tcW w:w="3980" w:type="dxa"/>
            <w:vAlign w:val="bottom"/>
          </w:tcPr>
          <w:p>
            <w:pPr>
              <w:spacing w:after="0"/>
              <w:rPr>
                <w:sz w:val="24"/>
                <w:szCs w:val="24"/>
                <w:color w:val="auto"/>
              </w:rPr>
            </w:pPr>
          </w:p>
        </w:tc>
      </w:tr>
      <w:tr>
        <w:trPr>
          <w:trHeight w:val="310"/>
        </w:trPr>
        <w:tc>
          <w:tcPr>
            <w:tcW w:w="3260" w:type="dxa"/>
            <w:vAlign w:val="bottom"/>
          </w:tcPr>
          <w:p>
            <w:pPr>
              <w:spacing w:after="0"/>
              <w:rPr>
                <w:sz w:val="20"/>
                <w:szCs w:val="20"/>
                <w:color w:val="auto"/>
              </w:rPr>
            </w:pPr>
            <w:r>
              <w:rPr>
                <w:rFonts w:ascii="Arial" w:cs="Arial" w:eastAsia="Arial" w:hAnsi="Arial"/>
                <w:sz w:val="18"/>
                <w:szCs w:val="18"/>
                <w:b w:val="1"/>
                <w:bCs w:val="1"/>
                <w:color w:val="auto"/>
              </w:rPr>
              <w:t>Interest Payment Dates:</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Semi-annually on each June 22 and December 22, beginning on</w:t>
            </w:r>
          </w:p>
        </w:tc>
      </w:tr>
      <w:tr>
        <w:trPr>
          <w:trHeight w:val="230"/>
        </w:trPr>
        <w:tc>
          <w:tcPr>
            <w:tcW w:w="32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December 22, 2018.</w:t>
            </w:r>
          </w:p>
        </w:tc>
      </w:tr>
      <w:tr>
        <w:trPr>
          <w:trHeight w:val="310"/>
        </w:trPr>
        <w:tc>
          <w:tcPr>
            <w:tcW w:w="3260" w:type="dxa"/>
            <w:vAlign w:val="bottom"/>
          </w:tcPr>
          <w:p>
            <w:pPr>
              <w:spacing w:after="0"/>
              <w:rPr>
                <w:sz w:val="20"/>
                <w:szCs w:val="20"/>
                <w:color w:val="auto"/>
              </w:rPr>
            </w:pPr>
            <w:r>
              <w:rPr>
                <w:rFonts w:ascii="Arial" w:cs="Arial" w:eastAsia="Arial" w:hAnsi="Arial"/>
                <w:sz w:val="18"/>
                <w:szCs w:val="18"/>
                <w:b w:val="1"/>
                <w:bCs w:val="1"/>
                <w:color w:val="auto"/>
              </w:rPr>
              <w:t>Optional Redemption:</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w w:val="90"/>
              </w:rPr>
              <w:t>Make-whole at T+25 basis points. On or after May 22, 2023 (the date that</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w w:val="94"/>
              </w:rPr>
              <w:t>is 1 month prior to the maturity of the 2023 Notes), the 2023 Notes are</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w w:val="90"/>
              </w:rPr>
              <w:t>redeemable at 100% of the aggregate principal amount of the 2023 Notes</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being redeemed plus accrued and unpaid interest thereon to, but</w:t>
            </w:r>
          </w:p>
        </w:tc>
      </w:tr>
      <w:tr>
        <w:trPr>
          <w:trHeight w:val="230"/>
        </w:trPr>
        <w:tc>
          <w:tcPr>
            <w:tcW w:w="32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excluding, the redemption date.</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CUSIP / ISIN:</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57385L AA6 / US57385LAA61</w:t>
            </w:r>
          </w:p>
        </w:tc>
      </w:tr>
      <w:tr>
        <w:trPr>
          <w:trHeight w:val="419"/>
        </w:trPr>
        <w:tc>
          <w:tcPr>
            <w:tcW w:w="3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38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u w:val="single" w:color="auto"/>
                <w:color w:val="auto"/>
                <w:w w:val="89"/>
              </w:rPr>
              <w:t>$</w:t>
            </w:r>
            <w:r>
              <w:rPr>
                <w:rFonts w:ascii="Arial" w:cs="Arial" w:eastAsia="Arial" w:hAnsi="Arial"/>
                <w:sz w:val="18"/>
                <w:szCs w:val="18"/>
                <w:b w:val="1"/>
                <w:bCs w:val="1"/>
                <w:color w:val="auto"/>
                <w:w w:val="89"/>
              </w:rPr>
              <w:t>500,000,000 4.875% Senior Notes due 2028</w:t>
            </w:r>
          </w:p>
        </w:tc>
        <w:tc>
          <w:tcPr>
            <w:tcW w:w="3980" w:type="dxa"/>
            <w:vAlign w:val="bottom"/>
          </w:tcPr>
          <w:p>
            <w:pPr>
              <w:spacing w:after="0"/>
              <w:rPr>
                <w:sz w:val="24"/>
                <w:szCs w:val="24"/>
                <w:color w:val="auto"/>
              </w:rPr>
            </w:pPr>
          </w:p>
        </w:tc>
      </w:tr>
      <w:tr>
        <w:trPr>
          <w:trHeight w:val="345"/>
        </w:trPr>
        <w:tc>
          <w:tcPr>
            <w:tcW w:w="3260" w:type="dxa"/>
            <w:vAlign w:val="bottom"/>
          </w:tcPr>
          <w:p>
            <w:pPr>
              <w:spacing w:after="0"/>
              <w:rPr>
                <w:sz w:val="20"/>
                <w:szCs w:val="20"/>
                <w:color w:val="auto"/>
              </w:rPr>
            </w:pPr>
            <w:r>
              <w:rPr>
                <w:rFonts w:ascii="Arial" w:cs="Arial" w:eastAsia="Arial" w:hAnsi="Arial"/>
                <w:sz w:val="18"/>
                <w:szCs w:val="18"/>
                <w:b w:val="1"/>
                <w:bCs w:val="1"/>
                <w:color w:val="auto"/>
              </w:rPr>
              <w:t>Title of Securities:</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4.875% Senior Notes due 2028 (the “2028 Notes”)</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Principal Amount:</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$500,000,000</w:t>
            </w:r>
          </w:p>
        </w:tc>
        <w:tc>
          <w:tcPr>
            <w:tcW w:w="3980" w:type="dxa"/>
            <w:vAlign w:val="bottom"/>
          </w:tcPr>
          <w:p>
            <w:pPr>
              <w:spacing w:after="0"/>
              <w:rPr>
                <w:sz w:val="24"/>
                <w:szCs w:val="24"/>
                <w:color w:val="auto"/>
              </w:rPr>
            </w:pP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Stated Maturity Date:</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June 22, 2028</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2.875% UST due May 15, 2028</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 Price:</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99-17+</w:t>
            </w:r>
          </w:p>
        </w:tc>
        <w:tc>
          <w:tcPr>
            <w:tcW w:w="3980" w:type="dxa"/>
            <w:vAlign w:val="bottom"/>
          </w:tcPr>
          <w:p>
            <w:pPr>
              <w:spacing w:after="0"/>
              <w:rPr>
                <w:sz w:val="24"/>
                <w:szCs w:val="24"/>
                <w:color w:val="auto"/>
              </w:rPr>
            </w:pP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 Yield:</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2.928%</w:t>
            </w:r>
          </w:p>
        </w:tc>
        <w:tc>
          <w:tcPr>
            <w:tcW w:w="3980" w:type="dxa"/>
            <w:vAlign w:val="bottom"/>
          </w:tcPr>
          <w:p>
            <w:pPr>
              <w:spacing w:after="0"/>
              <w:rPr>
                <w:sz w:val="24"/>
                <w:szCs w:val="24"/>
                <w:color w:val="auto"/>
              </w:rPr>
            </w:pP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Spread to Benchmark Treasury:</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+195 basis points</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Yield to Maturity:</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4.878%</w:t>
            </w:r>
          </w:p>
        </w:tc>
        <w:tc>
          <w:tcPr>
            <w:tcW w:w="3980" w:type="dxa"/>
            <w:vAlign w:val="bottom"/>
          </w:tcPr>
          <w:p>
            <w:pPr>
              <w:spacing w:after="0"/>
              <w:rPr>
                <w:sz w:val="24"/>
                <w:szCs w:val="24"/>
                <w:color w:val="auto"/>
              </w:rPr>
            </w:pP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Public Offering Price:</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99.976%</w:t>
            </w:r>
          </w:p>
        </w:tc>
        <w:tc>
          <w:tcPr>
            <w:tcW w:w="3980" w:type="dxa"/>
            <w:vAlign w:val="bottom"/>
          </w:tcPr>
          <w:p>
            <w:pPr>
              <w:spacing w:after="0"/>
              <w:rPr>
                <w:sz w:val="24"/>
                <w:szCs w:val="24"/>
                <w:color w:val="auto"/>
              </w:rPr>
            </w:pP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Coupon:</w:t>
            </w:r>
          </w:p>
        </w:tc>
        <w:tc>
          <w:tcPr>
            <w:tcW w:w="4140" w:type="dxa"/>
            <w:vAlign w:val="bottom"/>
            <w:gridSpan w:val="2"/>
          </w:tcPr>
          <w:p>
            <w:pPr>
              <w:ind w:left="2800"/>
              <w:spacing w:after="0"/>
              <w:rPr>
                <w:sz w:val="20"/>
                <w:szCs w:val="20"/>
                <w:color w:val="auto"/>
              </w:rPr>
            </w:pPr>
            <w:r>
              <w:rPr>
                <w:rFonts w:ascii="Arial" w:cs="Arial" w:eastAsia="Arial" w:hAnsi="Arial"/>
                <w:sz w:val="18"/>
                <w:szCs w:val="18"/>
                <w:color w:val="auto"/>
              </w:rPr>
              <w:t>4.875%</w:t>
            </w:r>
          </w:p>
        </w:tc>
        <w:tc>
          <w:tcPr>
            <w:tcW w:w="3980" w:type="dxa"/>
            <w:vAlign w:val="bottom"/>
          </w:tcPr>
          <w:p>
            <w:pPr>
              <w:spacing w:after="0"/>
              <w:rPr>
                <w:sz w:val="24"/>
                <w:szCs w:val="24"/>
                <w:color w:val="auto"/>
              </w:rPr>
            </w:pPr>
          </w:p>
        </w:tc>
      </w:tr>
      <w:tr>
        <w:trPr>
          <w:trHeight w:val="310"/>
        </w:trPr>
        <w:tc>
          <w:tcPr>
            <w:tcW w:w="3260" w:type="dxa"/>
            <w:vAlign w:val="bottom"/>
          </w:tcPr>
          <w:p>
            <w:pPr>
              <w:spacing w:after="0"/>
              <w:rPr>
                <w:sz w:val="20"/>
                <w:szCs w:val="20"/>
                <w:color w:val="auto"/>
              </w:rPr>
            </w:pPr>
            <w:r>
              <w:rPr>
                <w:rFonts w:ascii="Arial" w:cs="Arial" w:eastAsia="Arial" w:hAnsi="Arial"/>
                <w:sz w:val="18"/>
                <w:szCs w:val="18"/>
                <w:b w:val="1"/>
                <w:bCs w:val="1"/>
                <w:color w:val="auto"/>
              </w:rPr>
              <w:t>Interest Payment Dates:</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Semi-annually on each June 22 and December 22, beginning on</w:t>
            </w:r>
          </w:p>
        </w:tc>
      </w:tr>
      <w:tr>
        <w:trPr>
          <w:trHeight w:val="230"/>
        </w:trPr>
        <w:tc>
          <w:tcPr>
            <w:tcW w:w="32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December 22, 2018.</w:t>
            </w:r>
          </w:p>
        </w:tc>
      </w:tr>
      <w:tr>
        <w:trPr>
          <w:trHeight w:val="310"/>
        </w:trPr>
        <w:tc>
          <w:tcPr>
            <w:tcW w:w="3260" w:type="dxa"/>
            <w:vAlign w:val="bottom"/>
          </w:tcPr>
          <w:p>
            <w:pPr>
              <w:spacing w:after="0"/>
              <w:rPr>
                <w:sz w:val="20"/>
                <w:szCs w:val="20"/>
                <w:color w:val="auto"/>
              </w:rPr>
            </w:pPr>
            <w:r>
              <w:rPr>
                <w:rFonts w:ascii="Arial" w:cs="Arial" w:eastAsia="Arial" w:hAnsi="Arial"/>
                <w:sz w:val="18"/>
                <w:szCs w:val="18"/>
                <w:b w:val="1"/>
                <w:bCs w:val="1"/>
                <w:color w:val="auto"/>
              </w:rPr>
              <w:t>Optional Redemption:</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w w:val="93"/>
              </w:rPr>
              <w:t>Make-whole at T+30 basis points. On or after March 22, 2028 (the date</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w w:val="92"/>
              </w:rPr>
              <w:t>that is 3 months prior to the maturity of the 2028 Notes), the 2028 Notes</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w w:val="93"/>
              </w:rPr>
              <w:t>are redeemable at 100% of the aggregate principal amount of the 2028</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w w:val="93"/>
              </w:rPr>
              <w:t>Notes being redeemed plus accrued and unpaid interest thereon to, but</w:t>
            </w:r>
          </w:p>
        </w:tc>
      </w:tr>
      <w:tr>
        <w:trPr>
          <w:trHeight w:val="230"/>
        </w:trPr>
        <w:tc>
          <w:tcPr>
            <w:tcW w:w="32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excluding, the redemption date.</w:t>
            </w:r>
          </w:p>
        </w:tc>
      </w:tr>
      <w:tr>
        <w:trPr>
          <w:trHeight w:val="324"/>
        </w:trPr>
        <w:tc>
          <w:tcPr>
            <w:tcW w:w="3260" w:type="dxa"/>
            <w:vAlign w:val="bottom"/>
          </w:tcPr>
          <w:p>
            <w:pPr>
              <w:spacing w:after="0"/>
              <w:rPr>
                <w:sz w:val="20"/>
                <w:szCs w:val="20"/>
                <w:color w:val="auto"/>
              </w:rPr>
            </w:pPr>
            <w:r>
              <w:rPr>
                <w:rFonts w:ascii="Arial" w:cs="Arial" w:eastAsia="Arial" w:hAnsi="Arial"/>
                <w:sz w:val="18"/>
                <w:szCs w:val="18"/>
                <w:b w:val="1"/>
                <w:bCs w:val="1"/>
                <w:color w:val="auto"/>
              </w:rPr>
              <w:t>CUSIP / ISIN:</w:t>
            </w:r>
          </w:p>
        </w:tc>
        <w:tc>
          <w:tcPr>
            <w:tcW w:w="760" w:type="dxa"/>
            <w:vAlign w:val="bottom"/>
          </w:tcPr>
          <w:p>
            <w:pPr>
              <w:spacing w:after="0"/>
              <w:rPr>
                <w:sz w:val="24"/>
                <w:szCs w:val="24"/>
                <w:color w:val="auto"/>
              </w:rPr>
            </w:pPr>
          </w:p>
        </w:tc>
        <w:tc>
          <w:tcPr>
            <w:tcW w:w="7360" w:type="dxa"/>
            <w:vAlign w:val="bottom"/>
            <w:gridSpan w:val="2"/>
          </w:tcPr>
          <w:p>
            <w:pPr>
              <w:ind w:left="2040"/>
              <w:spacing w:after="0"/>
              <w:rPr>
                <w:sz w:val="20"/>
                <w:szCs w:val="20"/>
                <w:color w:val="auto"/>
              </w:rPr>
            </w:pPr>
            <w:r>
              <w:rPr>
                <w:rFonts w:ascii="Arial" w:cs="Arial" w:eastAsia="Arial" w:hAnsi="Arial"/>
                <w:sz w:val="18"/>
                <w:szCs w:val="18"/>
                <w:color w:val="auto"/>
              </w:rPr>
              <w:t>57385L AB4 / US57385LAB45</w:t>
            </w:r>
          </w:p>
        </w:tc>
      </w:tr>
    </w:tbl>
    <w:p>
      <w:pPr>
        <w:sectPr>
          <w:pgSz w:w="11900" w:h="16838" w:orient="portrait"/>
          <w:cols w:equalWidth="0" w:num="1">
            <w:col w:w="11380"/>
          </w:cols>
          <w:pgMar w:left="240" w:top="378" w:right="279" w:bottom="1440" w:gutter="0" w:footer="0" w:header="0"/>
        </w:sectPr>
      </w:pPr>
    </w:p>
    <w:bookmarkStart w:id="2" w:name="page3"/>
    <w:bookmarkEnd w:id="2"/>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p>
    <w:p>
      <w:pPr>
        <w:sectPr>
          <w:pgSz w:w="11900" w:h="16838" w:orient="portrait"/>
          <w:cols w:equalWidth="0" w:num="1">
            <w:col w:w="11420"/>
          </w:cols>
          <w:pgMar w:left="240" w:top="274" w:right="239" w:bottom="1440" w:gutter="0" w:footer="0" w:header="0"/>
        </w:sectPr>
      </w:pPr>
    </w:p>
    <w:p>
      <w:pPr>
        <w:spacing w:after="0" w:line="356"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Joint Book-Running Managers:</w:t>
      </w:r>
    </w:p>
    <w:p>
      <w:pPr>
        <w:spacing w:after="0" w:line="20" w:lineRule="exact"/>
        <w:rPr>
          <w:sz w:val="20"/>
          <w:szCs w:val="20"/>
          <w:color w:val="auto"/>
        </w:rPr>
      </w:pPr>
      <w:r>
        <w:rPr>
          <w:sz w:val="20"/>
          <w:szCs w:val="20"/>
          <w:color w:val="auto"/>
        </w:rPr>
        <w:br w:type="column"/>
      </w:r>
    </w:p>
    <w:p>
      <w:pPr>
        <w:spacing w:after="0" w:line="340" w:lineRule="exact"/>
        <w:rPr>
          <w:sz w:val="20"/>
          <w:szCs w:val="20"/>
          <w:color w:val="auto"/>
        </w:rPr>
      </w:pPr>
    </w:p>
    <w:p>
      <w:pPr>
        <w:spacing w:after="0"/>
        <w:rPr>
          <w:sz w:val="20"/>
          <w:szCs w:val="20"/>
          <w:color w:val="auto"/>
        </w:rPr>
      </w:pPr>
      <w:r>
        <w:rPr>
          <w:rFonts w:ascii="Arial" w:cs="Arial" w:eastAsia="Arial" w:hAnsi="Arial"/>
          <w:sz w:val="18"/>
          <w:szCs w:val="18"/>
          <w:color w:val="auto"/>
        </w:rPr>
        <w:t>Goldman Sachs &amp; Co. LLC</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Merrill Lynch, Pierce, Fenner &amp; Smith</w:t>
      </w:r>
    </w:p>
    <w:p>
      <w:pPr>
        <w:spacing w:after="0" w:line="32" w:lineRule="exact"/>
        <w:rPr>
          <w:sz w:val="20"/>
          <w:szCs w:val="20"/>
          <w:color w:val="auto"/>
        </w:rPr>
      </w:pPr>
    </w:p>
    <w:p>
      <w:pPr>
        <w:ind w:left="940"/>
        <w:spacing w:after="0"/>
        <w:rPr>
          <w:sz w:val="20"/>
          <w:szCs w:val="20"/>
          <w:color w:val="auto"/>
        </w:rPr>
      </w:pPr>
      <w:r>
        <w:rPr>
          <w:rFonts w:ascii="Arial" w:cs="Arial" w:eastAsia="Arial" w:hAnsi="Arial"/>
          <w:sz w:val="18"/>
          <w:szCs w:val="18"/>
          <w:color w:val="auto"/>
        </w:rPr>
        <w:t>Incorporated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Barclays Capital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HSBC Securities (USA)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MUFG Securities Americas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Wells Fargo Securities, LLC</w:t>
      </w:r>
    </w:p>
    <w:p>
      <w:pPr>
        <w:spacing w:after="0" w:line="112" w:lineRule="exact"/>
        <w:rPr>
          <w:sz w:val="20"/>
          <w:szCs w:val="20"/>
          <w:color w:val="auto"/>
        </w:rPr>
      </w:pPr>
    </w:p>
    <w:p>
      <w:pPr>
        <w:sectPr>
          <w:pgSz w:w="11900" w:h="16838" w:orient="portrait"/>
          <w:cols w:equalWidth="0" w:num="2">
            <w:col w:w="5340" w:space="720"/>
            <w:col w:w="5360"/>
          </w:cols>
          <w:pgMar w:left="240" w:top="274" w:right="23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Co-Managers: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BNP Paribas Securities Corp.</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Credit Suisse Securities (USA) LLC</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Mizuho Securities USA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PNC Capital Markets LLC</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SMBC Nikko Securities America, Inc.</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U.S. Bancorp Investments, Inc.</w:t>
      </w:r>
    </w:p>
    <w:p>
      <w:pPr>
        <w:spacing w:after="0" w:line="112" w:lineRule="exact"/>
        <w:rPr>
          <w:sz w:val="20"/>
          <w:szCs w:val="20"/>
          <w:color w:val="auto"/>
        </w:rPr>
      </w:pPr>
    </w:p>
    <w:p>
      <w:pPr>
        <w:sectPr>
          <w:pgSz w:w="11900" w:h="16838" w:orient="portrait"/>
          <w:cols w:equalWidth="0" w:num="2">
            <w:col w:w="5340" w:space="720"/>
            <w:col w:w="5360"/>
          </w:cols>
          <w:pgMar w:left="240" w:top="274" w:right="23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Changes to the Preliminary Prospectus Supplement</w:t>
      </w:r>
    </w:p>
    <w:p>
      <w:pPr>
        <w:spacing w:after="0" w:line="20" w:lineRule="exact"/>
        <w:rPr>
          <w:sz w:val="20"/>
          <w:szCs w:val="20"/>
          <w:color w:val="auto"/>
        </w:rPr>
      </w:pPr>
      <w:r>
        <w:rPr>
          <w:sz w:val="20"/>
          <w:szCs w:val="20"/>
          <w:color w:val="auto"/>
        </w:rPr>
        <w:br w:type="column"/>
      </w:r>
    </w:p>
    <w:p>
      <w:pPr>
        <w:spacing w:after="0" w:line="270" w:lineRule="auto"/>
        <w:rPr>
          <w:sz w:val="20"/>
          <w:szCs w:val="20"/>
          <w:color w:val="auto"/>
        </w:rPr>
      </w:pPr>
      <w:r>
        <w:rPr>
          <w:rFonts w:ascii="Arial" w:cs="Arial" w:eastAsia="Arial" w:hAnsi="Arial"/>
          <w:sz w:val="17"/>
          <w:szCs w:val="17"/>
          <w:color w:val="auto"/>
        </w:rPr>
        <w:t>All references to the expected borrowing of $150 million under the Revolving Credit Facility in, or in documents incorporated by reference in, the Preliminary Prospectus are reduced to $0 and all references to the amount of notes offered hereby are increased by $150 million. In addition, our pro forma interest expense will be increased. For pro forma purposes, we have assumed an interest rate of 3.55% for borrowings under the Revolving Credit Facility. The interest rates for the 2023 Notes and 2028 Notes are 4.200% and 4.875%. Our pro forma interest expense is expected to increase accordingly.</w:t>
      </w:r>
    </w:p>
    <w:p>
      <w:pPr>
        <w:spacing w:after="0" w:line="200" w:lineRule="exact"/>
        <w:rPr>
          <w:sz w:val="20"/>
          <w:szCs w:val="20"/>
          <w:color w:val="auto"/>
        </w:rPr>
      </w:pPr>
    </w:p>
    <w:p>
      <w:pPr>
        <w:sectPr>
          <w:pgSz w:w="11900" w:h="16838" w:orient="portrait"/>
          <w:cols w:equalWidth="0" w:num="2">
            <w:col w:w="5340" w:space="720"/>
            <w:col w:w="5360"/>
          </w:cols>
          <w:pgMar w:left="240" w:top="274" w:right="239" w:bottom="1440" w:gutter="0" w:footer="0" w:header="0"/>
          <w:type w:val="continuous"/>
        </w:sectPr>
      </w:pPr>
    </w:p>
    <w:p>
      <w:pPr>
        <w:spacing w:after="0" w:line="9" w:lineRule="exact"/>
        <w:rPr>
          <w:sz w:val="20"/>
          <w:szCs w:val="20"/>
          <w:color w:val="auto"/>
        </w:rPr>
      </w:pPr>
    </w:p>
    <w:p>
      <w:pPr>
        <w:ind w:left="220" w:right="80" w:hanging="212"/>
        <w:spacing w:after="0" w:line="277" w:lineRule="auto"/>
        <w:tabs>
          <w:tab w:leader="none" w:pos="220" w:val="left"/>
        </w:tabs>
        <w:numPr>
          <w:ilvl w:val="0"/>
          <w:numId w:val="1"/>
        </w:numPr>
        <w:rPr>
          <w:rFonts w:ascii="Arial" w:cs="Arial" w:eastAsia="Arial" w:hAnsi="Arial"/>
          <w:sz w:val="18"/>
          <w:szCs w:val="18"/>
          <w:color w:val="auto"/>
        </w:rPr>
      </w:pPr>
      <w:r>
        <w:rPr>
          <w:rFonts w:ascii="Arial" w:cs="Arial" w:eastAsia="Arial" w:hAnsi="Arial"/>
          <w:sz w:val="18"/>
          <w:szCs w:val="18"/>
          <w:color w:val="auto"/>
        </w:rPr>
        <w:t>Note: A securities rating is not a recommendation to buy, sell or hold securities and may be subject to revision or withdrawal at any time. No report of any rating agency is being incorporated by reference herein.</w:t>
      </w:r>
    </w:p>
    <w:p>
      <w:pPr>
        <w:spacing w:after="0" w:line="166" w:lineRule="exact"/>
        <w:rPr>
          <w:sz w:val="20"/>
          <w:szCs w:val="20"/>
          <w:color w:val="auto"/>
        </w:rPr>
      </w:pPr>
    </w:p>
    <w:p>
      <w:pPr>
        <w:ind w:right="40"/>
        <w:spacing w:after="0" w:line="295" w:lineRule="auto"/>
        <w:rPr>
          <w:sz w:val="20"/>
          <w:szCs w:val="20"/>
          <w:color w:val="auto"/>
        </w:rPr>
      </w:pPr>
      <w:r>
        <w:rPr>
          <w:rFonts w:ascii="Arial" w:cs="Arial" w:eastAsia="Arial" w:hAnsi="Arial"/>
          <w:sz w:val="16"/>
          <w:szCs w:val="16"/>
          <w:b w:val="1"/>
          <w:bCs w:val="1"/>
          <w:color w:val="auto"/>
        </w:rPr>
        <w:t>The Issuer has filed a registration statement (including a prospectus) with the Securities and Exchange Commission (the “SEC”) for the offering to which this communication relates. Before you invest, you should read the prospectus in that registration statement and other documents the Issuer has filed with the SEC, including the prospectus supplement, for more complete information about the Issuer and this offering. You may get these documents for free by visiting EDGAR on the SEC Web site at www.sec.gov. Alternatively, the Issuer, any underwriter or any dealer participating in the offering will arrange to send you the prospectus and the accompanying prospectus supplement if you request it by calling Goldman Sachs &amp; Co. LLC toll-free at 866-471-2526 or Merrill Lynch, Pierce, Fenner &amp; Smith Incorporated toll free at 800-294-1322.</w:t>
      </w:r>
    </w:p>
    <w:sectPr>
      <w:pgSz w:w="11900" w:h="16838" w:orient="portrait"/>
      <w:cols w:equalWidth="0" w:num="1">
        <w:col w:w="11420"/>
      </w:cols>
      <w:pgMar w:left="240" w:top="274"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2019-12-06T11:29:03Z</dcterms:created>
  <dcterms:modified xsi:type="dcterms:W3CDTF">2019-12-06T11:29:03Z</dcterms:modified>
</cp:coreProperties>
</file>