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141605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152400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8"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182"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Date of Report: June 20, 2018</w:t>
      </w:r>
    </w:p>
    <w:p>
      <w:pPr>
        <w:spacing w:after="0" w:line="1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159385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0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sectPr>
      </w:pPr>
    </w:p>
    <w:p>
      <w:pPr>
        <w:spacing w:after="0" w:line="200" w:lineRule="exact"/>
        <w:rPr>
          <w:sz w:val="24"/>
          <w:szCs w:val="24"/>
          <w:color w:val="auto"/>
        </w:rPr>
      </w:pPr>
    </w:p>
    <w:p>
      <w:pPr>
        <w:spacing w:after="0" w:line="316"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6"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409"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700" w:space="720"/>
            <w:col w:w="2900" w:space="720"/>
            <w:col w:w="2320"/>
          </w:cols>
          <w:pgMar w:left="240" w:top="409" w:right="299" w:bottom="1440" w:gutter="0" w:footer="0" w:header="0"/>
          <w:type w:val="continuous"/>
        </w:sect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142240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type w:val="continuous"/>
        </w:sectPr>
      </w:pPr>
    </w:p>
    <w:p>
      <w:pPr>
        <w:spacing w:after="0" w:line="200" w:lineRule="exact"/>
        <w:rPr>
          <w:sz w:val="24"/>
          <w:szCs w:val="24"/>
          <w:color w:val="auto"/>
        </w:rPr>
      </w:pPr>
    </w:p>
    <w:p>
      <w:pPr>
        <w:spacing w:after="0" w:line="239"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49"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ind w:left="460"/>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99060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142240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color w:val="auto"/>
        </w:rPr>
        <w:t>On June 22, 2018, Marvell Technology Group Ltd. (the “Company”) completed a public offering under the Company’s Registration Statement on Form S-3 (File No. 333-225591) (the “Registration Statement”) of (i) $500,000,000 aggregate principal amount of the Company’s 4.200% Senior Notes due 2023 (the “2023 notes”) and (ii) $500,000,000 aggregate principal amount of the Company’s 4.875% Senior Notes due 2028 (the “2028 notes” and, together with the 2023 notes, the “notes”).</w:t>
      </w:r>
    </w:p>
    <w:p>
      <w:pPr>
        <w:spacing w:after="0" w:line="187"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The notes were sold pursuant to an underwriting agreement (the “Underwriting Agreement”) dated June 20, 2018, by and among the Company and Goldman Sachs &amp; Co. LLC and Merrill Lynch, Pierce, Fenner &amp; Smith Incorporated, as representatives of the several underwriters named therein (collectively the “Underwriters”). The Underwriting Agreement contains customary representations, warranties and agreements of the Company, conditions to closing, indemnification rights and obligations of the parties and termination provisions. The notes are being issued under the Indenture dated as of June 22, 2018 (the “Base Indenture”), by and between the Company and U.S. Bank National Association, as trustee (the “Trustee”), as supplemented by the First Supplemental Indenture, dated as of June 22, 2018 (the “First Supplemental Indenture” and, together with the Base Indenture, the “Indenture”), by and between the Company and the Trustee.</w:t>
      </w:r>
    </w:p>
    <w:p>
      <w:pPr>
        <w:spacing w:after="0" w:line="189"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The Company will pay interest on the 2023 notes on June 22 and December 22 of each year, beginning on December 22, 2018. The 2023 notes will mature on June 22, 2023. The Company will pay interest on the 2028 notes on June 22 and December 22 of each year, beginning on December 22, 2018. The 2028 notes will mature on June 22, 2028. The Company may redeem the notes, in whole or in part, at any time prior to their maturity at the redemption prices set forth in the notes.</w:t>
      </w:r>
    </w:p>
    <w:p>
      <w:pPr>
        <w:spacing w:after="0" w:line="187"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In addition, upon the occurrence of a change of control repurchase event (which involves the occurrence of both a change of control and a ratings event involving the notes being rated below investment grade), the Company will be required to make an offer to repurchase the notes at a price equal to 101% of the principal amount of the notes, plus accrued and unpaid interest to, but excluding, the repurchase date.</w:t>
      </w:r>
    </w:p>
    <w:p>
      <w:pPr>
        <w:spacing w:after="0" w:line="181"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In the event (i) the proposed acquisition by the Company of Cavium, Inc. (“Cavium”) pursuant to the Agreement and Plan of Merger (the “Merger Agreement”), dated as of November 19, 2017, by and among the Company, Kauai Acquisition Corp., a Delaware corporation, and Cavium (the “Cavium Acquisition”) is not completed on or prior to March 31, 2019 or (ii) the Merger Agreement is terminated on or at any time prior to such date (each such event referred to as a “special mandatory redemption event”), the Company will be required to redeem all of the 2023 notes and the 2028 notes then outstanding, at a special mandatory redemption price equal to 101% of the aggregate principal amount of such notes, plus accrued and unpaid interest from the date of initial issuance, or the most recent interest payment date on which interest was paid, whichever is later, to, but not including, the Special Mandatory Redemption Date (as defined below). The “Special Mandatory Redemption Date” will be a date selected by the Company and will be no later than 30 days following any special mandatory redemption event.</w:t>
      </w:r>
    </w:p>
    <w:p>
      <w:pPr>
        <w:spacing w:after="0" w:line="179"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The Indenture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18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The notes will be the Company’s senior unsecured obligations and will rank equally with the Company’s other senior unsecured debt from time to time outstanding. The notes will be effectively subordinated to any existing or future indebtedness of any of the Company’s subsidiaries. The notes are subject to customary covenants and events of default, as set forth in the Indenture.</w:t>
      </w:r>
    </w:p>
    <w:p>
      <w:pPr>
        <w:spacing w:after="0" w:line="18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Company expects that the net proceeds from the offering of the notes will be approximately $988.7 million after deducting underwriting discounts and other estimated expenses of the offering. Net proceeds will be used to fund a portion of the cash consideration for the Cavium Acquisition, to repay certain of Cavium’s debt and to pay fees and expenses related to the Cavium Acquisition.</w:t>
      </w:r>
    </w:p>
    <w:p>
      <w:pPr>
        <w:sectPr>
          <w:pgSz w:w="11900" w:h="16838" w:orient="portrait"/>
          <w:cols w:equalWidth="0" w:num="1">
            <w:col w:w="11400"/>
          </w:cols>
          <w:pgMar w:left="240" w:top="270" w:right="259" w:bottom="1440" w:gutter="0" w:footer="0" w:header="0"/>
        </w:sectPr>
      </w:pPr>
    </w:p>
    <w:bookmarkStart w:id="2" w:name="page3"/>
    <w:bookmarkEnd w:id="2"/>
    <w:p>
      <w:pPr>
        <w:ind w:right="2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copy of the Underwriting Agreement, the Base Indenture and the First Supplemental Indenture (including the form of notes attached thereto) is attached hereto as Exhibits 1.1, 4.1 and 4.2, respectively, and are incorporated herein by reference. The foregoing description of the notes, the Underwriting Agreement, the Base Indenture and the First Supplemental Indenture is qualified in its entirety by reference to the full text of the Underwriting Agreement, the Base Indenture and the First Supplemental Indenture (including the form of notes attached thereto).</w:t>
      </w:r>
    </w:p>
    <w:p>
      <w:pPr>
        <w:spacing w:after="0" w:line="316" w:lineRule="exact"/>
        <w:rPr>
          <w:sz w:val="20"/>
          <w:szCs w:val="20"/>
          <w:color w:val="auto"/>
        </w:rPr>
      </w:pPr>
    </w:p>
    <w:p>
      <w:pPr>
        <w:ind w:right="1360"/>
        <w:spacing w:after="0" w:line="445" w:lineRule="auto"/>
        <w:rPr>
          <w:sz w:val="20"/>
          <w:szCs w:val="20"/>
          <w:color w:val="auto"/>
        </w:rPr>
      </w:pPr>
      <w:r>
        <w:rPr>
          <w:rFonts w:ascii="Arial" w:cs="Arial" w:eastAsia="Arial" w:hAnsi="Arial"/>
          <w:sz w:val="17"/>
          <w:szCs w:val="17"/>
          <w:b w:val="1"/>
          <w:bCs w:val="1"/>
          <w:color w:val="auto"/>
        </w:rPr>
        <w:t xml:space="preserve">Item 2.03. Creation of a Direct Financial Obligation or an Obligation under an Off-Balance Sheet Arrangement of a Registrant </w:t>
      </w:r>
      <w:r>
        <w:rPr>
          <w:rFonts w:ascii="Arial" w:cs="Arial" w:eastAsia="Arial" w:hAnsi="Arial"/>
          <w:sz w:val="17"/>
          <w:szCs w:val="17"/>
          <w:color w:val="auto"/>
        </w:rPr>
        <w:t>The disclosure under Item 1.01 of this Current Report on Form 8-K is hereby incorporated by reference in response to this Item 2.03.</w:t>
      </w:r>
    </w:p>
    <w:p>
      <w:pPr>
        <w:spacing w:after="0" w:line="18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60" w:type="dxa"/>
            <w:vAlign w:val="bottom"/>
          </w:tcPr>
          <w:p>
            <w:pPr>
              <w:spacing w:after="0"/>
              <w:rPr>
                <w:sz w:val="16"/>
                <w:szCs w:val="16"/>
                <w:color w:val="auto"/>
              </w:rPr>
            </w:pPr>
          </w:p>
        </w:tc>
        <w:tc>
          <w:tcPr>
            <w:tcW w:w="110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10260" w:type="dxa"/>
            <w:vAlign w:val="bottom"/>
            <w:gridSpan w:val="11"/>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2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4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940" w:type="dxa"/>
            <w:vAlign w:val="bottom"/>
            <w:shd w:val="clear" w:color="auto" w:fill="000000"/>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r>
      <w:tr>
        <w:trPr>
          <w:trHeight w:val="264"/>
        </w:trPr>
        <w:tc>
          <w:tcPr>
            <w:tcW w:w="760" w:type="dxa"/>
            <w:vAlign w:val="bottom"/>
            <w:gridSpan w:val="2"/>
          </w:tcPr>
          <w:p>
            <w:pPr>
              <w:spacing w:after="0"/>
              <w:rPr>
                <w:sz w:val="20"/>
                <w:szCs w:val="20"/>
                <w:color w:val="auto"/>
              </w:rPr>
            </w:pPr>
            <w:r>
              <w:rPr>
                <w:rFonts w:ascii="Arial" w:cs="Arial" w:eastAsia="Arial" w:hAnsi="Arial"/>
                <w:sz w:val="18"/>
                <w:szCs w:val="18"/>
                <w:color w:val="auto"/>
              </w:rPr>
              <w:t>1.1</w:t>
            </w:r>
          </w:p>
        </w:tc>
        <w:tc>
          <w:tcPr>
            <w:tcW w:w="400" w:type="dxa"/>
            <w:vAlign w:val="bottom"/>
          </w:tcPr>
          <w:p>
            <w:pPr>
              <w:spacing w:after="0"/>
              <w:rPr>
                <w:sz w:val="22"/>
                <w:szCs w:val="22"/>
                <w:color w:val="auto"/>
              </w:rPr>
            </w:pPr>
          </w:p>
        </w:tc>
        <w:tc>
          <w:tcPr>
            <w:tcW w:w="10020" w:type="dxa"/>
            <w:vAlign w:val="bottom"/>
            <w:tcBorders>
              <w:bottom w:val="single" w:sz="8" w:color="0000EE"/>
            </w:tcBorders>
            <w:gridSpan w:val="10"/>
          </w:tcPr>
          <w:p>
            <w:pPr>
              <w:spacing w:after="0"/>
              <w:rPr>
                <w:rFonts w:ascii="Arial" w:cs="Arial" w:eastAsia="Arial" w:hAnsi="Arial"/>
                <w:sz w:val="18"/>
                <w:szCs w:val="18"/>
                <w:color w:val="0000EE"/>
                <w:w w:val="91"/>
              </w:rPr>
            </w:pPr>
            <w:hyperlink w:anchor="page5">
              <w:r>
                <w:rPr>
                  <w:rFonts w:ascii="Arial" w:cs="Arial" w:eastAsia="Arial" w:hAnsi="Arial"/>
                  <w:sz w:val="18"/>
                  <w:szCs w:val="18"/>
                  <w:color w:val="0000EE"/>
                  <w:w w:val="91"/>
                </w:rPr>
                <w:t>Underwriting Agreement, dated June 20, 2018, by and among Marvell Technology Group Ltd. and Goldman Sachs &amp; Co. LLC and Merrill</w:t>
              </w:r>
            </w:hyperlink>
          </w:p>
        </w:tc>
        <w:tc>
          <w:tcPr>
            <w:tcW w:w="240" w:type="dxa"/>
            <w:vAlign w:val="bottom"/>
          </w:tcPr>
          <w:p>
            <w:pPr>
              <w:spacing w:after="0"/>
              <w:rPr>
                <w:sz w:val="22"/>
                <w:szCs w:val="22"/>
                <w:color w:val="auto"/>
              </w:rPr>
            </w:pPr>
          </w:p>
        </w:tc>
      </w:tr>
      <w:tr>
        <w:trPr>
          <w:trHeight w:val="196"/>
        </w:trPr>
        <w:tc>
          <w:tcPr>
            <w:tcW w:w="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260" w:type="dxa"/>
            <w:vAlign w:val="bottom"/>
            <w:gridSpan w:val="11"/>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Lynch, Pierce, Fenner &amp; Smith Incorporated, as representatives of the several underwriters named therein</w:t>
              </w:r>
            </w:hyperlink>
          </w:p>
        </w:tc>
      </w:tr>
      <w:tr>
        <w:trPr>
          <w:trHeight w:val="20"/>
        </w:trPr>
        <w:tc>
          <w:tcPr>
            <w:tcW w:w="76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92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940" w:type="dxa"/>
            <w:vAlign w:val="bottom"/>
            <w:shd w:val="clear" w:color="auto" w:fill="0000EE"/>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4.1</w:t>
            </w:r>
          </w:p>
        </w:tc>
        <w:tc>
          <w:tcPr>
            <w:tcW w:w="400" w:type="dxa"/>
            <w:vAlign w:val="bottom"/>
          </w:tcPr>
          <w:p>
            <w:pPr>
              <w:spacing w:after="0"/>
              <w:rPr>
                <w:sz w:val="24"/>
                <w:szCs w:val="24"/>
                <w:color w:val="auto"/>
              </w:rPr>
            </w:pPr>
          </w:p>
        </w:tc>
        <w:tc>
          <w:tcPr>
            <w:tcW w:w="9600" w:type="dxa"/>
            <w:vAlign w:val="bottom"/>
            <w:tcBorders>
              <w:bottom w:val="single" w:sz="8" w:color="0000EE"/>
            </w:tcBorders>
            <w:gridSpan w:val="9"/>
          </w:tcPr>
          <w:p>
            <w:pPr>
              <w:spacing w:after="0"/>
              <w:rPr>
                <w:rFonts w:ascii="Arial" w:cs="Arial" w:eastAsia="Arial" w:hAnsi="Arial"/>
                <w:sz w:val="18"/>
                <w:szCs w:val="18"/>
                <w:color w:val="0000EE"/>
                <w:w w:val="90"/>
              </w:rPr>
            </w:pPr>
            <w:hyperlink w:anchor="page42">
              <w:r>
                <w:rPr>
                  <w:rFonts w:ascii="Arial" w:cs="Arial" w:eastAsia="Arial" w:hAnsi="Arial"/>
                  <w:sz w:val="18"/>
                  <w:szCs w:val="18"/>
                  <w:color w:val="0000EE"/>
                  <w:w w:val="90"/>
                </w:rPr>
                <w:t>Indenture, dated as of June 22, 2018, by and between Marvell Technology Group Ltd. and U.S. Bank National Association, as trustee</w:t>
              </w:r>
            </w:hyperlink>
          </w:p>
        </w:tc>
        <w:tc>
          <w:tcPr>
            <w:tcW w:w="660" w:type="dxa"/>
            <w:vAlign w:val="bottom"/>
            <w:gridSpan w:val="2"/>
          </w:tcPr>
          <w:p>
            <w:pPr>
              <w:spacing w:after="0"/>
              <w:rPr>
                <w:sz w:val="24"/>
                <w:szCs w:val="24"/>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4.2</w:t>
            </w:r>
          </w:p>
        </w:tc>
        <w:tc>
          <w:tcPr>
            <w:tcW w:w="400" w:type="dxa"/>
            <w:vAlign w:val="bottom"/>
          </w:tcPr>
          <w:p>
            <w:pPr>
              <w:spacing w:after="0"/>
              <w:rPr>
                <w:sz w:val="24"/>
                <w:szCs w:val="24"/>
                <w:color w:val="auto"/>
              </w:rPr>
            </w:pPr>
          </w:p>
        </w:tc>
        <w:tc>
          <w:tcPr>
            <w:tcW w:w="10260" w:type="dxa"/>
            <w:vAlign w:val="bottom"/>
            <w:gridSpan w:val="11"/>
          </w:tcPr>
          <w:p>
            <w:pPr>
              <w:spacing w:after="0"/>
              <w:rPr>
                <w:rFonts w:ascii="Arial" w:cs="Arial" w:eastAsia="Arial" w:hAnsi="Arial"/>
                <w:sz w:val="18"/>
                <w:szCs w:val="18"/>
                <w:color w:val="0000EE"/>
                <w:w w:val="99"/>
              </w:rPr>
            </w:pPr>
            <w:hyperlink w:anchor="page114">
              <w:r>
                <w:rPr>
                  <w:rFonts w:ascii="Arial" w:cs="Arial" w:eastAsia="Arial" w:hAnsi="Arial"/>
                  <w:sz w:val="18"/>
                  <w:szCs w:val="18"/>
                  <w:color w:val="0000EE"/>
                  <w:w w:val="99"/>
                </w:rPr>
                <w:t>First Supplemental Indenture, dated as of June 22, 2018, by and between Marvell Technology Group Ltd. and U.S. Bank National</w:t>
              </w:r>
            </w:hyperlink>
          </w:p>
        </w:tc>
      </w:tr>
      <w:tr>
        <w:trPr>
          <w:trHeight w:val="196"/>
        </w:trPr>
        <w:tc>
          <w:tcPr>
            <w:tcW w:w="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8"/>
              </w:rPr>
            </w:pPr>
            <w:hyperlink w:anchor="page114">
              <w:r>
                <w:rPr>
                  <w:rFonts w:ascii="Arial" w:cs="Arial" w:eastAsia="Arial" w:hAnsi="Arial"/>
                  <w:sz w:val="18"/>
                  <w:szCs w:val="18"/>
                  <w:color w:val="0000EE"/>
                  <w:w w:val="88"/>
                </w:rPr>
                <w:t>Association, as trustee</w:t>
              </w:r>
            </w:hyperlink>
          </w:p>
        </w:tc>
        <w:tc>
          <w:tcPr>
            <w:tcW w:w="7720" w:type="dxa"/>
            <w:vAlign w:val="bottom"/>
            <w:tcBorders>
              <w:top w:val="single" w:sz="8" w:color="0000EE"/>
            </w:tcBorders>
            <w:gridSpan w:val="7"/>
          </w:tcPr>
          <w:p>
            <w:pPr>
              <w:spacing w:after="0"/>
              <w:rPr>
                <w:sz w:val="17"/>
                <w:szCs w:val="17"/>
                <w:color w:val="auto"/>
              </w:rPr>
            </w:pPr>
          </w:p>
        </w:tc>
        <w:tc>
          <w:tcPr>
            <w:tcW w:w="920" w:type="dxa"/>
            <w:vAlign w:val="bottom"/>
            <w:gridSpan w:val="3"/>
          </w:tcPr>
          <w:p>
            <w:pPr>
              <w:spacing w:after="0"/>
              <w:rPr>
                <w:sz w:val="17"/>
                <w:szCs w:val="17"/>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4.3</w:t>
            </w:r>
          </w:p>
        </w:tc>
        <w:tc>
          <w:tcPr>
            <w:tcW w:w="400" w:type="dxa"/>
            <w:vAlign w:val="bottom"/>
          </w:tcPr>
          <w:p>
            <w:pPr>
              <w:spacing w:after="0"/>
              <w:rPr>
                <w:sz w:val="24"/>
                <w:szCs w:val="24"/>
                <w:color w:val="auto"/>
              </w:rPr>
            </w:pPr>
          </w:p>
        </w:tc>
        <w:tc>
          <w:tcPr>
            <w:tcW w:w="470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114">
              <w:r>
                <w:rPr>
                  <w:rFonts w:ascii="Arial" w:cs="Arial" w:eastAsia="Arial" w:hAnsi="Arial"/>
                  <w:sz w:val="18"/>
                  <w:szCs w:val="18"/>
                  <w:color w:val="0000EE"/>
                  <w:w w:val="91"/>
                </w:rPr>
                <w:t>Form of 4.200% Senior Notes due 2023 (included in Exhibit 4.2)</w:t>
              </w:r>
            </w:hyperlink>
          </w:p>
        </w:tc>
        <w:tc>
          <w:tcPr>
            <w:tcW w:w="5560" w:type="dxa"/>
            <w:vAlign w:val="bottom"/>
            <w:gridSpan w:val="5"/>
          </w:tcPr>
          <w:p>
            <w:pPr>
              <w:spacing w:after="0"/>
              <w:rPr>
                <w:sz w:val="24"/>
                <w:szCs w:val="24"/>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4.4</w:t>
            </w:r>
          </w:p>
        </w:tc>
        <w:tc>
          <w:tcPr>
            <w:tcW w:w="400" w:type="dxa"/>
            <w:vAlign w:val="bottom"/>
          </w:tcPr>
          <w:p>
            <w:pPr>
              <w:spacing w:after="0"/>
              <w:rPr>
                <w:sz w:val="24"/>
                <w:szCs w:val="24"/>
                <w:color w:val="auto"/>
              </w:rPr>
            </w:pPr>
          </w:p>
        </w:tc>
        <w:tc>
          <w:tcPr>
            <w:tcW w:w="10260" w:type="dxa"/>
            <w:vAlign w:val="bottom"/>
            <w:gridSpan w:val="11"/>
          </w:tcPr>
          <w:p>
            <w:pPr>
              <w:spacing w:after="0"/>
              <w:rPr>
                <w:rFonts w:ascii="Arial" w:cs="Arial" w:eastAsia="Arial" w:hAnsi="Arial"/>
                <w:sz w:val="18"/>
                <w:szCs w:val="18"/>
                <w:color w:val="0000EE"/>
              </w:rPr>
            </w:pPr>
            <w:hyperlink w:anchor="page114">
              <w:r>
                <w:rPr>
                  <w:rFonts w:ascii="Arial" w:cs="Arial" w:eastAsia="Arial" w:hAnsi="Arial"/>
                  <w:sz w:val="18"/>
                  <w:szCs w:val="18"/>
                  <w:color w:val="0000EE"/>
                </w:rPr>
                <w:t>Form of 4.875% Senior Notes due 2028 (included in Exhibit 4.2)</w:t>
              </w:r>
            </w:hyperlink>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5.1</w:t>
            </w:r>
          </w:p>
        </w:tc>
        <w:tc>
          <w:tcPr>
            <w:tcW w:w="400" w:type="dxa"/>
            <w:vAlign w:val="bottom"/>
          </w:tcPr>
          <w:p>
            <w:pPr>
              <w:spacing w:after="0"/>
              <w:rPr>
                <w:sz w:val="24"/>
                <w:szCs w:val="24"/>
                <w:color w:val="auto"/>
              </w:rPr>
            </w:pPr>
          </w:p>
        </w:tc>
        <w:tc>
          <w:tcPr>
            <w:tcW w:w="254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93"/>
              </w:rPr>
            </w:pPr>
            <w:hyperlink w:anchor="page163">
              <w:r>
                <w:rPr>
                  <w:rFonts w:ascii="Arial" w:cs="Arial" w:eastAsia="Arial" w:hAnsi="Arial"/>
                  <w:sz w:val="18"/>
                  <w:szCs w:val="18"/>
                  <w:color w:val="0000EE"/>
                  <w:w w:val="93"/>
                </w:rPr>
                <w:t>Opinion of Hogan Lovells US LLP</w:t>
              </w:r>
            </w:hyperlink>
          </w:p>
        </w:tc>
        <w:tc>
          <w:tcPr>
            <w:tcW w:w="2140" w:type="dxa"/>
            <w:vAlign w:val="bottom"/>
            <w:tcBorders>
              <w:top w:val="single" w:sz="8" w:color="0000EE"/>
            </w:tcBorders>
            <w:gridSpan w:val="3"/>
          </w:tcPr>
          <w:p>
            <w:pPr>
              <w:spacing w:after="0"/>
              <w:rPr>
                <w:sz w:val="24"/>
                <w:szCs w:val="24"/>
                <w:color w:val="auto"/>
              </w:rPr>
            </w:pPr>
          </w:p>
        </w:tc>
        <w:tc>
          <w:tcPr>
            <w:tcW w:w="5580" w:type="dxa"/>
            <w:vAlign w:val="bottom"/>
            <w:gridSpan w:val="6"/>
          </w:tcPr>
          <w:p>
            <w:pPr>
              <w:spacing w:after="0"/>
              <w:rPr>
                <w:sz w:val="24"/>
                <w:szCs w:val="24"/>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5.2</w:t>
            </w:r>
          </w:p>
        </w:tc>
        <w:tc>
          <w:tcPr>
            <w:tcW w:w="400" w:type="dxa"/>
            <w:vAlign w:val="bottom"/>
          </w:tcPr>
          <w:p>
            <w:pPr>
              <w:spacing w:after="0"/>
              <w:rPr>
                <w:sz w:val="24"/>
                <w:szCs w:val="24"/>
                <w:color w:val="auto"/>
              </w:rPr>
            </w:pPr>
          </w:p>
        </w:tc>
        <w:tc>
          <w:tcPr>
            <w:tcW w:w="10260" w:type="dxa"/>
            <w:vAlign w:val="bottom"/>
            <w:gridSpan w:val="11"/>
          </w:tcPr>
          <w:p>
            <w:pPr>
              <w:spacing w:after="0"/>
              <w:rPr>
                <w:rFonts w:ascii="Arial" w:cs="Arial" w:eastAsia="Arial" w:hAnsi="Arial"/>
                <w:sz w:val="18"/>
                <w:szCs w:val="18"/>
                <w:color w:val="0000EE"/>
              </w:rPr>
            </w:pPr>
            <w:hyperlink w:anchor="page166">
              <w:r>
                <w:rPr>
                  <w:rFonts w:ascii="Arial" w:cs="Arial" w:eastAsia="Arial" w:hAnsi="Arial"/>
                  <w:sz w:val="18"/>
                  <w:szCs w:val="18"/>
                  <w:color w:val="0000EE"/>
                </w:rPr>
                <w:t>Opinion of Appleby (Bermuda) Limited</w:t>
              </w:r>
            </w:hyperlink>
          </w:p>
        </w:tc>
      </w:tr>
      <w:tr>
        <w:trPr>
          <w:trHeight w:val="20"/>
        </w:trPr>
        <w:tc>
          <w:tcPr>
            <w:tcW w:w="76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80" w:type="dxa"/>
            <w:vAlign w:val="bottom"/>
            <w:gridSpan w:val="3"/>
            <w:shd w:val="clear" w:color="auto" w:fill="0000EE"/>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5560" w:type="dxa"/>
            <w:vAlign w:val="bottom"/>
            <w:gridSpan w:val="5"/>
          </w:tcPr>
          <w:p>
            <w:pPr>
              <w:spacing w:after="0" w:line="20" w:lineRule="exact"/>
              <w:rPr>
                <w:sz w:val="1"/>
                <w:szCs w:val="1"/>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23.1</w:t>
            </w:r>
          </w:p>
        </w:tc>
        <w:tc>
          <w:tcPr>
            <w:tcW w:w="400" w:type="dxa"/>
            <w:vAlign w:val="bottom"/>
          </w:tcPr>
          <w:p>
            <w:pPr>
              <w:spacing w:after="0"/>
              <w:rPr>
                <w:sz w:val="24"/>
                <w:szCs w:val="24"/>
                <w:color w:val="auto"/>
              </w:rPr>
            </w:pPr>
          </w:p>
        </w:tc>
        <w:tc>
          <w:tcPr>
            <w:tcW w:w="10260" w:type="dxa"/>
            <w:vAlign w:val="bottom"/>
            <w:gridSpan w:val="11"/>
          </w:tcPr>
          <w:p>
            <w:pPr>
              <w:spacing w:after="0"/>
              <w:rPr>
                <w:rFonts w:ascii="Arial" w:cs="Arial" w:eastAsia="Arial" w:hAnsi="Arial"/>
                <w:sz w:val="18"/>
                <w:szCs w:val="18"/>
                <w:color w:val="0000EE"/>
              </w:rPr>
            </w:pPr>
            <w:hyperlink w:anchor="page163">
              <w:r>
                <w:rPr>
                  <w:rFonts w:ascii="Arial" w:cs="Arial" w:eastAsia="Arial" w:hAnsi="Arial"/>
                  <w:sz w:val="18"/>
                  <w:szCs w:val="18"/>
                  <w:color w:val="0000EE"/>
                </w:rPr>
                <w:t>Consent of Hogan Lovells US LLP (included in Exhibit 5.1)</w:t>
              </w:r>
            </w:hyperlink>
          </w:p>
        </w:tc>
      </w:tr>
      <w:tr>
        <w:trPr>
          <w:trHeight w:val="20"/>
        </w:trPr>
        <w:tc>
          <w:tcPr>
            <w:tcW w:w="76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340" w:type="dxa"/>
            <w:vAlign w:val="bottom"/>
            <w:gridSpan w:val="4"/>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5560" w:type="dxa"/>
            <w:vAlign w:val="bottom"/>
            <w:gridSpan w:val="5"/>
          </w:tcPr>
          <w:p>
            <w:pPr>
              <w:spacing w:after="0" w:line="20" w:lineRule="exact"/>
              <w:rPr>
                <w:sz w:val="1"/>
                <w:szCs w:val="1"/>
                <w:color w:val="auto"/>
              </w:rPr>
            </w:pPr>
          </w:p>
        </w:tc>
      </w:tr>
      <w:tr>
        <w:trPr>
          <w:trHeight w:val="304"/>
        </w:trPr>
        <w:tc>
          <w:tcPr>
            <w:tcW w:w="760" w:type="dxa"/>
            <w:vAlign w:val="bottom"/>
            <w:gridSpan w:val="2"/>
          </w:tcPr>
          <w:p>
            <w:pPr>
              <w:spacing w:after="0"/>
              <w:rPr>
                <w:sz w:val="20"/>
                <w:szCs w:val="20"/>
                <w:color w:val="auto"/>
              </w:rPr>
            </w:pPr>
            <w:r>
              <w:rPr>
                <w:rFonts w:ascii="Arial" w:cs="Arial" w:eastAsia="Arial" w:hAnsi="Arial"/>
                <w:sz w:val="18"/>
                <w:szCs w:val="18"/>
                <w:color w:val="auto"/>
              </w:rPr>
              <w:t>23.2</w:t>
            </w:r>
          </w:p>
        </w:tc>
        <w:tc>
          <w:tcPr>
            <w:tcW w:w="400" w:type="dxa"/>
            <w:vAlign w:val="bottom"/>
          </w:tcPr>
          <w:p>
            <w:pPr>
              <w:spacing w:after="0"/>
              <w:rPr>
                <w:sz w:val="24"/>
                <w:szCs w:val="24"/>
                <w:color w:val="auto"/>
              </w:rPr>
            </w:pPr>
          </w:p>
        </w:tc>
        <w:tc>
          <w:tcPr>
            <w:tcW w:w="4700" w:type="dxa"/>
            <w:vAlign w:val="bottom"/>
            <w:tcBorders>
              <w:bottom w:val="single" w:sz="8" w:color="0000EE"/>
            </w:tcBorders>
            <w:gridSpan w:val="6"/>
          </w:tcPr>
          <w:p>
            <w:pPr>
              <w:spacing w:after="0"/>
              <w:rPr>
                <w:rFonts w:ascii="Arial" w:cs="Arial" w:eastAsia="Arial" w:hAnsi="Arial"/>
                <w:sz w:val="18"/>
                <w:szCs w:val="18"/>
                <w:color w:val="0000EE"/>
                <w:w w:val="93"/>
              </w:rPr>
            </w:pPr>
            <w:hyperlink w:anchor="page166">
              <w:r>
                <w:rPr>
                  <w:rFonts w:ascii="Arial" w:cs="Arial" w:eastAsia="Arial" w:hAnsi="Arial"/>
                  <w:sz w:val="18"/>
                  <w:szCs w:val="18"/>
                  <w:color w:val="0000EE"/>
                  <w:w w:val="93"/>
                </w:rPr>
                <w:t>Consent of Appleby (Bermuda) Limited (included in Exhibit 5.2)</w:t>
              </w:r>
            </w:hyperlink>
          </w:p>
        </w:tc>
        <w:tc>
          <w:tcPr>
            <w:tcW w:w="5560" w:type="dxa"/>
            <w:vAlign w:val="bottom"/>
            <w:gridSpan w:val="5"/>
          </w:tcPr>
          <w:p>
            <w:pPr>
              <w:spacing w:after="0"/>
              <w:rPr>
                <w:sz w:val="24"/>
                <w:szCs w:val="24"/>
                <w:color w:val="auto"/>
              </w:rPr>
            </w:pPr>
          </w:p>
        </w:tc>
      </w:tr>
    </w:tbl>
    <w:p>
      <w:pPr>
        <w:sectPr>
          <w:pgSz w:w="11900" w:h="16838" w:orient="portrait"/>
          <w:cols w:equalWidth="0" w:num="1">
            <w:col w:w="11420"/>
          </w:cols>
          <w:pgMar w:left="240" w:top="274" w:right="239" w:bottom="1440" w:gutter="0" w:footer="0" w:header="0"/>
        </w:sectPr>
      </w:pPr>
    </w:p>
    <w:bookmarkStart w:id="3" w:name="page4"/>
    <w:bookmarkEnd w:id="3"/>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June 22,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9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Administration and Legal Officer and Secretary</w:t>
      </w:r>
    </w:p>
    <w:p>
      <w:pPr>
        <w:sectPr>
          <w:pgSz w:w="11900" w:h="16838" w:orient="portrait"/>
          <w:cols w:equalWidth="0" w:num="1">
            <w:col w:w="11220"/>
          </w:cols>
          <w:pgMar w:left="240" w:top="270" w:right="4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1.1</w:t>
      </w:r>
    </w:p>
    <w:p>
      <w:pPr>
        <w:spacing w:after="0" w:line="225"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$500,000,000 4.200% Senior Notes due 2023</w:t>
      </w:r>
    </w:p>
    <w:p>
      <w:pPr>
        <w:spacing w:after="0" w:line="225"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$500,000,000 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223520</wp:posOffset>
            </wp:positionV>
            <wp:extent cx="15176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Underwriting Agreement</w:t>
      </w:r>
    </w:p>
    <w:p>
      <w:pPr>
        <w:spacing w:after="0" w:line="229"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June 20, 2018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Merrill Lynch, Pierce, Fenner &amp; Smith</w:t>
      </w:r>
    </w:p>
    <w:p>
      <w:pPr>
        <w:spacing w:after="0" w:line="9" w:lineRule="exact"/>
        <w:rPr>
          <w:sz w:val="20"/>
          <w:szCs w:val="20"/>
          <w:color w:val="auto"/>
        </w:rPr>
      </w:pPr>
    </w:p>
    <w:p>
      <w:pPr>
        <w:ind w:left="960"/>
        <w:spacing w:after="0"/>
        <w:rPr>
          <w:sz w:val="20"/>
          <w:szCs w:val="20"/>
          <w:color w:val="auto"/>
        </w:rPr>
      </w:pPr>
      <w:r>
        <w:rPr>
          <w:rFonts w:ascii="Arial" w:cs="Arial" w:eastAsia="Arial" w:hAnsi="Arial"/>
          <w:sz w:val="18"/>
          <w:szCs w:val="18"/>
          <w:color w:val="auto"/>
        </w:rPr>
        <w:t>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 representatives (the “Representatives”) of the several Underwriters named in Schedule I hereto,</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c/o Goldman Sachs &amp; Co.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200 West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New York 10282-2198,</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c/o Merrill Lynch, Pierce, Fenner &amp; Smith</w:t>
      </w:r>
    </w:p>
    <w:p>
      <w:pPr>
        <w:spacing w:after="0" w:line="23" w:lineRule="exact"/>
        <w:rPr>
          <w:sz w:val="20"/>
          <w:szCs w:val="20"/>
          <w:color w:val="auto"/>
        </w:rPr>
      </w:pPr>
    </w:p>
    <w:p>
      <w:pPr>
        <w:ind w:left="1260"/>
        <w:spacing w:after="0"/>
        <w:rPr>
          <w:sz w:val="20"/>
          <w:szCs w:val="20"/>
          <w:color w:val="auto"/>
        </w:rPr>
      </w:pPr>
      <w:r>
        <w:rPr>
          <w:rFonts w:ascii="Arial" w:cs="Arial" w:eastAsia="Arial" w:hAnsi="Arial"/>
          <w:sz w:val="18"/>
          <w:szCs w:val="18"/>
          <w:color w:val="auto"/>
        </w:rPr>
        <w:t>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One Bryant Park,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New York 10036-6728.</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Marvell Technology Group Ltd., a Bermuda exempted company (the “Company”), proposes, subject to the terms and conditions stated in this agreement (this “Agreement”), to issue and sell to the Underwriters named in Schedule I hereto (the “Underwriters”) an aggregate of $500,000,000 principal amount of its 4.200% Senior Notes due 2023 (the “2023 Notes”) and an aggregate of $500,000,000 principal amount of its 4.875% Senior Notes due 2028 (the “2028 Notes” and, together with the 2023 Notes, the “Securities”).</w:t>
      </w:r>
    </w:p>
    <w:p>
      <w:pPr>
        <w:spacing w:after="0" w:line="18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Securities are being issued and sold in connection with the acquisition (the “Acquisition”) of all of the outstanding equity interests of Cavium, Inc., a Delaware corporation (the “Acquired Company”), by the Company pursuant to an agreement and plan of merger, dated as of November 19, 2017 (as in effect as of the date hereof, together with all exhibits, schedules and attachments thereto, the “Merger Agreement”), by and among the Company, Kauai Acquisition Corp., a Delaware corporation and an indirect wholly owned subsidiary of the Company (the “Merger Sub”), and the Acquired Company. Pursuant to the Merger Agreement, the Merger Sub will merge with and into the Acquired Company, with the Acquired Company continuing as the surviving corporation and an indirect wholly owned subsidiary of the Company.</w:t>
      </w:r>
    </w:p>
    <w:p>
      <w:pPr>
        <w:sectPr>
          <w:pgSz w:w="11900" w:h="16838" w:orient="portrait"/>
          <w:cols w:equalWidth="0" w:num="1">
            <w:col w:w="11420"/>
          </w:cols>
          <w:pgMar w:left="240" w:top="121" w:right="239" w:bottom="1440" w:gutter="0" w:footer="0" w:header="0"/>
        </w:sectPr>
      </w:pPr>
    </w:p>
    <w:bookmarkStart w:id="5" w:name="page6"/>
    <w:bookmarkEnd w:id="5"/>
    <w:p>
      <w:pPr>
        <w:spacing w:after="0"/>
        <w:tabs>
          <w:tab w:leader="none" w:pos="3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w:t>
      </w:r>
      <w:r>
        <w:rPr>
          <w:sz w:val="20"/>
          <w:szCs w:val="20"/>
          <w:color w:val="auto"/>
        </w:rPr>
        <w:tab/>
      </w:r>
      <w:r>
        <w:rPr>
          <w:rFonts w:ascii="Arial" w:cs="Arial" w:eastAsia="Arial" w:hAnsi="Arial"/>
          <w:sz w:val="16"/>
          <w:szCs w:val="16"/>
          <w:color w:val="auto"/>
        </w:rPr>
        <w:t>The Company represents and warrants to, and agrees with, each of the Underwriters that:</w:t>
      </w:r>
    </w:p>
    <w:p>
      <w:pPr>
        <w:spacing w:after="0" w:line="225" w:lineRule="exact"/>
        <w:rPr>
          <w:sz w:val="20"/>
          <w:szCs w:val="20"/>
          <w:color w:val="auto"/>
        </w:rPr>
      </w:pPr>
    </w:p>
    <w:p>
      <w:pPr>
        <w:ind w:firstLine="438"/>
        <w:spacing w:after="0" w:line="284" w:lineRule="auto"/>
        <w:rPr>
          <w:sz w:val="20"/>
          <w:szCs w:val="20"/>
          <w:color w:val="auto"/>
        </w:rPr>
      </w:pPr>
      <w:r>
        <w:rPr>
          <w:rFonts w:ascii="Arial" w:cs="Arial" w:eastAsia="Arial" w:hAnsi="Arial"/>
          <w:sz w:val="16"/>
          <w:szCs w:val="16"/>
          <w:color w:val="auto"/>
        </w:rPr>
        <w:t>(a) An “automatic shelf registration statement” as defined under Rule 405 under the Securities Act of 1933, as amended (the “Act”), on Form S-3 (File No. 333-225591) in respect of the Securities has been filed with the Securities and Exchange Commission (the “Commission”) not earlier than three years prior to the date hereof; such registration statement, and any post-effective amendment thereto, became effective on filing; and no stop order suspending the effectiveness of such registration statement or any part thereof has been issued and no proceeding for that purpose has been initiated or, to the knowledge of the Company, threatened by the Commission, and no notice of objection of the Commission to the use of such registration statement or any post-effective amendment thereto pursuant to Rule 401(g)(2) under the Act has been received by the Company (the base prospectus filed as part of such registration statement, in the form in which it has most recently been filed with the Commission on or prior to the date of this Agreement, is hereinafter called the “Base Prospectus”; any preliminary prospectus (including any preliminary prospectus supplement) relating to the Securities filed with the Commission pursuant to Rule 424(b) under the Act is hereinafter called a “Preliminary Prospectus”; the various parts of such registration statement, including all exhibits thereto and including any prospectus supplement relating to the Securities that is filed with the Commission and deemed by virtue of Rule 430B to be part of such registration statement, each as amended at the time such part of the registration statement became effective, are hereinafter collectively called the “Registration Statement”; the Base Prospectus, as amended and supplemented immediately prior to the Applicable Time (as defined in Section 1(c) hereof), is hereinafter called the “Pricing Prospectus”; the form of the final prospectus relating to the Securities filed with the Commission pursuant to Rule 424(b) under the Act in accordance with Section 5(a) hereof is hereinafter called the “Prospectus”; any reference herein to the Base Prospectus, the Pricing Prospectus, any Preliminary Prospectus or the Prospectus shall be deemed to refer to and include the documents incorporated by reference therein pursuant to Item 12 of Form S-3 under the Act, as of the date of such prospectus; any reference to any amendment or supplement to the Base Prospectus, any Preliminary Prospectus or the Prospectus shall be deemed to refer to and include any post-effective amendment to the Registration Statement, any prospectus supplement relating to the Securities filed with the Commission pursuant to Rule 424(b) under the Act and any documents filed under the Securities Exchange Act of 1934, as amended (the “Exchange Act”), and incorporated therein, in each case after the date of the Base Prospectus, such Preliminary Prospectus, or the Prospectus, as the case may be; any reference to any amendment to the Registration Statement shall be deemed to refer to and include any annual report of the Company filed pursuant to Section 13(a) or 15(d) of the Exchange Act after the effective date of the Registration Statement that is incorporated by reference in the Registration Statement; and any “issuer free writing prospectus” as defined in Rule 433 under the Act relating to the Securities is hereinafter called an “Issuer Free Writing Prospectus”);</w:t>
      </w:r>
    </w:p>
    <w:p>
      <w:pPr>
        <w:spacing w:after="0" w:line="327"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700" w:top="274" w:right="239" w:bottom="1440" w:gutter="0" w:footer="0" w:header="0"/>
        </w:sectPr>
      </w:pPr>
    </w:p>
    <w:bookmarkStart w:id="6" w:name="page7"/>
    <w:bookmarkEnd w:id="6"/>
    <w:p>
      <w:pPr>
        <w:ind w:right="20" w:firstLine="443"/>
        <w:spacing w:after="0" w:line="293" w:lineRule="auto"/>
        <w:tabs>
          <w:tab w:leader="none" w:pos="828" w:val="left"/>
        </w:tabs>
        <w:numPr>
          <w:ilvl w:val="0"/>
          <w:numId w:val="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No order preventing or suspending the use of any Preliminary Prospectus or any Issuer Free Writing Prospectus has been issued by the Commission, and (B) each Preliminary Prospectus, at the time of filing thereof, conformed in all material respects to the requirements of the Act and the Trust Indenture Act of 1939, as amended (the “Trust Indenture Act”), and the rules and regulations of the Commission thereunder, and did not contain an untrue statement of a material fact or omit to state a material fact required to be stated therein or necessary to make the statements therein, in the light of the circumstances under which they were made, not misleading; provided, however, that this representation and warranty shall not apply to any statements or omissions made in reliance upon and in conformity with the Underwriter Information (as defined in Section 9(b) hereof);</w:t>
      </w:r>
    </w:p>
    <w:p>
      <w:pPr>
        <w:spacing w:after="0" w:line="164" w:lineRule="exact"/>
        <w:rPr>
          <w:rFonts w:ascii="Arial" w:cs="Arial" w:eastAsia="Arial" w:hAnsi="Arial"/>
          <w:sz w:val="16"/>
          <w:szCs w:val="16"/>
          <w:color w:val="auto"/>
        </w:rPr>
      </w:pPr>
    </w:p>
    <w:p>
      <w:pPr>
        <w:ind w:firstLine="443"/>
        <w:spacing w:after="0" w:line="288" w:lineRule="auto"/>
        <w:tabs>
          <w:tab w:leader="none" w:pos="818" w:val="left"/>
        </w:tabs>
        <w:numPr>
          <w:ilvl w:val="0"/>
          <w:numId w:val="3"/>
        </w:numPr>
        <w:rPr>
          <w:rFonts w:ascii="Arial" w:cs="Arial" w:eastAsia="Arial" w:hAnsi="Arial"/>
          <w:sz w:val="16"/>
          <w:szCs w:val="16"/>
          <w:color w:val="auto"/>
        </w:rPr>
      </w:pPr>
      <w:r>
        <w:rPr>
          <w:rFonts w:ascii="Arial" w:cs="Arial" w:eastAsia="Arial" w:hAnsi="Arial"/>
          <w:sz w:val="16"/>
          <w:szCs w:val="16"/>
          <w:color w:val="auto"/>
        </w:rPr>
        <w:t>For the purposes of this Agreement, the “Applicable Time” is 4:30 p.m. (Eastern time) on the date of this Agreement; the Pricing Prospectus as supplemented by the final term sheet prepared and filed pursuant to Section 5(a) hereof, taken together (collectively, the “Pricing Disclosure Package”) as of the Applicable Time, did not, and as of the Time of Delivery (as defined in Section 4(a) hereof) will not, include any untrue statement of a material fact or omit to state any material fact necessary in order to make the statements therein, in the light of the circumstances under which they were made, not misleading; and each Issuer Free Writing Prospectus and any electronic roadshow does not conflict with the information contained in the Registration Statement, the Pricing Prospectus or the Prospectus and each Issuer Free Writing Prospectus listed on Schedule II(a) hereto and any electronic roadshow, as supplemented by and taken together with the Pricing Disclosure Package as of the Applicable Time, did not, and as of the Time of Delivery will not, include any untrue statement of a material fact or omit to state any material fact necessary in order to make the statements therein, in the light of the circumstances under which they were made, not misleading; provided, however, that this representation and warranty shall not apply to statements or omissions made in an Issuer Free Writing Prospectus in reliance upon and in conformity with the Underwriter Information;</w:t>
      </w:r>
    </w:p>
    <w:p>
      <w:pPr>
        <w:spacing w:after="0" w:line="169" w:lineRule="exact"/>
        <w:rPr>
          <w:rFonts w:ascii="Arial" w:cs="Arial" w:eastAsia="Arial" w:hAnsi="Arial"/>
          <w:sz w:val="16"/>
          <w:szCs w:val="16"/>
          <w:color w:val="auto"/>
        </w:rPr>
      </w:pPr>
    </w:p>
    <w:p>
      <w:pPr>
        <w:ind w:right="40" w:firstLine="443"/>
        <w:spacing w:after="0" w:line="271" w:lineRule="auto"/>
        <w:tabs>
          <w:tab w:leader="none" w:pos="825"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documents incorporated by reference in the Registration Statement, the Pricing Prospectus and the Prospectus, when they became effective or were filed with the Commission, as the case may be, (i) conformed in all material respects to the requirements of the Exchange Act, as applicable, and the rules and regulations of the Commission thereunder, and (ii) none of such documents when they were filed with the Commission contained an untrue statement of a material fact or omitted to state a material fact required to be stated therein or necessary to make the statements therein not misleading; any further documents so filed and incorporated by reference in the Registration Statement, Pricing Prospectus and the Prospectus or any further amendment or supplement thereto, when such documents become effective or are filed with the Commission, as the case may be, will conform in all material respects to the requirements of the Act or the Exchange Act, as applicable, and the rules and regulations of the Commission thereunder and will not contain an untrue statement of a material fact</w:t>
      </w:r>
    </w:p>
    <w:p>
      <w:pPr>
        <w:spacing w:after="0" w:line="111"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40"/>
          </w:cols>
          <w:pgMar w:left="700" w:top="274" w:right="259" w:bottom="1440" w:gutter="0" w:footer="0" w:header="0"/>
        </w:sectPr>
      </w:pPr>
    </w:p>
    <w:bookmarkStart w:id="7" w:name="page8"/>
    <w:bookmarkEnd w:id="7"/>
    <w:p>
      <w:pPr>
        <w:ind w:right="2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or omit to state a material fact required to be stated therein or necessary to make the statements therein not misleading; provided, however, that this representation and warranty shall not apply to any statements or omissions made in reliance upon and in conformity with the Underwriter Information; and no such documents were filed with the Commission since the Commission’s close of business on the business day immediately prior to the date of this Agreement and prior to the execution of this Agreement, except as set forth on Schedule II(b) hereto; to the Company’s knowledge, the information regarding the Acquired Company included in the Company’s Current Report on Form 8-K filed on June 13, 2018 and incorporated by reference in the Registration Statement, Pricing Prospectus and the Prospectus, did not contain any untrue statement of material fact or omit to state a material fact required to be stated therein or necessary to make the statements therein not misleading;</w:t>
      </w:r>
    </w:p>
    <w:p>
      <w:pPr>
        <w:spacing w:after="0" w:line="178" w:lineRule="exact"/>
        <w:rPr>
          <w:sz w:val="20"/>
          <w:szCs w:val="20"/>
          <w:color w:val="auto"/>
        </w:rPr>
      </w:pPr>
    </w:p>
    <w:p>
      <w:pPr>
        <w:ind w:right="20" w:firstLine="443"/>
        <w:spacing w:after="0" w:line="293" w:lineRule="auto"/>
        <w:tabs>
          <w:tab w:leader="none" w:pos="815" w:val="left"/>
        </w:tabs>
        <w:numPr>
          <w:ilvl w:val="0"/>
          <w:numId w:val="4"/>
        </w:numPr>
        <w:rPr>
          <w:rFonts w:ascii="Arial" w:cs="Arial" w:eastAsia="Arial" w:hAnsi="Arial"/>
          <w:sz w:val="16"/>
          <w:szCs w:val="16"/>
          <w:color w:val="auto"/>
        </w:rPr>
      </w:pPr>
      <w:r>
        <w:rPr>
          <w:rFonts w:ascii="Arial" w:cs="Arial" w:eastAsia="Arial" w:hAnsi="Arial"/>
          <w:sz w:val="16"/>
          <w:szCs w:val="16"/>
          <w:color w:val="auto"/>
        </w:rPr>
        <w:t>The Registration Statement conforms, and the Prospectus and any further amendments or supplements to the Registration Statement and the Prospectus will conform, in all material respects to the requirements of the Act and the Trust Indenture Act and the rules and regulations of the Commission thereunder and do not and will not, as of the applicable effective date as to each part of the Registration Statement, as of the applicable filing date as to the Prospectus and any amendment or supplement thereto, and as of the Time of Delivery, contain an untrue statement of a material fact or omit to state a material fact required to be stated therein or necessary to make the statements therein not misleading; provided, however, that this representation and warranty shall not apply to any statements or omissions made in reliance upon and in conformity with the Underwriter Information;</w:t>
      </w:r>
    </w:p>
    <w:p>
      <w:pPr>
        <w:spacing w:after="0" w:line="164" w:lineRule="exact"/>
        <w:rPr>
          <w:rFonts w:ascii="Arial" w:cs="Arial" w:eastAsia="Arial" w:hAnsi="Arial"/>
          <w:sz w:val="16"/>
          <w:szCs w:val="16"/>
          <w:color w:val="auto"/>
        </w:rPr>
      </w:pPr>
    </w:p>
    <w:p>
      <w:pPr>
        <w:ind w:firstLine="443"/>
        <w:spacing w:after="0" w:line="287" w:lineRule="auto"/>
        <w:tabs>
          <w:tab w:leader="none" w:pos="798" w:val="left"/>
        </w:tabs>
        <w:numPr>
          <w:ilvl w:val="0"/>
          <w:numId w:val="4"/>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since the date of the latest audited financial statements included or incorporated by reference in the Pricing Prospectus (i) sustained any loss or interference with its business that is material to the Company and its subsidiaries taken as a whole, from fire, explosion, flood or other calamity, whether or not covered by insurance, or from any labor dispute or court or governmental action, order or decree or (ii) entered into any transaction or agreement (whether or not in the ordinary course of business) that is material to the Company and its subsidiaries taken as a whole, or incurred any liability or obligation, direct or contingent, that is material to the Company and its subsidiaries taken as a whole, in each case, otherwise than as set forth or contemplated in the Pricing Prospectus; and, since the respective dates as of which information is given in the Registration Statement and the Pricing Prospectus, there has not been (x) any change to the authorized capitalization of the Company or long -term debt of the Company and its subsidiaries as set forth in the Pricing Prospectus under the caption “Capitalization,” otherwise than as set forth or contemplated in the Pricing Prospectus or (y) any Material Adverse Effect (as defined below); as used in this Agreement, “Material Adverse Effect” shall mean any material adverse change or effect, or any development involving a prospective material adverse change or effect, in or affecting (i) the business, properties, general affairs, management, financial position, stockholders’ equity or</w:t>
      </w:r>
    </w:p>
    <w:p>
      <w:pPr>
        <w:spacing w:after="0" w:line="105"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700" w:top="274" w:right="239" w:bottom="1440" w:gutter="0" w:footer="0" w:header="0"/>
        </w:sectPr>
      </w:pPr>
    </w:p>
    <w:bookmarkStart w:id="8" w:name="page9"/>
    <w:bookmarkEnd w:id="8"/>
    <w:p>
      <w:pPr>
        <w:ind w:right="5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results of operations of (x) the Company and its subsidiaries, taken as a whole, or (y) the Company, the Acquired Company and their respective subsidiaries (the “Combined Company”), taken as a whole, except as set forth or contemplated in the Pricing Prospectus, or (ii) the ability of the Company to perform its obligations under this Agreement, including the issuance and sale of the Securities, or to consummate the transactions contemplated in the Pricing Prospectus and the Prospectus;</w:t>
      </w:r>
    </w:p>
    <w:p>
      <w:pPr>
        <w:spacing w:after="0" w:line="187" w:lineRule="exact"/>
        <w:rPr>
          <w:sz w:val="20"/>
          <w:szCs w:val="20"/>
          <w:color w:val="auto"/>
        </w:rPr>
      </w:pPr>
    </w:p>
    <w:p>
      <w:pPr>
        <w:ind w:right="360" w:firstLine="443"/>
        <w:spacing w:after="0" w:line="276" w:lineRule="auto"/>
        <w:tabs>
          <w:tab w:leader="none" w:pos="825" w:val="left"/>
        </w:tabs>
        <w:numPr>
          <w:ilvl w:val="1"/>
          <w:numId w:val="5"/>
        </w:numPr>
        <w:rPr>
          <w:rFonts w:ascii="Arial" w:cs="Arial" w:eastAsia="Arial" w:hAnsi="Arial"/>
          <w:sz w:val="17"/>
          <w:szCs w:val="17"/>
          <w:color w:val="auto"/>
        </w:rPr>
      </w:pPr>
      <w:r>
        <w:rPr>
          <w:rFonts w:ascii="Arial" w:cs="Arial" w:eastAsia="Arial" w:hAnsi="Arial"/>
          <w:sz w:val="17"/>
          <w:szCs w:val="17"/>
          <w:color w:val="auto"/>
        </w:rPr>
        <w:t>The Company and its subsidiaries have good and marketable title in fee simple to all real property and good and marketable title to all personal property owned by them, in each case free and clear of all liens, encumbrances and defects except such as are described in the Pricing Prospectus or such as would not, individually and in the aggregate, have a Material Adverse Effect; and any real property and buildings held under lease by the Company and its subsidiaries are held by them under valid, subsisting and enforceable leases with such exceptions as would not, individually and in the aggregate, have a Material Adverse Effect;</w:t>
      </w:r>
    </w:p>
    <w:p>
      <w:pPr>
        <w:spacing w:after="0" w:line="172" w:lineRule="exact"/>
        <w:rPr>
          <w:rFonts w:ascii="Arial" w:cs="Arial" w:eastAsia="Arial" w:hAnsi="Arial"/>
          <w:sz w:val="17"/>
          <w:szCs w:val="17"/>
          <w:color w:val="auto"/>
        </w:rPr>
      </w:pPr>
    </w:p>
    <w:p>
      <w:pPr>
        <w:ind w:firstLine="443"/>
        <w:spacing w:after="0" w:line="255" w:lineRule="auto"/>
        <w:tabs>
          <w:tab w:leader="none" w:pos="828" w:val="left"/>
        </w:tabs>
        <w:numPr>
          <w:ilvl w:val="1"/>
          <w:numId w:val="5"/>
        </w:numPr>
        <w:rPr>
          <w:rFonts w:ascii="Arial" w:cs="Arial" w:eastAsia="Arial" w:hAnsi="Arial"/>
          <w:sz w:val="18"/>
          <w:szCs w:val="18"/>
          <w:color w:val="auto"/>
        </w:rPr>
      </w:pPr>
      <w:r>
        <w:rPr>
          <w:rFonts w:ascii="Arial" w:cs="Arial" w:eastAsia="Arial" w:hAnsi="Arial"/>
          <w:sz w:val="18"/>
          <w:szCs w:val="18"/>
          <w:color w:val="auto"/>
        </w:rPr>
        <w:t>Each of the Company and its “significant subsidiaries”, as such term is defined in Rule 1-02 of Regulation S-X under the Exchange Act, has been (i) duly organized and is validly existing and in good standing under the laws of its jurisdiction of organization, with power and authority (corporate and other) to own its properties and conduct its business as described in the Pricing Prospectus, and (ii) duly qualified as a foreign corporation for the transaction of business and is in good standing under the laws of each other jurisdiction in which it owns or leases properties or conducts any business so as to require such qualification, except, in the case of this clause (ii), where the failure to be so qualified or in good standing would not, individually or in the aggregate, have a Material Adverse Effect; and each “significant subsidiary” of the Company is listed on Schedule IV hereto;</w:t>
      </w:r>
    </w:p>
    <w:p>
      <w:pPr>
        <w:spacing w:after="0" w:line="189" w:lineRule="exact"/>
        <w:rPr>
          <w:rFonts w:ascii="Arial" w:cs="Arial" w:eastAsia="Arial" w:hAnsi="Arial"/>
          <w:sz w:val="18"/>
          <w:szCs w:val="18"/>
          <w:color w:val="auto"/>
        </w:rPr>
      </w:pPr>
    </w:p>
    <w:p>
      <w:pPr>
        <w:jc w:val="both"/>
        <w:ind w:right="540" w:firstLine="443"/>
        <w:spacing w:after="0" w:line="291" w:lineRule="auto"/>
        <w:tabs>
          <w:tab w:leader="none" w:pos="785" w:val="left"/>
        </w:tabs>
        <w:numPr>
          <w:ilvl w:val="1"/>
          <w:numId w:val="5"/>
        </w:numPr>
        <w:rPr>
          <w:rFonts w:ascii="Arial" w:cs="Arial" w:eastAsia="Arial" w:hAnsi="Arial"/>
          <w:sz w:val="16"/>
          <w:szCs w:val="16"/>
          <w:color w:val="auto"/>
        </w:rPr>
      </w:pPr>
      <w:r>
        <w:rPr>
          <w:rFonts w:ascii="Arial" w:cs="Arial" w:eastAsia="Arial" w:hAnsi="Arial"/>
          <w:sz w:val="16"/>
          <w:szCs w:val="16"/>
          <w:color w:val="auto"/>
        </w:rPr>
        <w:t>The Company has an authorized capitalization as set forth in the Pricing Prospectus and all of the issued shares of capital stock of the Company have been duly and validly authorized and issued and are fully paid and non-assessable; and all of the issued shares of capital stock of</w:t>
      </w:r>
    </w:p>
    <w:p>
      <w:pPr>
        <w:jc w:val="both"/>
        <w:ind w:right="120" w:firstLine="4"/>
        <w:spacing w:after="0" w:line="302" w:lineRule="auto"/>
        <w:tabs>
          <w:tab w:leader="none" w:pos="215" w:val="left"/>
        </w:tabs>
        <w:numPr>
          <w:ilvl w:val="0"/>
          <w:numId w:val="6"/>
        </w:numPr>
        <w:rPr>
          <w:rFonts w:ascii="Arial" w:cs="Arial" w:eastAsia="Arial" w:hAnsi="Arial"/>
          <w:sz w:val="16"/>
          <w:szCs w:val="16"/>
          <w:color w:val="auto"/>
        </w:rPr>
      </w:pPr>
      <w:r>
        <w:rPr>
          <w:rFonts w:ascii="Arial" w:cs="Arial" w:eastAsia="Arial" w:hAnsi="Arial"/>
          <w:sz w:val="16"/>
          <w:szCs w:val="16"/>
          <w:color w:val="auto"/>
        </w:rPr>
        <w:t>each subsidiary of the Company have been duly and validly authorized and issued, are fully paid and non-assessable and (ii) each subsidiary of the Company (except, in the case of any foreign subsidiary, for directors’ qualifying shares) is owned directly or indirectly by the Company free and clear of all liens, encumbrances, equities or claims, except as would not, individually and in the aggregate, have a Material Adverse Effect;</w:t>
      </w:r>
    </w:p>
    <w:p>
      <w:pPr>
        <w:spacing w:after="0" w:line="155" w:lineRule="exact"/>
        <w:rPr>
          <w:rFonts w:ascii="Arial" w:cs="Arial" w:eastAsia="Arial" w:hAnsi="Arial"/>
          <w:sz w:val="16"/>
          <w:szCs w:val="16"/>
          <w:color w:val="auto"/>
        </w:rPr>
      </w:pPr>
    </w:p>
    <w:p>
      <w:pPr>
        <w:ind w:right="20" w:firstLine="443"/>
        <w:spacing w:after="0" w:line="264" w:lineRule="auto"/>
        <w:tabs>
          <w:tab w:leader="none" w:pos="785" w:val="left"/>
        </w:tabs>
        <w:numPr>
          <w:ilvl w:val="1"/>
          <w:numId w:val="6"/>
        </w:numPr>
        <w:rPr>
          <w:rFonts w:ascii="Arial" w:cs="Arial" w:eastAsia="Arial" w:hAnsi="Arial"/>
          <w:sz w:val="18"/>
          <w:szCs w:val="18"/>
          <w:color w:val="auto"/>
        </w:rPr>
      </w:pPr>
      <w:r>
        <w:rPr>
          <w:rFonts w:ascii="Arial" w:cs="Arial" w:eastAsia="Arial" w:hAnsi="Arial"/>
          <w:sz w:val="18"/>
          <w:szCs w:val="18"/>
          <w:color w:val="auto"/>
        </w:rPr>
        <w:t>The Securities have been duly authorized and, when issued and delivered pursuant to this Agreement, will have been duly executed, authenticated, issued and delivered and will constitute valid and legally binding obligations of the Company, enforceable in accordance with their terms and entitled to the benefits provided by the indenture to be dated as of June 22, 2018</w:t>
      </w:r>
    </w:p>
    <w:p>
      <w:pPr>
        <w:spacing w:after="0" w:line="114"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700" w:top="274" w:right="259" w:bottom="1440" w:gutter="0" w:footer="0" w:header="0"/>
        </w:sectPr>
      </w:pPr>
    </w:p>
    <w:bookmarkStart w:id="9" w:name="page10"/>
    <w:bookmarkEnd w:id="9"/>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“Base Indenture”) between the Company and U.S. Bank National Association as trustee (the “Trustee”) under which they are to be issued, which is substantially in the form filed as an exhibit to the Registration Statement, as supplemented by a supplemental indenture, to be dated as of June 22, 2018 by and between the Company and the Trustee with respect to the 2023 Notes and the 2028 Notes (the “First Supplemental Indenture” and, together with the Base Indenture, the “Indenture”); the Indenture has been duly authorized and duly qualified under the Trust Indenture Act and, when executed and delivered by the Company and the Trustee, will constitute a valid and legally binding instrument, enforceable in accordance with its terms, subject, as to enforcement, to bankruptcy, insolvency, reorganization and other laws of general applicability relating to or affecting creditors’ rights and to general equity principles; and the Securities and the Indenture will conform to the descriptions thereof in the Pricing Disclosure Package and the Prospectus;</w:t>
      </w:r>
    </w:p>
    <w:p>
      <w:pPr>
        <w:spacing w:after="0" w:line="167" w:lineRule="exact"/>
        <w:rPr>
          <w:sz w:val="20"/>
          <w:szCs w:val="20"/>
          <w:color w:val="auto"/>
        </w:rPr>
      </w:pPr>
    </w:p>
    <w:p>
      <w:pPr>
        <w:ind w:right="40" w:firstLine="443"/>
        <w:spacing w:after="0" w:line="287" w:lineRule="auto"/>
        <w:tabs>
          <w:tab w:leader="none" w:pos="825"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issue and sale of the Securities and the compliance by the Company with all of the provisions of the Securities, the Indenture and this Agreement and the consummation of the transactions herein and therein contemplated will not conflict with or result in a breach or violation of any of the terms or provisions of, or constitute a default under (A) any indenture, mortgage, deed of trust, loan agreement, lease or other agreement or instrument to which the Company or any of its subsidiaries is a party or by which the Company or any of its subsidiaries is bound or to which any of the property or assets of the Company or any of its subsidiaries is subject, except, in the case of this clause (A) for such defaults, breaches, or violations that would not, individually or in the aggregate, have a Material Adverse Effect, (B) the certificate of incorporation or by-laws (or other applicable organizational document) of the Company or any of its subsidiaries, or (C) any statute or any judgment, order, rule or regulation of any court or governmental agency or body having jurisdiction over the Company or any of its subsidiaries, or any of their properties; and no consent, approval, authorization, order, registration or qualification of or with any such court or governmental agency or body is required for the issue and sale of the Securities or the consummation by the Company of the transactions contemplated by this Agreement, except such as have been obtained under the Act and the Trust Indenture Act and for such consents, approvals, authorizations, orders, registrations or qualifications as may be required under state securities or Blue Sky laws in connection with the purchase and distribution of the Securities by the Underwriters;</w:t>
      </w:r>
    </w:p>
    <w:p>
      <w:pPr>
        <w:spacing w:after="0" w:line="168" w:lineRule="exact"/>
        <w:rPr>
          <w:rFonts w:ascii="Arial" w:cs="Arial" w:eastAsia="Arial" w:hAnsi="Arial"/>
          <w:sz w:val="16"/>
          <w:szCs w:val="16"/>
          <w:color w:val="auto"/>
        </w:rPr>
      </w:pPr>
    </w:p>
    <w:p>
      <w:pPr>
        <w:ind w:right="100" w:firstLine="443"/>
        <w:spacing w:after="0" w:line="273" w:lineRule="auto"/>
        <w:tabs>
          <w:tab w:leader="none" w:pos="788" w:val="left"/>
        </w:tabs>
        <w:numPr>
          <w:ilvl w:val="0"/>
          <w:numId w:val="7"/>
        </w:numPr>
        <w:rPr>
          <w:rFonts w:ascii="Arial" w:cs="Arial" w:eastAsia="Arial" w:hAnsi="Arial"/>
          <w:sz w:val="17"/>
          <w:szCs w:val="17"/>
          <w:color w:val="auto"/>
        </w:rPr>
      </w:pPr>
      <w:r>
        <w:rPr>
          <w:rFonts w:ascii="Arial" w:cs="Arial" w:eastAsia="Arial" w:hAnsi="Arial"/>
          <w:sz w:val="17"/>
          <w:szCs w:val="17"/>
          <w:color w:val="auto"/>
        </w:rPr>
        <w:t>Neither the Company nor any of its subsidiaries is (i) in violation of its certificate of incorporation or by-laws (or other applicable organization document), (ii) in violation of any statute or any judgment, order, rule or regulation of any court or governmental agency or body having jurisdiction over the Company or any of its subsidiaries or any of their respective properties, or (iii) in default in the performance or observance of any obligation, agreement, covenant or condition contained in any indenture, mortgage, deed of trust, loan agreement, lease or other agreement or instrument to which it is a party or by which it or any of its properties may be bound, except, in the case of the foregoing clauses (ii) and (iii), for such defaults as would not, individually or in the aggregate, have a Material Adverse Effect;</w:t>
      </w:r>
    </w:p>
    <w:p>
      <w:pPr>
        <w:spacing w:after="0" w:line="111"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60"/>
          </w:cols>
          <w:pgMar w:left="700" w:top="274" w:right="239" w:bottom="1440" w:gutter="0" w:footer="0" w:header="0"/>
        </w:sectPr>
      </w:pPr>
    </w:p>
    <w:bookmarkStart w:id="10" w:name="page11"/>
    <w:bookmarkEnd w:id="10"/>
    <w:p>
      <w:pPr>
        <w:ind w:right="100" w:firstLine="443"/>
        <w:spacing w:after="0" w:line="259" w:lineRule="auto"/>
        <w:tabs>
          <w:tab w:leader="none" w:pos="875" w:val="left"/>
        </w:tabs>
        <w:numPr>
          <w:ilvl w:val="0"/>
          <w:numId w:val="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statements set forth in the Pricing Prospectus and the Prospectus under the caption “Description of the Notes” and “Description of Debt Securities”, insofar as they purport to constitute a summary of the terms of the Indenture and the Securities, and under the caption “Material Tax Considerations”, to the extent that such information constitutes matters of law or legal conclusions, have been reviewed by us and are correct in all material respects;</w:t>
      </w:r>
    </w:p>
    <w:p>
      <w:pPr>
        <w:spacing w:after="0" w:line="186" w:lineRule="exact"/>
        <w:rPr>
          <w:rFonts w:ascii="Arial" w:cs="Arial" w:eastAsia="Arial" w:hAnsi="Arial"/>
          <w:sz w:val="18"/>
          <w:szCs w:val="18"/>
          <w:color w:val="auto"/>
        </w:rPr>
      </w:pPr>
    </w:p>
    <w:p>
      <w:pPr>
        <w:ind w:firstLine="443"/>
        <w:spacing w:after="0" w:line="297" w:lineRule="auto"/>
        <w:tabs>
          <w:tab w:leader="none" w:pos="828" w:val="left"/>
        </w:tabs>
        <w:numPr>
          <w:ilvl w:val="0"/>
          <w:numId w:val="8"/>
        </w:numPr>
        <w:rPr>
          <w:rFonts w:ascii="Arial" w:cs="Arial" w:eastAsia="Arial" w:hAnsi="Arial"/>
          <w:sz w:val="16"/>
          <w:szCs w:val="16"/>
          <w:color w:val="auto"/>
        </w:rPr>
      </w:pPr>
      <w:r>
        <w:rPr>
          <w:rFonts w:ascii="Arial" w:cs="Arial" w:eastAsia="Arial" w:hAnsi="Arial"/>
          <w:sz w:val="16"/>
          <w:szCs w:val="16"/>
          <w:color w:val="auto"/>
        </w:rPr>
        <w:t>Other than as set forth in the Pricing Prospectus, there are no legal or governmental proceedings pending to which the Company or any of its subsidiaries or, to the Company’s knowledge, any of their respective officers or directors, is a party or of which any property or assets of the Company or any of its subsidiaries or, to the Company’s knowledge, any of their respective officers or directors, is the subject which, if determined adversely to the Company or any of its subsidiaries, officers or directors, as applicable, would individually or in the aggregate have a Material Adverse Effect; and, to the Company’s knowledge, no such proceedings are threatened or contemplated by governmental authorities or others;</w:t>
      </w:r>
    </w:p>
    <w:p>
      <w:pPr>
        <w:spacing w:after="0" w:line="158" w:lineRule="exact"/>
        <w:rPr>
          <w:rFonts w:ascii="Arial" w:cs="Arial" w:eastAsia="Arial" w:hAnsi="Arial"/>
          <w:sz w:val="16"/>
          <w:szCs w:val="16"/>
          <w:color w:val="auto"/>
        </w:rPr>
      </w:pPr>
    </w:p>
    <w:p>
      <w:pPr>
        <w:ind w:right="20" w:firstLine="443"/>
        <w:spacing w:after="0" w:line="308" w:lineRule="auto"/>
        <w:tabs>
          <w:tab w:leader="none" w:pos="825"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Company is not and, after giving effect to the offering and sale of the Securities and the application of the proceeds thereof, will not be an “investment company”, as such term is defined in the Investment Company Act of 1940, as amended (the “Investment Company Act”);</w:t>
      </w:r>
    </w:p>
    <w:p>
      <w:pPr>
        <w:spacing w:after="0" w:line="146" w:lineRule="exact"/>
        <w:rPr>
          <w:rFonts w:ascii="Arial" w:cs="Arial" w:eastAsia="Arial" w:hAnsi="Arial"/>
          <w:sz w:val="17"/>
          <w:szCs w:val="17"/>
          <w:color w:val="auto"/>
        </w:rPr>
      </w:pPr>
    </w:p>
    <w:p>
      <w:pPr>
        <w:ind w:firstLine="443"/>
        <w:spacing w:after="0" w:line="254" w:lineRule="auto"/>
        <w:tabs>
          <w:tab w:leader="none" w:pos="828" w:val="left"/>
        </w:tabs>
        <w:numPr>
          <w:ilvl w:val="0"/>
          <w:numId w:val="8"/>
        </w:numPr>
        <w:rPr>
          <w:rFonts w:ascii="Arial" w:cs="Arial" w:eastAsia="Arial" w:hAnsi="Arial"/>
          <w:sz w:val="18"/>
          <w:szCs w:val="18"/>
          <w:color w:val="auto"/>
        </w:rPr>
      </w:pPr>
      <w:r>
        <w:rPr>
          <w:rFonts w:ascii="Arial" w:cs="Arial" w:eastAsia="Arial" w:hAnsi="Arial"/>
          <w:sz w:val="18"/>
          <w:szCs w:val="18"/>
          <w:color w:val="auto"/>
        </w:rPr>
        <w:t>(A) (i) At the time of filing the Registration Statement, (ii) at the time of the most recent amendment thereto for the purposes of complying with Section 10(a)(3) of the Act (whether such amendment was by post-effective amendment, incorporated report filed pursuant to Section 13 or 15(d) of the Exchange Act or form of prospectus), and (iii) at the time the Company or any person acting on its behalf (within the meaning, for this clause only, of Rule 163(c) under the Act) made any offer relating to the Securities in reliance on the exemption of Rule 163 under the Act, the Company was a “well-known seasoned issuer” as defined in Rule 405 under the Act; and (B) (i) at the time of filing the Registration Statement and any post-effective amendment thereto, (ii) at the earliest time thereafter that the Company or any offering participant made a bona fide offer (within the meaning of Rule 164(h)(2) under the Act) of the Securities, and (iii) at the date hereof, the Company was not and is not an “ineligible issuer” as defined in Rule 405 under the Act;</w:t>
      </w:r>
    </w:p>
    <w:p>
      <w:pPr>
        <w:spacing w:after="0" w:line="192" w:lineRule="exact"/>
        <w:rPr>
          <w:rFonts w:ascii="Arial" w:cs="Arial" w:eastAsia="Arial" w:hAnsi="Arial"/>
          <w:sz w:val="18"/>
          <w:szCs w:val="18"/>
          <w:color w:val="auto"/>
        </w:rPr>
      </w:pPr>
    </w:p>
    <w:p>
      <w:pPr>
        <w:ind w:right="520" w:firstLine="443"/>
        <w:spacing w:after="0" w:line="264" w:lineRule="auto"/>
        <w:tabs>
          <w:tab w:leader="none" w:pos="828" w:val="left"/>
        </w:tabs>
        <w:numPr>
          <w:ilvl w:val="0"/>
          <w:numId w:val="8"/>
        </w:numPr>
        <w:rPr>
          <w:rFonts w:ascii="Arial" w:cs="Arial" w:eastAsia="Arial" w:hAnsi="Arial"/>
          <w:sz w:val="18"/>
          <w:szCs w:val="18"/>
          <w:color w:val="auto"/>
        </w:rPr>
      </w:pPr>
      <w:r>
        <w:rPr>
          <w:rFonts w:ascii="Arial" w:cs="Arial" w:eastAsia="Arial" w:hAnsi="Arial"/>
          <w:sz w:val="18"/>
          <w:szCs w:val="18"/>
          <w:color w:val="auto"/>
        </w:rPr>
        <w:t>(i) Deloitte &amp; Touche LLP, who have certified certain financial statements of the Company and its subsidiaries, and have audited the Company’s internal control over financial reporting and management’s assessment thereof, and (ii) to the knowledge of the Company, PricewaterhouseCoopers LLP, who</w:t>
      </w:r>
    </w:p>
    <w:p>
      <w:pPr>
        <w:spacing w:after="0" w:line="114"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880"/>
          </w:cols>
          <w:pgMar w:left="700" w:top="274" w:right="319" w:bottom="1440" w:gutter="0" w:footer="0" w:header="0"/>
        </w:sectPr>
      </w:pPr>
    </w:p>
    <w:bookmarkStart w:id="11" w:name="page12"/>
    <w:bookmarkEnd w:id="11"/>
    <w:p>
      <w:pPr>
        <w:ind w:right="2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have certified certain financial statements of the Acquired Company and its subsidiaries, and have audited the Acquired Company’s internal control over financial reporting and management’s assessment thereof, are each independent public accountants as required by the Act and the rules and regulations of the Commission thereunder;</w:t>
      </w:r>
    </w:p>
    <w:p>
      <w:pPr>
        <w:spacing w:after="0" w:line="181" w:lineRule="exact"/>
        <w:rPr>
          <w:sz w:val="20"/>
          <w:szCs w:val="20"/>
          <w:color w:val="auto"/>
        </w:rPr>
      </w:pPr>
    </w:p>
    <w:p>
      <w:pPr>
        <w:ind w:right="40" w:firstLine="443"/>
        <w:spacing w:after="0" w:line="270" w:lineRule="auto"/>
        <w:tabs>
          <w:tab w:leader="none" w:pos="795"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Company maintains a system of internal control over financial reporting (as such term is defined in Rule 13a-15(f) under the Exchange Act) that complies with the requirements of the Exchange Act, and has been designed by the Company’s principal executive officer and principal financial officer, or under their supervision, to provide (i) reasonable assurance regarding the reliability of financial reporting and the preparation of financial statements for external purposes in accordance with U.S. generally accepted accounting principles (“GAAP”) and (ii) reasonable assurance that (A) transactions are executed in accordance with management’s general or specific authorization, (B) transactions are recorded as necessary to permit preparation of financial statements in conformity with GAAP and to maintain accountability for assets, (C) access to assets is permitted only in accordance with management’s general or specific authorization and (D) the recorded accountability for assets is compared with the existing assets at reasonable intervals and appropriate action is taken with respect to any differences; and except as disclosed in the Pricing Prospectus, the Company’s internal control over financial reporting is effective and the Company is not aware of any material weaknesses in its internal control over financial reporting;</w:t>
      </w:r>
    </w:p>
    <w:p>
      <w:pPr>
        <w:spacing w:after="0" w:line="177" w:lineRule="exact"/>
        <w:rPr>
          <w:rFonts w:ascii="Arial" w:cs="Arial" w:eastAsia="Arial" w:hAnsi="Arial"/>
          <w:sz w:val="17"/>
          <w:szCs w:val="17"/>
          <w:color w:val="auto"/>
        </w:rPr>
      </w:pPr>
    </w:p>
    <w:p>
      <w:pPr>
        <w:ind w:right="80" w:firstLine="443"/>
        <w:spacing w:after="0" w:line="264" w:lineRule="auto"/>
        <w:tabs>
          <w:tab w:leader="none" w:pos="808" w:val="left"/>
        </w:tabs>
        <w:numPr>
          <w:ilvl w:val="0"/>
          <w:numId w:val="9"/>
        </w:numPr>
        <w:rPr>
          <w:rFonts w:ascii="Arial" w:cs="Arial" w:eastAsia="Arial" w:hAnsi="Arial"/>
          <w:sz w:val="18"/>
          <w:szCs w:val="18"/>
          <w:color w:val="auto"/>
        </w:rPr>
      </w:pPr>
      <w:r>
        <w:rPr>
          <w:rFonts w:ascii="Arial" w:cs="Arial" w:eastAsia="Arial" w:hAnsi="Arial"/>
          <w:sz w:val="18"/>
          <w:szCs w:val="18"/>
          <w:color w:val="auto"/>
        </w:rPr>
        <w:t>Except as disclosed in the Pricing Prospectus, since the date of the latest audited financial statements included or incorporated by reference in the Pricing Prospectus, there has been no change in the Company’s internal control over financial reporting that has materially affected, or is reasonably likely to materially affect, the Company’s internal control over financial reporting;</w:t>
      </w:r>
    </w:p>
    <w:p>
      <w:pPr>
        <w:spacing w:after="0" w:line="181" w:lineRule="exact"/>
        <w:rPr>
          <w:rFonts w:ascii="Arial" w:cs="Arial" w:eastAsia="Arial" w:hAnsi="Arial"/>
          <w:sz w:val="18"/>
          <w:szCs w:val="18"/>
          <w:color w:val="auto"/>
        </w:rPr>
      </w:pPr>
    </w:p>
    <w:p>
      <w:pPr>
        <w:ind w:firstLine="443"/>
        <w:spacing w:after="0" w:line="279" w:lineRule="auto"/>
        <w:tabs>
          <w:tab w:leader="none" w:pos="785"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Company maintains disclosure controls and procedures (as such term is defined in Rule 13a-15(e) under the Exchange Act) that comply with the requirements of the Exchange Act; such disclosure controls and procedures have been designed to ensure that information required to be disclosed by the Company is accumulated and communicated to the Company’s management, including the Company’s principal executive officer and principal financial officer, by others within the Company; and such disclosure controls and procedures are effective.</w:t>
      </w:r>
    </w:p>
    <w:p>
      <w:pPr>
        <w:spacing w:after="0" w:line="171" w:lineRule="exact"/>
        <w:rPr>
          <w:rFonts w:ascii="Arial" w:cs="Arial" w:eastAsia="Arial" w:hAnsi="Arial"/>
          <w:sz w:val="17"/>
          <w:szCs w:val="17"/>
          <w:color w:val="auto"/>
        </w:rPr>
      </w:pPr>
    </w:p>
    <w:p>
      <w:pPr>
        <w:ind w:right="60" w:firstLine="443"/>
        <w:spacing w:after="0" w:line="259" w:lineRule="auto"/>
        <w:tabs>
          <w:tab w:leader="none" w:pos="828" w:val="left"/>
        </w:tabs>
        <w:numPr>
          <w:ilvl w:val="0"/>
          <w:numId w:val="9"/>
        </w:numPr>
        <w:rPr>
          <w:rFonts w:ascii="Arial" w:cs="Arial" w:eastAsia="Arial" w:hAnsi="Arial"/>
          <w:sz w:val="18"/>
          <w:szCs w:val="18"/>
          <w:color w:val="auto"/>
        </w:rPr>
      </w:pPr>
      <w:r>
        <w:rPr>
          <w:rFonts w:ascii="Arial" w:cs="Arial" w:eastAsia="Arial" w:hAnsi="Arial"/>
          <w:sz w:val="18"/>
          <w:szCs w:val="18"/>
          <w:color w:val="auto"/>
        </w:rPr>
        <w:t>None of (x) the Company or any of its subsidiaries, (y) to the knowledge of the Company, the Acquired Company or any of its subsidiaries nor, (z) to the knowledge of the Company, any director, officer, agent, employee, affiliate or other person associated with or acting on behalf of the Company or any of its subsidiaries or the Acquired Company or any of its subsidiaries has (i) made, offered, promised or authorized any unlawful contribution, gift, entertainment or other unlawful expense; (ii) made, offered, promised or</w:t>
      </w:r>
    </w:p>
    <w:p>
      <w:pPr>
        <w:spacing w:after="0" w:line="119"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00"/>
          </w:cols>
          <w:pgMar w:left="700" w:top="274" w:right="299" w:bottom="1440" w:gutter="0" w:footer="0" w:header="0"/>
        </w:sectPr>
      </w:pPr>
    </w:p>
    <w:bookmarkStart w:id="12" w:name="page13"/>
    <w:bookmarkEnd w:id="12"/>
    <w:p>
      <w:pPr>
        <w:ind w:right="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authorized any direct or indirect unlawful payment; or (iii) violated or is in violation of any provision of the Foreign Corrupt Practices Act of 1977, the Bribery Act 2010 of the United Kingdom or any other applicable anti-bribery or anti-corruption law;</w:t>
      </w:r>
    </w:p>
    <w:p>
      <w:pPr>
        <w:spacing w:after="0" w:line="170" w:lineRule="exact"/>
        <w:rPr>
          <w:sz w:val="20"/>
          <w:szCs w:val="20"/>
          <w:color w:val="auto"/>
        </w:rPr>
      </w:pPr>
    </w:p>
    <w:p>
      <w:pPr>
        <w:ind w:left="820" w:hanging="377"/>
        <w:spacing w:after="0"/>
        <w:tabs>
          <w:tab w:leader="none" w:pos="8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operations of (i) the Company and its subsidiaries and (ii) to the knowledge of the Company, the Acquired Company and its</w:t>
      </w:r>
    </w:p>
    <w:p>
      <w:pPr>
        <w:spacing w:after="0" w:line="34" w:lineRule="exact"/>
        <w:rPr>
          <w:rFonts w:ascii="Arial" w:cs="Arial" w:eastAsia="Arial" w:hAnsi="Arial"/>
          <w:sz w:val="17"/>
          <w:szCs w:val="17"/>
          <w:color w:val="auto"/>
        </w:rPr>
      </w:pPr>
    </w:p>
    <w:p>
      <w:pPr>
        <w:spacing w:after="0" w:line="290" w:lineRule="auto"/>
        <w:rPr>
          <w:rFonts w:ascii="Arial" w:cs="Arial" w:eastAsia="Arial" w:hAnsi="Arial"/>
          <w:sz w:val="17"/>
          <w:szCs w:val="17"/>
          <w:color w:val="auto"/>
        </w:rPr>
      </w:pPr>
      <w:r>
        <w:rPr>
          <w:rFonts w:ascii="Arial" w:cs="Arial" w:eastAsia="Arial" w:hAnsi="Arial"/>
          <w:sz w:val="16"/>
          <w:szCs w:val="16"/>
          <w:color w:val="auto"/>
        </w:rPr>
        <w:t>subsidiaries, are and have been conducted at all times in compliance with the requirements of applicable anti-money laundering laws, including, but not limited to, the Bank Secrecy Act of 1970, as amended by the USA PATRIOT ACT of 2001, and the rules and regulations promulgated thereunder, and the anti-money laundering laws of the various jurisdictions in which the Company, the Acquired Company and their respective subsidiaries conduct business (collectively, the “Money Laundering Laws”) and no action, suit or proceeding by or before any court or governmental agency, authority or body or any arbitrator involving the Company or any of its subsidiaries or, to the knowledge of the Company, the Acquired Company or any of its subsidiaries, with respect to the Money Laundering Laws is pending or, to the knowledge of the Company, threatened;</w:t>
      </w:r>
    </w:p>
    <w:p>
      <w:pPr>
        <w:spacing w:after="0" w:line="164" w:lineRule="exact"/>
        <w:rPr>
          <w:rFonts w:ascii="Arial" w:cs="Arial" w:eastAsia="Arial" w:hAnsi="Arial"/>
          <w:sz w:val="17"/>
          <w:szCs w:val="17"/>
          <w:color w:val="auto"/>
        </w:rPr>
      </w:pPr>
    </w:p>
    <w:p>
      <w:pPr>
        <w:ind w:right="20" w:firstLine="443"/>
        <w:spacing w:after="0" w:line="288" w:lineRule="auto"/>
        <w:tabs>
          <w:tab w:leader="none" w:pos="868" w:val="left"/>
        </w:tabs>
        <w:numPr>
          <w:ilvl w:val="0"/>
          <w:numId w:val="10"/>
        </w:numPr>
        <w:rPr>
          <w:rFonts w:ascii="Arial" w:cs="Arial" w:eastAsia="Arial" w:hAnsi="Arial"/>
          <w:sz w:val="16"/>
          <w:szCs w:val="16"/>
          <w:color w:val="auto"/>
        </w:rPr>
      </w:pPr>
      <w:r>
        <w:rPr>
          <w:rFonts w:ascii="Arial" w:cs="Arial" w:eastAsia="Arial" w:hAnsi="Arial"/>
          <w:sz w:val="16"/>
          <w:szCs w:val="16"/>
          <w:color w:val="auto"/>
        </w:rPr>
        <w:t>None of (x) the Company or any of its subsidiaries, (y) to the knowledge of the Company, the Acquired Company or any of its subsidiaries nor, (z) to the knowledge of the Company, any director, officer, agent, employee or affiliate of the Company or any of its subsidiaries or the Acquired Company or any of its subsidiaries is currently the subject or the target of any sanctions administered or enforced by the U.S. Government, including, without limitation, the Office of Foreign Assets Control of the U.S. Department of the Treasury (“OFAC”), or the U.S. Department of State and including, without limitation, the designation as a “specially designated national” or “blocked person,” the European Union, Her Majesty’s Treasury, the United Nations Security Council, or other relevant sanctions authority (collectively, “Sanctions”), and the Company will not directly or indirectly use the proceeds of the offering of the Securities hereunder, or knowingly lend, contribute or otherwise make available such proceeds to any subsidiary, joint venture partner or other person or entity (i) to fund or facilitate any activities of or business with any person, or in any country or territory, that, at the time of such funding, is the subject or the target of Sanctions or (ii) in any other manner that will result in a violation by any person (including any person participating in the transaction, whether as underwriter, advisor, investor or otherwise) of Sanctions;</w:t>
      </w:r>
    </w:p>
    <w:p>
      <w:pPr>
        <w:spacing w:after="0" w:line="169" w:lineRule="exact"/>
        <w:rPr>
          <w:rFonts w:ascii="Arial" w:cs="Arial" w:eastAsia="Arial" w:hAnsi="Arial"/>
          <w:sz w:val="16"/>
          <w:szCs w:val="16"/>
          <w:color w:val="auto"/>
        </w:rPr>
      </w:pPr>
    </w:p>
    <w:p>
      <w:pPr>
        <w:ind w:left="820" w:hanging="377"/>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This Agreement has been duly authorized, executed and delivered by the Company;</w:t>
      </w:r>
    </w:p>
    <w:p>
      <w:pPr>
        <w:spacing w:after="0" w:line="225" w:lineRule="exact"/>
        <w:rPr>
          <w:rFonts w:ascii="Arial" w:cs="Arial" w:eastAsia="Arial" w:hAnsi="Arial"/>
          <w:sz w:val="18"/>
          <w:szCs w:val="18"/>
          <w:color w:val="auto"/>
        </w:rPr>
      </w:pPr>
    </w:p>
    <w:p>
      <w:pPr>
        <w:ind w:firstLine="443"/>
        <w:spacing w:after="0" w:line="264" w:lineRule="auto"/>
        <w:tabs>
          <w:tab w:leader="none" w:pos="825"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financial statements included in the Registration Statement, the Pricing Prospectus and the Prospectus, together with the supporting schedules, if any, and notes, present fairly in all material respects the financial position (i) of the Company and its subsidiaries and (ii) to the knowledge of the Company, of the Acquired Company and its subsidiaries, as applicable, in each case as of the</w:t>
      </w:r>
    </w:p>
    <w:p>
      <w:pPr>
        <w:spacing w:after="0" w:line="114"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40"/>
          </w:cols>
          <w:pgMar w:left="700" w:top="274" w:right="259" w:bottom="1440" w:gutter="0" w:footer="0" w:header="0"/>
        </w:sectPr>
      </w:pPr>
    </w:p>
    <w:bookmarkStart w:id="13" w:name="page14"/>
    <w:bookmarkEnd w:id="13"/>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dates indicated and the statement of their respective operations, stockholders’ equity and cash flows for the periods specified; said financial statements and supporting schedules, if any, of the Company, and, to the knowledge of the Company, of the Acquired Company, have been prepared in all material respects in conformity with GAAP applied on a consistent basis throughout the periods involved. The selected financial data and the summary financial information of the Company and its subsidiaries included in the Registration Statement, the Pricing Prospectus and the Prospectus present fairly the information shown therein and have been compiled on a basis consistent with that of the audited financial statements included therein. The pro forma financial information of the Company, and the related notes thereto, included or incorporated by reference in the Registration Statement, the Pricing Prospectus and the Prospectus fairly present in all material respects the information therein, has been prepared in accordance with Regulation S-X under the Exchange Act and provide a reasonable basis for presenting the significant effects of the transactions and circumstances referred to therein, and the assumptions used in preparation thereof, in the reasonable judgment of the Company’s management and subject to the qualifications contained therein, are reasonable; the related pro forma adjustments give appropriate effect to the assumptions made and the pro forma financial information reflects the proper application of such adjustments to the corresponding historical financial information in accordance with Regulation S-X under the Exchange Act. Except as included therein, no historical or pro forma financial statements or supporting schedules are required to be included in the Registration Statement, the Pricing Prospectus or the Prospectus under the Act or the rules and regulations promulgated thereunder. All disclosures contained in the Registration Statement, the Pricing Prospectus and the Prospectus regarding “non-GAAP financial measures” (as such term is defined by the rules and regulations of the Commission) comply with Regulation G of the Exchange Act and Item 10 of Regulation S-K of the Act, to the extent applicable;</w:t>
      </w:r>
    </w:p>
    <w:p>
      <w:pPr>
        <w:spacing w:after="0" w:line="181" w:lineRule="exact"/>
        <w:rPr>
          <w:sz w:val="20"/>
          <w:szCs w:val="20"/>
          <w:color w:val="auto"/>
        </w:rPr>
      </w:pPr>
    </w:p>
    <w:p>
      <w:pPr>
        <w:ind w:right="60" w:firstLine="443"/>
        <w:spacing w:after="0" w:line="270" w:lineRule="auto"/>
        <w:tabs>
          <w:tab w:leader="none" w:pos="818" w:val="left"/>
        </w:tabs>
        <w:numPr>
          <w:ilvl w:val="0"/>
          <w:numId w:val="11"/>
        </w:numPr>
        <w:rPr>
          <w:rFonts w:ascii="Arial" w:cs="Arial" w:eastAsia="Arial" w:hAnsi="Arial"/>
          <w:sz w:val="17"/>
          <w:szCs w:val="17"/>
          <w:color w:val="auto"/>
        </w:rPr>
      </w:pPr>
      <w:r>
        <w:rPr>
          <w:rFonts w:ascii="Arial" w:cs="Arial" w:eastAsia="Arial" w:hAnsi="Arial"/>
          <w:sz w:val="17"/>
          <w:szCs w:val="17"/>
          <w:color w:val="auto"/>
        </w:rPr>
        <w:t>(i) To the knowledge of the Company, as of the date hereof, there is no (A) infringement of any patents, patent applications, trademarks, service marks, trade names, trademark registrations, service mark registrations, copyrights, licenses, domain names (in each case including all registrations and applications to register same) and know-how (including trade secrets and other proprietary or confidential information, systems or procedures) owned by the Company or any of its subsidiaries (“Company Owned IP”) by any third parties, (B) pending or threatened action, suit, proceeding or claim by any third party challenging the Company’s or its subsidiaries’, rights in or to any such Company Owned IP, and (C) pending or threatened action, suit, proceeding or claim by any third party challenging the validity, scope or enforceability of any such Company Owned IP; (ii) the conduct of the Company’s and its subsidiaries’ respective businesses as of the date hereof will not infringe in any respect on any registered patent, copyright or trademark rights of others; and (iii) as of the date hereof, none of the Company nor any of its subsidiaries have received any notice of any claim of infringement of any such rights of others, except, in each case in (i)-(iii) above, where the same would not reasonably be expected to have a Material Adverse Effect;</w:t>
      </w:r>
    </w:p>
    <w:p>
      <w:pPr>
        <w:spacing w:after="0" w:line="110"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40"/>
          </w:cols>
          <w:pgMar w:left="700" w:top="274" w:right="259" w:bottom="1440" w:gutter="0" w:footer="0" w:header="0"/>
        </w:sectPr>
      </w:pPr>
    </w:p>
    <w:bookmarkStart w:id="14" w:name="page15"/>
    <w:bookmarkEnd w:id="14"/>
    <w:p>
      <w:pPr>
        <w:ind w:right="120" w:firstLine="443"/>
        <w:spacing w:after="0" w:line="257" w:lineRule="auto"/>
        <w:tabs>
          <w:tab w:leader="none" w:pos="898" w:val="left"/>
        </w:tabs>
        <w:numPr>
          <w:ilvl w:val="1"/>
          <w:numId w:val="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Except as otherwise disclosed in the Pricing Prospectus, (i) the Company and its subsidiaries have paid all federal, state, local and foreign taxes required to be paid and filed all tax returns required to be filed, in each case, through the date hereof, except for such failures to pay or file as would not individually or in the aggregate have a Material Adverse Effect, and (ii) there is no tax deficiency that has been asserted against the Company or any of its subsidiaries, or any of their respective properties or assets, in each case that would, individually or in the aggregate, have a Material Adverse Effect;</w:t>
      </w:r>
    </w:p>
    <w:p>
      <w:pPr>
        <w:spacing w:after="0" w:line="188" w:lineRule="exact"/>
        <w:rPr>
          <w:rFonts w:ascii="Arial" w:cs="Arial" w:eastAsia="Arial" w:hAnsi="Arial"/>
          <w:sz w:val="18"/>
          <w:szCs w:val="18"/>
          <w:color w:val="auto"/>
        </w:rPr>
      </w:pPr>
    </w:p>
    <w:p>
      <w:pPr>
        <w:ind w:right="40" w:firstLine="443"/>
        <w:spacing w:after="0" w:line="271" w:lineRule="auto"/>
        <w:tabs>
          <w:tab w:leader="none" w:pos="915" w:val="left"/>
        </w:tabs>
        <w:numPr>
          <w:ilvl w:val="1"/>
          <w:numId w:val="12"/>
        </w:numPr>
        <w:rPr>
          <w:rFonts w:ascii="Arial" w:cs="Arial" w:eastAsia="Arial" w:hAnsi="Arial"/>
          <w:sz w:val="17"/>
          <w:szCs w:val="17"/>
          <w:color w:val="auto"/>
        </w:rPr>
      </w:pPr>
      <w:r>
        <w:rPr>
          <w:rFonts w:ascii="Arial" w:cs="Arial" w:eastAsia="Arial" w:hAnsi="Arial"/>
          <w:sz w:val="17"/>
          <w:szCs w:val="17"/>
          <w:color w:val="auto"/>
        </w:rPr>
        <w:t>The Company and its subsidiaries possess all licenses, certificates, permits and other authorizations issued by, and have made all declarations and filings with, the appropriate federal, state, local or foreign governmental or regulatory authorities that are necessary for the ownership or lease of their respective properties or the conduct of their respective businesses as described in the Pricing Prospectus and the Prospectus, except where the failure to possess or make the same would not, individually or in the aggregate, have a Material Adverse Effect; and except as described in the Pricing Prospectus, neither the Company nor any of its subsidiaries has received notice of any revocation or modification of any such license, certificate, permit or authorization or has any reason to believe that any such license, certificate, permit or authorization will not be renewed in the ordinary course, except where such revocations, modifications or non-renewals would not, individually and in the aggregate, reasonably be expected to have a Material Adverse Effect;</w:t>
      </w:r>
    </w:p>
    <w:p>
      <w:pPr>
        <w:spacing w:after="0" w:line="178" w:lineRule="exact"/>
        <w:rPr>
          <w:rFonts w:ascii="Arial" w:cs="Arial" w:eastAsia="Arial" w:hAnsi="Arial"/>
          <w:sz w:val="17"/>
          <w:szCs w:val="17"/>
          <w:color w:val="auto"/>
        </w:rPr>
      </w:pPr>
    </w:p>
    <w:p>
      <w:pPr>
        <w:ind w:right="20" w:firstLine="443"/>
        <w:spacing w:after="0" w:line="285" w:lineRule="auto"/>
        <w:tabs>
          <w:tab w:leader="none" w:pos="898" w:val="left"/>
        </w:tabs>
        <w:numPr>
          <w:ilvl w:val="1"/>
          <w:numId w:val="12"/>
        </w:numPr>
        <w:rPr>
          <w:rFonts w:ascii="Arial" w:cs="Arial" w:eastAsia="Arial" w:hAnsi="Arial"/>
          <w:sz w:val="16"/>
          <w:szCs w:val="16"/>
          <w:color w:val="auto"/>
        </w:rPr>
      </w:pPr>
      <w:r>
        <w:rPr>
          <w:rFonts w:ascii="Arial" w:cs="Arial" w:eastAsia="Arial" w:hAnsi="Arial"/>
          <w:sz w:val="16"/>
          <w:szCs w:val="16"/>
          <w:color w:val="auto"/>
        </w:rPr>
        <w:t>Except as otherwise disclosed in the Pricing Prospectus, (i) the Company and its subsidiaries (x) are in compliance with any and all applicable federal, state, local and foreign laws, rules, regulations, requirements, decisions and orders relating to the protection of human health or safety (as such relates to exposure to hazardous or toxic substances or wastes), the environment, natural resources, hazardous or toxic substances or wastes, pollutants or contaminants (collectively, “Environmental Laws”); (y) have received and are in compliance with all permits, licenses, certificates or other governmental authorizations or approvals required of them under applicable Environmental Laws to conduct their respective businesses; and</w:t>
      </w:r>
    </w:p>
    <w:p>
      <w:pPr>
        <w:spacing w:after="0" w:line="2" w:lineRule="exact"/>
        <w:rPr>
          <w:rFonts w:ascii="Arial" w:cs="Arial" w:eastAsia="Arial" w:hAnsi="Arial"/>
          <w:sz w:val="16"/>
          <w:szCs w:val="16"/>
          <w:color w:val="auto"/>
        </w:rPr>
      </w:pPr>
    </w:p>
    <w:p>
      <w:pPr>
        <w:ind w:firstLine="4"/>
        <w:spacing w:after="0" w:line="270" w:lineRule="auto"/>
        <w:tabs>
          <w:tab w:leader="none" w:pos="245" w:val="left"/>
        </w:tabs>
        <w:numPr>
          <w:ilvl w:val="0"/>
          <w:numId w:val="13"/>
        </w:numPr>
        <w:rPr>
          <w:rFonts w:ascii="Arial" w:cs="Arial" w:eastAsia="Arial" w:hAnsi="Arial"/>
          <w:sz w:val="17"/>
          <w:szCs w:val="17"/>
          <w:color w:val="auto"/>
        </w:rPr>
      </w:pPr>
      <w:r>
        <w:rPr>
          <w:rFonts w:ascii="Arial" w:cs="Arial" w:eastAsia="Arial" w:hAnsi="Arial"/>
          <w:sz w:val="17"/>
          <w:szCs w:val="17"/>
          <w:color w:val="auto"/>
        </w:rPr>
        <w:t>have not received notice of any actual or potential liability under or relating to any Environmental Laws, including for the investigation or remediation of any disposal or release of hazardous or toxic substances or wastes, pollutants or contaminants, and have no knowledge of any event or condition that would reasonably be expected to result in any such notice, and (ii) there are no known or reasonably anticipated costs or liabilities associated with Environmental Laws of or relating to the Company or any of its subsidiaries except, in the case of any of clauses (i) or (ii) above, for any such failure to comply or failure to receive or comply with required permits, licenses, certificates or other governmental authorizations or approvals or notice or cost or liability as would not, individually or in the aggregate, reasonably be expected to have a</w:t>
      </w:r>
    </w:p>
    <w:p>
      <w:pPr>
        <w:spacing w:after="0" w:line="111"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40"/>
          </w:cols>
          <w:pgMar w:left="700" w:top="274" w:right="259" w:bottom="1440" w:gutter="0" w:footer="0" w:header="0"/>
        </w:sectPr>
      </w:pPr>
    </w:p>
    <w:bookmarkStart w:id="15" w:name="page16"/>
    <w:bookmarkEnd w:id="15"/>
    <w:p>
      <w:pPr>
        <w:ind w:right="16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Material Adverse Effect; and (iii) except as described in the Pricing Prospectus, (x) there are no proceedings that are pending, or that are known to be threatened, against the Company or any of its subsidiaries under any Environmental Laws in which a governmental entity is also a party, other than such proceedings regarding which it is reasonably believed no monetary sanctions of $100,000 or more will be imposed and (y) the Company and its subsidiaries are not aware of any non-compliance, or any capital expenditures required to achieve or maintain compliance, with Environmental Laws, or known or reasonably anticipated liabilities or other obligations under Environmental Laws or concerning hazardous or toxic substances or wastes, pollutants or contaminants, that could, individually or in the aggregate, reasonably be expected to have a Material Adverse Effect;</w:t>
      </w:r>
    </w:p>
    <w:p>
      <w:pPr>
        <w:spacing w:after="0" w:line="165" w:lineRule="exact"/>
        <w:rPr>
          <w:sz w:val="20"/>
          <w:szCs w:val="20"/>
          <w:color w:val="auto"/>
        </w:rPr>
      </w:pPr>
    </w:p>
    <w:p>
      <w:pPr>
        <w:ind w:firstLine="443"/>
        <w:spacing w:after="0" w:line="272" w:lineRule="auto"/>
        <w:tabs>
          <w:tab w:leader="none" w:pos="915"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Company and its subsidiaries have insurance (including self-insurance) covering their respective properties, operations, personnel and businesses, including business interruption insurance, which insurance (including self-insurance) is in amounts and insures against such losses and risks as are customary for similarly-sized companies engaged in similar businesses in similar industries and adequate to protect the Company and its subsidiaries and their respective businesses; and neither the Company nor any of its subsidiaries has (i) received notice from any insurer or agent of such insurer that capital improvements or other expenditures are required or necessary to be made in order to continue such insurance or (ii) any reason to believe that it will not be able to renew its existing insurance coverage as and when such coverage expires or to obtain similar coverage at reasonable cost from similar insurers as may be necessary to continue its business;</w:t>
      </w:r>
    </w:p>
    <w:p>
      <w:pPr>
        <w:spacing w:after="0" w:line="177" w:lineRule="exact"/>
        <w:rPr>
          <w:rFonts w:ascii="Arial" w:cs="Arial" w:eastAsia="Arial" w:hAnsi="Arial"/>
          <w:sz w:val="17"/>
          <w:szCs w:val="17"/>
          <w:color w:val="auto"/>
        </w:rPr>
      </w:pPr>
    </w:p>
    <w:p>
      <w:pPr>
        <w:ind w:right="60" w:firstLine="443"/>
        <w:spacing w:after="0" w:line="269" w:lineRule="auto"/>
        <w:tabs>
          <w:tab w:leader="none" w:pos="898" w:val="left"/>
        </w:tabs>
        <w:numPr>
          <w:ilvl w:val="0"/>
          <w:numId w:val="14"/>
        </w:numPr>
        <w:rPr>
          <w:rFonts w:ascii="Arial" w:cs="Arial" w:eastAsia="Arial" w:hAnsi="Arial"/>
          <w:sz w:val="17"/>
          <w:szCs w:val="17"/>
          <w:color w:val="auto"/>
        </w:rPr>
      </w:pPr>
      <w:r>
        <w:rPr>
          <w:rFonts w:ascii="Arial" w:cs="Arial" w:eastAsia="Arial" w:hAnsi="Arial"/>
          <w:sz w:val="17"/>
          <w:szCs w:val="17"/>
          <w:color w:val="auto"/>
        </w:rPr>
        <w:t>On and immediately after the Time of Delivery (as defined below), the Company (after giving effect to the issuance of the Securities and the other transactions related thereto as described in the Pricing Prospectus and the Prospectus) will be Solvent. As used in this paragraph, the term “Solvent” means, with respect to a particular date, that on such date (i) the fair value of the assets of the Company and its subsidiaries (on a consolidated basis) will exceed (on a consolidated basis) their debts and liabilities, subordinated, contingent or otherwise, (ii) the present fair saleable value of the property of the Company and its subsidiaries (on a consolidated basis) will be greater than the amount that will be required to pay the probable liability (on a consolidated basis) of their debts and other liabilities, subordinated, contingent or otherwise, as such debts and other liabilities become absolute and matured; (iii) the Company and its subsidiaries (on a consolidated basis) will be able to pay their debts and liabilities, subordinated, contingent or otherwise, as such liabilities become absolute and matured; and (iv) the Company and its subsidiaries (on a consolidated basis) is not engaged in any business or transaction, and does not propose to engage in any business or transaction, for which its property would constitute unreasonably small capital after giving due consideration to the prevailing practice in the industry in which the Company and its subsidiaries are engaged;</w:t>
      </w:r>
    </w:p>
    <w:p>
      <w:pPr>
        <w:spacing w:after="0" w:line="115"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40"/>
          </w:cols>
          <w:pgMar w:left="700" w:top="274" w:right="259" w:bottom="1440" w:gutter="0" w:footer="0" w:header="0"/>
        </w:sectPr>
      </w:pPr>
    </w:p>
    <w:bookmarkStart w:id="16" w:name="page17"/>
    <w:bookmarkEnd w:id="16"/>
    <w:p>
      <w:pPr>
        <w:ind w:right="40" w:firstLine="443"/>
        <w:spacing w:after="0" w:line="274" w:lineRule="auto"/>
        <w:tabs>
          <w:tab w:leader="none" w:pos="855" w:val="left"/>
        </w:tabs>
        <w:numPr>
          <w:ilvl w:val="1"/>
          <w:numId w:val="1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material subsidiary of the Company is currently prohibited, directly or indirectly, under any agreement or other instrument to which it is a party or is subject, from: (i) paying any dividends to the Company or from making any other distribution on such subsidiary’s capital stock;</w:t>
      </w:r>
    </w:p>
    <w:p>
      <w:pPr>
        <w:ind w:right="280" w:firstLine="4"/>
        <w:spacing w:after="0" w:line="302" w:lineRule="auto"/>
        <w:tabs>
          <w:tab w:leader="none" w:pos="265" w:val="left"/>
        </w:tabs>
        <w:numPr>
          <w:ilvl w:val="0"/>
          <w:numId w:val="16"/>
        </w:numPr>
        <w:rPr>
          <w:rFonts w:ascii="Arial" w:cs="Arial" w:eastAsia="Arial" w:hAnsi="Arial"/>
          <w:sz w:val="16"/>
          <w:szCs w:val="16"/>
          <w:color w:val="auto"/>
        </w:rPr>
      </w:pPr>
      <w:r>
        <w:rPr>
          <w:rFonts w:ascii="Arial" w:cs="Arial" w:eastAsia="Arial" w:hAnsi="Arial"/>
          <w:sz w:val="16"/>
          <w:szCs w:val="16"/>
          <w:color w:val="auto"/>
        </w:rPr>
        <w:t>repaying to the Company any loans or advances to such subsidiary from the Company; or (iii) transferring any of such subsidiary’s properties or assets to the Company, or any other subsidiary of the Company except for such prohibitions that would not, individually and in the aggregate, reasonably be expected to materially affect the Company’s ability to make payments on the Securities as required by the Indenture;</w:t>
      </w:r>
    </w:p>
    <w:p>
      <w:pPr>
        <w:spacing w:after="0" w:line="155" w:lineRule="exact"/>
        <w:rPr>
          <w:rFonts w:ascii="Arial" w:cs="Arial" w:eastAsia="Arial" w:hAnsi="Arial"/>
          <w:sz w:val="16"/>
          <w:szCs w:val="16"/>
          <w:color w:val="auto"/>
        </w:rPr>
      </w:pPr>
    </w:p>
    <w:p>
      <w:pPr>
        <w:ind w:right="180" w:firstLine="443"/>
        <w:spacing w:after="0" w:line="259" w:lineRule="auto"/>
        <w:tabs>
          <w:tab w:leader="none" w:pos="918" w:val="left"/>
        </w:tabs>
        <w:numPr>
          <w:ilvl w:val="1"/>
          <w:numId w:val="16"/>
        </w:numPr>
        <w:rPr>
          <w:rFonts w:ascii="Arial" w:cs="Arial" w:eastAsia="Arial" w:hAnsi="Arial"/>
          <w:sz w:val="18"/>
          <w:szCs w:val="18"/>
          <w:color w:val="auto"/>
        </w:rPr>
      </w:pPr>
      <w:r>
        <w:rPr>
          <w:rFonts w:ascii="Arial" w:cs="Arial" w:eastAsia="Arial" w:hAnsi="Arial"/>
          <w:sz w:val="18"/>
          <w:szCs w:val="18"/>
          <w:color w:val="auto"/>
        </w:rPr>
        <w:t>Except as otherwise contemplated by this Agreement, the Company is not a party to any contract, agreement or understanding with any person (other than this Agreement and the Engagement Letter dated as of November 19, 2017, among the Company and the Representatives (the “Engagement Letter”)) that would give rise to a valid claim against the Company or any Underwriter for a brokerage commission, finder’s fee or like payment in connection with the offering and sale of the Securities;</w:t>
      </w:r>
    </w:p>
    <w:p>
      <w:pPr>
        <w:spacing w:after="0" w:line="186" w:lineRule="exact"/>
        <w:rPr>
          <w:rFonts w:ascii="Arial" w:cs="Arial" w:eastAsia="Arial" w:hAnsi="Arial"/>
          <w:sz w:val="18"/>
          <w:szCs w:val="18"/>
          <w:color w:val="auto"/>
        </w:rPr>
      </w:pPr>
    </w:p>
    <w:p>
      <w:pPr>
        <w:ind w:right="20" w:firstLine="443"/>
        <w:spacing w:after="0" w:line="286" w:lineRule="auto"/>
        <w:tabs>
          <w:tab w:leader="none" w:pos="915" w:val="left"/>
        </w:tabs>
        <w:numPr>
          <w:ilvl w:val="1"/>
          <w:numId w:val="16"/>
        </w:numPr>
        <w:rPr>
          <w:rFonts w:ascii="Arial" w:cs="Arial" w:eastAsia="Arial" w:hAnsi="Arial"/>
          <w:sz w:val="17"/>
          <w:szCs w:val="17"/>
          <w:color w:val="auto"/>
        </w:rPr>
      </w:pPr>
      <w:r>
        <w:rPr>
          <w:rFonts w:ascii="Arial" w:cs="Arial" w:eastAsia="Arial" w:hAnsi="Arial"/>
          <w:sz w:val="17"/>
          <w:szCs w:val="17"/>
          <w:color w:val="auto"/>
        </w:rPr>
        <w:t>The Company has not taken, directly or indirectly, any action designed to or that could reasonably be expected to cause or result in any stabilization or manipulation of the price of the Securities; provided, however, that the Company makes no such representation or warranty with respect to the actions of any Underwriter or affiliate or agent of any Underwriter acting on behalf of such Underwriter;</w:t>
      </w:r>
    </w:p>
    <w:p>
      <w:pPr>
        <w:spacing w:after="0" w:line="165" w:lineRule="exact"/>
        <w:rPr>
          <w:rFonts w:ascii="Arial" w:cs="Arial" w:eastAsia="Arial" w:hAnsi="Arial"/>
          <w:sz w:val="17"/>
          <w:szCs w:val="17"/>
          <w:color w:val="auto"/>
        </w:rPr>
      </w:pPr>
    </w:p>
    <w:p>
      <w:pPr>
        <w:ind w:right="400" w:firstLine="443"/>
        <w:spacing w:after="0" w:line="264" w:lineRule="auto"/>
        <w:tabs>
          <w:tab w:leader="none" w:pos="838" w:val="left"/>
        </w:tabs>
        <w:numPr>
          <w:ilvl w:val="1"/>
          <w:numId w:val="16"/>
        </w:numPr>
        <w:rPr>
          <w:rFonts w:ascii="Arial" w:cs="Arial" w:eastAsia="Arial" w:hAnsi="Arial"/>
          <w:sz w:val="18"/>
          <w:szCs w:val="18"/>
          <w:color w:val="auto"/>
        </w:rPr>
      </w:pPr>
      <w:r>
        <w:rPr>
          <w:rFonts w:ascii="Arial" w:cs="Arial" w:eastAsia="Arial" w:hAnsi="Arial"/>
          <w:sz w:val="18"/>
          <w:szCs w:val="18"/>
          <w:color w:val="auto"/>
        </w:rPr>
        <w:t>Neither the issuance, sale and delivery of the Securities nor the application of the proceeds thereof by the Company as described in the Pricing Prospectus and the Prospectus will violate Regulation T, U or X of the Board of Governors of the Federal Reserve System or any other regulation of such Board of Governors;</w:t>
      </w:r>
    </w:p>
    <w:p>
      <w:pPr>
        <w:spacing w:after="0" w:line="181" w:lineRule="exact"/>
        <w:rPr>
          <w:rFonts w:ascii="Arial" w:cs="Arial" w:eastAsia="Arial" w:hAnsi="Arial"/>
          <w:sz w:val="18"/>
          <w:szCs w:val="18"/>
          <w:color w:val="auto"/>
        </w:rPr>
      </w:pPr>
    </w:p>
    <w:p>
      <w:pPr>
        <w:ind w:right="40" w:firstLine="443"/>
        <w:spacing w:after="0" w:line="342" w:lineRule="auto"/>
        <w:tabs>
          <w:tab w:leader="none" w:pos="838" w:val="left"/>
        </w:tabs>
        <w:numPr>
          <w:ilvl w:val="1"/>
          <w:numId w:val="16"/>
        </w:numPr>
        <w:rPr>
          <w:rFonts w:ascii="Arial" w:cs="Arial" w:eastAsia="Arial" w:hAnsi="Arial"/>
          <w:sz w:val="16"/>
          <w:szCs w:val="16"/>
          <w:color w:val="auto"/>
        </w:rPr>
      </w:pPr>
      <w:r>
        <w:rPr>
          <w:rFonts w:ascii="Arial" w:cs="Arial" w:eastAsia="Arial" w:hAnsi="Arial"/>
          <w:sz w:val="16"/>
          <w:szCs w:val="16"/>
          <w:color w:val="auto"/>
        </w:rPr>
        <w:t>No forward-looking statement (within the meaning of Section 27A of the Securities Act and Section 21E of the Exchange Act) contained in the Pricing Prospectus or the Prospectus has been made or reaffirmed without a reasonable basis or has been disclosed other than in good faith;</w:t>
      </w:r>
    </w:p>
    <w:p>
      <w:pPr>
        <w:spacing w:after="0" w:line="123" w:lineRule="exact"/>
        <w:rPr>
          <w:rFonts w:ascii="Arial" w:cs="Arial" w:eastAsia="Arial" w:hAnsi="Arial"/>
          <w:sz w:val="16"/>
          <w:szCs w:val="16"/>
          <w:color w:val="auto"/>
        </w:rPr>
      </w:pPr>
    </w:p>
    <w:p>
      <w:pPr>
        <w:ind w:firstLine="443"/>
        <w:spacing w:after="0" w:line="259" w:lineRule="auto"/>
        <w:tabs>
          <w:tab w:leader="none" w:pos="915" w:val="left"/>
        </w:tabs>
        <w:numPr>
          <w:ilvl w:val="1"/>
          <w:numId w:val="16"/>
        </w:numPr>
        <w:rPr>
          <w:rFonts w:ascii="Arial" w:cs="Arial" w:eastAsia="Arial" w:hAnsi="Arial"/>
          <w:sz w:val="18"/>
          <w:szCs w:val="18"/>
          <w:color w:val="auto"/>
        </w:rPr>
      </w:pPr>
      <w:r>
        <w:rPr>
          <w:rFonts w:ascii="Arial" w:cs="Arial" w:eastAsia="Arial" w:hAnsi="Arial"/>
          <w:sz w:val="18"/>
          <w:szCs w:val="18"/>
          <w:color w:val="auto"/>
        </w:rPr>
        <w:t>There is and has been no material failure on the part of the Company or, to the knowledge of the Company, any of the Company’s directors or officers, in their capacities as such, to comply with any applicable provision of the Sarbanes-Oxley Act of 2002 and the rules and regulations promulgated in connection therewith (the “Sarbanes-Oxley Act”), including Section 402 related to loans and Sections 302 and 906 related to certifications;</w:t>
      </w:r>
    </w:p>
    <w:p>
      <w:pPr>
        <w:spacing w:after="0" w:line="186" w:lineRule="exact"/>
        <w:rPr>
          <w:rFonts w:ascii="Arial" w:cs="Arial" w:eastAsia="Arial" w:hAnsi="Arial"/>
          <w:sz w:val="18"/>
          <w:szCs w:val="18"/>
          <w:color w:val="auto"/>
        </w:rPr>
      </w:pPr>
    </w:p>
    <w:p>
      <w:pPr>
        <w:ind w:right="140" w:firstLine="443"/>
        <w:spacing w:after="0" w:line="264" w:lineRule="auto"/>
        <w:tabs>
          <w:tab w:leader="none" w:pos="835" w:val="left"/>
        </w:tabs>
        <w:numPr>
          <w:ilvl w:val="1"/>
          <w:numId w:val="16"/>
        </w:numPr>
        <w:rPr>
          <w:rFonts w:ascii="Arial" w:cs="Arial" w:eastAsia="Arial" w:hAnsi="Arial"/>
          <w:sz w:val="18"/>
          <w:szCs w:val="18"/>
          <w:color w:val="auto"/>
        </w:rPr>
      </w:pPr>
      <w:r>
        <w:rPr>
          <w:rFonts w:ascii="Arial" w:cs="Arial" w:eastAsia="Arial" w:hAnsi="Arial"/>
          <w:sz w:val="18"/>
          <w:szCs w:val="18"/>
          <w:color w:val="auto"/>
        </w:rPr>
        <w:t>The interactive data of the Company in eXtensible Business Reporting Language included or incorporated by reference in the Registration Statement and the Prospectus presents fairly in all material respects the information called for and has been prepared in accordance with the Commission’s rules and guidelines applicable thereto;</w:t>
      </w:r>
    </w:p>
    <w:p>
      <w:pPr>
        <w:spacing w:after="0" w:line="114"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40"/>
          </w:cols>
          <w:pgMar w:left="700" w:top="274" w:right="259" w:bottom="1440" w:gutter="0" w:footer="0" w:header="0"/>
        </w:sectPr>
      </w:pPr>
    </w:p>
    <w:bookmarkStart w:id="17" w:name="page18"/>
    <w:bookmarkEnd w:id="17"/>
    <w:p>
      <w:pPr>
        <w:ind w:left="460" w:right="120" w:firstLine="443"/>
        <w:spacing w:after="0" w:line="259" w:lineRule="auto"/>
        <w:tabs>
          <w:tab w:leader="none" w:pos="1478" w:val="left"/>
        </w:tabs>
        <w:numPr>
          <w:ilvl w:val="1"/>
          <w:numId w:val="1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relationship, direct or indirect, exists between or among the Company or any of its subsidiaries, on the one hand, and the directors, officers, shareholders, customers, suppliers or other affiliates of the Company or any of its subsidiaries, on the other, which is required by Item 404 of Regulation S-K of the Act to be described in each of the Registration Statement and the Prospectus and that is not so described in such documents and in the Pricing Disclosure Package.</w:t>
      </w:r>
    </w:p>
    <w:p>
      <w:pPr>
        <w:spacing w:after="0" w:line="186" w:lineRule="exact"/>
        <w:rPr>
          <w:rFonts w:ascii="Arial" w:cs="Arial" w:eastAsia="Arial" w:hAnsi="Arial"/>
          <w:sz w:val="18"/>
          <w:szCs w:val="18"/>
          <w:color w:val="auto"/>
        </w:rPr>
      </w:pPr>
    </w:p>
    <w:p>
      <w:pPr>
        <w:ind w:left="460" w:right="20" w:firstLine="443"/>
        <w:spacing w:after="0" w:line="271" w:lineRule="auto"/>
        <w:tabs>
          <w:tab w:leader="none" w:pos="1375" w:val="left"/>
        </w:tabs>
        <w:numPr>
          <w:ilvl w:val="1"/>
          <w:numId w:val="17"/>
        </w:numPr>
        <w:rPr>
          <w:rFonts w:ascii="Arial" w:cs="Arial" w:eastAsia="Arial" w:hAnsi="Arial"/>
          <w:sz w:val="17"/>
          <w:szCs w:val="17"/>
          <w:color w:val="auto"/>
        </w:rPr>
      </w:pPr>
      <w:r>
        <w:rPr>
          <w:rFonts w:ascii="Arial" w:cs="Arial" w:eastAsia="Arial" w:hAnsi="Arial"/>
          <w:sz w:val="17"/>
          <w:szCs w:val="17"/>
          <w:color w:val="auto"/>
        </w:rPr>
        <w:t>The Merger Agreement has been duly authorized, executed and delivered by the Company and constitutes a valid and legally binding obligation of the Company, enforceable against the Company in accordance with its terms. Nothing has come to the attention of the Company that would cause it to believe that the Acquired Company has committed an uncured breach of its representations and warranties contained in the Merger Agreement, except for breaches that would not be required to be disclosed in the Preliminary Prospectus or the Prospectus in order to correct or prevent the inclusion of an untrue statement of a material fact or the omission of a statement of a material fact in the Preliminary Prospectus or the Prospectus. Nothing has come to the attention of the Company that would cause it to believe that the Acquisition will not be consummated in all material respects on the terms and by the date and as contemplated by the Merger Agreement and the description thereof included or incorporated by reference in the most recent Preliminary Prospectus and Prospectus.</w:t>
      </w:r>
    </w:p>
    <w:p>
      <w:pPr>
        <w:spacing w:after="0" w:line="178" w:lineRule="exact"/>
        <w:rPr>
          <w:rFonts w:ascii="Arial" w:cs="Arial" w:eastAsia="Arial" w:hAnsi="Arial"/>
          <w:sz w:val="17"/>
          <w:szCs w:val="17"/>
          <w:color w:val="auto"/>
        </w:rPr>
      </w:pPr>
    </w:p>
    <w:p>
      <w:pPr>
        <w:jc w:val="both"/>
        <w:ind w:firstLine="464"/>
        <w:spacing w:after="0" w:line="288" w:lineRule="auto"/>
        <w:tabs>
          <w:tab w:leader="none" w:pos="771" w:val="left"/>
        </w:tabs>
        <w:numPr>
          <w:ilvl w:val="0"/>
          <w:numId w:val="18"/>
        </w:numPr>
        <w:rPr>
          <w:rFonts w:ascii="Arial" w:cs="Arial" w:eastAsia="Arial" w:hAnsi="Arial"/>
          <w:sz w:val="16"/>
          <w:szCs w:val="16"/>
          <w:color w:val="auto"/>
        </w:rPr>
      </w:pPr>
      <w:r>
        <w:rPr>
          <w:rFonts w:ascii="Arial" w:cs="Arial" w:eastAsia="Arial" w:hAnsi="Arial"/>
          <w:sz w:val="16"/>
          <w:szCs w:val="16"/>
          <w:color w:val="auto"/>
        </w:rPr>
        <w:t>Subject to the terms and conditions herein set forth, the Company agrees to issue and sell to each of the Underwriters, and each of the Underwriters agrees, severally and not jointly, to purchase from the Company, at a purchase price of (a) with respect to the 2023 Notes, 99.195% of the aggregate principal amount of the 2023 Notes, plus accrued interest, if any, from June 22, 2018 to the Time of Delivery hereunder and (b) with respect to the 2028 Notes,</w:t>
      </w:r>
    </w:p>
    <w:p>
      <w:pPr>
        <w:jc w:val="both"/>
        <w:ind w:right="240"/>
        <w:spacing w:after="0" w:line="323" w:lineRule="auto"/>
        <w:rPr>
          <w:rFonts w:ascii="Arial" w:cs="Arial" w:eastAsia="Arial" w:hAnsi="Arial"/>
          <w:sz w:val="16"/>
          <w:szCs w:val="16"/>
          <w:color w:val="auto"/>
        </w:rPr>
      </w:pPr>
      <w:r>
        <w:rPr>
          <w:rFonts w:ascii="Arial" w:cs="Arial" w:eastAsia="Arial" w:hAnsi="Arial"/>
          <w:sz w:val="16"/>
          <w:szCs w:val="16"/>
          <w:color w:val="auto"/>
        </w:rPr>
        <w:t>99.326% of the aggregate principal amount of the 2028 Notes, plus accrued interest, if any, from June 22, 2018 to the Time of Delivery hereunder, in each case, in the aggregate principal amount of 2023 Notes and 2028 Notes, as applicable, set forth opposite the name of such Underwriter in Schedule I hereto.</w:t>
      </w:r>
    </w:p>
    <w:p>
      <w:pPr>
        <w:spacing w:after="0" w:line="138" w:lineRule="exact"/>
        <w:rPr>
          <w:rFonts w:ascii="Arial" w:cs="Arial" w:eastAsia="Arial" w:hAnsi="Arial"/>
          <w:sz w:val="16"/>
          <w:szCs w:val="16"/>
          <w:color w:val="auto"/>
        </w:rPr>
      </w:pPr>
    </w:p>
    <w:p>
      <w:pPr>
        <w:ind w:right="140" w:firstLine="464"/>
        <w:spacing w:after="0" w:line="277" w:lineRule="auto"/>
        <w:tabs>
          <w:tab w:leader="none" w:pos="771" w:val="left"/>
        </w:tabs>
        <w:numPr>
          <w:ilvl w:val="0"/>
          <w:numId w:val="18"/>
        </w:numPr>
        <w:rPr>
          <w:rFonts w:ascii="Arial" w:cs="Arial" w:eastAsia="Arial" w:hAnsi="Arial"/>
          <w:sz w:val="18"/>
          <w:szCs w:val="18"/>
          <w:color w:val="auto"/>
        </w:rPr>
      </w:pPr>
      <w:r>
        <w:rPr>
          <w:rFonts w:ascii="Arial" w:cs="Arial" w:eastAsia="Arial" w:hAnsi="Arial"/>
          <w:sz w:val="18"/>
          <w:szCs w:val="18"/>
          <w:color w:val="auto"/>
        </w:rPr>
        <w:t>Upon the authorization by you of the release of the Securities, the several Underwriters propose to offer the Securities for sale upon the terms and conditions set forth in the Pricing Prospectus and the Prospectus.</w:t>
      </w:r>
    </w:p>
    <w:p>
      <w:pPr>
        <w:spacing w:after="0" w:line="170" w:lineRule="exact"/>
        <w:rPr>
          <w:rFonts w:ascii="Arial" w:cs="Arial" w:eastAsia="Arial" w:hAnsi="Arial"/>
          <w:sz w:val="18"/>
          <w:szCs w:val="18"/>
          <w:color w:val="auto"/>
        </w:rPr>
      </w:pPr>
    </w:p>
    <w:p>
      <w:pPr>
        <w:jc w:val="both"/>
        <w:ind w:right="140" w:firstLine="464"/>
        <w:spacing w:after="0" w:line="302" w:lineRule="auto"/>
        <w:tabs>
          <w:tab w:leader="none" w:pos="771" w:val="left"/>
        </w:tabs>
        <w:numPr>
          <w:ilvl w:val="0"/>
          <w:numId w:val="18"/>
        </w:numPr>
        <w:rPr>
          <w:rFonts w:ascii="Arial" w:cs="Arial" w:eastAsia="Arial" w:hAnsi="Arial"/>
          <w:sz w:val="16"/>
          <w:szCs w:val="16"/>
          <w:color w:val="auto"/>
        </w:rPr>
      </w:pPr>
      <w:r>
        <w:rPr>
          <w:rFonts w:ascii="Arial" w:cs="Arial" w:eastAsia="Arial" w:hAnsi="Arial"/>
          <w:sz w:val="16"/>
          <w:szCs w:val="16"/>
          <w:color w:val="auto"/>
        </w:rPr>
        <w:t>(a) The Securities to be purchased by each Underwriter hereunder will be represented by one or more definitive global Securities in book-entry form which will be deposited by or on behalf of the Company with The Depository Trust Company (“DTC”) or its designated custodian. The Company will deliver the Securities to the Representatives, for the account of each Underwriter, against payment by or on behalf of such Underwriter of the purchase price therefor by wire transfer of Federal (same-day) funds to the account specified by the Company to the Representatives at least forty-eight</w:t>
      </w:r>
    </w:p>
    <w:p>
      <w:pPr>
        <w:spacing w:after="0" w:line="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74" w:right="259" w:bottom="1440" w:gutter="0" w:footer="0" w:header="0"/>
        </w:sectPr>
      </w:pPr>
    </w:p>
    <w:bookmarkStart w:id="18" w:name="page19"/>
    <w:bookmarkEnd w:id="18"/>
    <w:p>
      <w:pPr>
        <w:ind w:right="18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hours in advance, by causing DTC to credit the Securities to the account of Goldman Sachs &amp; Co. LLC at DTC. The Company will cause the certificates, if any, representing the Securities to be made available to the Representatives for review at least twenty-four hours prior to the Time of Delivery (as defined below) at the office of DTC or its designated custodian (the “Designated Office”). The time and date of such delivery and payment shall be 9:30 a.m., New York City time, on June 22, 2018 or such other time and date as the Representatives and the Company may agree upon in writing. Such time and date are herein called the “Time of Delivery”.</w:t>
      </w:r>
    </w:p>
    <w:p>
      <w:pPr>
        <w:spacing w:after="0" w:line="188" w:lineRule="exact"/>
        <w:rPr>
          <w:sz w:val="20"/>
          <w:szCs w:val="20"/>
          <w:color w:val="auto"/>
        </w:rPr>
      </w:pPr>
    </w:p>
    <w:p>
      <w:pPr>
        <w:ind w:right="60" w:firstLine="464"/>
        <w:spacing w:after="0" w:line="259" w:lineRule="auto"/>
        <w:tabs>
          <w:tab w:leader="none" w:pos="843"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documents to be delivered at the Time of Delivery by or on behalf of the parties hereto pursuant to Section 8 hereof, including the cross-receipt for the Securities and any additional documents requested by the Underwriters pursuant to Sections 8(k) and (l) hereof, will be delivered at the offices of Cravath, Swaine &amp; Moore LLP, 825 Eighth Avenue, New York, New York 10019 (the “Closing Location”), and the Securities will be delivered at the Designated Office, all at the Time of Delivery.</w:t>
      </w:r>
    </w:p>
    <w:p>
      <w:pPr>
        <w:spacing w:after="0" w:line="187" w:lineRule="exact"/>
        <w:rPr>
          <w:sz w:val="20"/>
          <w:szCs w:val="20"/>
          <w:color w:val="auto"/>
        </w:rPr>
      </w:pPr>
    </w:p>
    <w:p>
      <w:pPr>
        <w:ind w:left="460"/>
        <w:spacing w:after="0"/>
        <w:tabs>
          <w:tab w:leader="none" w:pos="760" w:val="left"/>
        </w:tabs>
        <w:rPr>
          <w:sz w:val="20"/>
          <w:szCs w:val="20"/>
          <w:color w:val="auto"/>
        </w:rPr>
      </w:pPr>
      <w:r>
        <w:rPr>
          <w:rFonts w:ascii="Arial" w:cs="Arial" w:eastAsia="Arial" w:hAnsi="Arial"/>
          <w:sz w:val="18"/>
          <w:szCs w:val="18"/>
          <w:color w:val="auto"/>
        </w:rPr>
        <w:t>5.</w:t>
      </w:r>
      <w:r>
        <w:rPr>
          <w:sz w:val="20"/>
          <w:szCs w:val="20"/>
          <w:color w:val="auto"/>
        </w:rPr>
        <w:tab/>
      </w:r>
      <w:r>
        <w:rPr>
          <w:rFonts w:ascii="Arial" w:cs="Arial" w:eastAsia="Arial" w:hAnsi="Arial"/>
          <w:sz w:val="16"/>
          <w:szCs w:val="16"/>
          <w:color w:val="auto"/>
        </w:rPr>
        <w:t>The Company agrees with each of the Underwriters:</w:t>
      </w:r>
    </w:p>
    <w:p>
      <w:pPr>
        <w:spacing w:after="0" w:line="225" w:lineRule="exact"/>
        <w:rPr>
          <w:sz w:val="20"/>
          <w:szCs w:val="20"/>
          <w:color w:val="auto"/>
        </w:rPr>
      </w:pPr>
    </w:p>
    <w:p>
      <w:pPr>
        <w:ind w:firstLine="464"/>
        <w:spacing w:after="0" w:line="267" w:lineRule="auto"/>
        <w:tabs>
          <w:tab w:leader="none" w:pos="833" w:val="left"/>
        </w:tabs>
        <w:numPr>
          <w:ilvl w:val="0"/>
          <w:numId w:val="20"/>
        </w:numPr>
        <w:rPr>
          <w:rFonts w:ascii="Arial" w:cs="Arial" w:eastAsia="Arial" w:hAnsi="Arial"/>
          <w:sz w:val="17"/>
          <w:szCs w:val="17"/>
          <w:color w:val="auto"/>
        </w:rPr>
      </w:pPr>
      <w:r>
        <w:rPr>
          <w:rFonts w:ascii="Arial" w:cs="Arial" w:eastAsia="Arial" w:hAnsi="Arial"/>
          <w:sz w:val="17"/>
          <w:szCs w:val="17"/>
          <w:color w:val="auto"/>
        </w:rPr>
        <w:t>To prepare the Prospectus in a form approved by you and to file such Prospectus pursuant to Rule 424(b) under the Act not later than the Commission’s close of business on the second business day following the date of this Agreement; to make no further amendment or any supplement to the Registration Statement, the Base Prospectus or the Prospectus prior to the Time of Delivery which shall be reasonably disapproved by you promptly after reasonable notice thereof; to advise you, promptly after it receives notice thereof, of the time when any amendment to the Registration Statement has been filed or becomes effective or any amendment or supplement to the Prospectus has been filed and to furnish you with copies thereof; to prepare a final term sheet, containing solely a description of the Securities, in the form attached as Schedule III hereto and to file such term sheet pursuant to Rule 433(d) under the Act within the time required by such Rule; to file promptly all other material required to be filed by the Company with the Commission pursuant to Rule 433(d) under the Act; to file promptly all reports and any definitive proxy or information statements required to be filed by the Company with the Commission pursuant to Section 13(a), 13(c), 14 or 15(d) of the Exchange Act subsequent to the date of the Prospectus and for so long as the delivery of a prospectus (or in lieu thereof, the notice referred to in Rule 173(a) under the Act) is required in connection with the offering or sale of the Securities; to advise you, promptly after it receives notice thereof, of the issuance by the Commission of any stop order or of any order preventing or suspending the use of any Preliminary Prospectus or other prospectus in respect of the Securities, of any notice of objection of the Commission to the use of the Registration Statement or any post-effective amendment thereto pursuant to Rule 401(g)(2) under the Act, of the suspension of the qualification of the Securities for offering or sale in any jurisdiction, of the initiation or threatening of any proceeding for any such purpose, or of any request by the Commission for the amending or supplementing of the Registration Statement or the Prospectus or for additional information; and, in the event of the issuance of any stop order or of any order preventing or suspending the use of any Preliminary Prospectus or other prospectus or suspending any such qualification, to promptly use its reasonable best efforts to obtain the</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74" w:right="259" w:bottom="1440" w:gutter="0" w:footer="0" w:header="0"/>
        </w:sectPr>
      </w:pPr>
    </w:p>
    <w:bookmarkStart w:id="19" w:name="page20"/>
    <w:bookmarkEnd w:id="19"/>
    <w:p>
      <w:pPr>
        <w:ind w:right="10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withdrawal of such order; and in the event of any such issuance of a notice of objection, promptly to take such steps including, without limitation, amending the Registration Statement or filing a new registration statement, at its own expense, as may be necessary to permit offers and sales of the Securities by the Underwriters (references herein to the Registration Statement shall include any such amendment or new registration statement);</w:t>
      </w:r>
    </w:p>
    <w:p>
      <w:pPr>
        <w:spacing w:after="0" w:line="166" w:lineRule="exact"/>
        <w:rPr>
          <w:sz w:val="20"/>
          <w:szCs w:val="20"/>
          <w:color w:val="auto"/>
        </w:rPr>
      </w:pPr>
    </w:p>
    <w:p>
      <w:pPr>
        <w:ind w:right="80" w:firstLine="464"/>
        <w:spacing w:after="0" w:line="286" w:lineRule="auto"/>
        <w:tabs>
          <w:tab w:leader="none" w:pos="846" w:val="left"/>
        </w:tabs>
        <w:numPr>
          <w:ilvl w:val="0"/>
          <w:numId w:val="21"/>
        </w:numPr>
        <w:rPr>
          <w:rFonts w:ascii="Arial" w:cs="Arial" w:eastAsia="Arial" w:hAnsi="Arial"/>
          <w:sz w:val="17"/>
          <w:szCs w:val="17"/>
          <w:color w:val="auto"/>
        </w:rPr>
      </w:pPr>
      <w:r>
        <w:rPr>
          <w:rFonts w:ascii="Arial" w:cs="Arial" w:eastAsia="Arial" w:hAnsi="Arial"/>
          <w:sz w:val="17"/>
          <w:szCs w:val="17"/>
          <w:color w:val="auto"/>
        </w:rPr>
        <w:t>If required by Rule 430B(h) under the Act, to prepare a form of prospectus in a form to which you do not reasonably object and to file such form of prospectus pursuant to Rule 424(b) under the Act not later than may be required by Rule 424(b) under the Act; and to make no further amendment or supplement to such form of prospectus which shall be reasonably disapproved by you promptly after reasonable notice thereof;</w:t>
      </w:r>
    </w:p>
    <w:p>
      <w:pPr>
        <w:spacing w:after="0" w:line="165" w:lineRule="exact"/>
        <w:rPr>
          <w:rFonts w:ascii="Arial" w:cs="Arial" w:eastAsia="Arial" w:hAnsi="Arial"/>
          <w:sz w:val="17"/>
          <w:szCs w:val="17"/>
          <w:color w:val="auto"/>
        </w:rPr>
      </w:pPr>
    </w:p>
    <w:p>
      <w:pPr>
        <w:ind w:firstLine="464"/>
        <w:spacing w:after="0" w:line="289" w:lineRule="auto"/>
        <w:tabs>
          <w:tab w:leader="none" w:pos="836" w:val="left"/>
        </w:tabs>
        <w:numPr>
          <w:ilvl w:val="0"/>
          <w:numId w:val="21"/>
        </w:numPr>
        <w:rPr>
          <w:rFonts w:ascii="Arial" w:cs="Arial" w:eastAsia="Arial" w:hAnsi="Arial"/>
          <w:sz w:val="16"/>
          <w:szCs w:val="16"/>
          <w:color w:val="auto"/>
        </w:rPr>
      </w:pPr>
      <w:r>
        <w:rPr>
          <w:rFonts w:ascii="Arial" w:cs="Arial" w:eastAsia="Arial" w:hAnsi="Arial"/>
          <w:sz w:val="16"/>
          <w:szCs w:val="16"/>
          <w:color w:val="auto"/>
        </w:rPr>
        <w:t>If by the third anniversary (the “Renewal Deadline”) of the initial effective date of the Registration Statement, any of the Securities remain unsold by the Underwriters, the Company will file, if it has not already done so and is eligible to do so, a new automatic shelf registration statement relating to the Securities, in a form satisfactory to you. If at the Renewal Deadline the Company is no longer eligible to file an automatic shelf registration statement, the Company will, if it has not already done so, file a new shelf registration statement relating to the Securities, in a form satisfactory to you and will use its best efforts to cause such registration statement to be declared effective within 180 days after the Renewal Deadline. The Company will take all other action necessary or appropriate to permit the public offering and sale of the Securities to continue as contemplated in the expired registration statement relating to the Securities. References herein to the Registration Statement shall include such new automatic shelf registration statement or such new shelf registration statement, as the case may be. Notwithstanding the foregoing, if the Company receives written notice from the Representatives that there are not any Securities that remain unsold by the Underwriters at the Time of Delivery, then the Company shall have no obligation to take any action under this clause (c);</w:t>
      </w:r>
    </w:p>
    <w:p>
      <w:pPr>
        <w:spacing w:after="0" w:line="166" w:lineRule="exact"/>
        <w:rPr>
          <w:rFonts w:ascii="Arial" w:cs="Arial" w:eastAsia="Arial" w:hAnsi="Arial"/>
          <w:sz w:val="16"/>
          <w:szCs w:val="16"/>
          <w:color w:val="auto"/>
        </w:rPr>
      </w:pPr>
    </w:p>
    <w:p>
      <w:pPr>
        <w:ind w:right="40" w:firstLine="464"/>
        <w:spacing w:after="0" w:line="257" w:lineRule="auto"/>
        <w:tabs>
          <w:tab w:leader="none" w:pos="846" w:val="left"/>
        </w:tabs>
        <w:numPr>
          <w:ilvl w:val="0"/>
          <w:numId w:val="21"/>
        </w:numPr>
        <w:rPr>
          <w:rFonts w:ascii="Arial" w:cs="Arial" w:eastAsia="Arial" w:hAnsi="Arial"/>
          <w:sz w:val="18"/>
          <w:szCs w:val="18"/>
          <w:color w:val="auto"/>
        </w:rPr>
      </w:pPr>
      <w:r>
        <w:rPr>
          <w:rFonts w:ascii="Arial" w:cs="Arial" w:eastAsia="Arial" w:hAnsi="Arial"/>
          <w:sz w:val="18"/>
          <w:szCs w:val="18"/>
          <w:color w:val="auto"/>
        </w:rPr>
        <w:t>Promptly from time to time to take such action as you may reasonably request to qualify the Securities for offering and sale under the securities laws of such jurisdictions as you may request and to comply with such laws so as to permit the continuance of sales and dealings therein in such jurisdictions for as long as may be necessary to complete the distribution of the Securities, provided that in connection therewith the Company shall not be required to qualify as a foreign corporation, to file a general consent to service of process in any jurisdiction or to subject itself to taxation in any jurisdiction in which it is not so subject;</w:t>
      </w:r>
    </w:p>
    <w:p>
      <w:pPr>
        <w:spacing w:after="0" w:line="188" w:lineRule="exact"/>
        <w:rPr>
          <w:rFonts w:ascii="Arial" w:cs="Arial" w:eastAsia="Arial" w:hAnsi="Arial"/>
          <w:sz w:val="18"/>
          <w:szCs w:val="18"/>
          <w:color w:val="auto"/>
        </w:rPr>
      </w:pPr>
    </w:p>
    <w:p>
      <w:pPr>
        <w:ind w:right="20" w:firstLine="464"/>
        <w:spacing w:after="0" w:line="279" w:lineRule="auto"/>
        <w:tabs>
          <w:tab w:leader="none" w:pos="836" w:val="left"/>
        </w:tabs>
        <w:numPr>
          <w:ilvl w:val="0"/>
          <w:numId w:val="21"/>
        </w:numPr>
        <w:rPr>
          <w:rFonts w:ascii="Arial" w:cs="Arial" w:eastAsia="Arial" w:hAnsi="Arial"/>
          <w:sz w:val="17"/>
          <w:szCs w:val="17"/>
          <w:color w:val="auto"/>
        </w:rPr>
      </w:pPr>
      <w:r>
        <w:rPr>
          <w:rFonts w:ascii="Arial" w:cs="Arial" w:eastAsia="Arial" w:hAnsi="Arial"/>
          <w:sz w:val="17"/>
          <w:szCs w:val="17"/>
          <w:color w:val="auto"/>
        </w:rPr>
        <w:t>Prior to 10:00 a.m., New York City time, on the New York Business Day next succeeding the date of this Agreement and from time to time, to furnish the Underwriters with electronic copies of the Prospectus in New York City in such quantities as you may reasonably request, and, if the delivery of a prospectus (or in lieu thereof, the notice referred to in Rule 173(a) under the Act) is required at any time prior to the expiration of nine months after the time of issue of the Prospectus in connection with the offering or sale of the Securities and if at such time any event shall have</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60"/>
          </w:cols>
          <w:pgMar w:left="240" w:top="274" w:right="299" w:bottom="1440" w:gutter="0" w:footer="0" w:header="0"/>
        </w:sectPr>
      </w:pPr>
    </w:p>
    <w:bookmarkStart w:id="20" w:name="page21"/>
    <w:bookmarkEnd w:id="20"/>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occurred as a result of which the Prospectus as then amended or supplemented would include an untrue statement of a material fact or omit to state any material fact necessary in order to make the statements therein, in the light of the circumstances under which they were made when such Prospectus (or in lieu thereof, the notice referred to in Rule 173(a) under the Act) is delivered, not misleading, or, if for any other reason it shall be necessary during such same period to amend or supplement the Prospectus or to file under the Exchange Act any document incorporated by reference in the Prospectus in order to comply with the Act, the Exchange Act or the Trust Indenture Act, to notify you and upon your request to file such document and to prepare and furnish without charge to each Underwriter and to any dealer in securities as many written and electronic copies as you may from time to time reasonably request of an amended Prospectus or a supplement to the Prospectus which will correct such statement or omission or effect such compliance; and in case any Underwriter is required to deliver a prospectus (or in lieu thereof, the notice referred to in Rule 173(a) under the Act) in connection with sales of any of the Securities at any time nine months or more after the time of issue of the Prospectus, upon your request but at the expense of such Underwriter, to prepare and deliver to such Underwriter as many written and electronic copies as you may request of an amended or supplemented Prospectus complying with Section 10(a)(3) of the Act; For the purposes of this Section 5(e), “New York Business Day” shall mean each Monday, Tuesday, Wednesday, Thursday and Friday which is not a day on which banking institutions in New York City are generally authorized or obligated by law or executive order to close;</w:t>
      </w:r>
    </w:p>
    <w:p>
      <w:pPr>
        <w:spacing w:after="0" w:line="169" w:lineRule="exact"/>
        <w:rPr>
          <w:sz w:val="20"/>
          <w:szCs w:val="20"/>
          <w:color w:val="auto"/>
        </w:rPr>
      </w:pPr>
    </w:p>
    <w:p>
      <w:pPr>
        <w:jc w:val="both"/>
        <w:ind w:right="140" w:firstLine="464"/>
        <w:spacing w:after="0" w:line="312" w:lineRule="auto"/>
        <w:tabs>
          <w:tab w:leader="none" w:pos="813" w:val="left"/>
        </w:tabs>
        <w:numPr>
          <w:ilvl w:val="0"/>
          <w:numId w:val="22"/>
        </w:numPr>
        <w:rPr>
          <w:rFonts w:ascii="Arial" w:cs="Arial" w:eastAsia="Arial" w:hAnsi="Arial"/>
          <w:sz w:val="16"/>
          <w:szCs w:val="16"/>
          <w:color w:val="auto"/>
        </w:rPr>
      </w:pPr>
      <w:r>
        <w:rPr>
          <w:rFonts w:ascii="Arial" w:cs="Arial" w:eastAsia="Arial" w:hAnsi="Arial"/>
          <w:sz w:val="16"/>
          <w:szCs w:val="16"/>
          <w:color w:val="auto"/>
        </w:rPr>
        <w:t>To make generally available to its securityholders as soon as practicable, but in any event not later than sixteen months after the effective date of the Registration Statement (as defined in Rule 158(c) under the Act), an earnings statement of the Company and its subsidiaries (which need not be audited) complying with Section 11(a) of the Act and the rules and regulations of the Commission thereunder (including, at the option of the Company, Rule 158);</w:t>
      </w:r>
    </w:p>
    <w:p>
      <w:pPr>
        <w:spacing w:after="0" w:line="146" w:lineRule="exact"/>
        <w:rPr>
          <w:rFonts w:ascii="Arial" w:cs="Arial" w:eastAsia="Arial" w:hAnsi="Arial"/>
          <w:sz w:val="16"/>
          <w:szCs w:val="16"/>
          <w:color w:val="auto"/>
        </w:rPr>
      </w:pPr>
    </w:p>
    <w:p>
      <w:pPr>
        <w:ind w:right="20" w:firstLine="464"/>
        <w:spacing w:after="0" w:line="257" w:lineRule="auto"/>
        <w:tabs>
          <w:tab w:leader="none" w:pos="846" w:val="left"/>
        </w:tabs>
        <w:numPr>
          <w:ilvl w:val="0"/>
          <w:numId w:val="22"/>
        </w:numPr>
        <w:rPr>
          <w:rFonts w:ascii="Arial" w:cs="Arial" w:eastAsia="Arial" w:hAnsi="Arial"/>
          <w:sz w:val="18"/>
          <w:szCs w:val="18"/>
          <w:color w:val="auto"/>
        </w:rPr>
      </w:pPr>
      <w:r>
        <w:rPr>
          <w:rFonts w:ascii="Arial" w:cs="Arial" w:eastAsia="Arial" w:hAnsi="Arial"/>
          <w:sz w:val="18"/>
          <w:szCs w:val="18"/>
          <w:color w:val="auto"/>
        </w:rPr>
        <w:t>During the period beginning from the date hereof and continuing to and including the Time of Delivery or such earlier time as the Representatives may notify the Company, without the prior written consent of the Representatives, not to offer, sell, contract to sell, pledge, grant any option to purchase, make any short sale or otherwise transfer or dispose of, directly or indirectly, or file with the Commission a registration statement under the Act relating to any securities of the Company that are substantially similar to the Securities, or publicly disclose the intention to make any offer, sale, pledge, disposition or filing;</w:t>
      </w:r>
    </w:p>
    <w:p>
      <w:pPr>
        <w:spacing w:after="0" w:line="188" w:lineRule="exact"/>
        <w:rPr>
          <w:rFonts w:ascii="Arial" w:cs="Arial" w:eastAsia="Arial" w:hAnsi="Arial"/>
          <w:sz w:val="18"/>
          <w:szCs w:val="18"/>
          <w:color w:val="auto"/>
        </w:rPr>
      </w:pPr>
    </w:p>
    <w:p>
      <w:pPr>
        <w:ind w:right="180" w:firstLine="464"/>
        <w:spacing w:after="0" w:line="277" w:lineRule="auto"/>
        <w:tabs>
          <w:tab w:leader="none" w:pos="843" w:val="left"/>
        </w:tabs>
        <w:numPr>
          <w:ilvl w:val="0"/>
          <w:numId w:val="22"/>
        </w:numPr>
        <w:rPr>
          <w:rFonts w:ascii="Arial" w:cs="Arial" w:eastAsia="Arial" w:hAnsi="Arial"/>
          <w:sz w:val="18"/>
          <w:szCs w:val="18"/>
          <w:color w:val="auto"/>
        </w:rPr>
      </w:pPr>
      <w:r>
        <w:rPr>
          <w:rFonts w:ascii="Arial" w:cs="Arial" w:eastAsia="Arial" w:hAnsi="Arial"/>
          <w:sz w:val="18"/>
          <w:szCs w:val="18"/>
          <w:color w:val="auto"/>
        </w:rPr>
        <w:t>To pay the required Commission filing fees relating to the Securities within the time required by Rule 456(b)(1) under the Act without regard to the proviso therein and otherwise in accordance with Rules 456(b) and 457(r) under the Act; and</w:t>
      </w:r>
    </w:p>
    <w:p>
      <w:pPr>
        <w:spacing w:after="0" w:line="170" w:lineRule="exact"/>
        <w:rPr>
          <w:rFonts w:ascii="Arial" w:cs="Arial" w:eastAsia="Arial" w:hAnsi="Arial"/>
          <w:sz w:val="18"/>
          <w:szCs w:val="18"/>
          <w:color w:val="auto"/>
        </w:rPr>
      </w:pPr>
    </w:p>
    <w:p>
      <w:pPr>
        <w:ind w:right="100" w:firstLine="464"/>
        <w:spacing w:after="0" w:line="277" w:lineRule="auto"/>
        <w:tabs>
          <w:tab w:leader="none" w:pos="803" w:val="left"/>
        </w:tabs>
        <w:numPr>
          <w:ilvl w:val="0"/>
          <w:numId w:val="22"/>
        </w:numPr>
        <w:rPr>
          <w:rFonts w:ascii="Arial" w:cs="Arial" w:eastAsia="Arial" w:hAnsi="Arial"/>
          <w:sz w:val="18"/>
          <w:szCs w:val="18"/>
          <w:color w:val="auto"/>
        </w:rPr>
      </w:pPr>
      <w:r>
        <w:rPr>
          <w:rFonts w:ascii="Arial" w:cs="Arial" w:eastAsia="Arial" w:hAnsi="Arial"/>
          <w:sz w:val="18"/>
          <w:szCs w:val="18"/>
          <w:color w:val="auto"/>
        </w:rPr>
        <w:t>To use the net proceeds received by it from the sale of the Securities pursuant to this Agreement in the manner specified in the Pricing Prospectus under the caption “Use of Proceeds”.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274" w:right="259" w:bottom="1440" w:gutter="0" w:footer="0" w:header="0"/>
        </w:sectPr>
      </w:pPr>
    </w:p>
    <w:bookmarkStart w:id="21" w:name="page22"/>
    <w:bookmarkEnd w:id="21"/>
    <w:p>
      <w:pPr>
        <w:ind w:right="2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6. (a) (i) The Company represents and agrees that, other than the final term sheet prepared and filed pursuant to Section 5(a) hereof, without the prior consent of the Representatives, it has not made and will not make any offer relating to the Securities that would constitute a “free writing prospectus” as defined in Rule 405 under the Act;</w:t>
      </w:r>
    </w:p>
    <w:p>
      <w:pPr>
        <w:spacing w:after="0" w:line="181" w:lineRule="exact"/>
        <w:rPr>
          <w:sz w:val="20"/>
          <w:szCs w:val="20"/>
          <w:color w:val="auto"/>
        </w:rPr>
      </w:pPr>
    </w:p>
    <w:p>
      <w:pPr>
        <w:ind w:right="60" w:firstLine="921"/>
        <w:spacing w:after="0" w:line="286" w:lineRule="auto"/>
        <w:tabs>
          <w:tab w:leader="none" w:pos="1313" w:val="left"/>
        </w:tabs>
        <w:numPr>
          <w:ilvl w:val="1"/>
          <w:numId w:val="23"/>
        </w:numPr>
        <w:rPr>
          <w:rFonts w:ascii="Arial" w:cs="Arial" w:eastAsia="Arial" w:hAnsi="Arial"/>
          <w:sz w:val="17"/>
          <w:szCs w:val="17"/>
          <w:color w:val="auto"/>
        </w:rPr>
      </w:pPr>
      <w:r>
        <w:rPr>
          <w:rFonts w:ascii="Arial" w:cs="Arial" w:eastAsia="Arial" w:hAnsi="Arial"/>
          <w:sz w:val="17"/>
          <w:szCs w:val="17"/>
          <w:color w:val="auto"/>
        </w:rPr>
        <w:t>each Underwriter represents and agrees that, without the prior consent of the Company and the Representatives, other than one or more term sheets relating to the Securities containing customary information and conveyed to purchasers of Securities, it has not made and will not make any offer relating to the Securities that would constitute a free writing prospectus required to be filed with the Commission; and</w:t>
      </w:r>
    </w:p>
    <w:p>
      <w:pPr>
        <w:spacing w:after="0" w:line="165" w:lineRule="exact"/>
        <w:rPr>
          <w:rFonts w:ascii="Arial" w:cs="Arial" w:eastAsia="Arial" w:hAnsi="Arial"/>
          <w:sz w:val="17"/>
          <w:szCs w:val="17"/>
          <w:color w:val="auto"/>
        </w:rPr>
      </w:pPr>
    </w:p>
    <w:p>
      <w:pPr>
        <w:ind w:right="40" w:firstLine="921"/>
        <w:spacing w:after="0" w:line="277" w:lineRule="auto"/>
        <w:tabs>
          <w:tab w:leader="none" w:pos="1363"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such free writing prospectus the use of which has been consented to by the Company and the Representatives (including the final term sheet prepared and filed pursuant to Section 5(a) hereof) is listed on Schedule II(a) hereto;</w:t>
      </w:r>
    </w:p>
    <w:p>
      <w:pPr>
        <w:spacing w:after="0" w:line="170" w:lineRule="exact"/>
        <w:rPr>
          <w:rFonts w:ascii="Arial" w:cs="Arial" w:eastAsia="Arial" w:hAnsi="Arial"/>
          <w:sz w:val="18"/>
          <w:szCs w:val="18"/>
          <w:color w:val="auto"/>
        </w:rPr>
      </w:pPr>
    </w:p>
    <w:p>
      <w:pPr>
        <w:ind w:right="180" w:firstLine="464"/>
        <w:spacing w:after="0" w:line="277" w:lineRule="auto"/>
        <w:tabs>
          <w:tab w:leader="none" w:pos="843"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Company has complied and will comply with the requirements of Rule 433 under the Act applicable to any Issuer Free Writing Prospectus, including timely filing with the Commission or retention where required and legending; and</w:t>
      </w:r>
    </w:p>
    <w:p>
      <w:pPr>
        <w:spacing w:after="0" w:line="170" w:lineRule="exact"/>
        <w:rPr>
          <w:rFonts w:ascii="Arial" w:cs="Arial" w:eastAsia="Arial" w:hAnsi="Arial"/>
          <w:sz w:val="18"/>
          <w:szCs w:val="18"/>
          <w:color w:val="auto"/>
        </w:rPr>
      </w:pPr>
    </w:p>
    <w:p>
      <w:pPr>
        <w:ind w:right="60" w:firstLine="464"/>
        <w:spacing w:after="0" w:line="272" w:lineRule="auto"/>
        <w:tabs>
          <w:tab w:leader="none" w:pos="833"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The Company agrees that if at any time following issuance of an Issuer Free Writing Prospectus any event occurred or occurs as a result of which such Issuer Free Writing Prospectus would conflict with the information in the Registration Statement, the Pricing Prospectus or the Prospectus or would include an untrue statement of a material fact or omit to state any material fact necessary in order to make the statements therein, in the light of the circumstances then prevailing, not misleading, the Company will give prompt notice thereof to the Representatives and, if requested by the Representatives, will prepare and furnish without charge to each Underwriter an Issuer Free Writing Prospectus or other document which will correct such conflict, statement or omission; provided, however, that this representation and warranty shall not apply to any statements or omissions in an Issuer Free Writing Prospectus made in reliance upon and in conformity with the Underwriter Information.</w:t>
      </w:r>
    </w:p>
    <w:p>
      <w:pPr>
        <w:spacing w:after="0" w:line="178" w:lineRule="exact"/>
        <w:rPr>
          <w:sz w:val="20"/>
          <w:szCs w:val="20"/>
          <w:color w:val="auto"/>
        </w:rPr>
      </w:pPr>
    </w:p>
    <w:p>
      <w:pPr>
        <w:ind w:firstLine="464"/>
        <w:spacing w:after="0" w:line="290" w:lineRule="auto"/>
        <w:tabs>
          <w:tab w:leader="none" w:pos="768"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Company covenants and agrees with the several Underwriters that the Company will pay or cause to be paid the following: (i) the fees, disbursements and expenses of the Company’s counsel and accountants in connection with the registration of the Securities under the Act and all other expenses in connection with the preparation, printing, reproduction and filing of the Registration Statement, the Base Prospectus, any Preliminary Prospectus, any Issuer Free Writing Prospectus and the Prospectus and amendments and supplements thereto and the mailing and delivering of copies thereof to the Underwriters and dealers; (ii) the cost of printing or producing any Agreement among Underwriters, this Agreement, the Indenture, the Blue Sky Memorandum, closing documents (including any compilations thereof) in connection with the offering, purchase, sale and delivery of the Securities; (iii) all expenses in connection with the qualification of the Securities for offering and sale under state securities laws as provided in Section 5(d) hereof, including the documented fees and disbursements of counsel for the Underwriters in connection with such qualification and in connection with the Blue</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80"/>
          </w:cols>
          <w:pgMar w:left="240" w:top="274" w:right="279" w:bottom="1440" w:gutter="0" w:footer="0" w:header="0"/>
        </w:sectPr>
      </w:pPr>
    </w:p>
    <w:bookmarkStart w:id="22" w:name="page23"/>
    <w:bookmarkEnd w:id="22"/>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Sky survey; (iv) any fees charged by securities rating services for rating the Securities; (v) the filing fees incident to, and the fees and disbursements of counsel for the Underwriters in connection with, any required review by the Financial Industry Regulatory Authority (“FINRA”) of the terms of the sale of the Securities; (vi) the cost of preparing the Securities; (vii) the fees and expenses of the Trustee and any agent of the Trustee and the fees and disbursements of counsel for the Trustee in connection with the Indenture and the Securities; and (viii) all other costs and expenses incident to the performance of its obligations hereunder which are not otherwise specifically provided for in this Section. It is understood, however, that, except as provided in this Section, and Sections 9 and 12 hereof, the Underwriters will pay all of their own costs and expenses, including the fees of their counsel, transfer taxes on resale of any of the Securities by them, and any advertising expenses connected with any offers they may make.</w:t>
      </w:r>
    </w:p>
    <w:p>
      <w:pPr>
        <w:spacing w:after="0" w:line="178" w:lineRule="exact"/>
        <w:rPr>
          <w:sz w:val="20"/>
          <w:szCs w:val="20"/>
          <w:color w:val="auto"/>
        </w:rPr>
      </w:pPr>
    </w:p>
    <w:p>
      <w:pPr>
        <w:jc w:val="both"/>
        <w:ind w:firstLine="464"/>
        <w:spacing w:after="0" w:line="286" w:lineRule="auto"/>
        <w:tabs>
          <w:tab w:leader="none" w:pos="768"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obligations of the Underwriters hereunder shall be subject, in their discretion, to the condition that all representations and warranties and other statements of the Company herein are, at and as of the Applicable Time and the Time of Delivery, true and correct, the condition that the Company shall have performed all of its obligations hereunder theretofore to be performed, and the following additional conditions:</w:t>
      </w:r>
    </w:p>
    <w:p>
      <w:pPr>
        <w:spacing w:after="0" w:line="166" w:lineRule="exact"/>
        <w:rPr>
          <w:sz w:val="20"/>
          <w:szCs w:val="20"/>
          <w:color w:val="auto"/>
        </w:rPr>
      </w:pPr>
    </w:p>
    <w:p>
      <w:pPr>
        <w:ind w:right="40" w:firstLine="464"/>
        <w:spacing w:after="0" w:line="270" w:lineRule="auto"/>
        <w:tabs>
          <w:tab w:leader="none" w:pos="833"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Prospectus shall have been filed with the Commission pursuant to Rule 424(b) under the Act within the applicable time period prescribed for such filing by the rules and regulations under the Act and in accordance with Section 5(a) hereof; the final term sheet contemplated by Section 5(a) hereof, and any other material required to be filed by the Company pursuant to Rule 433(d) under the Act, shall have been filed with the Commission within the applicable time periods prescribed for such filings by Rule 433; no stop order suspending the effectiveness of the Registration Statement or any part thereof shall have been issued and no proceeding for that purpose shall have been initiated or threatened by the Commission and no notice of objection of the Commission to the use of the Registration Statement or any post-effective amendment thereto pursuant to Rule 401(g)(2) under the Act shall have been received; no stop order suspending or preventing the use of the Preliminary Prospectus, the Prospectus or any Issuer Free Writing Prospectus shall have been initiated or threatened by the Commission; and all requests for additional information on the part of the Commission shall have been complied with to your reasonable satisfaction;</w:t>
      </w:r>
    </w:p>
    <w:p>
      <w:pPr>
        <w:spacing w:after="0" w:line="181" w:lineRule="exact"/>
        <w:rPr>
          <w:rFonts w:ascii="Arial" w:cs="Arial" w:eastAsia="Arial" w:hAnsi="Arial"/>
          <w:sz w:val="17"/>
          <w:szCs w:val="17"/>
          <w:color w:val="auto"/>
        </w:rPr>
      </w:pPr>
    </w:p>
    <w:p>
      <w:pPr>
        <w:ind w:right="220" w:firstLine="464"/>
        <w:spacing w:after="0" w:line="312" w:lineRule="auto"/>
        <w:tabs>
          <w:tab w:leader="none" w:pos="846" w:val="left"/>
        </w:tabs>
        <w:numPr>
          <w:ilvl w:val="0"/>
          <w:numId w:val="27"/>
        </w:numPr>
        <w:rPr>
          <w:rFonts w:ascii="Arial" w:cs="Arial" w:eastAsia="Arial" w:hAnsi="Arial"/>
          <w:sz w:val="16"/>
          <w:szCs w:val="16"/>
          <w:color w:val="auto"/>
        </w:rPr>
      </w:pPr>
      <w:r>
        <w:rPr>
          <w:rFonts w:ascii="Arial" w:cs="Arial" w:eastAsia="Arial" w:hAnsi="Arial"/>
          <w:sz w:val="16"/>
          <w:szCs w:val="16"/>
          <w:color w:val="auto"/>
        </w:rPr>
        <w:t>Cravath, Swaine &amp; Moore LLP, counsel for the Underwriters, shall have furnished to you its written opinion and negative assurance statement, dated the Time of Delivery, in form and substance reasonably satisfactory to you, with respect to such matters as you may reasonably request, and such counsel shall have received such papers and information as they may reasonably request to enable them to pass upon such matters;</w:t>
      </w:r>
    </w:p>
    <w:p>
      <w:pPr>
        <w:spacing w:after="0" w:line="146" w:lineRule="exact"/>
        <w:rPr>
          <w:rFonts w:ascii="Arial" w:cs="Arial" w:eastAsia="Arial" w:hAnsi="Arial"/>
          <w:sz w:val="16"/>
          <w:szCs w:val="16"/>
          <w:color w:val="auto"/>
        </w:rPr>
      </w:pPr>
    </w:p>
    <w:p>
      <w:pPr>
        <w:ind w:right="340" w:firstLine="464"/>
        <w:spacing w:after="0" w:line="277" w:lineRule="auto"/>
        <w:tabs>
          <w:tab w:leader="none" w:pos="836" w:val="left"/>
        </w:tabs>
        <w:numPr>
          <w:ilvl w:val="0"/>
          <w:numId w:val="27"/>
        </w:numPr>
        <w:rPr>
          <w:rFonts w:ascii="Arial" w:cs="Arial" w:eastAsia="Arial" w:hAnsi="Arial"/>
          <w:sz w:val="18"/>
          <w:szCs w:val="18"/>
          <w:color w:val="auto"/>
        </w:rPr>
      </w:pPr>
      <w:r>
        <w:rPr>
          <w:rFonts w:ascii="Arial" w:cs="Arial" w:eastAsia="Arial" w:hAnsi="Arial"/>
          <w:sz w:val="18"/>
          <w:szCs w:val="18"/>
          <w:color w:val="auto"/>
        </w:rPr>
        <w:t>Hogan Lovells US LLP, counsel for the Company, shall have furnished to you its written opinion and negative assurance statement, dated the Time of Delivery and addressed to the Underwriters, in form and substance reasonably satisfactory to you;</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274" w:right="299" w:bottom="1440" w:gutter="0" w:footer="0" w:header="0"/>
        </w:sectPr>
      </w:pPr>
    </w:p>
    <w:bookmarkStart w:id="23" w:name="page24"/>
    <w:bookmarkEnd w:id="23"/>
    <w:p>
      <w:pPr>
        <w:ind w:left="-8" w:right="600" w:firstLine="464"/>
        <w:spacing w:after="0" w:line="277" w:lineRule="auto"/>
        <w:tabs>
          <w:tab w:leader="none" w:pos="828" w:val="left"/>
        </w:tabs>
        <w:numPr>
          <w:ilvl w:val="1"/>
          <w:numId w:val="2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Appleby (Bermuda) Limited, special Bermuda counsel for the Company, shall have furnished to you its written opinion, dated the Time of Delivery and addressed to the Underwriters, in form and substance reasonably satisfactory to you;</w:t>
      </w:r>
    </w:p>
    <w:p>
      <w:pPr>
        <w:spacing w:after="0" w:line="170" w:lineRule="exact"/>
        <w:rPr>
          <w:rFonts w:ascii="Arial" w:cs="Arial" w:eastAsia="Arial" w:hAnsi="Arial"/>
          <w:sz w:val="18"/>
          <w:szCs w:val="18"/>
          <w:color w:val="auto"/>
        </w:rPr>
      </w:pPr>
    </w:p>
    <w:p>
      <w:pPr>
        <w:ind w:left="-8" w:right="80" w:firstLine="464"/>
        <w:spacing w:after="0" w:line="286" w:lineRule="auto"/>
        <w:tabs>
          <w:tab w:leader="none" w:pos="828" w:val="left"/>
        </w:tabs>
        <w:numPr>
          <w:ilvl w:val="1"/>
          <w:numId w:val="28"/>
        </w:numPr>
        <w:rPr>
          <w:rFonts w:ascii="Arial" w:cs="Arial" w:eastAsia="Arial" w:hAnsi="Arial"/>
          <w:sz w:val="17"/>
          <w:szCs w:val="17"/>
          <w:color w:val="auto"/>
        </w:rPr>
      </w:pPr>
      <w:r>
        <w:rPr>
          <w:rFonts w:ascii="Arial" w:cs="Arial" w:eastAsia="Arial" w:hAnsi="Arial"/>
          <w:sz w:val="17"/>
          <w:szCs w:val="17"/>
          <w:color w:val="auto"/>
        </w:rPr>
        <w:t>Mitchell L. Gaynor, Executive Vice President, Chief Administration and Legal Officer for the Company on behalf of the Company (or such other person who shall be a senior legal officer of the Company at the Time of Delivery), shall have furnished to you, at the request of the Company, his written opinion letter, dated the Time of Delivery and addressed to the Underwriters, in form and substance reasonably satisfactory to you;</w:t>
      </w:r>
    </w:p>
    <w:p>
      <w:pPr>
        <w:spacing w:after="0" w:line="165" w:lineRule="exact"/>
        <w:rPr>
          <w:rFonts w:ascii="Arial" w:cs="Arial" w:eastAsia="Arial" w:hAnsi="Arial"/>
          <w:sz w:val="17"/>
          <w:szCs w:val="17"/>
          <w:color w:val="auto"/>
        </w:rPr>
      </w:pPr>
    </w:p>
    <w:p>
      <w:pPr>
        <w:ind w:left="-8" w:right="440" w:firstLine="464"/>
        <w:spacing w:after="0" w:line="291" w:lineRule="auto"/>
        <w:tabs>
          <w:tab w:leader="none" w:pos="808" w:val="left"/>
        </w:tabs>
        <w:numPr>
          <w:ilvl w:val="1"/>
          <w:numId w:val="28"/>
        </w:numPr>
        <w:rPr>
          <w:rFonts w:ascii="Arial" w:cs="Arial" w:eastAsia="Arial" w:hAnsi="Arial"/>
          <w:sz w:val="16"/>
          <w:szCs w:val="16"/>
          <w:color w:val="auto"/>
        </w:rPr>
      </w:pPr>
      <w:r>
        <w:rPr>
          <w:rFonts w:ascii="Arial" w:cs="Arial" w:eastAsia="Arial" w:hAnsi="Arial"/>
          <w:sz w:val="16"/>
          <w:szCs w:val="16"/>
          <w:color w:val="auto"/>
        </w:rPr>
        <w:t>On the date of the Prospectus at a time prior to the execution of this Agreement, on the effective date of any post-effective amendment to the Registration Statement filed subsequent to the date of this Agreement and also at the Time of Delivery, each of (i) Deloitte &amp; Touche LLP and</w:t>
      </w:r>
    </w:p>
    <w:p>
      <w:pPr>
        <w:ind w:left="-8" w:firstLine="8"/>
        <w:spacing w:after="0" w:line="253" w:lineRule="auto"/>
        <w:tabs>
          <w:tab w:leader="none" w:pos="257" w:val="left"/>
        </w:tabs>
        <w:numPr>
          <w:ilvl w:val="0"/>
          <w:numId w:val="29"/>
        </w:numPr>
        <w:rPr>
          <w:rFonts w:ascii="Arial" w:cs="Arial" w:eastAsia="Arial" w:hAnsi="Arial"/>
          <w:sz w:val="18"/>
          <w:szCs w:val="18"/>
          <w:color w:val="auto"/>
        </w:rPr>
      </w:pPr>
      <w:r>
        <w:rPr>
          <w:rFonts w:ascii="Arial" w:cs="Arial" w:eastAsia="Arial" w:hAnsi="Arial"/>
          <w:sz w:val="18"/>
          <w:szCs w:val="18"/>
          <w:color w:val="auto"/>
        </w:rPr>
        <w:t>PricewaterhouseCoopers LLP shall have furnished to you a letter or letters, dated the respective dates of delivery thereof, in form and substance satisfactory to you, containing statements and information of the type customarily included in accountants’ “comfort letters” to underwriters with respect to financial statements and certain financial information contained or incorporated by reference in each of the Registration Statement, the Pricing Prospectus and the Prospectus; provided that the letters delivered on the Time of Delivery shall, in each case, use a “cut-off” date no more than three business days prior to such Time of Delivery;</w:t>
      </w:r>
    </w:p>
    <w:p>
      <w:pPr>
        <w:spacing w:after="0" w:line="191" w:lineRule="exact"/>
        <w:rPr>
          <w:rFonts w:ascii="Arial" w:cs="Arial" w:eastAsia="Arial" w:hAnsi="Arial"/>
          <w:sz w:val="18"/>
          <w:szCs w:val="18"/>
          <w:color w:val="auto"/>
        </w:rPr>
      </w:pPr>
    </w:p>
    <w:p>
      <w:pPr>
        <w:ind w:left="-8" w:right="60" w:firstLine="464"/>
        <w:spacing w:after="0" w:line="269" w:lineRule="auto"/>
        <w:tabs>
          <w:tab w:leader="none" w:pos="838" w:val="left"/>
        </w:tabs>
        <w:numPr>
          <w:ilvl w:val="1"/>
          <w:numId w:val="29"/>
        </w:numPr>
        <w:rPr>
          <w:rFonts w:ascii="Arial" w:cs="Arial" w:eastAsia="Arial" w:hAnsi="Arial"/>
          <w:sz w:val="17"/>
          <w:szCs w:val="17"/>
          <w:color w:val="auto"/>
        </w:rPr>
      </w:pPr>
      <w:r>
        <w:rPr>
          <w:rFonts w:ascii="Arial" w:cs="Arial" w:eastAsia="Arial" w:hAnsi="Arial"/>
          <w:sz w:val="17"/>
          <w:szCs w:val="17"/>
          <w:color w:val="auto"/>
        </w:rPr>
        <w:t>(i) Neither the Company nor any of its subsidiaries shall have sustained since the date of the latest audited financial statements included or incorporated by reference in the Pricing Prospectus any loss or interference with its business from fire, explosion, flood or other calamity, whether or not covered by insurance, or from any labor dispute or court or governmental action, order or decree, otherwise than as set forth or contemplated in the Pricing Prospectus, and (ii) since the respective dates as of which information is given in the Pricing Prospectus there shall not have been any change to the authorized capitalization of the Company or long-term debt of the Company and its subsidiaries as set forth in the Pricing Prospectus under the caption “Capitalization” or in or affecting (x) the business, properties, general affairs, management, financial position, stockholders’ equity or results of operations of the Company and its subsidiaries taken as a whole, except as set forth or contemplated in the Pricing Prospectus and the Prospectus, or (y) the ability of the Company to perform its obligations under this Agreement, including the issuance and sale of the Securities, or to consummate the transactions contemplated in the Pricing Prospectus and the Prospectus, the effect of which, in any such case described in clause (i) or (ii), is in your judgment so material and adverse as to make it impracticable or inadvisable to proceed with the public offering or the delivery of the Securities on the terms and in the manner contemplated in the Pricing Prospectus and the Prospectus;</w:t>
      </w:r>
    </w:p>
    <w:p>
      <w:pPr>
        <w:spacing w:after="0" w:line="182" w:lineRule="exact"/>
        <w:rPr>
          <w:rFonts w:ascii="Arial" w:cs="Arial" w:eastAsia="Arial" w:hAnsi="Arial"/>
          <w:sz w:val="17"/>
          <w:szCs w:val="17"/>
          <w:color w:val="auto"/>
        </w:rPr>
      </w:pPr>
    </w:p>
    <w:p>
      <w:pPr>
        <w:jc w:val="both"/>
        <w:ind w:left="-8" w:right="60" w:firstLine="464"/>
        <w:spacing w:after="0" w:line="312" w:lineRule="auto"/>
        <w:tabs>
          <w:tab w:leader="none" w:pos="838" w:val="left"/>
        </w:tabs>
        <w:numPr>
          <w:ilvl w:val="1"/>
          <w:numId w:val="29"/>
        </w:numPr>
        <w:rPr>
          <w:rFonts w:ascii="Arial" w:cs="Arial" w:eastAsia="Arial" w:hAnsi="Arial"/>
          <w:sz w:val="16"/>
          <w:szCs w:val="16"/>
          <w:color w:val="auto"/>
        </w:rPr>
      </w:pPr>
      <w:r>
        <w:rPr>
          <w:rFonts w:ascii="Arial" w:cs="Arial" w:eastAsia="Arial" w:hAnsi="Arial"/>
          <w:sz w:val="16"/>
          <w:szCs w:val="16"/>
          <w:color w:val="auto"/>
        </w:rPr>
        <w:t>On or after the Applicable Time (i) no downgrading shall have occurred in the rating accorded the Company’s debt securities by any “nationally recognized statistical rating organization”, as that term is defined by the Commission in Section 3(a)(62) of the Exchange Act, and (ii) no such organization shall have publicly announced that it has under surveillance or review, with possible negative implications, its rating of any of the Company’s debt securities;</w:t>
      </w:r>
    </w:p>
    <w:p>
      <w:pPr>
        <w:spacing w:after="0" w:line="7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92"/>
          </w:cols>
          <w:pgMar w:left="248" w:top="274" w:right="259" w:bottom="1440" w:gutter="0" w:footer="0" w:header="0"/>
        </w:sectPr>
      </w:pPr>
    </w:p>
    <w:bookmarkStart w:id="24" w:name="page25"/>
    <w:bookmarkEnd w:id="24"/>
    <w:p>
      <w:pPr>
        <w:ind w:left="-80" w:right="80" w:firstLine="464"/>
        <w:spacing w:after="0" w:line="291" w:lineRule="auto"/>
        <w:tabs>
          <w:tab w:leader="none" w:pos="726" w:val="left"/>
        </w:tabs>
        <w:numPr>
          <w:ilvl w:val="0"/>
          <w:numId w:val="3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On or after the Applicable Time there shall not have occurred any of the following: (i) a suspension or material limitation in trading in securities generally on NASDAQ; (ii) a suspension or material limitation in trading in the Company’s securities on NASDAQ; (iii) a general moratorium on commercial banking activities declared by either Federal or New York. State authorities or a material disruption in commercial banking or securities settlement or clearance services in the United States; (iv) the outbreak or escalation of hostilities involving the United States or the declaration by the United States of a national emergency or war or (v) the occurrence of any other calamity or crisis or any change in financial, political or economic conditions in the United States or elsewhere, if the effect of any such event specified in clause (iv) or (v) in your judgment makes it impracticable or inadvisable to proceed with the public offering or the delivery of the Securities on the terms and in the manner contemplated in the Pricing Prospectus and the Prospectus;</w:t>
      </w:r>
    </w:p>
    <w:p>
      <w:pPr>
        <w:spacing w:after="0" w:line="167" w:lineRule="exact"/>
        <w:rPr>
          <w:rFonts w:ascii="Arial" w:cs="Arial" w:eastAsia="Arial" w:hAnsi="Arial"/>
          <w:sz w:val="16"/>
          <w:szCs w:val="16"/>
          <w:color w:val="auto"/>
        </w:rPr>
      </w:pPr>
    </w:p>
    <w:p>
      <w:pPr>
        <w:ind w:left="740" w:hanging="356"/>
        <w:spacing w:after="0"/>
        <w:tabs>
          <w:tab w:leader="none" w:pos="7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Company shall have complied with the provisions of Section 5(e) hereof with respect to the furnishing of prospectuses;</w:t>
      </w:r>
    </w:p>
    <w:p>
      <w:pPr>
        <w:spacing w:after="0" w:line="225" w:lineRule="exact"/>
        <w:rPr>
          <w:rFonts w:ascii="Arial" w:cs="Arial" w:eastAsia="Arial" w:hAnsi="Arial"/>
          <w:sz w:val="18"/>
          <w:szCs w:val="18"/>
          <w:color w:val="auto"/>
        </w:rPr>
      </w:pPr>
    </w:p>
    <w:p>
      <w:pPr>
        <w:ind w:left="-80" w:right="180" w:firstLine="464"/>
        <w:spacing w:after="0" w:line="259" w:lineRule="auto"/>
        <w:tabs>
          <w:tab w:leader="none" w:pos="763"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Company shall have furnished or caused to be furnished to you at the Time of Delivery certificates of officers of the Company reasonably satisfactory to you as to the accuracy of the representations and warranties of the Company herein at and as of such time, as to the performance by the Company of all of its obligations hereunder to be performed at or prior to such time, as to the matters set forth in subsections (a), (g) and (h) of this Section and as to such other matters as you may reasonably request; and</w:t>
      </w:r>
    </w:p>
    <w:p>
      <w:pPr>
        <w:spacing w:after="0" w:line="186" w:lineRule="exact"/>
        <w:rPr>
          <w:rFonts w:ascii="Arial" w:cs="Arial" w:eastAsia="Arial" w:hAnsi="Arial"/>
          <w:sz w:val="18"/>
          <w:szCs w:val="18"/>
          <w:color w:val="auto"/>
        </w:rPr>
      </w:pPr>
    </w:p>
    <w:p>
      <w:pPr>
        <w:ind w:left="-80" w:right="440" w:firstLine="464"/>
        <w:spacing w:after="0" w:line="312" w:lineRule="auto"/>
        <w:tabs>
          <w:tab w:leader="none" w:pos="726" w:val="left"/>
        </w:tabs>
        <w:numPr>
          <w:ilvl w:val="0"/>
          <w:numId w:val="30"/>
        </w:numPr>
        <w:rPr>
          <w:rFonts w:ascii="Arial" w:cs="Arial" w:eastAsia="Arial" w:hAnsi="Arial"/>
          <w:sz w:val="16"/>
          <w:szCs w:val="16"/>
          <w:color w:val="auto"/>
        </w:rPr>
      </w:pPr>
      <w:r>
        <w:rPr>
          <w:rFonts w:ascii="Arial" w:cs="Arial" w:eastAsia="Arial" w:hAnsi="Arial"/>
          <w:sz w:val="16"/>
          <w:szCs w:val="16"/>
          <w:color w:val="auto"/>
        </w:rPr>
        <w:t>On the date of the Prospectus at a time prior to the execution of this Agreement and also at the Time of Delivery, the Company shall have furnished or caused to be furnished to you a certificate of its chief financial officer, dated the respective dates of delivery thereof, in form and substance satisfactory to you, with respect to certain financial data contained in or incorporated by reference in each of the Pricing Prospectus and the Prospectus.</w:t>
      </w:r>
    </w:p>
    <w:p>
      <w:pPr>
        <w:spacing w:after="0" w:line="147" w:lineRule="exact"/>
        <w:rPr>
          <w:sz w:val="20"/>
          <w:szCs w:val="20"/>
          <w:color w:val="auto"/>
        </w:rPr>
      </w:pPr>
    </w:p>
    <w:p>
      <w:pPr>
        <w:ind w:left="-80" w:firstLine="464"/>
        <w:spacing w:after="0" w:line="271" w:lineRule="auto"/>
        <w:tabs>
          <w:tab w:leader="none" w:pos="691" w:val="left"/>
        </w:tabs>
        <w:numPr>
          <w:ilvl w:val="0"/>
          <w:numId w:val="31"/>
        </w:numPr>
        <w:rPr>
          <w:rFonts w:ascii="Arial" w:cs="Arial" w:eastAsia="Arial" w:hAnsi="Arial"/>
          <w:sz w:val="17"/>
          <w:szCs w:val="17"/>
          <w:color w:val="auto"/>
        </w:rPr>
      </w:pPr>
      <w:r>
        <w:rPr>
          <w:rFonts w:ascii="Arial" w:cs="Arial" w:eastAsia="Arial" w:hAnsi="Arial"/>
          <w:sz w:val="17"/>
          <w:szCs w:val="17"/>
          <w:color w:val="auto"/>
        </w:rPr>
        <w:t>(a) The Company will indemnify and hold harmless each Underwriter against any losses, claims, damages or liabilities, joint or several, to which such Underwriter may become subject, under the Act or otherwise, insofar as such losses, claims, damages or liabilities (or actions in respect thereof) arise out of or are based upon an untrue statement or alleged untrue statement of a material fact contained in the Registration Statement, the Base Prospectus, any Preliminary Prospectus, the Pricing Prospectus or the Prospectus, or any amendment or supplement thereto, any Issuer Free Writing Prospectus, any electronic roadshow or any “issuer information” filed or required to be filed pursuant to Rule 433(d) under the Act, or arise out of or are based upon the omission or alleged omission to state therein a material fact required to be stated therein or necessary to make the statements therein not misleading, and will reimburse each Underwriter for any legal or other expenses reasonably incurred by such Underwriter in connection with investigating or defending any such action or claim as such expenses are</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80"/>
          </w:cols>
          <w:pgMar w:left="320" w:top="274" w:right="299" w:bottom="1440" w:gutter="0" w:footer="0" w:header="0"/>
        </w:sectPr>
      </w:pPr>
    </w:p>
    <w:bookmarkStart w:id="25" w:name="page26"/>
    <w:bookmarkEnd w:id="25"/>
    <w:p>
      <w:pPr>
        <w:ind w:right="1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incurred; provided, however, that the Company shall not be liable in any such case to the extent that any such loss, claim, damage or liability arises out of or is based upon an untrue statement or alleged untrue statement or omission or alleged omission made in the Registration Statement, the Base Prospectus, any Preliminary Prospectus, the Pricing Prospectus or the Prospectus, or any amendment or supplement thereto, or any Issuer Free Writing Prospectus, or any electronic roadshow in reliance upon and in conformity with the Underwriter Information.</w:t>
      </w:r>
    </w:p>
    <w:p>
      <w:pPr>
        <w:spacing w:after="0" w:line="171" w:lineRule="exact"/>
        <w:rPr>
          <w:sz w:val="20"/>
          <w:szCs w:val="20"/>
          <w:color w:val="auto"/>
        </w:rPr>
      </w:pPr>
    </w:p>
    <w:p>
      <w:pPr>
        <w:ind w:right="60" w:firstLine="464"/>
        <w:spacing w:after="0" w:line="286" w:lineRule="auto"/>
        <w:tabs>
          <w:tab w:leader="none" w:pos="846" w:val="left"/>
        </w:tabs>
        <w:numPr>
          <w:ilvl w:val="0"/>
          <w:numId w:val="32"/>
        </w:numPr>
        <w:rPr>
          <w:rFonts w:ascii="Arial" w:cs="Arial" w:eastAsia="Arial" w:hAnsi="Arial"/>
          <w:sz w:val="16"/>
          <w:szCs w:val="16"/>
          <w:color w:val="auto"/>
        </w:rPr>
      </w:pPr>
      <w:r>
        <w:rPr>
          <w:rFonts w:ascii="Arial" w:cs="Arial" w:eastAsia="Arial" w:hAnsi="Arial"/>
          <w:sz w:val="16"/>
          <w:szCs w:val="16"/>
          <w:color w:val="auto"/>
        </w:rPr>
        <w:t>Each Underwriter, severally and not jointly, will indemnify and hold harmless the Company against any losses, claims, damages or liabilities to which the Company may become subject, under the Act or otherwise, insofar as such losses, claims, damages or liabilities (or actions in respect thereof) arise out of or are based upon an untrue statement or alleged untrue statement of a material fact contained in the Registration Statement, the Base Prospectus, any Preliminary Prospectus, the Pricing Prospectus or the Prospectus, or any amendment or supplement thereto, or any Issuer Free Writing Prospectus, or any electronic roadshow, or arise out of or are based upon the omission or alleged omission to state therein a material fact required to be stated therein or necessary to make the statements therein not misleading, in each case to the extent, but only to the extent, that such untrue statement or alleged untrue statement or omission or alleged omission was made in the Registration Statement, the Base Prospectus, any Preliminary Prospectus, the Pricing Prospectus or the Prospectus or any such amendment or supplement thereto, or any Issuer Free Writing Prospectus, or any electronic roadshow, in reliance upon and in conformity with the Underwriter Information; and will reimburse the Company for any legal or other expenses reasonably incurred by the Company in connection with investigating or defending any such action or claim as such expenses are incurred. As used in this Agreement with respect to an Underwriter and an applicable document, “Underwriter Information” shall mean the written information furnished to the Company by such Underwriter through the Representatives expressly for use therein; it being understood and agreed upon that the only such information furnished by any Underwriter consists of the following information in the Prospectus furnished on behalf of each Underwriter: (i) the concession and reallowance figures appearing in the second, third and fourth sentences of the third paragraph under the caption “Underwriting”, and (ii) the information contained in the (x) third sentence of the fourth paragraph, (y) fifth paragraph, and (z) sixth paragraph, in each case, under the caption “Underwriting”.</w:t>
      </w:r>
    </w:p>
    <w:p>
      <w:pPr>
        <w:spacing w:after="0" w:line="168" w:lineRule="exact"/>
        <w:rPr>
          <w:rFonts w:ascii="Arial" w:cs="Arial" w:eastAsia="Arial" w:hAnsi="Arial"/>
          <w:sz w:val="16"/>
          <w:szCs w:val="16"/>
          <w:color w:val="auto"/>
        </w:rPr>
      </w:pPr>
    </w:p>
    <w:p>
      <w:pPr>
        <w:ind w:firstLine="464"/>
        <w:spacing w:after="0" w:line="272" w:lineRule="auto"/>
        <w:tabs>
          <w:tab w:leader="none" w:pos="836" w:val="left"/>
        </w:tabs>
        <w:numPr>
          <w:ilvl w:val="0"/>
          <w:numId w:val="32"/>
        </w:numPr>
        <w:rPr>
          <w:rFonts w:ascii="Arial" w:cs="Arial" w:eastAsia="Arial" w:hAnsi="Arial"/>
          <w:sz w:val="17"/>
          <w:szCs w:val="17"/>
          <w:color w:val="auto"/>
        </w:rPr>
      </w:pPr>
      <w:r>
        <w:rPr>
          <w:rFonts w:ascii="Arial" w:cs="Arial" w:eastAsia="Arial" w:hAnsi="Arial"/>
          <w:sz w:val="17"/>
          <w:szCs w:val="17"/>
          <w:color w:val="auto"/>
        </w:rPr>
        <w:t>Promptly after receipt by an indemnified party under subsection (a) or (b) above of notice of the commencement of any action, such indemnified party shall, if a claim in respect thereof is to be made against the indemnifying party under such subsection, notify the indemnifying party in writing of the commencement thereof; provided that the failure to notify the indemnifying party shall not relieve it from any liability that it may have under the preceding paragraphs of this Section 9 except to the extent that it has been materially prejudiced (through the forfeiture of substantive rights or defenses) by such failure; and provided further that the failure to notify the indemnifying party shall not relieve it from any liability that it may have to an indemnified party otherwise than under the preceding paragraphs of this Section 9. In case any such action shall be brought against any indemnified party and it shall notify the indemnifying party of the commencement thereof, the indemnifying party shall be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274" w:right="239" w:bottom="1440" w:gutter="0" w:footer="0" w:header="0"/>
        </w:sectPr>
      </w:pPr>
    </w:p>
    <w:bookmarkStart w:id="26" w:name="page27"/>
    <w:bookmarkEnd w:id="26"/>
    <w:p>
      <w:pPr>
        <w:ind w:right="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entitled to participate therein and, to the extent that it shall wish, jointly with any other indemnifying party similarly notified, to assume the defense thereof, with counsel satisfactory to such indemnified party (who shall not, except with the consent of the indemnified party, be counsel to the indemnifying party), and, after notice from the indemnifying party to such indemnified party of its election so to assume the defense thereof, the indemnifying party shall not be liable to such indemnified party under such subsection for any legal expenses of other counsel or any other expenses, in each case subsequently incurred by such indemnified party, in connection with the defense thereof other than reasonable costs of investigation. No indemnifying party shall, without the written consent of the indemnified party, effect the settlement or compromise of, or consent to the entry of any judgment with respect to, any pending or threatened action or claim in respect of which indemnification or contribution may be sought hereunder (whether or not the indemnified party is an actual or potential party to such action or claim) unless such settlement, compromise or judgment (i) includes an unconditional release of the indemnified party from all liability arising out of such action or claim and (ii) does not include a statement as to or an admission of fault, culpability or a failure to act, by or on behalf of any indemnified party.</w:t>
      </w:r>
    </w:p>
    <w:p>
      <w:pPr>
        <w:spacing w:after="0" w:line="178" w:lineRule="exact"/>
        <w:rPr>
          <w:sz w:val="20"/>
          <w:szCs w:val="20"/>
          <w:color w:val="auto"/>
        </w:rPr>
      </w:pPr>
    </w:p>
    <w:p>
      <w:pPr>
        <w:ind w:left="860" w:hanging="396"/>
        <w:spacing w:after="0"/>
        <w:tabs>
          <w:tab w:leader="none" w:pos="860" w:val="left"/>
        </w:tabs>
        <w:numPr>
          <w:ilvl w:val="1"/>
          <w:numId w:val="33"/>
        </w:numPr>
        <w:rPr>
          <w:rFonts w:ascii="Arial" w:cs="Arial" w:eastAsia="Arial" w:hAnsi="Arial"/>
          <w:sz w:val="16"/>
          <w:szCs w:val="16"/>
          <w:color w:val="auto"/>
        </w:rPr>
      </w:pPr>
      <w:r>
        <w:rPr>
          <w:rFonts w:ascii="Arial" w:cs="Arial" w:eastAsia="Arial" w:hAnsi="Arial"/>
          <w:sz w:val="16"/>
          <w:szCs w:val="16"/>
          <w:color w:val="auto"/>
        </w:rPr>
        <w:t>If the indemnification provided for in this Section 9 is unavailable to or insufficient to hold harmless an indemnified party under subsection (a) or</w:t>
      </w:r>
    </w:p>
    <w:p>
      <w:pPr>
        <w:spacing w:after="0" w:line="46" w:lineRule="exact"/>
        <w:rPr>
          <w:rFonts w:ascii="Arial" w:cs="Arial" w:eastAsia="Arial" w:hAnsi="Arial"/>
          <w:sz w:val="16"/>
          <w:szCs w:val="16"/>
          <w:color w:val="auto"/>
        </w:rPr>
      </w:pPr>
    </w:p>
    <w:p>
      <w:pPr>
        <w:ind w:firstLine="8"/>
        <w:spacing w:after="0" w:line="266" w:lineRule="auto"/>
        <w:tabs>
          <w:tab w:leader="none" w:pos="255" w:val="left"/>
        </w:tabs>
        <w:numPr>
          <w:ilvl w:val="0"/>
          <w:numId w:val="34"/>
        </w:numPr>
        <w:rPr>
          <w:rFonts w:ascii="Arial" w:cs="Arial" w:eastAsia="Arial" w:hAnsi="Arial"/>
          <w:sz w:val="17"/>
          <w:szCs w:val="17"/>
          <w:color w:val="auto"/>
        </w:rPr>
      </w:pPr>
      <w:r>
        <w:rPr>
          <w:rFonts w:ascii="Arial" w:cs="Arial" w:eastAsia="Arial" w:hAnsi="Arial"/>
          <w:sz w:val="17"/>
          <w:szCs w:val="17"/>
          <w:color w:val="auto"/>
        </w:rPr>
        <w:t>above in respect of any losses, claims, damages or liabilities (or actions in respect thereof) referred to therein, then each indemnifying party shall contribute to the amount paid or payable by such indemnified party as a result of such losses, claims, damages or liabilities (or actions in respect thereof) in such proportion as is appropriate to reflect the relative benefits received by the Company on the one hand and the Underwriters on the other from the offering of the Securities. If, however, the allocation provided by the immediately preceding sentence is not permitted by applicable law, then each indemnifying party shall contribute to such amount paid or payable by such indemnified party in such proportion as is appropriate to reflect not only such relative benefits but also the relative fault of the Company on the one hand and the Underwriters on the other in connection with the statements or omissions which resulted in such losses, claims, damages or liabilities (or actions in respect thereof), as well as any other relevant equitable considerations. The relative benefits received by the Company on the one hand and the Underwriters on the other shall be deemed to be in the same proportion as the total net proceeds from the offering (before deducting expenses) received by the Company bear to the total underwriting discounts and commissions received by the Underwriters, in each case as set forth in the table on the cover page of the Prospectus. The relative fault shall be determined by reference to, among other things, whether the untrue or alleged untrue statement of a material fact or the omission or alleged omission to state a material fact relates to information supplied by the Company on the one hand or the Underwriters on the other and the parties’ relative intent, knowledge, access to information and opportunity to correct or prevent such statement or omission. The Company and the Underwriters agree that it would not be just and equitable if contribution pursuant to this subsection (d) were determined by pro rata allocation (even if the Underwriters were treated as one entity for such purpose) or by any other method of allocation which does not take account of the equitable considerations referred to above in this subsection (d). The amount paid or payable by an indemnified party as a result of the losses, claims,</w:t>
      </w:r>
    </w:p>
    <w:p>
      <w:pPr>
        <w:spacing w:after="0" w:line="1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274" w:right="279" w:bottom="1440" w:gutter="0" w:footer="0" w:header="0"/>
        </w:sectPr>
      </w:pPr>
    </w:p>
    <w:bookmarkStart w:id="27" w:name="page28"/>
    <w:bookmarkEnd w:id="27"/>
    <w:p>
      <w:pPr>
        <w:ind w:right="8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damages or liabilities (or actions in respect thereof) referred to above in this subsection (d) shall be deemed to include any legal or other expenses reasonably incurred by such indemnified party in connection with investigating or defending any such action or claim. Notwithstanding the provisions of this subsection (d), no Underwriter shall be required to contribute any amount in excess of the amount by which the total price at which the Securities underwritten by it and distributed to the public were offered to the public exceeds the amount of any damages which such Underwriter has otherwise been required to pay by reason of such untrue or alleged untrue statement or omission or alleged omission. No person guilty of fraudulent misrepresentation (within the meaning of Section 11(f) of the Act) shall be entitled to contribution from any person who was not guilty of such fraudulent misrepresentation. The Underwriters’ obligations in this subsection (d) to contribute are several in proportion to their respective underwriting obligations and not joint.</w:t>
      </w:r>
    </w:p>
    <w:p>
      <w:pPr>
        <w:spacing w:after="0" w:line="167" w:lineRule="exact"/>
        <w:rPr>
          <w:sz w:val="20"/>
          <w:szCs w:val="20"/>
          <w:color w:val="auto"/>
        </w:rPr>
      </w:pPr>
    </w:p>
    <w:p>
      <w:pPr>
        <w:ind w:right="20" w:firstLine="464"/>
        <w:spacing w:after="0" w:line="276" w:lineRule="auto"/>
        <w:tabs>
          <w:tab w:leader="none" w:pos="833"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obligations of the Company under this Section 9 shall be in addition to any liability which the Company may otherwise have and shall extend, upon the same terms and conditions, to each employee, officer and director of each Underwriter, each person, if any, who controls any Underwriter within the meaning of the Act and each broker-dealer or other affiliate of any Underwriter; and the obligations of the Underwriters under this Section 9 shall be in addition to any liability which the respective Underwriters may otherwise have and shall extend, upon the same terms and conditions, to each officer and director of the Company and to each person, if any, who controls the Company within the meaning of the Act.</w:t>
      </w:r>
    </w:p>
    <w:p>
      <w:pPr>
        <w:spacing w:after="0" w:line="173" w:lineRule="exact"/>
        <w:rPr>
          <w:sz w:val="20"/>
          <w:szCs w:val="20"/>
          <w:color w:val="auto"/>
        </w:rPr>
      </w:pPr>
    </w:p>
    <w:p>
      <w:pPr>
        <w:ind w:firstLine="464"/>
        <w:spacing w:after="0" w:line="270" w:lineRule="auto"/>
        <w:tabs>
          <w:tab w:leader="none" w:pos="861" w:val="left"/>
        </w:tabs>
        <w:numPr>
          <w:ilvl w:val="0"/>
          <w:numId w:val="36"/>
        </w:numPr>
        <w:rPr>
          <w:rFonts w:ascii="Arial" w:cs="Arial" w:eastAsia="Arial" w:hAnsi="Arial"/>
          <w:sz w:val="17"/>
          <w:szCs w:val="17"/>
          <w:color w:val="auto"/>
        </w:rPr>
      </w:pPr>
      <w:r>
        <w:rPr>
          <w:rFonts w:ascii="Arial" w:cs="Arial" w:eastAsia="Arial" w:hAnsi="Arial"/>
          <w:sz w:val="17"/>
          <w:szCs w:val="17"/>
          <w:color w:val="auto"/>
        </w:rPr>
        <w:t>(a) If any Underwriter shall default in its obligation to purchase the Securities which it has agreed to purchase hereunder, you may in your discretion arrange for you or another party or other parties to purchase such Securities on the terms contained herein. If within thirty six hours after such default by any Underwriter you do not arrange for the purchase of such Securities, then the Company shall be entitled to a further period of thirty six hours within which to procure another party or other parties satisfactory to you to purchase such Securities on such terms. In the event that, within the respective prescribed periods, you notify the Company that you have so arranged for the purchase of such Securities, or the Company notifies you that it has so arranged for the purchase of such Securities, you or the Company shall have the right to postpone the Time of Delivery for a period of not more than seven days, in order to effect whatever changes may thereby be made necessary in the Registration Statement or the Prospectus, or in any other documents or arrangements, and the Company agrees to file promptly any amendments or supplements to the Registration Statement or the Prospectus which in your opinion may thereby be made necessary. The term “Underwriter” as used in this Agreement shall include any person substituted under this Section with like effect as if such person had originally been a party to this Agreement with respect to such Securities.</w:t>
      </w:r>
    </w:p>
    <w:p>
      <w:pPr>
        <w:spacing w:after="0" w:line="178" w:lineRule="exact"/>
        <w:rPr>
          <w:sz w:val="20"/>
          <w:szCs w:val="20"/>
          <w:color w:val="auto"/>
        </w:rPr>
      </w:pPr>
    </w:p>
    <w:p>
      <w:pPr>
        <w:ind w:right="80" w:firstLine="464"/>
        <w:spacing w:after="0" w:line="264" w:lineRule="auto"/>
        <w:tabs>
          <w:tab w:leader="none" w:pos="846" w:val="left"/>
        </w:tabs>
        <w:numPr>
          <w:ilvl w:val="0"/>
          <w:numId w:val="37"/>
        </w:numPr>
        <w:rPr>
          <w:rFonts w:ascii="Arial" w:cs="Arial" w:eastAsia="Arial" w:hAnsi="Arial"/>
          <w:sz w:val="18"/>
          <w:szCs w:val="18"/>
          <w:color w:val="auto"/>
        </w:rPr>
      </w:pPr>
      <w:r>
        <w:rPr>
          <w:rFonts w:ascii="Arial" w:cs="Arial" w:eastAsia="Arial" w:hAnsi="Arial"/>
          <w:sz w:val="18"/>
          <w:szCs w:val="18"/>
          <w:color w:val="auto"/>
        </w:rPr>
        <w:t>If, after giving effect to any arrangements for the purchase of the Securities of a defaulting Underwriter or Underwriters by you and the Company as provided in subsection (a) above, the aggregate principal amount of such Securities which remains unpurchased does not exceed one eleventh of the aggregate principal amount of all the Securities, then the Company shall have the right to require each non-</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274" w:right="239" w:bottom="1440" w:gutter="0" w:footer="0" w:header="0"/>
        </w:sectPr>
      </w:pPr>
    </w:p>
    <w:bookmarkStart w:id="28" w:name="page29"/>
    <w:bookmarkEnd w:id="28"/>
    <w:p>
      <w:pPr>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defaulting Underwriter to purchase the principal amount of Securities which such Underwriter agreed to purchase hereunder and, in addition, to require each non-defaulting Underwriter to purchase its pro rata share (based on the principal amount of Securities which such Underwriter agreed to purchase hereunder) of the Securities of such defaulting Underwriter or Underwriters for which such arrangements have not been made; but nothing herein shall relieve a defaulting Underwriter from liability for its default.</w:t>
      </w:r>
    </w:p>
    <w:p>
      <w:pPr>
        <w:spacing w:after="0" w:line="187" w:lineRule="exact"/>
        <w:rPr>
          <w:sz w:val="20"/>
          <w:szCs w:val="20"/>
          <w:color w:val="auto"/>
        </w:rPr>
      </w:pPr>
    </w:p>
    <w:p>
      <w:pPr>
        <w:ind w:firstLine="464"/>
        <w:spacing w:after="0" w:line="293" w:lineRule="auto"/>
        <w:tabs>
          <w:tab w:leader="none" w:pos="836" w:val="left"/>
        </w:tabs>
        <w:numPr>
          <w:ilvl w:val="0"/>
          <w:numId w:val="38"/>
        </w:numPr>
        <w:rPr>
          <w:rFonts w:ascii="Arial" w:cs="Arial" w:eastAsia="Arial" w:hAnsi="Arial"/>
          <w:sz w:val="16"/>
          <w:szCs w:val="16"/>
          <w:color w:val="auto"/>
        </w:rPr>
      </w:pPr>
      <w:r>
        <w:rPr>
          <w:rFonts w:ascii="Arial" w:cs="Arial" w:eastAsia="Arial" w:hAnsi="Arial"/>
          <w:sz w:val="16"/>
          <w:szCs w:val="16"/>
          <w:color w:val="auto"/>
        </w:rPr>
        <w:t>If, after giving effect to any arrangements for the purchase of the Securities of a defaulting Underwriter or Underwriters by you and the Company as provided in subsection (a) above, the aggregate principal amount of Securities which remains unpurchased exceeds one eleventh of the aggregate principal amount of all the Securities, or if the Company shall not exercise the right described in subsection (b) above to require non-defaulting Underwriters to purchase Securities of a defaulting Underwriter or Underwriters, then this Agreement shall thereupon terminate, without liability on the part of any non-defaulting Underwriter or the Company, except for the expenses to be borne by the Company and the Underwriters as provided in Section 7 hereof and the indemnity and contribution agreements in Section 9 hereof; but nothing herein shall relieve a defaulting Underwriter from liability for its default.</w:t>
      </w:r>
    </w:p>
    <w:p>
      <w:pPr>
        <w:spacing w:after="0" w:line="165" w:lineRule="exact"/>
        <w:rPr>
          <w:sz w:val="20"/>
          <w:szCs w:val="20"/>
          <w:color w:val="auto"/>
        </w:rPr>
      </w:pPr>
    </w:p>
    <w:p>
      <w:pPr>
        <w:jc w:val="both"/>
        <w:ind w:right="280" w:firstLine="464"/>
        <w:spacing w:after="0" w:line="302" w:lineRule="auto"/>
        <w:tabs>
          <w:tab w:leader="none" w:pos="852"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respective indemnities, agreements, representations, warranties and other statements of the Company and the several Underwriters, as set forth in this Agreement or made by or on behalf of them, respectively, pursuant to this Agreement, shall remain in full force and effect, regardless of any investigation (or any statement as to the results thereof) made by or on behalf of any Underwriter or any controlling person of any Underwriter, or the Company, or any officer or director or controlling person of the Company, and shall survive delivery of and payment for the Securities.</w:t>
      </w:r>
    </w:p>
    <w:p>
      <w:pPr>
        <w:spacing w:after="0" w:line="154" w:lineRule="exact"/>
        <w:rPr>
          <w:rFonts w:ascii="Arial" w:cs="Arial" w:eastAsia="Arial" w:hAnsi="Arial"/>
          <w:sz w:val="16"/>
          <w:szCs w:val="16"/>
          <w:color w:val="auto"/>
        </w:rPr>
      </w:pPr>
    </w:p>
    <w:p>
      <w:pPr>
        <w:ind w:right="40" w:firstLine="464"/>
        <w:spacing w:after="0" w:line="276" w:lineRule="auto"/>
        <w:tabs>
          <w:tab w:leader="none" w:pos="861" w:val="left"/>
        </w:tabs>
        <w:numPr>
          <w:ilvl w:val="0"/>
          <w:numId w:val="39"/>
        </w:numPr>
        <w:rPr>
          <w:rFonts w:ascii="Arial" w:cs="Arial" w:eastAsia="Arial" w:hAnsi="Arial"/>
          <w:sz w:val="17"/>
          <w:szCs w:val="17"/>
          <w:color w:val="auto"/>
        </w:rPr>
      </w:pPr>
      <w:r>
        <w:rPr>
          <w:rFonts w:ascii="Arial" w:cs="Arial" w:eastAsia="Arial" w:hAnsi="Arial"/>
          <w:sz w:val="17"/>
          <w:szCs w:val="17"/>
          <w:color w:val="auto"/>
        </w:rPr>
        <w:t>If this Agreement shall be terminated pursuant to Section 10 hereof, the Company shall not then be under any liability to any Underwriter except as provided in Sections 7 and 9 hereof; but, if for any other reason, the Securities are not delivered by or on behalf of the Company as provided herein, the Company will reimburse the Underwriters through you for all out of pocket expenses approved in writing by you, including fees and disbursements of counsel, reasonably incurred by the Underwriters in making preparations for the purchase, sale and delivery of the Securities, but the Company shall then be under no further liability to any Underwriter except as provided in Sections 7 and 9 hereof.</w:t>
      </w:r>
    </w:p>
    <w:p>
      <w:pPr>
        <w:spacing w:after="0" w:line="172" w:lineRule="exact"/>
        <w:rPr>
          <w:rFonts w:ascii="Arial" w:cs="Arial" w:eastAsia="Arial" w:hAnsi="Arial"/>
          <w:sz w:val="17"/>
          <w:szCs w:val="17"/>
          <w:color w:val="auto"/>
        </w:rPr>
      </w:pPr>
    </w:p>
    <w:p>
      <w:pPr>
        <w:ind w:right="360" w:firstLine="464"/>
        <w:spacing w:after="0" w:line="277" w:lineRule="auto"/>
        <w:tabs>
          <w:tab w:leader="none" w:pos="861"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 all dealings hereunder, you shall act on behalf of each of the Underwriters, and the parties hereto shall be entitled to act and rely upon any statement, request, notice or agreement on behalf of any Underwriter made or given by you jointly.</w:t>
      </w:r>
    </w:p>
    <w:p>
      <w:pPr>
        <w:spacing w:after="0" w:line="170" w:lineRule="exact"/>
        <w:rPr>
          <w:sz w:val="20"/>
          <w:szCs w:val="20"/>
          <w:color w:val="auto"/>
        </w:rPr>
      </w:pPr>
    </w:p>
    <w:p>
      <w:pPr>
        <w:jc w:val="both"/>
        <w:ind w:firstLine="456"/>
        <w:spacing w:after="0" w:line="286" w:lineRule="auto"/>
        <w:rPr>
          <w:sz w:val="20"/>
          <w:szCs w:val="20"/>
          <w:color w:val="auto"/>
        </w:rPr>
      </w:pPr>
      <w:r>
        <w:rPr>
          <w:rFonts w:ascii="Arial" w:cs="Arial" w:eastAsia="Arial" w:hAnsi="Arial"/>
          <w:sz w:val="17"/>
          <w:szCs w:val="17"/>
          <w:color w:val="auto"/>
        </w:rPr>
        <w:t>All statements, requests, notices and agreements hereunder shall be in writing, and if to the Underwriters shall be delivered or sent by mail or facsimile transmission to you as the representatives in care of Goldman Sachs &amp; Co. LLC, 200 West Street, New York, New York 10282-2198, Attention: Registration Department, and Merrill Lynch, Pierce, Fenner &amp; Smith Incorporated, 50 Rockefeller Plaza, NY1-050-12-01, New York,</w:t>
      </w:r>
    </w:p>
    <w:p>
      <w:pPr>
        <w:spacing w:after="0" w:line="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40"/>
          </w:cols>
          <w:pgMar w:left="240" w:top="274" w:right="319" w:bottom="1440" w:gutter="0" w:footer="0" w:header="0"/>
        </w:sectPr>
      </w:pPr>
    </w:p>
    <w:bookmarkStart w:id="29" w:name="page30"/>
    <w:bookmarkEnd w:id="29"/>
    <w:p>
      <w:pPr>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New York 10020, Attention: High Grade Transaction Management/Legal, facsimile: (646) 855-5958; and if to the Company shall be delivered or sent by mail or facsimile transmission to the address of the Company set forth in the Registration Statement, Attention: Secretary; provided, however, that any notice to an Underwriter pursuant to Section 9(c) hereof shall be delivered or sent by mail or facsimile transmission to such Underwriter at its address set forth in its Underwriters’ Questionnaire. Any such statements, requests, notices or agreements shall take effect upon receipt thereof.</w:t>
      </w:r>
    </w:p>
    <w:p>
      <w:pPr>
        <w:spacing w:after="0" w:line="171" w:lineRule="exact"/>
        <w:rPr>
          <w:sz w:val="20"/>
          <w:szCs w:val="20"/>
          <w:color w:val="auto"/>
        </w:rPr>
      </w:pPr>
    </w:p>
    <w:p>
      <w:pPr>
        <w:ind w:right="60" w:firstLine="456"/>
        <w:spacing w:after="0" w:line="286" w:lineRule="auto"/>
        <w:rPr>
          <w:sz w:val="20"/>
          <w:szCs w:val="20"/>
          <w:color w:val="auto"/>
        </w:rPr>
      </w:pPr>
      <w:r>
        <w:rPr>
          <w:rFonts w:ascii="Arial" w:cs="Arial" w:eastAsia="Arial" w:hAnsi="Arial"/>
          <w:sz w:val="17"/>
          <w:szCs w:val="17"/>
          <w:color w:val="auto"/>
        </w:rPr>
        <w:t>In accordance with the requirements of the USA Patriot Act (Title III of Pub. L. 107-56 (signed into law October 26, 2001)), the Underwriters are required to obtain, verify and record information that identifies their respective clients, including the Company, which information may include the name and address of their respective clients, as well as other information that will allow the Underwriters to properly identify their respective clients.</w:t>
      </w:r>
    </w:p>
    <w:p>
      <w:pPr>
        <w:spacing w:after="0" w:line="166" w:lineRule="exact"/>
        <w:rPr>
          <w:sz w:val="20"/>
          <w:szCs w:val="20"/>
          <w:color w:val="auto"/>
        </w:rPr>
      </w:pPr>
    </w:p>
    <w:p>
      <w:pPr>
        <w:ind w:right="40" w:firstLine="464"/>
        <w:spacing w:after="0" w:line="279" w:lineRule="auto"/>
        <w:tabs>
          <w:tab w:leader="none" w:pos="858"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This Agreement shall be binding upon, and inure solely to the benefit of, the Underwriters, the Company and, to the extent provided in Sections 9 and 11 hereof, the officers and directors of, and each person who controls, the Company or any Underwriter, and their respective heirs, executors, administrators, successors and assigns, and no other person shall acquire or have any right under or by virtue of this Agreement. No purchaser of any of the Securities from any Underwriter shall be deemed a successor or assign by reason merely of such purchase.</w:t>
      </w:r>
    </w:p>
    <w:p>
      <w:pPr>
        <w:spacing w:after="0" w:line="171" w:lineRule="exact"/>
        <w:rPr>
          <w:rFonts w:ascii="Arial" w:cs="Arial" w:eastAsia="Arial" w:hAnsi="Arial"/>
          <w:sz w:val="17"/>
          <w:szCs w:val="17"/>
          <w:color w:val="auto"/>
        </w:rPr>
      </w:pPr>
    </w:p>
    <w:p>
      <w:pPr>
        <w:ind w:right="340" w:firstLine="464"/>
        <w:spacing w:after="0" w:line="277" w:lineRule="auto"/>
        <w:tabs>
          <w:tab w:leader="none" w:pos="858" w:val="left"/>
        </w:tabs>
        <w:numPr>
          <w:ilvl w:val="0"/>
          <w:numId w:val="40"/>
        </w:numPr>
        <w:rPr>
          <w:rFonts w:ascii="Arial" w:cs="Arial" w:eastAsia="Arial" w:hAnsi="Arial"/>
          <w:sz w:val="18"/>
          <w:szCs w:val="18"/>
          <w:color w:val="auto"/>
        </w:rPr>
      </w:pPr>
      <w:r>
        <w:rPr>
          <w:rFonts w:ascii="Arial" w:cs="Arial" w:eastAsia="Arial" w:hAnsi="Arial"/>
          <w:sz w:val="18"/>
          <w:szCs w:val="18"/>
          <w:color w:val="auto"/>
        </w:rPr>
        <w:t>Time shall be of the essence of this Agreement. As used herein, the term “business day” shall mean any day when the Commission’s office in Washington, D.C. is open for business.</w:t>
      </w:r>
    </w:p>
    <w:p>
      <w:pPr>
        <w:spacing w:after="0" w:line="170" w:lineRule="exact"/>
        <w:rPr>
          <w:rFonts w:ascii="Arial" w:cs="Arial" w:eastAsia="Arial" w:hAnsi="Arial"/>
          <w:sz w:val="18"/>
          <w:szCs w:val="18"/>
          <w:color w:val="auto"/>
        </w:rPr>
      </w:pPr>
    </w:p>
    <w:p>
      <w:pPr>
        <w:ind w:right="20" w:firstLine="464"/>
        <w:spacing w:after="0" w:line="271" w:lineRule="auto"/>
        <w:tabs>
          <w:tab w:leader="none" w:pos="858"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The Company acknowledges and agrees that (i) the purchase and sale of the Securities pursuant to this Agreement is an arm’s-length commercial transaction between the Company, on the one hand, and the several Underwriters, on the other, (ii) in connection therewith and with the process leading to such transaction each Underwriter is acting solely as a principal and not the agent or fiduciary of the Company, (iii) no Underwriter has assumed an advisory or fiduciary responsibility in favor of the Company with respect to the offering contemplated hereby or the process leading thereto (irrespective of whether such Underwriter has advised or is currently advising the Company on other matters) or any other obligation to the Company except the obligations expressly set forth in this Agreement and (iv) the Company has consulted its own legal and financial advisors to the extent it deemed appropriate. The Company agrees that it will not claim that the Underwriters, or any of them, has rendered advisory services of any nature or respect, or owes a fiduciary or similar duty to the Company, in connection with such transaction or the process leading thereto.</w:t>
      </w:r>
    </w:p>
    <w:p>
      <w:pPr>
        <w:spacing w:after="0" w:line="178" w:lineRule="exact"/>
        <w:rPr>
          <w:rFonts w:ascii="Arial" w:cs="Arial" w:eastAsia="Arial" w:hAnsi="Arial"/>
          <w:sz w:val="17"/>
          <w:szCs w:val="17"/>
          <w:color w:val="auto"/>
        </w:rPr>
      </w:pPr>
    </w:p>
    <w:p>
      <w:pPr>
        <w:ind w:right="40" w:firstLine="464"/>
        <w:spacing w:after="0" w:line="264" w:lineRule="auto"/>
        <w:tabs>
          <w:tab w:leader="none" w:pos="858"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This Agreement supersedes all prior agreements and understandings (whether written or oral) between the Company and the Underwriters, or any of them, with respect to the subject matter hereof; provided, however, that the Engagement Letter shall remain in full force and effect in accordance with the terms thereof.</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274" w:right="259" w:bottom="1440" w:gutter="0" w:footer="0" w:header="0"/>
        </w:sectPr>
      </w:pPr>
    </w:p>
    <w:bookmarkStart w:id="30" w:name="page31"/>
    <w:bookmarkEnd w:id="30"/>
    <w:p>
      <w:pPr>
        <w:ind w:left="-20" w:right="20" w:firstLine="464"/>
        <w:spacing w:after="0" w:line="256" w:lineRule="auto"/>
        <w:tabs>
          <w:tab w:leader="none" w:pos="841" w:val="left"/>
        </w:tabs>
        <w:numPr>
          <w:ilvl w:val="0"/>
          <w:numId w:val="41"/>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This Agreement and any transaction contemplated by this Agreement shall be governed by and construed in accordance with the laws of the State of New York without regard to principles of conflict of laws that would results in the application of any other law than the laws of the State of New York. The Company agrees that any suit or proceeding arising in respect of this Agreement or any transaction contemplated by this Agreement will be tried exclusively in the U.S. District Court for the Southern District of New York or, if that court does not have subject matter jurisdiction, in any state court located in The City and County of New York and the Company agrees to submit to the jurisdiction of, and to venue in, such courts.</w:t>
      </w:r>
    </w:p>
    <w:p>
      <w:pPr>
        <w:spacing w:after="0" w:line="191" w:lineRule="exact"/>
        <w:rPr>
          <w:rFonts w:ascii="Arial" w:cs="Arial" w:eastAsia="Arial" w:hAnsi="Arial"/>
          <w:sz w:val="18"/>
          <w:szCs w:val="18"/>
          <w:color w:val="auto"/>
        </w:rPr>
      </w:pPr>
    </w:p>
    <w:p>
      <w:pPr>
        <w:ind w:left="-20" w:right="60" w:firstLine="921"/>
        <w:spacing w:after="0" w:line="271" w:lineRule="auto"/>
        <w:tabs>
          <w:tab w:leader="none" w:pos="1280" w:val="left"/>
        </w:tabs>
        <w:numPr>
          <w:ilvl w:val="1"/>
          <w:numId w:val="41"/>
        </w:numPr>
        <w:rPr>
          <w:rFonts w:ascii="Arial" w:cs="Arial" w:eastAsia="Arial" w:hAnsi="Arial"/>
          <w:sz w:val="17"/>
          <w:szCs w:val="17"/>
          <w:color w:val="auto"/>
        </w:rPr>
      </w:pPr>
      <w:r>
        <w:rPr>
          <w:rFonts w:ascii="Arial" w:cs="Arial" w:eastAsia="Arial" w:hAnsi="Arial"/>
          <w:sz w:val="17"/>
          <w:szCs w:val="17"/>
          <w:color w:val="auto"/>
        </w:rPr>
        <w:t>The Company hereby irrevocably designate, appoint and empower Marvell Semiconductor, Inc., a California corporation (the “Process Agent”), as the Company’s designee, appointee and agent to receive, accept and acknowledge for and on behalf of the Company, and in respect of the Company’s property, service of any and all process, summons, notices and documents that may be served in any suit, action or proceeding arising in respect of this Agreements or the transactions contemplated hereby. Such service may be made by delivering by hand or reputable courier services (such as FedEx or UPS) a copy of such process to the Company in care of the Process Agent at its address at 5488 Marvell Lane, Santa Clara, CA 95054, United States of America, Attention Chief Legal Officer or Office of General Counsel, and the Company hereby irrevocably authorize and direct the Process Agent to accept such service on your behalf. The Company agrees to take any and all action as may be necessary to continue the designation, appointment and empowerment of the Process Agent for a period of six years from the date of this Agreement.</w:t>
      </w:r>
    </w:p>
    <w:p>
      <w:pPr>
        <w:spacing w:after="0" w:line="178" w:lineRule="exact"/>
        <w:rPr>
          <w:rFonts w:ascii="Arial" w:cs="Arial" w:eastAsia="Arial" w:hAnsi="Arial"/>
          <w:sz w:val="17"/>
          <w:szCs w:val="17"/>
          <w:color w:val="auto"/>
        </w:rPr>
      </w:pPr>
    </w:p>
    <w:p>
      <w:pPr>
        <w:ind w:left="-20" w:firstLine="921"/>
        <w:spacing w:after="0" w:line="257" w:lineRule="auto"/>
        <w:tabs>
          <w:tab w:leader="none" w:pos="1273" w:val="left"/>
        </w:tabs>
        <w:numPr>
          <w:ilvl w:val="1"/>
          <w:numId w:val="41"/>
        </w:numPr>
        <w:rPr>
          <w:rFonts w:ascii="Arial" w:cs="Arial" w:eastAsia="Arial" w:hAnsi="Arial"/>
          <w:sz w:val="18"/>
          <w:szCs w:val="18"/>
          <w:color w:val="auto"/>
        </w:rPr>
      </w:pPr>
      <w:r>
        <w:rPr>
          <w:rFonts w:ascii="Arial" w:cs="Arial" w:eastAsia="Arial" w:hAnsi="Arial"/>
          <w:sz w:val="18"/>
          <w:szCs w:val="18"/>
          <w:color w:val="auto"/>
        </w:rPr>
        <w:t>In the event the Company or any of its property shall have or hereafter acquire, in any jurisdiction in which any action, proceeding or investigation may at any time be brought in connection with or as a result of this Agreement or the transactions contemplated hereby, any immunity from jurisdiction, legal proceedings, attachment (whether before or after judgment), execution, judgment or setoff, the Company hereby agrees not to claim, and hereby irrevocably and unconditionally waives, such immunity. The provisions of this Section 18 shall survive any termination of this Agreement, in whole or in part.</w:t>
      </w:r>
    </w:p>
    <w:p>
      <w:pPr>
        <w:spacing w:after="0" w:line="188" w:lineRule="exact"/>
        <w:rPr>
          <w:rFonts w:ascii="Arial" w:cs="Arial" w:eastAsia="Arial" w:hAnsi="Arial"/>
          <w:sz w:val="18"/>
          <w:szCs w:val="18"/>
          <w:color w:val="auto"/>
        </w:rPr>
      </w:pPr>
    </w:p>
    <w:p>
      <w:pPr>
        <w:ind w:left="-20" w:right="140" w:firstLine="464"/>
        <w:spacing w:after="0" w:line="277" w:lineRule="auto"/>
        <w:tabs>
          <w:tab w:leader="none" w:pos="838"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Company and each of the Underwriters hereby irrevocably waives, to the fullest extent permitted by applicable law, any and all right to trial by jury in any legal proceeding arising out of or relating to this Agreement or the transactions contemplated hereby.</w:t>
      </w:r>
    </w:p>
    <w:p>
      <w:pPr>
        <w:spacing w:after="0" w:line="170" w:lineRule="exact"/>
        <w:rPr>
          <w:rFonts w:ascii="Arial" w:cs="Arial" w:eastAsia="Arial" w:hAnsi="Arial"/>
          <w:sz w:val="18"/>
          <w:szCs w:val="18"/>
          <w:color w:val="auto"/>
        </w:rPr>
      </w:pPr>
    </w:p>
    <w:p>
      <w:pPr>
        <w:ind w:left="-20" w:right="220" w:firstLine="464"/>
        <w:spacing w:after="0" w:line="264" w:lineRule="auto"/>
        <w:tabs>
          <w:tab w:leader="none" w:pos="838"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This Agreement may be executed by any one or more of the parties hereto in any number of counterparts (which may include counterparts delivered by any standard form of telecommunications), each of which shall be deemed to be an original, but all such respective counterparts shall together constitute one and the same instrument.</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380"/>
          </w:cols>
          <w:pgMar w:left="260" w:top="270" w:right="259" w:bottom="1440" w:gutter="0" w:footer="0" w:header="0"/>
        </w:sectPr>
      </w:pPr>
    </w:p>
    <w:bookmarkStart w:id="31" w:name="page32"/>
    <w:bookmarkEnd w:id="31"/>
    <w:p>
      <w:pPr>
        <w:ind w:left="-80" w:firstLine="464"/>
        <w:spacing w:after="0" w:line="297" w:lineRule="auto"/>
        <w:tabs>
          <w:tab w:leader="none" w:pos="781" w:val="left"/>
        </w:tabs>
        <w:numPr>
          <w:ilvl w:val="0"/>
          <w:numId w:val="4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Notwithstanding anything herein to the contrary, the Company is authorized to disclose to any persons the U.S. federal and state income tax treatment and tax structure of the potential transaction and all materials of any kind (including tax opinions and other tax analyses) provided to the Company relating to that treatment and structure, without the Underwriters, imposing any limitation of any kind. However, any information relating to the tax treatment and tax structure shall remain confidential (and the foregoing sentence shall not apply) to the extent necessary to enable any person to comply with securities laws. For this purpose, “tax structure” is limited to any facts that may be relevant to that U.S. federal and state income tax treatment.</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[Signature Page Follows]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80"/>
          </w:cols>
          <w:pgMar w:left="320" w:top="274" w:right="299" w:bottom="1440" w:gutter="0" w:footer="0" w:header="0"/>
        </w:sectPr>
      </w:pPr>
    </w:p>
    <w:bookmarkStart w:id="32" w:name="page33"/>
    <w:bookmarkEnd w:id="32"/>
    <w:p>
      <w:pPr>
        <w:ind w:firstLine="456"/>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the foregoing is in accordance with your understanding, please sign and return to us counterparts hereof, and upon the acceptance hereof by you, on behalf of each of the Underwriters, this letter and such acceptance hereof shall constitute a binding agreement between each of the Underwriters and the Company. It is understood that your acceptance of this letter on behalf of each of the Underwriters is pursuant to the authority set forth in a form of Agreement among Underwriters, the form of which shall be submitted to the Company for examination upon request, but without warranty on your part as to the authority of the signers thereof.</w:t>
      </w:r>
    </w:p>
    <w:p>
      <w:pPr>
        <w:spacing w:after="0" w:line="337"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  Chief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99"/>
        <w:spacing w:after="0"/>
        <w:rPr>
          <w:sz w:val="20"/>
          <w:szCs w:val="20"/>
          <w:color w:val="auto"/>
        </w:rPr>
      </w:pPr>
      <w:r>
        <w:rPr>
          <w:rFonts w:ascii="Arial" w:cs="Arial" w:eastAsia="Arial" w:hAnsi="Arial"/>
          <w:sz w:val="18"/>
          <w:szCs w:val="18"/>
          <w:i w:val="1"/>
          <w:iCs w:val="1"/>
          <w:color w:val="auto"/>
        </w:rPr>
        <w:t>[Signature Page to Underwriting Agreement]</w:t>
      </w:r>
    </w:p>
    <w:p>
      <w:pPr>
        <w:sectPr>
          <w:pgSz w:w="11900" w:h="16838" w:orient="portrait"/>
          <w:cols w:equalWidth="0" w:num="1">
            <w:col w:w="11340"/>
          </w:cols>
          <w:pgMar w:left="240" w:top="274" w:right="319" w:bottom="1440" w:gutter="0" w:footer="0" w:header="0"/>
        </w:sectPr>
      </w:pPr>
    </w:p>
    <w:bookmarkStart w:id="33" w:name="page34"/>
    <w:bookmarkEnd w:id="3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Accepted as of the date hereof on behalf of each of the Underwriters:</w:t>
      </w:r>
    </w:p>
    <w:p>
      <w:pPr>
        <w:spacing w:after="0" w:line="374"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By:  /s/ Richard Cohn</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Name: Richard Cohn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210820</wp:posOffset>
            </wp:positionH>
            <wp:positionV relativeFrom="paragraph">
              <wp:posOffset>-130810</wp:posOffset>
            </wp:positionV>
            <wp:extent cx="2693035"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Title:  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right"/>
        <w:ind w:right="2859"/>
        <w:spacing w:after="0"/>
        <w:rPr>
          <w:sz w:val="20"/>
          <w:szCs w:val="20"/>
          <w:color w:val="auto"/>
        </w:rPr>
      </w:pPr>
      <w:r>
        <w:rPr>
          <w:rFonts w:ascii="Arial" w:cs="Arial" w:eastAsia="Arial" w:hAnsi="Arial"/>
          <w:sz w:val="18"/>
          <w:szCs w:val="18"/>
          <w:i w:val="1"/>
          <w:iCs w:val="1"/>
          <w:color w:val="auto"/>
        </w:rPr>
        <w:t>[Signature Page to Underwriting Agreement]</w:t>
      </w:r>
    </w:p>
    <w:p>
      <w:pPr>
        <w:sectPr>
          <w:pgSz w:w="11900" w:h="16838" w:orient="portrait"/>
          <w:cols w:equalWidth="0" w:num="1">
            <w:col w:w="10219"/>
          </w:cols>
          <w:pgMar w:left="240" w:top="274" w:right="1440" w:bottom="1440" w:gutter="0" w:footer="0" w:header="0"/>
        </w:sectPr>
      </w:pPr>
    </w:p>
    <w:bookmarkStart w:id="34" w:name="page35"/>
    <w:bookmarkEnd w:id="34"/>
    <w:p>
      <w:pPr>
        <w:jc w:val="center"/>
        <w:ind w:right="7419"/>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Merrill Lynch, Pierce, Fenner &amp; Smith</w:t>
      </w:r>
    </w:p>
    <w:p>
      <w:pPr>
        <w:spacing w:after="0" w:line="46" w:lineRule="exact"/>
        <w:rPr>
          <w:sz w:val="20"/>
          <w:szCs w:val="20"/>
          <w:color w:val="auto"/>
        </w:rPr>
      </w:pPr>
    </w:p>
    <w:p>
      <w:pPr>
        <w:jc w:val="center"/>
        <w:ind w:right="7399"/>
        <w:spacing w:after="0"/>
        <w:rPr>
          <w:sz w:val="20"/>
          <w:szCs w:val="20"/>
          <w:color w:val="auto"/>
        </w:rPr>
      </w:pPr>
      <w:r>
        <w:rPr>
          <w:rFonts w:ascii="Arial" w:cs="Arial" w:eastAsia="Arial" w:hAnsi="Arial"/>
          <w:sz w:val="18"/>
          <w:szCs w:val="18"/>
          <w:color w:val="auto"/>
        </w:rPr>
        <w:t>Incorporated</w:t>
      </w:r>
    </w:p>
    <w:p>
      <w:pPr>
        <w:spacing w:after="0" w:line="319" w:lineRule="exact"/>
        <w:rPr>
          <w:sz w:val="20"/>
          <w:szCs w:val="20"/>
          <w:color w:val="auto"/>
        </w:rPr>
      </w:pPr>
    </w:p>
    <w:p>
      <w:pPr>
        <w:spacing w:after="0"/>
        <w:rPr>
          <w:sz w:val="20"/>
          <w:szCs w:val="20"/>
          <w:color w:val="auto"/>
        </w:rPr>
      </w:pPr>
      <w:r>
        <w:rPr>
          <w:rFonts w:ascii="Arial" w:cs="Arial" w:eastAsia="Arial" w:hAnsi="Arial"/>
          <w:sz w:val="18"/>
          <w:szCs w:val="18"/>
          <w:color w:val="auto"/>
        </w:rPr>
        <w:t>By:  /s/ Laurie Campbell</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Name: Laurie Campbell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210820</wp:posOffset>
            </wp:positionH>
            <wp:positionV relativeFrom="paragraph">
              <wp:posOffset>-130810</wp:posOffset>
            </wp:positionV>
            <wp:extent cx="269303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Title:  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right"/>
        <w:ind w:right="2859"/>
        <w:spacing w:after="0"/>
        <w:rPr>
          <w:sz w:val="20"/>
          <w:szCs w:val="20"/>
          <w:color w:val="auto"/>
        </w:rPr>
      </w:pPr>
      <w:r>
        <w:rPr>
          <w:rFonts w:ascii="Arial" w:cs="Arial" w:eastAsia="Arial" w:hAnsi="Arial"/>
          <w:sz w:val="18"/>
          <w:szCs w:val="18"/>
          <w:i w:val="1"/>
          <w:iCs w:val="1"/>
          <w:color w:val="auto"/>
        </w:rPr>
        <w:t>[Signature Page to Underwriting Agreement]</w:t>
      </w:r>
    </w:p>
    <w:p>
      <w:pPr>
        <w:sectPr>
          <w:pgSz w:w="11900" w:h="16838" w:orient="portrait"/>
          <w:cols w:equalWidth="0" w:num="1">
            <w:col w:w="10219"/>
          </w:cols>
          <w:pgMar w:left="240" w:top="274" w:right="1440" w:bottom="1440" w:gutter="0" w:footer="0" w:header="0"/>
        </w:sectPr>
      </w:pPr>
    </w:p>
    <w:bookmarkStart w:id="35" w:name="page36"/>
    <w:bookmarkEnd w:id="3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I</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4"/>
              </w:rPr>
              <w:t>Principal</w:t>
            </w:r>
          </w:p>
        </w:tc>
        <w:tc>
          <w:tcPr>
            <w:tcW w:w="100" w:type="dxa"/>
            <w:vAlign w:val="bottom"/>
          </w:tcPr>
          <w:p>
            <w:pPr>
              <w:spacing w:after="0"/>
              <w:rPr>
                <w:sz w:val="14"/>
                <w:szCs w:val="14"/>
                <w:color w:val="auto"/>
              </w:rPr>
            </w:pPr>
          </w:p>
        </w:tc>
        <w:tc>
          <w:tcPr>
            <w:tcW w:w="9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7"/>
              </w:rPr>
              <w:t>Principal</w:t>
            </w:r>
          </w:p>
        </w:tc>
      </w:tr>
      <w:tr>
        <w:trPr>
          <w:trHeight w:val="149"/>
        </w:trPr>
        <w:tc>
          <w:tcPr>
            <w:tcW w:w="2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Amount of 2023</w:t>
            </w:r>
          </w:p>
        </w:tc>
        <w:tc>
          <w:tcPr>
            <w:tcW w:w="10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7"/>
              </w:rPr>
              <w:t>Amount of 2028</w:t>
            </w:r>
          </w:p>
        </w:tc>
      </w:tr>
      <w:tr>
        <w:trPr>
          <w:trHeight w:val="149"/>
        </w:trPr>
        <w:tc>
          <w:tcPr>
            <w:tcW w:w="2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9"/>
              </w:rPr>
              <w:t>Notes to be</w:t>
            </w:r>
          </w:p>
        </w:tc>
        <w:tc>
          <w:tcPr>
            <w:tcW w:w="100" w:type="dxa"/>
            <w:vAlign w:val="bottom"/>
          </w:tcPr>
          <w:p>
            <w:pPr>
              <w:spacing w:after="0"/>
              <w:rPr>
                <w:sz w:val="12"/>
                <w:szCs w:val="12"/>
                <w:color w:val="auto"/>
              </w:rPr>
            </w:pPr>
          </w:p>
        </w:tc>
        <w:tc>
          <w:tcPr>
            <w:tcW w:w="9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9"/>
              </w:rPr>
              <w:t>Notes to be</w:t>
            </w:r>
          </w:p>
        </w:tc>
      </w:tr>
      <w:tr>
        <w:trPr>
          <w:trHeight w:val="171"/>
        </w:trPr>
        <w:tc>
          <w:tcPr>
            <w:tcW w:w="2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Purchased</w:t>
            </w:r>
          </w:p>
        </w:tc>
        <w:tc>
          <w:tcPr>
            <w:tcW w:w="100" w:type="dxa"/>
            <w:vAlign w:val="bottom"/>
          </w:tcPr>
          <w:p>
            <w:pPr>
              <w:spacing w:after="0"/>
              <w:rPr>
                <w:sz w:val="14"/>
                <w:szCs w:val="14"/>
                <w:color w:val="auto"/>
              </w:rPr>
            </w:pPr>
          </w:p>
        </w:tc>
        <w:tc>
          <w:tcPr>
            <w:tcW w:w="9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Purchased</w:t>
            </w:r>
          </w:p>
        </w:tc>
      </w:tr>
      <w:tr>
        <w:trPr>
          <w:trHeight w:val="176"/>
        </w:trPr>
        <w:tc>
          <w:tcPr>
            <w:tcW w:w="20" w:type="dxa"/>
            <w:vAlign w:val="bottom"/>
          </w:tcPr>
          <w:p>
            <w:pPr>
              <w:spacing w:after="0"/>
              <w:rPr>
                <w:sz w:val="15"/>
                <w:szCs w:val="15"/>
                <w:color w:val="auto"/>
              </w:rPr>
            </w:pPr>
          </w:p>
        </w:tc>
        <w:tc>
          <w:tcPr>
            <w:tcW w:w="3940" w:type="dxa"/>
            <w:vAlign w:val="bottom"/>
            <w:tcBorders>
              <w:top w:val="single" w:sz="8" w:color="CCEEFF"/>
            </w:tcBorders>
            <w:shd w:val="clear" w:color="auto" w:fill="CCEEFF"/>
          </w:tcPr>
          <w:p>
            <w:pPr>
              <w:spacing w:after="0"/>
              <w:rPr>
                <w:sz w:val="15"/>
                <w:szCs w:val="15"/>
                <w:color w:val="auto"/>
              </w:rPr>
            </w:pPr>
          </w:p>
        </w:tc>
        <w:tc>
          <w:tcPr>
            <w:tcW w:w="5160" w:type="dxa"/>
            <w:vAlign w:val="bottom"/>
            <w:tcBorders>
              <w:top w:val="single" w:sz="8" w:color="CCEEFF"/>
            </w:tcBorders>
            <w:gridSpan w:val="3"/>
            <w:shd w:val="clear" w:color="auto" w:fill="CCEEFF"/>
          </w:tcPr>
          <w:p>
            <w:pPr>
              <w:spacing w:after="0" w:line="156" w:lineRule="exact"/>
              <w:rPr>
                <w:sz w:val="20"/>
                <w:szCs w:val="20"/>
                <w:color w:val="auto"/>
              </w:rPr>
            </w:pPr>
            <w:r>
              <w:rPr>
                <w:rFonts w:ascii="Arial" w:cs="Arial" w:eastAsia="Arial" w:hAnsi="Arial"/>
                <w:sz w:val="18"/>
                <w:szCs w:val="18"/>
                <w:b w:val="1"/>
                <w:bCs w:val="1"/>
                <w:color w:val="auto"/>
              </w:rPr>
              <w:t>Underwriter</w:t>
            </w:r>
          </w:p>
        </w:tc>
        <w:tc>
          <w:tcPr>
            <w:tcW w:w="8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r>
      <w:tr>
        <w:trPr>
          <w:trHeight w:val="216"/>
        </w:trPr>
        <w:tc>
          <w:tcPr>
            <w:tcW w:w="20" w:type="dxa"/>
            <w:vAlign w:val="bottom"/>
          </w:tcPr>
          <w:p>
            <w:pPr>
              <w:spacing w:after="0"/>
              <w:rPr>
                <w:sz w:val="18"/>
                <w:szCs w:val="18"/>
                <w:color w:val="auto"/>
              </w:rPr>
            </w:pPr>
          </w:p>
        </w:tc>
        <w:tc>
          <w:tcPr>
            <w:tcW w:w="3940" w:type="dxa"/>
            <w:vAlign w:val="bottom"/>
            <w:tcBorders>
              <w:top w:val="single" w:sz="8" w:color="CCEEFF"/>
            </w:tcBorders>
          </w:tcPr>
          <w:p>
            <w:pPr>
              <w:spacing w:after="0"/>
              <w:rPr>
                <w:sz w:val="20"/>
                <w:szCs w:val="20"/>
                <w:color w:val="auto"/>
              </w:rPr>
            </w:pPr>
            <w:r>
              <w:rPr>
                <w:rFonts w:ascii="Arial" w:cs="Arial" w:eastAsia="Arial" w:hAnsi="Arial"/>
                <w:sz w:val="18"/>
                <w:szCs w:val="18"/>
                <w:color w:val="auto"/>
              </w:rPr>
              <w:t>Goldman Sachs &amp; Co. LLC</w:t>
            </w:r>
          </w:p>
        </w:tc>
        <w:tc>
          <w:tcPr>
            <w:tcW w:w="960" w:type="dxa"/>
            <w:vAlign w:val="bottom"/>
            <w:tcBorders>
              <w:top w:val="single" w:sz="8" w:color="auto"/>
            </w:tcBorders>
          </w:tcPr>
          <w:p>
            <w:pPr>
              <w:spacing w:after="0"/>
              <w:rPr>
                <w:sz w:val="18"/>
                <w:szCs w:val="18"/>
                <w:color w:val="auto"/>
              </w:rPr>
            </w:pPr>
          </w:p>
        </w:tc>
        <w:tc>
          <w:tcPr>
            <w:tcW w:w="4280" w:type="dxa"/>
            <w:vAlign w:val="bottom"/>
            <w:tcBorders>
              <w:top w:val="single" w:sz="8" w:color="CCEEFF"/>
            </w:tcBorders>
            <w:gridSpan w:val="3"/>
          </w:tcPr>
          <w:p>
            <w:pPr>
              <w:ind w:left="4180"/>
              <w:spacing w:after="0"/>
              <w:rPr>
                <w:sz w:val="20"/>
                <w:szCs w:val="20"/>
                <w:color w:val="auto"/>
              </w:rPr>
            </w:pPr>
            <w:r>
              <w:rPr>
                <w:rFonts w:ascii="Arial" w:cs="Arial" w:eastAsia="Arial" w:hAnsi="Arial"/>
                <w:sz w:val="18"/>
                <w:szCs w:val="18"/>
                <w:b w:val="1"/>
                <w:bCs w:val="1"/>
                <w:color w:val="auto"/>
                <w:w w:val="79"/>
              </w:rPr>
              <w:t>$</w:t>
            </w:r>
          </w:p>
        </w:tc>
        <w:tc>
          <w:tcPr>
            <w:tcW w:w="900" w:type="dxa"/>
            <w:vAlign w:val="bottom"/>
            <w:tcBorders>
              <w:top w:val="single" w:sz="8" w:color="CCEEFF"/>
            </w:tcBorders>
          </w:tcPr>
          <w:p>
            <w:pPr>
              <w:jc w:val="right"/>
              <w:spacing w:after="0"/>
              <w:rPr>
                <w:sz w:val="20"/>
                <w:szCs w:val="20"/>
                <w:color w:val="auto"/>
              </w:rPr>
            </w:pPr>
            <w:r>
              <w:rPr>
                <w:rFonts w:ascii="Arial" w:cs="Arial" w:eastAsia="Arial" w:hAnsi="Arial"/>
                <w:sz w:val="18"/>
                <w:szCs w:val="18"/>
                <w:b w:val="1"/>
                <w:bCs w:val="1"/>
                <w:color w:val="auto"/>
                <w:w w:val="87"/>
              </w:rPr>
              <w:t>200,000,000</w:t>
            </w:r>
          </w:p>
        </w:tc>
        <w:tc>
          <w:tcPr>
            <w:tcW w:w="260" w:type="dxa"/>
            <w:vAlign w:val="bottom"/>
            <w:tcBorders>
              <w:top w:val="single" w:sz="8" w:color="CCEEFF"/>
            </w:tcBorders>
          </w:tcPr>
          <w:p>
            <w:pPr>
              <w:spacing w:after="0"/>
              <w:rPr>
                <w:sz w:val="18"/>
                <w:szCs w:val="18"/>
                <w:color w:val="auto"/>
              </w:rPr>
            </w:pPr>
          </w:p>
        </w:tc>
        <w:tc>
          <w:tcPr>
            <w:tcW w:w="100" w:type="dxa"/>
            <w:vAlign w:val="bottom"/>
            <w:tcBorders>
              <w:top w:val="single" w:sz="8" w:color="CCEEFF"/>
            </w:tcBorders>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tcBorders>
              <w:top w:val="single" w:sz="8" w:color="CCEEFF"/>
            </w:tcBorders>
            <w:gridSpan w:val="2"/>
          </w:tcPr>
          <w:p>
            <w:pPr>
              <w:jc w:val="right"/>
              <w:ind w:right="60"/>
              <w:spacing w:after="0"/>
              <w:rPr>
                <w:sz w:val="20"/>
                <w:szCs w:val="20"/>
                <w:color w:val="auto"/>
              </w:rPr>
            </w:pPr>
            <w:r>
              <w:rPr>
                <w:rFonts w:ascii="Arial" w:cs="Arial" w:eastAsia="Arial" w:hAnsi="Arial"/>
                <w:sz w:val="18"/>
                <w:szCs w:val="18"/>
                <w:b w:val="1"/>
                <w:bCs w:val="1"/>
                <w:color w:val="auto"/>
                <w:w w:val="87"/>
              </w:rPr>
              <w:t>200,000,000</w:t>
            </w:r>
          </w:p>
        </w:tc>
      </w:tr>
      <w:tr>
        <w:trPr>
          <w:trHeight w:val="202"/>
        </w:trPr>
        <w:tc>
          <w:tcPr>
            <w:tcW w:w="20" w:type="dxa"/>
            <w:vAlign w:val="bottom"/>
          </w:tcPr>
          <w:p>
            <w:pPr>
              <w:spacing w:after="0"/>
              <w:rPr>
                <w:sz w:val="17"/>
                <w:szCs w:val="17"/>
                <w:color w:val="auto"/>
              </w:rPr>
            </w:pPr>
          </w:p>
        </w:tc>
        <w:tc>
          <w:tcPr>
            <w:tcW w:w="39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Merrill Lynch, Pierce, Fenner &amp; Smith</w:t>
            </w:r>
          </w:p>
        </w:tc>
        <w:tc>
          <w:tcPr>
            <w:tcW w:w="960" w:type="dxa"/>
            <w:vAlign w:val="bottom"/>
            <w:shd w:val="clear" w:color="auto" w:fill="CCEEFF"/>
          </w:tcPr>
          <w:p>
            <w:pPr>
              <w:spacing w:after="0"/>
              <w:rPr>
                <w:sz w:val="17"/>
                <w:szCs w:val="17"/>
                <w:color w:val="auto"/>
              </w:rPr>
            </w:pPr>
          </w:p>
        </w:tc>
        <w:tc>
          <w:tcPr>
            <w:tcW w:w="4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44"/>
        </w:trPr>
        <w:tc>
          <w:tcPr>
            <w:tcW w:w="20" w:type="dxa"/>
            <w:vAlign w:val="bottom"/>
          </w:tcPr>
          <w:p>
            <w:pPr>
              <w:spacing w:after="0"/>
              <w:rPr>
                <w:sz w:val="21"/>
                <w:szCs w:val="21"/>
                <w:color w:val="auto"/>
              </w:rPr>
            </w:pPr>
          </w:p>
        </w:tc>
        <w:tc>
          <w:tcPr>
            <w:tcW w:w="3940" w:type="dxa"/>
            <w:vAlign w:val="bottom"/>
            <w:shd w:val="clear" w:color="auto" w:fill="CCEEFF"/>
          </w:tcPr>
          <w:p>
            <w:pPr>
              <w:ind w:left="980"/>
              <w:spacing w:after="0"/>
              <w:rPr>
                <w:sz w:val="20"/>
                <w:szCs w:val="20"/>
                <w:color w:val="auto"/>
              </w:rPr>
            </w:pPr>
            <w:r>
              <w:rPr>
                <w:rFonts w:ascii="Arial" w:cs="Arial" w:eastAsia="Arial" w:hAnsi="Arial"/>
                <w:sz w:val="18"/>
                <w:szCs w:val="18"/>
                <w:color w:val="auto"/>
              </w:rPr>
              <w:t>Incorporated</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7"/>
              </w:rPr>
              <w:t>134,000,000</w:t>
            </w:r>
          </w:p>
        </w:tc>
        <w:tc>
          <w:tcPr>
            <w:tcW w:w="2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134,000,000</w:t>
            </w:r>
          </w:p>
        </w:tc>
      </w:tr>
      <w:tr>
        <w:trPr>
          <w:trHeight w:val="216"/>
        </w:trPr>
        <w:tc>
          <w:tcPr>
            <w:tcW w:w="20" w:type="dxa"/>
            <w:vAlign w:val="bottom"/>
          </w:tcPr>
          <w:p>
            <w:pPr>
              <w:spacing w:after="0"/>
              <w:rPr>
                <w:sz w:val="18"/>
                <w:szCs w:val="18"/>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Barclays Capital Inc.</w:t>
            </w:r>
          </w:p>
        </w:tc>
        <w:tc>
          <w:tcPr>
            <w:tcW w:w="5240" w:type="dxa"/>
            <w:vAlign w:val="bottom"/>
            <w:gridSpan w:val="4"/>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b w:val="1"/>
                <w:bCs w:val="1"/>
                <w:color w:val="auto"/>
                <w:w w:val="97"/>
              </w:rPr>
              <w:t>26,500,000</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97"/>
              </w:rPr>
              <w:t>26,500,000</w:t>
            </w: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HSBC Securities (USA) Inc.</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w w:val="97"/>
              </w:rPr>
              <w:t>26,500,000</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26,500,000</w:t>
            </w:r>
          </w:p>
        </w:tc>
      </w:tr>
      <w:tr>
        <w:trPr>
          <w:trHeight w:val="216"/>
        </w:trPr>
        <w:tc>
          <w:tcPr>
            <w:tcW w:w="20" w:type="dxa"/>
            <w:vAlign w:val="bottom"/>
          </w:tcPr>
          <w:p>
            <w:pPr>
              <w:spacing w:after="0"/>
              <w:rPr>
                <w:sz w:val="18"/>
                <w:szCs w:val="18"/>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MUFG Securities Americas Inc.</w:t>
            </w:r>
          </w:p>
        </w:tc>
        <w:tc>
          <w:tcPr>
            <w:tcW w:w="5240" w:type="dxa"/>
            <w:vAlign w:val="bottom"/>
            <w:gridSpan w:val="4"/>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b w:val="1"/>
                <w:bCs w:val="1"/>
                <w:color w:val="auto"/>
                <w:w w:val="97"/>
              </w:rPr>
              <w:t>26,500,000</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97"/>
              </w:rPr>
              <w:t>26,500,000</w:t>
            </w: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Wells Fargo Securities, LLC</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w w:val="97"/>
              </w:rPr>
              <w:t>26,500,000</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26,500,000</w:t>
            </w:r>
          </w:p>
        </w:tc>
      </w:tr>
      <w:tr>
        <w:trPr>
          <w:trHeight w:val="216"/>
        </w:trPr>
        <w:tc>
          <w:tcPr>
            <w:tcW w:w="20" w:type="dxa"/>
            <w:vAlign w:val="bottom"/>
          </w:tcPr>
          <w:p>
            <w:pPr>
              <w:spacing w:after="0"/>
              <w:rPr>
                <w:sz w:val="18"/>
                <w:szCs w:val="18"/>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BNP Paribas Securities Corp.</w:t>
            </w:r>
          </w:p>
        </w:tc>
        <w:tc>
          <w:tcPr>
            <w:tcW w:w="5240" w:type="dxa"/>
            <w:vAlign w:val="bottom"/>
            <w:gridSpan w:val="4"/>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Credit Suisse Securities (USA) LLC</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16"/>
        </w:trPr>
        <w:tc>
          <w:tcPr>
            <w:tcW w:w="20" w:type="dxa"/>
            <w:vAlign w:val="bottom"/>
          </w:tcPr>
          <w:p>
            <w:pPr>
              <w:spacing w:after="0"/>
              <w:rPr>
                <w:sz w:val="18"/>
                <w:szCs w:val="18"/>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Mizuho Securities USA LLC</w:t>
            </w:r>
          </w:p>
        </w:tc>
        <w:tc>
          <w:tcPr>
            <w:tcW w:w="5240" w:type="dxa"/>
            <w:vAlign w:val="bottom"/>
            <w:gridSpan w:val="4"/>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PNC Capital Markets LLC</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16"/>
        </w:trPr>
        <w:tc>
          <w:tcPr>
            <w:tcW w:w="20" w:type="dxa"/>
            <w:vAlign w:val="bottom"/>
          </w:tcPr>
          <w:p>
            <w:pPr>
              <w:spacing w:after="0"/>
              <w:rPr>
                <w:sz w:val="18"/>
                <w:szCs w:val="18"/>
                <w:color w:val="auto"/>
              </w:rPr>
            </w:pPr>
          </w:p>
        </w:tc>
        <w:tc>
          <w:tcPr>
            <w:tcW w:w="3940" w:type="dxa"/>
            <w:vAlign w:val="bottom"/>
          </w:tcPr>
          <w:p>
            <w:pPr>
              <w:spacing w:after="0"/>
              <w:rPr>
                <w:sz w:val="20"/>
                <w:szCs w:val="20"/>
                <w:color w:val="auto"/>
              </w:rPr>
            </w:pPr>
            <w:r>
              <w:rPr>
                <w:rFonts w:ascii="Arial" w:cs="Arial" w:eastAsia="Arial" w:hAnsi="Arial"/>
                <w:sz w:val="18"/>
                <w:szCs w:val="18"/>
                <w:color w:val="auto"/>
              </w:rPr>
              <w:t>SMBC Nikko Securities America, Inc.</w:t>
            </w:r>
          </w:p>
        </w:tc>
        <w:tc>
          <w:tcPr>
            <w:tcW w:w="5240" w:type="dxa"/>
            <w:vAlign w:val="bottom"/>
            <w:gridSpan w:val="4"/>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16"/>
        </w:trPr>
        <w:tc>
          <w:tcPr>
            <w:tcW w:w="2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U.S. Bancorp Investments, Inc.</w:t>
            </w:r>
          </w:p>
        </w:tc>
        <w:tc>
          <w:tcPr>
            <w:tcW w:w="5240" w:type="dxa"/>
            <w:vAlign w:val="bottom"/>
            <w:gridSpan w:val="4"/>
            <w:shd w:val="clear" w:color="auto" w:fill="CCEEFF"/>
          </w:tcPr>
          <w:p>
            <w:pPr>
              <w:ind w:left="5140"/>
              <w:spacing w:after="0"/>
              <w:rPr>
                <w:sz w:val="20"/>
                <w:szCs w:val="20"/>
                <w:color w:val="auto"/>
              </w:rPr>
            </w:pPr>
            <w:r>
              <w:rPr>
                <w:rFonts w:ascii="Arial" w:cs="Arial" w:eastAsia="Arial" w:hAnsi="Arial"/>
                <w:sz w:val="18"/>
                <w:szCs w:val="18"/>
                <w:b w:val="1"/>
                <w:bCs w:val="1"/>
                <w:color w:val="auto"/>
                <w:w w:val="79"/>
              </w:rPr>
              <w:t>$</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w w:val="97"/>
              </w:rPr>
              <w:t>10,000,000</w:t>
            </w:r>
          </w:p>
        </w:tc>
        <w:tc>
          <w:tcPr>
            <w:tcW w:w="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79"/>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10,000,000</w:t>
            </w:r>
          </w:p>
        </w:tc>
      </w:tr>
      <w:tr>
        <w:trPr>
          <w:trHeight w:val="223"/>
        </w:trPr>
        <w:tc>
          <w:tcPr>
            <w:tcW w:w="20" w:type="dxa"/>
            <w:vAlign w:val="bottom"/>
          </w:tcPr>
          <w:p>
            <w:pPr>
              <w:spacing w:after="0"/>
              <w:rPr>
                <w:sz w:val="19"/>
                <w:szCs w:val="19"/>
                <w:color w:val="auto"/>
              </w:rPr>
            </w:pPr>
          </w:p>
        </w:tc>
        <w:tc>
          <w:tcPr>
            <w:tcW w:w="3940" w:type="dxa"/>
            <w:vAlign w:val="bottom"/>
          </w:tcPr>
          <w:p>
            <w:pPr>
              <w:ind w:left="340"/>
              <w:spacing w:after="0"/>
              <w:rPr>
                <w:sz w:val="20"/>
                <w:szCs w:val="20"/>
                <w:color w:val="auto"/>
              </w:rPr>
            </w:pPr>
            <w:r>
              <w:rPr>
                <w:rFonts w:ascii="Arial" w:cs="Arial" w:eastAsia="Arial" w:hAnsi="Arial"/>
                <w:sz w:val="18"/>
                <w:szCs w:val="18"/>
                <w:color w:val="auto"/>
              </w:rPr>
              <w:t>Total</w:t>
            </w:r>
          </w:p>
        </w:tc>
        <w:tc>
          <w:tcPr>
            <w:tcW w:w="960" w:type="dxa"/>
            <w:vAlign w:val="bottom"/>
          </w:tcPr>
          <w:p>
            <w:pPr>
              <w:spacing w:after="0"/>
              <w:rPr>
                <w:sz w:val="19"/>
                <w:szCs w:val="19"/>
                <w:color w:val="auto"/>
              </w:rPr>
            </w:pPr>
          </w:p>
        </w:tc>
        <w:tc>
          <w:tcPr>
            <w:tcW w:w="418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b w:val="1"/>
                <w:bCs w:val="1"/>
                <w:u w:val="single" w:color="auto"/>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500,000,000</w:t>
            </w:r>
          </w:p>
        </w:tc>
        <w:tc>
          <w:tcPr>
            <w:tcW w:w="2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7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500,000,000</w:t>
            </w:r>
          </w:p>
        </w:tc>
        <w:tc>
          <w:tcPr>
            <w:tcW w:w="6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39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36" w:name="page37"/>
    <w:bookmarkEnd w:id="36"/>
    <w:p>
      <w:pPr>
        <w:ind w:left="46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II</w:t>
      </w:r>
    </w:p>
    <w:p>
      <w:pPr>
        <w:spacing w:after="0" w:line="229" w:lineRule="exact"/>
        <w:rPr>
          <w:sz w:val="20"/>
          <w:szCs w:val="20"/>
          <w:color w:val="auto"/>
        </w:rPr>
      </w:pPr>
    </w:p>
    <w:p>
      <w:pPr>
        <w:ind w:right="3539" w:firstLine="4"/>
        <w:spacing w:after="0" w:line="501" w:lineRule="auto"/>
        <w:tabs>
          <w:tab w:leader="none" w:pos="3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Issuer Free Writing Prospectuses not included in the Pricing Disclosure Package: Electronic Roadshow, dated June 20, 2018.</w:t>
      </w:r>
    </w:p>
    <w:p>
      <w:pPr>
        <w:ind w:left="380" w:hanging="376"/>
        <w:spacing w:after="0"/>
        <w:tabs>
          <w:tab w:leader="none" w:pos="3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Additional Documents Incorporated by Reference: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N/A</w:t>
      </w:r>
    </w:p>
    <w:p>
      <w:pPr>
        <w:sectPr>
          <w:pgSz w:w="11900" w:h="16838" w:orient="portrait"/>
          <w:cols w:equalWidth="0" w:num="1">
            <w:col w:w="9759"/>
          </w:cols>
          <w:pgMar w:left="700" w:top="270" w:right="1440" w:bottom="1440" w:gutter="0" w:footer="0" w:header="0"/>
        </w:sectPr>
      </w:pPr>
    </w:p>
    <w:bookmarkStart w:id="37" w:name="page38"/>
    <w:bookmarkEnd w:id="3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III</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Issuer Free Writing Prospectus</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Pursuant to Rule 433</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Registration Statement No. 333-225591</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June 20, 2018</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FINAL TERM SHEET</w:t>
      </w:r>
    </w:p>
    <w:p>
      <w:pPr>
        <w:spacing w:after="0" w:line="225" w:lineRule="exact"/>
        <w:rPr>
          <w:sz w:val="20"/>
          <w:szCs w:val="20"/>
          <w:color w:val="auto"/>
        </w:rPr>
      </w:pPr>
    </w:p>
    <w:p>
      <w:pPr>
        <w:ind w:left="4020"/>
        <w:spacing w:after="0"/>
        <w:rPr>
          <w:sz w:val="20"/>
          <w:szCs w:val="20"/>
          <w:color w:val="auto"/>
        </w:rPr>
      </w:pPr>
      <w:r>
        <w:rPr>
          <w:rFonts w:ascii="Arial" w:cs="Arial" w:eastAsia="Arial" w:hAnsi="Arial"/>
          <w:sz w:val="18"/>
          <w:szCs w:val="18"/>
          <w:b w:val="1"/>
          <w:bCs w:val="1"/>
          <w:u w:val="single" w:color="auto"/>
          <w:color w:val="auto"/>
        </w:rPr>
        <w:t>$500,000,000 4.200% Senior Notes due 2023</w:t>
      </w:r>
    </w:p>
    <w:p>
      <w:pPr>
        <w:spacing w:after="0" w:line="27" w:lineRule="exact"/>
        <w:rPr>
          <w:sz w:val="20"/>
          <w:szCs w:val="20"/>
          <w:color w:val="auto"/>
        </w:rPr>
      </w:pPr>
    </w:p>
    <w:p>
      <w:pPr>
        <w:ind w:left="4020"/>
        <w:spacing w:after="0"/>
        <w:rPr>
          <w:sz w:val="20"/>
          <w:szCs w:val="20"/>
          <w:color w:val="auto"/>
        </w:rPr>
      </w:pPr>
      <w:r>
        <w:rPr>
          <w:rFonts w:ascii="Arial" w:cs="Arial" w:eastAsia="Arial" w:hAnsi="Arial"/>
          <w:sz w:val="18"/>
          <w:szCs w:val="18"/>
          <w:b w:val="1"/>
          <w:bCs w:val="1"/>
          <w:u w:val="single" w:color="auto"/>
          <w:color w:val="auto"/>
        </w:rPr>
        <w:t>$500,000,000 4.875% Senior Notes due 2028</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Dated June 20, 2018</w:t>
      </w:r>
    </w:p>
    <w:p>
      <w:pPr>
        <w:spacing w:after="0" w:line="22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This pricing term sheet (the “Final Term Sheet”) relates only to the securities described below and should be read together with Marvell Technology Group Ltd.’s preliminary prospectus supplement dated June 20, 2018 (the “Preliminary Prospectus Supplement”), the accompanying prospectus dated June 13, 2018 and the documents incorporated and deemed to be incorporated by reference therein. The information in this Final Term Sheet supplements the Preliminary Prospectus Supplement and supersedes the information contained in the Preliminary Prospectus Supplement to the extent inconsistent with the information in the Preliminary Prospectus Supplement. Capitalized terms used in this Final Term Sheet but not defined have the meanings given them in the Preliminary Prospectus Supplement.</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Issuer:</w:t>
            </w:r>
          </w:p>
        </w:tc>
        <w:tc>
          <w:tcPr>
            <w:tcW w:w="760" w:type="dxa"/>
            <w:vAlign w:val="bottom"/>
          </w:tcPr>
          <w:p>
            <w:pPr>
              <w:spacing w:after="0"/>
              <w:rPr>
                <w:sz w:val="20"/>
                <w:szCs w:val="20"/>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Marvell Technology Group Ltd.</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Trade Date:</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June 20, 2018</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Settlement Date:</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June 22, 2018 (T+2)</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Ratings (Moody’s/S&amp;P/Fitch):*</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i w:val="1"/>
                <w:iCs w:val="1"/>
                <w:color w:val="auto"/>
              </w:rPr>
              <w:t>[intentionally omitted]</w:t>
            </w:r>
          </w:p>
        </w:tc>
      </w:tr>
      <w:tr>
        <w:trPr>
          <w:trHeight w:val="351"/>
        </w:trPr>
        <w:tc>
          <w:tcPr>
            <w:tcW w:w="3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3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89"/>
              </w:rPr>
              <w:t>$</w:t>
            </w:r>
            <w:r>
              <w:rPr>
                <w:rFonts w:ascii="Arial" w:cs="Arial" w:eastAsia="Arial" w:hAnsi="Arial"/>
                <w:sz w:val="18"/>
                <w:szCs w:val="18"/>
                <w:b w:val="1"/>
                <w:bCs w:val="1"/>
                <w:color w:val="auto"/>
                <w:w w:val="89"/>
              </w:rPr>
              <w:t>500,000,000 4.200% Senior Notes due 2023</w:t>
            </w:r>
          </w:p>
        </w:tc>
        <w:tc>
          <w:tcPr>
            <w:tcW w:w="380" w:type="dxa"/>
            <w:vAlign w:val="bottom"/>
          </w:tcPr>
          <w:p>
            <w:pPr>
              <w:spacing w:after="0"/>
              <w:rPr>
                <w:sz w:val="24"/>
                <w:szCs w:val="24"/>
                <w:color w:val="auto"/>
              </w:rPr>
            </w:pPr>
          </w:p>
        </w:tc>
      </w:tr>
      <w:tr>
        <w:trPr>
          <w:trHeight w:val="412"/>
        </w:trPr>
        <w:tc>
          <w:tcPr>
            <w:tcW w:w="3260" w:type="dxa"/>
            <w:vAlign w:val="bottom"/>
          </w:tcPr>
          <w:p>
            <w:pPr>
              <w:spacing w:after="0"/>
              <w:rPr>
                <w:sz w:val="20"/>
                <w:szCs w:val="20"/>
                <w:color w:val="auto"/>
              </w:rPr>
            </w:pPr>
            <w:r>
              <w:rPr>
                <w:rFonts w:ascii="Arial" w:cs="Arial" w:eastAsia="Arial" w:hAnsi="Arial"/>
                <w:sz w:val="18"/>
                <w:szCs w:val="18"/>
                <w:b w:val="1"/>
                <w:bCs w:val="1"/>
                <w:color w:val="auto"/>
              </w:rPr>
              <w:t>Title of Securities:</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w w:val="90"/>
              </w:rPr>
              <w:t>4.200% Senior Notes due 2023 (the “2023 Notes”)</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Principal Amount:</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$500,000,000</w:t>
            </w:r>
          </w:p>
        </w:tc>
        <w:tc>
          <w:tcPr>
            <w:tcW w:w="38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Stated Maturity Date:</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June 22, 2023</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2.750% UST due May 31, 2023</w:t>
            </w:r>
          </w:p>
        </w:tc>
      </w:tr>
      <w:tr>
        <w:trPr>
          <w:trHeight w:val="549"/>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Price:</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 xml:space="preserve">99-25 </w:t>
            </w:r>
            <w:r>
              <w:rPr>
                <w:rFonts w:ascii="Arial" w:cs="Arial" w:eastAsia="Arial" w:hAnsi="Arial"/>
                <w:sz w:val="30"/>
                <w:szCs w:val="30"/>
                <w:color w:val="auto"/>
                <w:vertAlign w:val="superscript"/>
              </w:rPr>
              <w:t>1</w:t>
            </w:r>
            <w:r>
              <w:rPr>
                <w:rFonts w:ascii="Arial" w:cs="Arial" w:eastAsia="Arial" w:hAnsi="Arial"/>
                <w:sz w:val="18"/>
                <w:szCs w:val="18"/>
                <w:color w:val="auto"/>
              </w:rPr>
              <w:t>⁄</w:t>
            </w:r>
            <w:r>
              <w:rPr>
                <w:rFonts w:ascii="Arial" w:cs="Arial" w:eastAsia="Arial" w:hAnsi="Arial"/>
                <w:sz w:val="30"/>
                <w:szCs w:val="30"/>
                <w:color w:val="auto"/>
                <w:vertAlign w:val="subscript"/>
              </w:rPr>
              <w:t>4</w:t>
            </w:r>
          </w:p>
        </w:tc>
      </w:t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Yield:</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2.796%</w:t>
            </w:r>
          </w:p>
        </w:tc>
        <w:tc>
          <w:tcPr>
            <w:tcW w:w="380" w:type="dxa"/>
            <w:vAlign w:val="bottom"/>
          </w:tcPr>
          <w:p>
            <w:pPr>
              <w:spacing w:after="0"/>
              <w:rPr>
                <w:sz w:val="20"/>
                <w:szCs w:val="20"/>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Spread to Benchmark Treasury:</w:t>
            </w:r>
          </w:p>
        </w:tc>
        <w:tc>
          <w:tcPr>
            <w:tcW w:w="760" w:type="dxa"/>
            <w:vAlign w:val="bottom"/>
          </w:tcPr>
          <w:p>
            <w:pPr>
              <w:spacing w:after="0"/>
              <w:rPr>
                <w:sz w:val="24"/>
                <w:szCs w:val="24"/>
                <w:color w:val="auto"/>
              </w:rPr>
            </w:pPr>
          </w:p>
        </w:tc>
        <w:tc>
          <w:tcPr>
            <w:tcW w:w="3760" w:type="dxa"/>
            <w:vAlign w:val="bottom"/>
            <w:gridSpan w:val="2"/>
          </w:tcPr>
          <w:p>
            <w:pPr>
              <w:ind w:left="100"/>
              <w:spacing w:after="0"/>
              <w:rPr>
                <w:sz w:val="20"/>
                <w:szCs w:val="20"/>
                <w:color w:val="auto"/>
              </w:rPr>
            </w:pPr>
            <w:r>
              <w:rPr>
                <w:rFonts w:ascii="Arial" w:cs="Arial" w:eastAsia="Arial" w:hAnsi="Arial"/>
                <w:sz w:val="18"/>
                <w:szCs w:val="18"/>
                <w:color w:val="auto"/>
              </w:rPr>
              <w:t>+145 basis points</w:t>
            </w:r>
          </w:p>
        </w:tc>
      </w:tr>
    </w:tbl>
    <w:p>
      <w:pPr>
        <w:sectPr>
          <w:pgSz w:w="11900" w:h="16838" w:orient="portrait"/>
          <w:cols w:equalWidth="0" w:num="1">
            <w:col w:w="11420"/>
          </w:cols>
          <w:pgMar w:left="240" w:top="270" w:right="239" w:bottom="1440" w:gutter="0" w:footer="0" w:header="0"/>
        </w:sectPr>
      </w:pPr>
    </w:p>
    <w:bookmarkStart w:id="38" w:name="page39"/>
    <w:bookmarkEnd w:id="3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3260" w:type="dxa"/>
            <w:vAlign w:val="bottom"/>
          </w:tcPr>
          <w:p>
            <w:pPr>
              <w:spacing w:after="0"/>
              <w:rPr>
                <w:sz w:val="20"/>
                <w:szCs w:val="20"/>
                <w:color w:val="auto"/>
              </w:rPr>
            </w:pPr>
            <w:r>
              <w:rPr>
                <w:rFonts w:ascii="Arial" w:cs="Arial" w:eastAsia="Arial" w:hAnsi="Arial"/>
                <w:sz w:val="18"/>
                <w:szCs w:val="18"/>
                <w:b w:val="1"/>
                <w:bCs w:val="1"/>
                <w:color w:val="auto"/>
              </w:rPr>
              <w:t>Yield to Maturity:</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4.246%</w:t>
            </w:r>
          </w:p>
        </w:tc>
        <w:tc>
          <w:tcPr>
            <w:tcW w:w="3920" w:type="dxa"/>
            <w:vAlign w:val="bottom"/>
          </w:tcPr>
          <w:p>
            <w:pPr>
              <w:spacing w:after="0"/>
              <w:rPr>
                <w:sz w:val="20"/>
                <w:szCs w:val="20"/>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Public Offering Price:</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99.795%</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Coupon:</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4.200%</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Interest Payment Dates:</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Semi-annually on each June 22 and December 22, beginning on December 22, 2018.</w:t>
            </w:r>
          </w:p>
        </w:tc>
      </w:tr>
      <w:tr>
        <w:trPr>
          <w:trHeight w:val="377"/>
        </w:trPr>
        <w:tc>
          <w:tcPr>
            <w:tcW w:w="3260" w:type="dxa"/>
            <w:vAlign w:val="bottom"/>
          </w:tcPr>
          <w:p>
            <w:pPr>
              <w:spacing w:after="0"/>
              <w:rPr>
                <w:sz w:val="20"/>
                <w:szCs w:val="20"/>
                <w:color w:val="auto"/>
              </w:rPr>
            </w:pPr>
            <w:r>
              <w:rPr>
                <w:rFonts w:ascii="Arial" w:cs="Arial" w:eastAsia="Arial" w:hAnsi="Arial"/>
                <w:sz w:val="18"/>
                <w:szCs w:val="18"/>
                <w:b w:val="1"/>
                <w:bCs w:val="1"/>
                <w:color w:val="auto"/>
              </w:rPr>
              <w:t>Optional Redemption:</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3"/>
              </w:rPr>
              <w:t>Make-whole at T+25 basis points. On or after May 22, 2023 (the date that is 1 month prior to the</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4"/>
              </w:rPr>
              <w:t>maturity of the 2023 Notes), the 2023 Notes are redeemable at 100% of the aggregate principal</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8"/>
              </w:rPr>
              <w:t>amount of the 2023 Notes being redeemed plus accrued and unpaid interest thereon to, but</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excluding, the redemption date.</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CUSIP / ISIN:</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57385L AA6 / US57385LAA61</w:t>
            </w:r>
          </w:p>
        </w:tc>
      </w:tr>
      <w:tr>
        <w:trPr>
          <w:trHeight w:val="351"/>
        </w:trPr>
        <w:tc>
          <w:tcPr>
            <w:tcW w:w="3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3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89"/>
              </w:rPr>
              <w:t>$</w:t>
            </w:r>
            <w:r>
              <w:rPr>
                <w:rFonts w:ascii="Arial" w:cs="Arial" w:eastAsia="Arial" w:hAnsi="Arial"/>
                <w:sz w:val="18"/>
                <w:szCs w:val="18"/>
                <w:b w:val="1"/>
                <w:bCs w:val="1"/>
                <w:color w:val="auto"/>
                <w:w w:val="89"/>
              </w:rPr>
              <w:t>500,000,000 4.875% Senior Notes due 2028</w:t>
            </w:r>
          </w:p>
        </w:tc>
        <w:tc>
          <w:tcPr>
            <w:tcW w:w="3920" w:type="dxa"/>
            <w:vAlign w:val="bottom"/>
          </w:tcPr>
          <w:p>
            <w:pPr>
              <w:spacing w:after="0"/>
              <w:rPr>
                <w:sz w:val="24"/>
                <w:szCs w:val="24"/>
                <w:color w:val="auto"/>
              </w:rPr>
            </w:pPr>
          </w:p>
        </w:tc>
      </w:tr>
      <w:tr>
        <w:trPr>
          <w:trHeight w:val="412"/>
        </w:trPr>
        <w:tc>
          <w:tcPr>
            <w:tcW w:w="3260" w:type="dxa"/>
            <w:vAlign w:val="bottom"/>
          </w:tcPr>
          <w:p>
            <w:pPr>
              <w:spacing w:after="0"/>
              <w:rPr>
                <w:sz w:val="20"/>
                <w:szCs w:val="20"/>
                <w:color w:val="auto"/>
              </w:rPr>
            </w:pPr>
            <w:r>
              <w:rPr>
                <w:rFonts w:ascii="Arial" w:cs="Arial" w:eastAsia="Arial" w:hAnsi="Arial"/>
                <w:sz w:val="18"/>
                <w:szCs w:val="18"/>
                <w:b w:val="1"/>
                <w:bCs w:val="1"/>
                <w:color w:val="auto"/>
              </w:rPr>
              <w:t>Title of Securities:</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4.875% Senior Notes due 2028 (the “2028 Notes”)</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Principal Amount:</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$500,000,000</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Stated Maturity Date:</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June 22, 2028</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2.875% UST due May 15, 2028</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Price:</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99-17+</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Benchmark Treasury Yield:</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2.928%</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Spread to Benchmark Treasury:</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+195 basis points</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Yield to Maturity:</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4.878%</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Public Offering Price:</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99.976%</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Coupon:</w:t>
            </w:r>
          </w:p>
        </w:tc>
        <w:tc>
          <w:tcPr>
            <w:tcW w:w="4140" w:type="dxa"/>
            <w:vAlign w:val="bottom"/>
            <w:gridSpan w:val="2"/>
          </w:tcPr>
          <w:p>
            <w:pPr>
              <w:ind w:left="860"/>
              <w:spacing w:after="0"/>
              <w:rPr>
                <w:sz w:val="20"/>
                <w:szCs w:val="20"/>
                <w:color w:val="auto"/>
              </w:rPr>
            </w:pPr>
            <w:r>
              <w:rPr>
                <w:rFonts w:ascii="Arial" w:cs="Arial" w:eastAsia="Arial" w:hAnsi="Arial"/>
                <w:sz w:val="18"/>
                <w:szCs w:val="18"/>
                <w:color w:val="auto"/>
              </w:rPr>
              <w:t>4.875%</w:t>
            </w:r>
          </w:p>
        </w:tc>
        <w:tc>
          <w:tcPr>
            <w:tcW w:w="3920" w:type="dxa"/>
            <w:vAlign w:val="bottom"/>
          </w:tcPr>
          <w:p>
            <w:pPr>
              <w:spacing w:after="0"/>
              <w:rPr>
                <w:sz w:val="24"/>
                <w:szCs w:val="24"/>
                <w:color w:val="auto"/>
              </w:rPr>
            </w:pP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Interest Payment Dates:</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Semi-annually on each June 22 and December 22, beginning on December 22, 2018.</w:t>
            </w:r>
          </w:p>
        </w:tc>
      </w:tr>
      <w:tr>
        <w:trPr>
          <w:trHeight w:val="377"/>
        </w:trPr>
        <w:tc>
          <w:tcPr>
            <w:tcW w:w="3260" w:type="dxa"/>
            <w:vAlign w:val="bottom"/>
          </w:tcPr>
          <w:p>
            <w:pPr>
              <w:spacing w:after="0"/>
              <w:rPr>
                <w:sz w:val="20"/>
                <w:szCs w:val="20"/>
                <w:color w:val="auto"/>
              </w:rPr>
            </w:pPr>
            <w:r>
              <w:rPr>
                <w:rFonts w:ascii="Arial" w:cs="Arial" w:eastAsia="Arial" w:hAnsi="Arial"/>
                <w:sz w:val="18"/>
                <w:szCs w:val="18"/>
                <w:b w:val="1"/>
                <w:bCs w:val="1"/>
                <w:color w:val="auto"/>
              </w:rPr>
              <w:t>Optional Redemption:</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1"/>
              </w:rPr>
              <w:t>Make-whole at T+30 basis points. On or after March 22, 2028 (the date that is 3 months prior to the</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4"/>
              </w:rPr>
              <w:t>maturity of the 2028 Notes), the 2028 Notes are redeemable at 100% of the aggregate principal</w:t>
            </w:r>
          </w:p>
        </w:tc>
      </w:tr>
      <w:tr>
        <w:trPr>
          <w:trHeight w:val="216"/>
        </w:trPr>
        <w:tc>
          <w:tcPr>
            <w:tcW w:w="3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w w:val="98"/>
              </w:rPr>
              <w:t>amount of the 2028 Notes being redeemed plus accrued and unpaid interest thereon to, but</w:t>
            </w:r>
          </w:p>
        </w:tc>
      </w:tr>
      <w:tr>
        <w:trPr>
          <w:trHeight w:val="230"/>
        </w:trPr>
        <w:tc>
          <w:tcPr>
            <w:tcW w:w="3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excluding, the redemption date.</w:t>
            </w:r>
          </w:p>
        </w:tc>
      </w:tr>
      <w:tr>
        <w:trPr>
          <w:trHeight w:val="392"/>
        </w:trPr>
        <w:tc>
          <w:tcPr>
            <w:tcW w:w="3260" w:type="dxa"/>
            <w:vAlign w:val="bottom"/>
          </w:tcPr>
          <w:p>
            <w:pPr>
              <w:spacing w:after="0"/>
              <w:rPr>
                <w:sz w:val="20"/>
                <w:szCs w:val="20"/>
                <w:color w:val="auto"/>
              </w:rPr>
            </w:pPr>
            <w:r>
              <w:rPr>
                <w:rFonts w:ascii="Arial" w:cs="Arial" w:eastAsia="Arial" w:hAnsi="Arial"/>
                <w:sz w:val="18"/>
                <w:szCs w:val="18"/>
                <w:b w:val="1"/>
                <w:bCs w:val="1"/>
                <w:color w:val="auto"/>
              </w:rPr>
              <w:t>CUSIP / ISIN:</w:t>
            </w:r>
          </w:p>
        </w:tc>
        <w:tc>
          <w:tcPr>
            <w:tcW w:w="760" w:type="dxa"/>
            <w:vAlign w:val="bottom"/>
          </w:tcPr>
          <w:p>
            <w:pPr>
              <w:spacing w:after="0"/>
              <w:rPr>
                <w:sz w:val="24"/>
                <w:szCs w:val="24"/>
                <w:color w:val="auto"/>
              </w:rPr>
            </w:pPr>
          </w:p>
        </w:tc>
        <w:tc>
          <w:tcPr>
            <w:tcW w:w="7300" w:type="dxa"/>
            <w:vAlign w:val="bottom"/>
            <w:gridSpan w:val="2"/>
          </w:tcPr>
          <w:p>
            <w:pPr>
              <w:ind w:left="100"/>
              <w:spacing w:after="0"/>
              <w:rPr>
                <w:sz w:val="20"/>
                <w:szCs w:val="20"/>
                <w:color w:val="auto"/>
              </w:rPr>
            </w:pPr>
            <w:r>
              <w:rPr>
                <w:rFonts w:ascii="Arial" w:cs="Arial" w:eastAsia="Arial" w:hAnsi="Arial"/>
                <w:sz w:val="18"/>
                <w:szCs w:val="18"/>
                <w:color w:val="auto"/>
              </w:rPr>
              <w:t>57385L AB4 / US57385LAB45</w:t>
            </w:r>
          </w:p>
        </w:tc>
      </w:tr>
    </w:tbl>
    <w:p>
      <w:pPr>
        <w:sectPr>
          <w:pgSz w:w="11900" w:h="16838" w:orient="portrait"/>
          <w:cols w:equalWidth="0" w:num="1">
            <w:col w:w="11320"/>
          </w:cols>
          <w:pgMar w:left="240" w:top="445" w:right="339" w:bottom="1440" w:gutter="0" w:footer="0" w:header="0"/>
        </w:sectPr>
      </w:pPr>
    </w:p>
    <w:bookmarkStart w:id="39" w:name="page40"/>
    <w:bookmarkEnd w:id="39"/>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p>
    <w:p>
      <w:pPr>
        <w:sectPr>
          <w:pgSz w:w="11900" w:h="16838" w:orient="portrait"/>
          <w:cols w:equalWidth="0" w:num="1">
            <w:col w:w="11380"/>
          </w:cols>
          <w:pgMar w:left="240" w:top="274" w:right="279" w:bottom="1440" w:gutter="0" w:footer="0" w:header="0"/>
        </w:sectPr>
      </w:pP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Joint Book-Running Managers:</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Merrill Lynch, Pierce, Fenner &amp; Smith</w:t>
      </w:r>
    </w:p>
    <w:p>
      <w:pPr>
        <w:spacing w:after="0" w:line="32" w:lineRule="exact"/>
        <w:rPr>
          <w:sz w:val="20"/>
          <w:szCs w:val="20"/>
          <w:color w:val="auto"/>
        </w:rPr>
      </w:pPr>
    </w:p>
    <w:p>
      <w:pPr>
        <w:ind w:left="960"/>
        <w:spacing w:after="0"/>
        <w:rPr>
          <w:sz w:val="20"/>
          <w:szCs w:val="20"/>
          <w:color w:val="auto"/>
        </w:rPr>
      </w:pPr>
      <w:r>
        <w:rPr>
          <w:rFonts w:ascii="Arial" w:cs="Arial" w:eastAsia="Arial" w:hAnsi="Arial"/>
          <w:sz w:val="18"/>
          <w:szCs w:val="18"/>
          <w:color w:val="auto"/>
        </w:rPr>
        <w:t>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Barclays Capital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HSBC Securities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MUFG Securities Americas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180" w:lineRule="exact"/>
        <w:rPr>
          <w:sz w:val="20"/>
          <w:szCs w:val="20"/>
          <w:color w:val="auto"/>
        </w:rPr>
      </w:pPr>
    </w:p>
    <w:p>
      <w:pPr>
        <w:sectPr>
          <w:pgSz w:w="11900" w:h="16838" w:orient="portrait"/>
          <w:cols w:equalWidth="0" w:num="2">
            <w:col w:w="3400" w:space="720"/>
            <w:col w:w="7260"/>
          </w:cols>
          <w:pgMar w:left="240" w:top="274" w:right="27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Co-Managers: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BNP Paribas Securities Corp.</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Credit Suisse Securities (USA) LLC</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Mizuho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PNC Capital Markets LLC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SMBC Nikko Securities America,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U.S. Bancorp Investments, Inc.</w:t>
      </w:r>
    </w:p>
    <w:p>
      <w:pPr>
        <w:spacing w:after="0" w:line="180" w:lineRule="exact"/>
        <w:rPr>
          <w:sz w:val="20"/>
          <w:szCs w:val="20"/>
          <w:color w:val="auto"/>
        </w:rPr>
      </w:pPr>
    </w:p>
    <w:p>
      <w:pPr>
        <w:sectPr>
          <w:pgSz w:w="11900" w:h="16838" w:orient="portrait"/>
          <w:cols w:equalWidth="0" w:num="2">
            <w:col w:w="3400" w:space="720"/>
            <w:col w:w="7260"/>
          </w:cols>
          <w:pgMar w:left="240" w:top="274" w:right="27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Changes to the Preliminary Prospectus</w:t>
      </w:r>
    </w:p>
    <w:p>
      <w:pPr>
        <w:spacing w:after="0" w:line="50" w:lineRule="exact"/>
        <w:rPr>
          <w:sz w:val="20"/>
          <w:szCs w:val="20"/>
          <w:color w:val="auto"/>
        </w:rPr>
      </w:pPr>
    </w:p>
    <w:p>
      <w:pPr>
        <w:ind w:left="180"/>
        <w:spacing w:after="0"/>
        <w:rPr>
          <w:sz w:val="20"/>
          <w:szCs w:val="20"/>
          <w:color w:val="auto"/>
        </w:rPr>
      </w:pPr>
      <w:r>
        <w:rPr>
          <w:rFonts w:ascii="Arial" w:cs="Arial" w:eastAsia="Arial" w:hAnsi="Arial"/>
          <w:sz w:val="18"/>
          <w:szCs w:val="18"/>
          <w:b w:val="1"/>
          <w:bCs w:val="1"/>
          <w:color w:val="auto"/>
        </w:rPr>
        <w:t>Supplement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777875</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ind w:right="80"/>
        <w:spacing w:after="0" w:line="255" w:lineRule="auto"/>
        <w:rPr>
          <w:sz w:val="20"/>
          <w:szCs w:val="20"/>
          <w:color w:val="auto"/>
        </w:rPr>
      </w:pPr>
      <w:r>
        <w:rPr>
          <w:rFonts w:ascii="Arial" w:cs="Arial" w:eastAsia="Arial" w:hAnsi="Arial"/>
          <w:sz w:val="18"/>
          <w:szCs w:val="18"/>
          <w:color w:val="auto"/>
        </w:rPr>
        <w:t>All references to the expected borrowing of $150 million under the Revolving Credit Facility in, or in documents incorporated by reference in, the Preliminary Prospectus are reduced to $0 and all references to the amount of notes offered hereby are increased by $150 million. In addition, our pro forma interest expense will be increased. For pro forma purposes, we have assumed an interest rate of 3.55% for borrowings under the Revolving Credit Facility. The interest rates for the 2023 Notes and 2028 Notes are 4.200% and 4.875%. Our pro forma interest expense is expected to increase accordingly.</w:t>
      </w:r>
    </w:p>
    <w:p>
      <w:pPr>
        <w:spacing w:after="0" w:line="158" w:lineRule="exact"/>
        <w:rPr>
          <w:sz w:val="20"/>
          <w:szCs w:val="20"/>
          <w:color w:val="auto"/>
        </w:rPr>
      </w:pPr>
    </w:p>
    <w:p>
      <w:pPr>
        <w:sectPr>
          <w:pgSz w:w="11900" w:h="16838" w:orient="portrait"/>
          <w:cols w:equalWidth="0" w:num="2">
            <w:col w:w="3400" w:space="720"/>
            <w:col w:w="7260"/>
          </w:cols>
          <w:pgMar w:left="240" w:top="274" w:right="279" w:bottom="1440" w:gutter="0" w:footer="0" w:header="0"/>
          <w:type w:val="continuous"/>
        </w:sectPr>
      </w:pPr>
    </w:p>
    <w:p>
      <w:pPr>
        <w:ind w:left="340" w:right="80" w:hanging="332"/>
        <w:spacing w:after="0" w:line="253" w:lineRule="auto"/>
        <w:tabs>
          <w:tab w:leader="none" w:pos="340" w:val="left"/>
        </w:tabs>
        <w:numPr>
          <w:ilvl w:val="0"/>
          <w:numId w:val="44"/>
        </w:numPr>
        <w:rPr>
          <w:rFonts w:ascii="Arial" w:cs="Arial" w:eastAsia="Arial" w:hAnsi="Arial"/>
          <w:sz w:val="14"/>
          <w:szCs w:val="14"/>
          <w:color w:val="auto"/>
        </w:rPr>
      </w:pPr>
      <w:r>
        <w:rPr>
          <w:rFonts w:ascii="Arial" w:cs="Arial" w:eastAsia="Arial" w:hAnsi="Arial"/>
          <w:sz w:val="14"/>
          <w:szCs w:val="14"/>
          <w:color w:val="auto"/>
        </w:rPr>
        <w:t>Note: A securities rating is not a recommendation to buy, sell or hold securities and may be subject to revision or withdrawal at any time. No report of any rating agency is being incorporated by reference herein.</w:t>
      </w:r>
    </w:p>
    <w:p>
      <w:pPr>
        <w:spacing w:after="0" w:line="174" w:lineRule="exact"/>
        <w:rPr>
          <w:sz w:val="20"/>
          <w:szCs w:val="20"/>
          <w:color w:val="auto"/>
        </w:rPr>
      </w:pPr>
    </w:p>
    <w:p>
      <w:pPr>
        <w:spacing w:after="0" w:line="295" w:lineRule="auto"/>
        <w:rPr>
          <w:sz w:val="20"/>
          <w:szCs w:val="20"/>
          <w:color w:val="auto"/>
        </w:rPr>
      </w:pPr>
      <w:r>
        <w:rPr>
          <w:rFonts w:ascii="Arial" w:cs="Arial" w:eastAsia="Arial" w:hAnsi="Arial"/>
          <w:sz w:val="16"/>
          <w:szCs w:val="16"/>
          <w:b w:val="1"/>
          <w:bCs w:val="1"/>
          <w:color w:val="auto"/>
        </w:rPr>
        <w:t>The Issuer has filed a registration statement (including a prospectus) with the Securities and Exchange Commission (the “SEC”) for the offering to which this communication relates. Before you invest, you should read the prospectus in that registration statement and other documents the Issuer has filed with the SEC, including the prospectus supplement, for more complete information about the Issuer and this offering. You may get these documents for free by visiting EDGAR on the SEC Web site at www.sec.gov. Alternatively, the Issuer, any underwriter or any dealer participating in the offering will arrange to send you the prospectus and the accompanying prospectus supplement if you request it by calling Goldman Sachs &amp; Co. LLC toll-free at 866-471-2526 or Merrill Lynch, Pierce, Fenner &amp; Smith Incorporated toll free at 800-294-1322.</w:t>
      </w:r>
    </w:p>
    <w:p>
      <w:pPr>
        <w:sectPr>
          <w:pgSz w:w="11900" w:h="16838" w:orient="portrait"/>
          <w:cols w:equalWidth="0" w:num="1">
            <w:col w:w="11380"/>
          </w:cols>
          <w:pgMar w:left="240" w:top="274" w:right="279" w:bottom="1440" w:gutter="0" w:footer="0" w:header="0"/>
          <w:type w:val="continuous"/>
        </w:sectPr>
      </w:pPr>
    </w:p>
    <w:bookmarkStart w:id="40" w:name="page41"/>
    <w:bookmarkEnd w:id="40"/>
    <w:p>
      <w:pPr>
        <w:jc w:val="right"/>
        <w:ind w:right="38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IV</w:t>
      </w:r>
    </w:p>
    <w:p>
      <w:pPr>
        <w:spacing w:after="0" w:line="256" w:lineRule="exact"/>
        <w:rPr>
          <w:sz w:val="20"/>
          <w:szCs w:val="20"/>
          <w:color w:val="auto"/>
        </w:rPr>
      </w:pPr>
    </w:p>
    <w:p>
      <w:pPr>
        <w:ind w:left="446" w:hanging="446"/>
        <w:spacing w:after="0"/>
        <w:tabs>
          <w:tab w:leader="none" w:pos="446" w:val="left"/>
        </w:tabs>
        <w:numPr>
          <w:ilvl w:val="0"/>
          <w:numId w:val="45"/>
        </w:numPr>
        <w:rPr>
          <w:rFonts w:ascii="Arial" w:cs="Arial" w:eastAsia="Arial" w:hAnsi="Arial"/>
          <w:sz w:val="18"/>
          <w:szCs w:val="18"/>
          <w:color w:val="auto"/>
        </w:rPr>
      </w:pPr>
      <w:r>
        <w:rPr>
          <w:rFonts w:ascii="Arial" w:cs="Arial" w:eastAsia="Arial" w:hAnsi="Arial"/>
          <w:sz w:val="18"/>
          <w:szCs w:val="18"/>
          <w:color w:val="auto"/>
        </w:rPr>
        <w:t>Marvell International Ltd.</w:t>
      </w:r>
    </w:p>
    <w:p>
      <w:pPr>
        <w:spacing w:after="0" w:line="23" w:lineRule="exact"/>
        <w:rPr>
          <w:rFonts w:ascii="Arial" w:cs="Arial" w:eastAsia="Arial" w:hAnsi="Arial"/>
          <w:sz w:val="18"/>
          <w:szCs w:val="18"/>
          <w:color w:val="auto"/>
        </w:rPr>
      </w:pPr>
    </w:p>
    <w:p>
      <w:pPr>
        <w:ind w:left="446" w:hanging="446"/>
        <w:spacing w:after="0"/>
        <w:tabs>
          <w:tab w:leader="none" w:pos="446" w:val="left"/>
        </w:tabs>
        <w:numPr>
          <w:ilvl w:val="0"/>
          <w:numId w:val="45"/>
        </w:numPr>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9" w:lineRule="exact"/>
        <w:rPr>
          <w:rFonts w:ascii="Arial" w:cs="Arial" w:eastAsia="Arial" w:hAnsi="Arial"/>
          <w:sz w:val="18"/>
          <w:szCs w:val="18"/>
          <w:color w:val="auto"/>
        </w:rPr>
      </w:pPr>
    </w:p>
    <w:p>
      <w:pPr>
        <w:ind w:left="446" w:hanging="446"/>
        <w:spacing w:after="0"/>
        <w:tabs>
          <w:tab w:leader="none" w:pos="446" w:val="left"/>
        </w:tabs>
        <w:numPr>
          <w:ilvl w:val="0"/>
          <w:numId w:val="45"/>
        </w:numPr>
        <w:rPr>
          <w:rFonts w:ascii="Arial" w:cs="Arial" w:eastAsia="Arial" w:hAnsi="Arial"/>
          <w:sz w:val="18"/>
          <w:szCs w:val="18"/>
          <w:color w:val="auto"/>
        </w:rPr>
      </w:pPr>
      <w:r>
        <w:rPr>
          <w:rFonts w:ascii="Arial" w:cs="Arial" w:eastAsia="Arial" w:hAnsi="Arial"/>
          <w:sz w:val="18"/>
          <w:szCs w:val="18"/>
          <w:color w:val="auto"/>
        </w:rPr>
        <w:t>Marvell Asia PTE, Ltd.</w:t>
      </w:r>
    </w:p>
    <w:p>
      <w:pPr>
        <w:sectPr>
          <w:pgSz w:w="11900" w:h="16838" w:orient="portrait"/>
          <w:cols w:equalWidth="0" w:num="1">
            <w:col w:w="9765"/>
          </w:cols>
          <w:pgMar w:left="694" w:top="270" w:right="1440" w:bottom="1440" w:gutter="0" w:footer="0" w:header="0"/>
        </w:sectPr>
      </w:pPr>
    </w:p>
    <w:bookmarkStart w:id="41" w:name="page42"/>
    <w:bookmarkEnd w:id="41"/>
    <w:p>
      <w:pPr>
        <w:jc w:val="right"/>
        <w:spacing w:after="0"/>
        <w:rPr>
          <w:sz w:val="20"/>
          <w:szCs w:val="20"/>
          <w:color w:val="auto"/>
        </w:rPr>
      </w:pPr>
      <w:r>
        <w:rPr>
          <w:rFonts w:ascii="Arial" w:cs="Arial" w:eastAsia="Arial" w:hAnsi="Arial"/>
          <w:sz w:val="18"/>
          <w:szCs w:val="18"/>
          <w:b w:val="1"/>
          <w:bCs w:val="1"/>
          <w:color w:val="auto"/>
        </w:rPr>
        <w:t>Exhibit 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-756285</wp:posOffset>
            </wp:positionH>
            <wp:positionV relativeFrom="paragraph">
              <wp:posOffset>180340</wp:posOffset>
            </wp:positionV>
            <wp:extent cx="724662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223520</wp:posOffset>
            </wp:positionV>
            <wp:extent cx="72466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Marvell Technology Group Ltd.</w:t>
      </w:r>
    </w:p>
    <w:p>
      <w:pPr>
        <w:spacing w:after="0" w:line="252"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i w:val="1"/>
          <w:iCs w:val="1"/>
          <w:color w:val="auto"/>
        </w:rPr>
        <w:t>as Issuer</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i w:val="1"/>
          <w:iCs w:val="1"/>
          <w:color w:val="auto"/>
        </w:rPr>
        <w:t>and</w:t>
      </w:r>
    </w:p>
    <w:p>
      <w:pPr>
        <w:spacing w:after="0" w:line="221"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U.S. Bank National Association,</w:t>
      </w:r>
    </w:p>
    <w:p>
      <w:pPr>
        <w:spacing w:after="0" w:line="252" w:lineRule="exact"/>
        <w:rPr>
          <w:sz w:val="20"/>
          <w:szCs w:val="20"/>
          <w:color w:val="auto"/>
        </w:rPr>
      </w:pPr>
    </w:p>
    <w:p>
      <w:pPr>
        <w:ind w:left="4140"/>
        <w:spacing w:after="0"/>
        <w:rPr>
          <w:sz w:val="20"/>
          <w:szCs w:val="20"/>
          <w:color w:val="auto"/>
        </w:rPr>
      </w:pPr>
      <w:r>
        <w:rPr>
          <w:rFonts w:ascii="Arial" w:cs="Arial" w:eastAsia="Arial" w:hAnsi="Arial"/>
          <w:sz w:val="18"/>
          <w:szCs w:val="18"/>
          <w:b w:val="1"/>
          <w:bCs w:val="1"/>
          <w:i w:val="1"/>
          <w:i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238125</wp:posOffset>
            </wp:positionV>
            <wp:extent cx="151765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6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June 22,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246380</wp:posOffset>
            </wp:positionV>
            <wp:extent cx="151765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434975</wp:posOffset>
            </wp:positionV>
            <wp:extent cx="72466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478155</wp:posOffset>
            </wp:positionV>
            <wp:extent cx="724662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20"/>
          </w:cols>
          <w:pgMar w:left="1440" w:top="121" w:right="2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16"/>
        </w:trPr>
        <w:tc>
          <w:tcPr>
            <w:tcW w:w="2500" w:type="dxa"/>
            <w:vAlign w:val="bottom"/>
          </w:tcPr>
          <w:p>
            <w:pPr>
              <w:spacing w:after="0"/>
              <w:rPr>
                <w:sz w:val="18"/>
                <w:szCs w:val="18"/>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rPr>
              <w:t>CERTAIN SECTIONS OF THIS INDENTURE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w w:val="99"/>
              </w:rPr>
              <w:t>RELATING TO SECTIONS 310 THROUGH 318 INCLUSIVE,</w:t>
            </w:r>
          </w:p>
        </w:tc>
        <w:tc>
          <w:tcPr>
            <w:tcW w:w="0" w:type="dxa"/>
            <w:vAlign w:val="bottom"/>
          </w:tcPr>
          <w:p>
            <w:pPr>
              <w:spacing w:after="0"/>
              <w:rPr>
                <w:sz w:val="1"/>
                <w:szCs w:val="1"/>
                <w:color w:val="auto"/>
              </w:rPr>
            </w:pPr>
          </w:p>
        </w:tc>
      </w:tr>
      <w:tr>
        <w:trPr>
          <w:trHeight w:val="234"/>
        </w:trPr>
        <w:tc>
          <w:tcPr>
            <w:tcW w:w="2500" w:type="dxa"/>
            <w:vAlign w:val="bottom"/>
          </w:tcPr>
          <w:p>
            <w:pPr>
              <w:spacing w:after="0"/>
              <w:rPr>
                <w:sz w:val="20"/>
                <w:szCs w:val="20"/>
                <w:color w:val="auto"/>
              </w:rPr>
            </w:pPr>
          </w:p>
        </w:tc>
        <w:tc>
          <w:tcPr>
            <w:tcW w:w="8920" w:type="dxa"/>
            <w:vAlign w:val="bottom"/>
            <w:gridSpan w:val="2"/>
          </w:tcPr>
          <w:p>
            <w:pPr>
              <w:jc w:val="center"/>
              <w:ind w:right="2422"/>
              <w:spacing w:after="0"/>
              <w:rPr>
                <w:sz w:val="20"/>
                <w:szCs w:val="20"/>
                <w:color w:val="auto"/>
              </w:rPr>
            </w:pPr>
            <w:r>
              <w:rPr>
                <w:rFonts w:ascii="Arial" w:cs="Arial" w:eastAsia="Arial" w:hAnsi="Arial"/>
                <w:sz w:val="18"/>
                <w:szCs w:val="18"/>
                <w:b w:val="1"/>
                <w:bCs w:val="1"/>
                <w:color w:val="auto"/>
                <w:w w:val="99"/>
              </w:rPr>
              <w:t>OF THE TRUST INDENTURE ACT OF 1939</w:t>
            </w:r>
          </w:p>
        </w:tc>
        <w:tc>
          <w:tcPr>
            <w:tcW w:w="0" w:type="dxa"/>
            <w:vAlign w:val="bottom"/>
          </w:tcPr>
          <w:p>
            <w:pPr>
              <w:spacing w:after="0"/>
              <w:rPr>
                <w:sz w:val="1"/>
                <w:szCs w:val="1"/>
                <w:color w:val="auto"/>
              </w:rPr>
            </w:pPr>
          </w:p>
        </w:tc>
      </w:tr>
      <w:tr>
        <w:trPr>
          <w:trHeight w:val="369"/>
        </w:trPr>
        <w:tc>
          <w:tcPr>
            <w:tcW w:w="2500" w:type="dxa"/>
            <w:vAlign w:val="bottom"/>
            <w:vMerge w:val="restart"/>
          </w:tcPr>
          <w:p>
            <w:pPr>
              <w:spacing w:after="0"/>
              <w:rPr>
                <w:sz w:val="20"/>
                <w:szCs w:val="20"/>
                <w:color w:val="auto"/>
              </w:rPr>
            </w:pPr>
            <w:r>
              <w:rPr>
                <w:rFonts w:ascii="Arial" w:cs="Arial" w:eastAsia="Arial" w:hAnsi="Arial"/>
                <w:sz w:val="14"/>
                <w:szCs w:val="14"/>
                <w:b w:val="1"/>
                <w:bCs w:val="1"/>
                <w:color w:val="auto"/>
              </w:rPr>
              <w:t>Trust Indenture Act Section</w:t>
            </w:r>
          </w:p>
        </w:tc>
        <w:tc>
          <w:tcPr>
            <w:tcW w:w="7660" w:type="dxa"/>
            <w:vAlign w:val="bottom"/>
          </w:tcPr>
          <w:p>
            <w:pPr>
              <w:spacing w:after="0"/>
              <w:rPr>
                <w:sz w:val="24"/>
                <w:szCs w:val="24"/>
                <w:color w:val="auto"/>
              </w:rPr>
            </w:pPr>
          </w:p>
        </w:tc>
        <w:tc>
          <w:tcPr>
            <w:tcW w:w="1260" w:type="dxa"/>
            <w:vAlign w:val="bottom"/>
          </w:tcPr>
          <w:p>
            <w:pPr>
              <w:jc w:val="center"/>
              <w:spacing w:after="0"/>
              <w:rPr>
                <w:sz w:val="20"/>
                <w:szCs w:val="20"/>
                <w:color w:val="auto"/>
              </w:rPr>
            </w:pPr>
            <w:r>
              <w:rPr>
                <w:rFonts w:ascii="Arial" w:cs="Arial" w:eastAsia="Arial" w:hAnsi="Arial"/>
                <w:sz w:val="14"/>
                <w:szCs w:val="14"/>
                <w:b w:val="1"/>
                <w:bCs w:val="1"/>
                <w:color w:val="auto"/>
              </w:rPr>
              <w:t>INDENTURE</w:t>
            </w:r>
          </w:p>
        </w:tc>
        <w:tc>
          <w:tcPr>
            <w:tcW w:w="0" w:type="dxa"/>
            <w:vAlign w:val="bottom"/>
          </w:tcPr>
          <w:p>
            <w:pPr>
              <w:spacing w:after="0"/>
              <w:rPr>
                <w:sz w:val="1"/>
                <w:szCs w:val="1"/>
                <w:color w:val="auto"/>
              </w:rPr>
            </w:pPr>
          </w:p>
        </w:tc>
      </w:tr>
      <w:tr>
        <w:trPr>
          <w:trHeight w:val="171"/>
        </w:trPr>
        <w:tc>
          <w:tcPr>
            <w:tcW w:w="2500" w:type="dxa"/>
            <w:vAlign w:val="bottom"/>
            <w:vMerge w:val="continue"/>
          </w:tcPr>
          <w:p>
            <w:pPr>
              <w:spacing w:after="0"/>
              <w:rPr>
                <w:sz w:val="14"/>
                <w:szCs w:val="14"/>
                <w:color w:val="auto"/>
              </w:rPr>
            </w:pPr>
          </w:p>
        </w:tc>
        <w:tc>
          <w:tcPr>
            <w:tcW w:w="7660" w:type="dxa"/>
            <w:vAlign w:val="bottom"/>
          </w:tcPr>
          <w:p>
            <w:pPr>
              <w:spacing w:after="0"/>
              <w:rPr>
                <w:sz w:val="14"/>
                <w:szCs w:val="14"/>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Section</w:t>
            </w:r>
          </w:p>
        </w:tc>
        <w:tc>
          <w:tcPr>
            <w:tcW w:w="0" w:type="dxa"/>
            <w:vAlign w:val="bottom"/>
          </w:tcPr>
          <w:p>
            <w:pPr>
              <w:spacing w:after="0"/>
              <w:rPr>
                <w:sz w:val="1"/>
                <w:szCs w:val="1"/>
                <w:color w:val="auto"/>
              </w:rPr>
            </w:pPr>
          </w:p>
        </w:tc>
      </w:tr>
      <w:tr>
        <w:trPr>
          <w:trHeight w:val="195"/>
        </w:trPr>
        <w:tc>
          <w:tcPr>
            <w:tcW w:w="2500" w:type="dxa"/>
            <w:vAlign w:val="bottom"/>
          </w:tcPr>
          <w:p>
            <w:pPr>
              <w:spacing w:after="0" w:line="195" w:lineRule="exact"/>
              <w:rPr>
                <w:sz w:val="20"/>
                <w:szCs w:val="20"/>
                <w:color w:val="auto"/>
              </w:rPr>
            </w:pPr>
            <w:r>
              <w:rPr>
                <w:rFonts w:ascii="Arial" w:cs="Arial" w:eastAsia="Arial" w:hAnsi="Arial"/>
                <w:sz w:val="18"/>
                <w:szCs w:val="18"/>
                <w:color w:val="auto"/>
              </w:rPr>
              <w:t>Section 310(a)(1)</w:t>
            </w:r>
          </w:p>
        </w:tc>
        <w:tc>
          <w:tcPr>
            <w:tcW w:w="7660" w:type="dxa"/>
            <w:vAlign w:val="bottom"/>
          </w:tcPr>
          <w:p>
            <w:pPr>
              <w:spacing w:after="0"/>
              <w:rPr>
                <w:sz w:val="16"/>
                <w:szCs w:val="16"/>
                <w:color w:val="auto"/>
              </w:rPr>
            </w:pPr>
          </w:p>
        </w:tc>
        <w:tc>
          <w:tcPr>
            <w:tcW w:w="1260" w:type="dxa"/>
            <w:vAlign w:val="bottom"/>
          </w:tcPr>
          <w:p>
            <w:pPr>
              <w:spacing w:after="0" w:line="195" w:lineRule="exact"/>
              <w:rPr>
                <w:sz w:val="20"/>
                <w:szCs w:val="20"/>
                <w:color w:val="auto"/>
              </w:rPr>
            </w:pPr>
            <w:r>
              <w:rPr>
                <w:rFonts w:ascii="Arial" w:cs="Arial" w:eastAsia="Arial" w:hAnsi="Arial"/>
                <w:sz w:val="18"/>
                <w:szCs w:val="18"/>
                <w:color w:val="auto"/>
              </w:rPr>
              <w:t>Section 609</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609</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(a)(3)</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(a)(4)</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608</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610</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311(a)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312(a)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313(a)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314(a)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704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(a)(4)</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1007</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(c)(1)</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(c)(3)</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(e)</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315(a)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(d)</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601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(e)</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316(a)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502</w:t>
            </w:r>
          </w:p>
        </w:tc>
        <w:tc>
          <w:tcPr>
            <w:tcW w:w="0" w:type="dxa"/>
            <w:vAlign w:val="bottom"/>
          </w:tcPr>
          <w:p>
            <w:pPr>
              <w:spacing w:after="0"/>
              <w:rPr>
                <w:sz w:val="1"/>
                <w:szCs w:val="1"/>
                <w:color w:val="auto"/>
              </w:rPr>
            </w:pPr>
          </w:p>
        </w:tc>
      </w:tr>
      <w:tr>
        <w:trPr>
          <w:trHeight w:val="230"/>
        </w:trPr>
        <w:tc>
          <w:tcPr>
            <w:tcW w:w="2500" w:type="dxa"/>
            <w:vAlign w:val="bottom"/>
          </w:tcPr>
          <w:p>
            <w:pPr>
              <w:spacing w:after="0"/>
              <w:rPr>
                <w:sz w:val="20"/>
                <w:szCs w:val="20"/>
                <w:color w:val="auto"/>
              </w:rPr>
            </w:pPr>
            <w:r>
              <w:rPr>
                <w:rFonts w:ascii="Arial" w:cs="Arial" w:eastAsia="Arial" w:hAnsi="Arial"/>
                <w:sz w:val="18"/>
                <w:szCs w:val="18"/>
                <w:color w:val="auto"/>
              </w:rPr>
              <w:t>(a)(1)(A)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511</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(a)(1)(B)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512</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Not Applicable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508</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(c)</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Section 317(a)(1)</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503</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(a)(2)</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504</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20"/>
                <w:szCs w:val="20"/>
                <w:color w:val="auto"/>
              </w:rPr>
            </w:pPr>
            <w:r>
              <w:rPr>
                <w:rFonts w:ascii="Arial" w:cs="Arial" w:eastAsia="Arial" w:hAnsi="Arial"/>
                <w:sz w:val="18"/>
                <w:szCs w:val="18"/>
                <w:color w:val="auto"/>
              </w:rPr>
              <w:t>(b)</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1004</w:t>
            </w:r>
          </w:p>
        </w:tc>
        <w:tc>
          <w:tcPr>
            <w:tcW w:w="0" w:type="dxa"/>
            <w:vAlign w:val="bottom"/>
          </w:tcPr>
          <w:p>
            <w:pPr>
              <w:spacing w:after="0"/>
              <w:rPr>
                <w:sz w:val="1"/>
                <w:szCs w:val="1"/>
                <w:color w:val="auto"/>
              </w:rPr>
            </w:pPr>
          </w:p>
        </w:tc>
      </w:tr>
      <w:tr>
        <w:trPr>
          <w:trHeight w:val="230"/>
        </w:trPr>
        <w:tc>
          <w:tcPr>
            <w:tcW w:w="2500" w:type="dxa"/>
            <w:vAlign w:val="bottom"/>
          </w:tcPr>
          <w:p>
            <w:pPr>
              <w:spacing w:after="0"/>
              <w:rPr>
                <w:sz w:val="20"/>
                <w:szCs w:val="20"/>
                <w:color w:val="auto"/>
              </w:rPr>
            </w:pPr>
            <w:r>
              <w:rPr>
                <w:rFonts w:ascii="Arial" w:cs="Arial" w:eastAsia="Arial" w:hAnsi="Arial"/>
                <w:sz w:val="18"/>
                <w:szCs w:val="18"/>
                <w:color w:val="auto"/>
              </w:rPr>
              <w:t>Section 318(a)</w:t>
            </w:r>
          </w:p>
        </w:tc>
        <w:tc>
          <w:tcPr>
            <w:tcW w:w="8920" w:type="dxa"/>
            <w:vAlign w:val="bottom"/>
            <w:gridSpan w:val="2"/>
          </w:tcPr>
          <w:p>
            <w:pPr>
              <w:ind w:left="7660"/>
              <w:spacing w:after="0"/>
              <w:rPr>
                <w:sz w:val="20"/>
                <w:szCs w:val="20"/>
                <w:color w:val="auto"/>
              </w:rPr>
            </w:pPr>
            <w:r>
              <w:rPr>
                <w:rFonts w:ascii="Arial" w:cs="Arial" w:eastAsia="Arial" w:hAnsi="Arial"/>
                <w:sz w:val="18"/>
                <w:szCs w:val="18"/>
                <w:color w:val="auto"/>
              </w:rPr>
              <w:t>Section 107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163195</wp:posOffset>
            </wp:positionV>
            <wp:extent cx="72466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color w:val="auto"/>
        </w:rPr>
        <w:t>NOTE: This reconciliation and tie shall not, for any purpose, be deemed to be a part of this Indenture.</w:t>
      </w:r>
    </w:p>
    <w:p>
      <w:pPr>
        <w:sectPr>
          <w:pgSz w:w="11900" w:h="16838" w:orient="portrait"/>
          <w:cols w:equalWidth="0" w:num="1">
            <w:col w:w="11420"/>
          </w:cols>
          <w:pgMar w:left="240" w:top="270" w:right="239" w:bottom="1440" w:gutter="0" w:footer="0" w:header="0"/>
        </w:sectPr>
      </w:pPr>
    </w:p>
    <w:bookmarkStart w:id="43" w:name="page44"/>
    <w:bookmarkEnd w:id="43"/>
    <w:tbl>
      <w:tblPr>
        <w:tblLayout w:type="fixed"/>
        <w:tblInd w:w="0" w:type="dxa"/>
        <w:tblCellMar>
          <w:top w:w="0" w:type="dxa"/>
          <w:left w:w="0" w:type="dxa"/>
          <w:bottom w:w="0" w:type="dxa"/>
          <w:right w:w="0" w:type="dxa"/>
        </w:tblCellMar>
      </w:tblPr>
      <w:tr>
        <w:trPr>
          <w:trHeight w:val="234"/>
        </w:trPr>
        <w:tc>
          <w:tcPr>
            <w:tcW w:w="1440" w:type="dxa"/>
            <w:vAlign w:val="bottom"/>
          </w:tcPr>
          <w:p>
            <w:pPr>
              <w:spacing w:after="0"/>
              <w:rPr>
                <w:sz w:val="20"/>
                <w:szCs w:val="20"/>
                <w:color w:val="auto"/>
              </w:rPr>
            </w:pPr>
          </w:p>
        </w:tc>
        <w:tc>
          <w:tcPr>
            <w:tcW w:w="7640" w:type="dxa"/>
            <w:vAlign w:val="bottom"/>
          </w:tcPr>
          <w:p>
            <w:pPr>
              <w:ind w:left="3320"/>
              <w:spacing w:after="0"/>
              <w:rPr>
                <w:sz w:val="20"/>
                <w:szCs w:val="20"/>
                <w:color w:val="auto"/>
              </w:rPr>
            </w:pPr>
            <w:r>
              <w:rPr>
                <w:rFonts w:ascii="Arial" w:cs="Arial" w:eastAsia="Arial" w:hAnsi="Arial"/>
                <w:sz w:val="18"/>
                <w:szCs w:val="18"/>
                <w:b w:val="1"/>
                <w:bCs w:val="1"/>
                <w:color w:val="auto"/>
              </w:rPr>
              <w:t>TABLE OF CONTENTS</w:t>
            </w:r>
          </w:p>
        </w:tc>
        <w:tc>
          <w:tcPr>
            <w:tcW w:w="2280" w:type="dxa"/>
            <w:vAlign w:val="bottom"/>
          </w:tcPr>
          <w:p>
            <w:pPr>
              <w:spacing w:after="0"/>
              <w:rPr>
                <w:sz w:val="20"/>
                <w:szCs w:val="20"/>
                <w:color w:val="auto"/>
              </w:rPr>
            </w:pPr>
          </w:p>
        </w:tc>
      </w:tr>
      <w:tr>
        <w:trPr>
          <w:trHeight w:val="459"/>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101.</w:t>
            </w:r>
          </w:p>
        </w:tc>
        <w:tc>
          <w:tcPr>
            <w:tcW w:w="7640" w:type="dxa"/>
            <w:vAlign w:val="bottom"/>
          </w:tcPr>
          <w:p>
            <w:pPr>
              <w:ind w:left="260"/>
              <w:spacing w:after="0"/>
              <w:rPr>
                <w:sz w:val="20"/>
                <w:szCs w:val="20"/>
                <w:color w:val="auto"/>
              </w:rPr>
            </w:pPr>
            <w:r>
              <w:rPr>
                <w:rFonts w:ascii="Arial" w:cs="Arial" w:eastAsia="Arial" w:hAnsi="Arial"/>
                <w:sz w:val="18"/>
                <w:szCs w:val="18"/>
                <w:color w:val="auto"/>
              </w:rPr>
              <w:t>Definitions</w:t>
            </w:r>
          </w:p>
        </w:tc>
        <w:tc>
          <w:tcPr>
            <w:tcW w:w="22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102.</w:t>
            </w:r>
          </w:p>
        </w:tc>
        <w:tc>
          <w:tcPr>
            <w:tcW w:w="7640" w:type="dxa"/>
            <w:vAlign w:val="bottom"/>
          </w:tcPr>
          <w:p>
            <w:pPr>
              <w:ind w:left="260"/>
              <w:spacing w:after="0"/>
              <w:rPr>
                <w:sz w:val="20"/>
                <w:szCs w:val="20"/>
                <w:color w:val="auto"/>
              </w:rPr>
            </w:pPr>
            <w:r>
              <w:rPr>
                <w:rFonts w:ascii="Arial" w:cs="Arial" w:eastAsia="Arial" w:hAnsi="Arial"/>
                <w:sz w:val="18"/>
                <w:szCs w:val="18"/>
                <w:color w:val="auto"/>
              </w:rPr>
              <w:t>Compliance Certificates and Opinions</w:t>
            </w:r>
          </w:p>
        </w:tc>
        <w:tc>
          <w:tcPr>
            <w:tcW w:w="22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103.</w:t>
            </w:r>
          </w:p>
        </w:tc>
        <w:tc>
          <w:tcPr>
            <w:tcW w:w="7640" w:type="dxa"/>
            <w:vAlign w:val="bottom"/>
          </w:tcPr>
          <w:p>
            <w:pPr>
              <w:ind w:left="260"/>
              <w:spacing w:after="0"/>
              <w:rPr>
                <w:sz w:val="20"/>
                <w:szCs w:val="20"/>
                <w:color w:val="auto"/>
              </w:rPr>
            </w:pPr>
            <w:r>
              <w:rPr>
                <w:rFonts w:ascii="Arial" w:cs="Arial" w:eastAsia="Arial" w:hAnsi="Arial"/>
                <w:sz w:val="18"/>
                <w:szCs w:val="18"/>
                <w:color w:val="auto"/>
              </w:rPr>
              <w:t>Form of Documents Delivered to Trustee</w:t>
            </w:r>
          </w:p>
        </w:tc>
        <w:tc>
          <w:tcPr>
            <w:tcW w:w="22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104.</w:t>
            </w:r>
          </w:p>
        </w:tc>
        <w:tc>
          <w:tcPr>
            <w:tcW w:w="7640" w:type="dxa"/>
            <w:vAlign w:val="bottom"/>
          </w:tcPr>
          <w:p>
            <w:pPr>
              <w:ind w:left="260"/>
              <w:spacing w:after="0"/>
              <w:rPr>
                <w:sz w:val="20"/>
                <w:szCs w:val="20"/>
                <w:color w:val="auto"/>
              </w:rPr>
            </w:pPr>
            <w:r>
              <w:rPr>
                <w:rFonts w:ascii="Arial" w:cs="Arial" w:eastAsia="Arial" w:hAnsi="Arial"/>
                <w:sz w:val="18"/>
                <w:szCs w:val="18"/>
                <w:color w:val="auto"/>
              </w:rPr>
              <w:t>Acts of Holders; Record Dates</w:t>
            </w:r>
          </w:p>
        </w:tc>
        <w:tc>
          <w:tcPr>
            <w:tcW w:w="22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105.</w:t>
            </w:r>
          </w:p>
        </w:tc>
        <w:tc>
          <w:tcPr>
            <w:tcW w:w="7640" w:type="dxa"/>
            <w:vAlign w:val="bottom"/>
          </w:tcPr>
          <w:p>
            <w:pPr>
              <w:ind w:left="260"/>
              <w:spacing w:after="0"/>
              <w:rPr>
                <w:sz w:val="20"/>
                <w:szCs w:val="20"/>
                <w:color w:val="auto"/>
              </w:rPr>
            </w:pPr>
            <w:r>
              <w:rPr>
                <w:rFonts w:ascii="Arial" w:cs="Arial" w:eastAsia="Arial" w:hAnsi="Arial"/>
                <w:sz w:val="18"/>
                <w:szCs w:val="18"/>
                <w:color w:val="auto"/>
              </w:rPr>
              <w:t>Notices, Etc., to Trustee and Company</w:t>
            </w:r>
          </w:p>
        </w:tc>
        <w:tc>
          <w:tcPr>
            <w:tcW w:w="22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106.</w:t>
            </w:r>
          </w:p>
        </w:tc>
        <w:tc>
          <w:tcPr>
            <w:tcW w:w="7640" w:type="dxa"/>
            <w:vAlign w:val="bottom"/>
          </w:tcPr>
          <w:p>
            <w:pPr>
              <w:ind w:left="260"/>
              <w:spacing w:after="0"/>
              <w:rPr>
                <w:sz w:val="20"/>
                <w:szCs w:val="20"/>
                <w:color w:val="auto"/>
              </w:rPr>
            </w:pPr>
            <w:r>
              <w:rPr>
                <w:rFonts w:ascii="Arial" w:cs="Arial" w:eastAsia="Arial" w:hAnsi="Arial"/>
                <w:sz w:val="18"/>
                <w:szCs w:val="18"/>
                <w:color w:val="auto"/>
              </w:rPr>
              <w:t>Notice to Holders; Waiver</w:t>
            </w:r>
          </w:p>
        </w:tc>
        <w:tc>
          <w:tcPr>
            <w:tcW w:w="22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107.</w:t>
            </w:r>
          </w:p>
        </w:tc>
        <w:tc>
          <w:tcPr>
            <w:tcW w:w="7640" w:type="dxa"/>
            <w:vAlign w:val="bottom"/>
          </w:tcPr>
          <w:p>
            <w:pPr>
              <w:ind w:left="260"/>
              <w:spacing w:after="0"/>
              <w:rPr>
                <w:sz w:val="20"/>
                <w:szCs w:val="20"/>
                <w:color w:val="auto"/>
              </w:rPr>
            </w:pPr>
            <w:r>
              <w:rPr>
                <w:rFonts w:ascii="Arial" w:cs="Arial" w:eastAsia="Arial" w:hAnsi="Arial"/>
                <w:sz w:val="18"/>
                <w:szCs w:val="18"/>
                <w:color w:val="auto"/>
              </w:rPr>
              <w:t>Conflict with Trust Indenture Act</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108.</w:t>
            </w:r>
          </w:p>
        </w:tc>
        <w:tc>
          <w:tcPr>
            <w:tcW w:w="7640" w:type="dxa"/>
            <w:vAlign w:val="bottom"/>
          </w:tcPr>
          <w:p>
            <w:pPr>
              <w:ind w:left="260"/>
              <w:spacing w:after="0"/>
              <w:rPr>
                <w:sz w:val="20"/>
                <w:szCs w:val="20"/>
                <w:color w:val="auto"/>
              </w:rPr>
            </w:pPr>
            <w:r>
              <w:rPr>
                <w:rFonts w:ascii="Arial" w:cs="Arial" w:eastAsia="Arial" w:hAnsi="Arial"/>
                <w:sz w:val="18"/>
                <w:szCs w:val="18"/>
                <w:color w:val="auto"/>
              </w:rPr>
              <w:t>Effect of Headings and Table of Contents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109.</w:t>
            </w:r>
          </w:p>
        </w:tc>
        <w:tc>
          <w:tcPr>
            <w:tcW w:w="7640" w:type="dxa"/>
            <w:vAlign w:val="bottom"/>
          </w:tcPr>
          <w:p>
            <w:pPr>
              <w:ind w:left="260"/>
              <w:spacing w:after="0"/>
              <w:rPr>
                <w:sz w:val="20"/>
                <w:szCs w:val="20"/>
                <w:color w:val="auto"/>
              </w:rPr>
            </w:pPr>
            <w:r>
              <w:rPr>
                <w:rFonts w:ascii="Arial" w:cs="Arial" w:eastAsia="Arial" w:hAnsi="Arial"/>
                <w:sz w:val="18"/>
                <w:szCs w:val="18"/>
                <w:color w:val="auto"/>
              </w:rPr>
              <w:t>Successors and Assigns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110.</w:t>
            </w:r>
          </w:p>
        </w:tc>
        <w:tc>
          <w:tcPr>
            <w:tcW w:w="7640" w:type="dxa"/>
            <w:vAlign w:val="bottom"/>
          </w:tcPr>
          <w:p>
            <w:pPr>
              <w:ind w:left="260"/>
              <w:spacing w:after="0"/>
              <w:rPr>
                <w:sz w:val="20"/>
                <w:szCs w:val="20"/>
                <w:color w:val="auto"/>
              </w:rPr>
            </w:pPr>
            <w:r>
              <w:rPr>
                <w:rFonts w:ascii="Arial" w:cs="Arial" w:eastAsia="Arial" w:hAnsi="Arial"/>
                <w:sz w:val="18"/>
                <w:szCs w:val="18"/>
                <w:color w:val="auto"/>
              </w:rPr>
              <w:t>Separability Clause</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111.</w:t>
            </w:r>
          </w:p>
        </w:tc>
        <w:tc>
          <w:tcPr>
            <w:tcW w:w="7640" w:type="dxa"/>
            <w:vAlign w:val="bottom"/>
          </w:tcPr>
          <w:p>
            <w:pPr>
              <w:ind w:left="260"/>
              <w:spacing w:after="0"/>
              <w:rPr>
                <w:sz w:val="20"/>
                <w:szCs w:val="20"/>
                <w:color w:val="auto"/>
              </w:rPr>
            </w:pPr>
            <w:r>
              <w:rPr>
                <w:rFonts w:ascii="Arial" w:cs="Arial" w:eastAsia="Arial" w:hAnsi="Arial"/>
                <w:sz w:val="18"/>
                <w:szCs w:val="18"/>
                <w:color w:val="auto"/>
              </w:rPr>
              <w:t>Benefits of Indenture</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112.</w:t>
            </w:r>
          </w:p>
        </w:tc>
        <w:tc>
          <w:tcPr>
            <w:tcW w:w="7640" w:type="dxa"/>
            <w:vAlign w:val="bottom"/>
          </w:tcPr>
          <w:p>
            <w:pPr>
              <w:ind w:left="260"/>
              <w:spacing w:after="0"/>
              <w:rPr>
                <w:sz w:val="20"/>
                <w:szCs w:val="20"/>
                <w:color w:val="auto"/>
              </w:rPr>
            </w:pPr>
            <w:r>
              <w:rPr>
                <w:rFonts w:ascii="Arial" w:cs="Arial" w:eastAsia="Arial" w:hAnsi="Arial"/>
                <w:sz w:val="18"/>
                <w:szCs w:val="18"/>
                <w:color w:val="auto"/>
              </w:rPr>
              <w:t>Governing Law</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113.</w:t>
            </w:r>
          </w:p>
        </w:tc>
        <w:tc>
          <w:tcPr>
            <w:tcW w:w="7640" w:type="dxa"/>
            <w:vAlign w:val="bottom"/>
          </w:tcPr>
          <w:p>
            <w:pPr>
              <w:ind w:left="260"/>
              <w:spacing w:after="0"/>
              <w:rPr>
                <w:sz w:val="20"/>
                <w:szCs w:val="20"/>
                <w:color w:val="auto"/>
              </w:rPr>
            </w:pPr>
            <w:r>
              <w:rPr>
                <w:rFonts w:ascii="Arial" w:cs="Arial" w:eastAsia="Arial" w:hAnsi="Arial"/>
                <w:sz w:val="18"/>
                <w:szCs w:val="18"/>
                <w:color w:val="auto"/>
              </w:rPr>
              <w:t>Legal Holidays</w:t>
            </w:r>
          </w:p>
        </w:tc>
        <w:tc>
          <w:tcPr>
            <w:tcW w:w="22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114.</w:t>
            </w:r>
          </w:p>
        </w:tc>
        <w:tc>
          <w:tcPr>
            <w:tcW w:w="7640" w:type="dxa"/>
            <w:vAlign w:val="bottom"/>
          </w:tcPr>
          <w:p>
            <w:pPr>
              <w:ind w:left="260"/>
              <w:spacing w:after="0"/>
              <w:rPr>
                <w:sz w:val="20"/>
                <w:szCs w:val="20"/>
                <w:color w:val="auto"/>
              </w:rPr>
            </w:pPr>
            <w:r>
              <w:rPr>
                <w:rFonts w:ascii="Arial" w:cs="Arial" w:eastAsia="Arial" w:hAnsi="Arial"/>
                <w:sz w:val="18"/>
                <w:szCs w:val="18"/>
                <w:color w:val="auto"/>
              </w:rPr>
              <w:t>No Recourse Against Others</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115.</w:t>
            </w:r>
          </w:p>
        </w:tc>
        <w:tc>
          <w:tcPr>
            <w:tcW w:w="7640" w:type="dxa"/>
            <w:vAlign w:val="bottom"/>
          </w:tcPr>
          <w:p>
            <w:pPr>
              <w:ind w:left="260"/>
              <w:spacing w:after="0"/>
              <w:rPr>
                <w:sz w:val="20"/>
                <w:szCs w:val="20"/>
                <w:color w:val="auto"/>
              </w:rPr>
            </w:pPr>
            <w:r>
              <w:rPr>
                <w:rFonts w:ascii="Arial" w:cs="Arial" w:eastAsia="Arial" w:hAnsi="Arial"/>
                <w:sz w:val="18"/>
                <w:szCs w:val="18"/>
                <w:color w:val="auto"/>
              </w:rPr>
              <w:t>WAIVER OF JURY TRIAL</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116.</w:t>
            </w:r>
          </w:p>
        </w:tc>
        <w:tc>
          <w:tcPr>
            <w:tcW w:w="7640" w:type="dxa"/>
            <w:vAlign w:val="bottom"/>
          </w:tcPr>
          <w:p>
            <w:pPr>
              <w:ind w:left="260"/>
              <w:spacing w:after="0"/>
              <w:rPr>
                <w:sz w:val="20"/>
                <w:szCs w:val="20"/>
                <w:color w:val="auto"/>
              </w:rPr>
            </w:pPr>
            <w:r>
              <w:rPr>
                <w:rFonts w:ascii="Arial" w:cs="Arial" w:eastAsia="Arial" w:hAnsi="Arial"/>
                <w:sz w:val="18"/>
                <w:szCs w:val="18"/>
                <w:color w:val="auto"/>
              </w:rPr>
              <w:t>Judgment Currency; Submission to Jurisdiction and Consent to Service</w:t>
            </w:r>
          </w:p>
        </w:tc>
        <w:tc>
          <w:tcPr>
            <w:tcW w:w="22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117.</w:t>
            </w:r>
          </w:p>
        </w:tc>
        <w:tc>
          <w:tcPr>
            <w:tcW w:w="7640" w:type="dxa"/>
            <w:vAlign w:val="bottom"/>
          </w:tcPr>
          <w:p>
            <w:pPr>
              <w:ind w:left="260"/>
              <w:spacing w:after="0"/>
              <w:rPr>
                <w:sz w:val="20"/>
                <w:szCs w:val="20"/>
                <w:color w:val="auto"/>
              </w:rPr>
            </w:pPr>
            <w:r>
              <w:rPr>
                <w:rFonts w:ascii="Arial" w:cs="Arial" w:eastAsia="Arial" w:hAnsi="Arial"/>
                <w:sz w:val="18"/>
                <w:szCs w:val="18"/>
                <w:color w:val="auto"/>
              </w:rPr>
              <w:t>Securities in a Composite Currency, Currency Unit or Foreign Currency</w:t>
            </w:r>
          </w:p>
        </w:tc>
        <w:tc>
          <w:tcPr>
            <w:tcW w:w="22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II SECURITY FORMS</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201.</w:t>
            </w:r>
          </w:p>
        </w:tc>
        <w:tc>
          <w:tcPr>
            <w:tcW w:w="7640" w:type="dxa"/>
            <w:vAlign w:val="bottom"/>
          </w:tcPr>
          <w:p>
            <w:pPr>
              <w:ind w:left="260"/>
              <w:spacing w:after="0"/>
              <w:rPr>
                <w:sz w:val="20"/>
                <w:szCs w:val="20"/>
                <w:color w:val="auto"/>
              </w:rPr>
            </w:pPr>
            <w:r>
              <w:rPr>
                <w:rFonts w:ascii="Arial" w:cs="Arial" w:eastAsia="Arial" w:hAnsi="Arial"/>
                <w:sz w:val="18"/>
                <w:szCs w:val="18"/>
                <w:color w:val="auto"/>
              </w:rPr>
              <w:t>Forms Generally</w:t>
            </w:r>
          </w:p>
        </w:tc>
        <w:tc>
          <w:tcPr>
            <w:tcW w:w="22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202.</w:t>
            </w:r>
          </w:p>
        </w:tc>
        <w:tc>
          <w:tcPr>
            <w:tcW w:w="7640" w:type="dxa"/>
            <w:vAlign w:val="bottom"/>
          </w:tcPr>
          <w:p>
            <w:pPr>
              <w:ind w:left="260"/>
              <w:spacing w:after="0"/>
              <w:rPr>
                <w:sz w:val="20"/>
                <w:szCs w:val="20"/>
                <w:color w:val="auto"/>
              </w:rPr>
            </w:pPr>
            <w:r>
              <w:rPr>
                <w:rFonts w:ascii="Arial" w:cs="Arial" w:eastAsia="Arial" w:hAnsi="Arial"/>
                <w:sz w:val="18"/>
                <w:szCs w:val="18"/>
                <w:color w:val="auto"/>
              </w:rPr>
              <w:t>Form of Legend for Global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203.</w:t>
            </w:r>
          </w:p>
        </w:tc>
        <w:tc>
          <w:tcPr>
            <w:tcW w:w="7640" w:type="dxa"/>
            <w:vAlign w:val="bottom"/>
          </w:tcPr>
          <w:p>
            <w:pPr>
              <w:ind w:left="260"/>
              <w:spacing w:after="0"/>
              <w:rPr>
                <w:sz w:val="20"/>
                <w:szCs w:val="20"/>
                <w:color w:val="auto"/>
              </w:rPr>
            </w:pPr>
            <w:r>
              <w:rPr>
                <w:rFonts w:ascii="Arial" w:cs="Arial" w:eastAsia="Arial" w:hAnsi="Arial"/>
                <w:sz w:val="18"/>
                <w:szCs w:val="18"/>
                <w:color w:val="auto"/>
              </w:rPr>
              <w:t>Form of Trustee’s Certificate of Authentication</w:t>
            </w:r>
          </w:p>
        </w:tc>
        <w:tc>
          <w:tcPr>
            <w:tcW w:w="22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III THE SECURITIES</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17</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301.</w:t>
            </w:r>
          </w:p>
        </w:tc>
        <w:tc>
          <w:tcPr>
            <w:tcW w:w="7640" w:type="dxa"/>
            <w:vAlign w:val="bottom"/>
          </w:tcPr>
          <w:p>
            <w:pPr>
              <w:ind w:left="260"/>
              <w:spacing w:after="0"/>
              <w:rPr>
                <w:sz w:val="20"/>
                <w:szCs w:val="20"/>
                <w:color w:val="auto"/>
              </w:rPr>
            </w:pPr>
            <w:r>
              <w:rPr>
                <w:rFonts w:ascii="Arial" w:cs="Arial" w:eastAsia="Arial" w:hAnsi="Arial"/>
                <w:sz w:val="18"/>
                <w:szCs w:val="18"/>
                <w:color w:val="auto"/>
              </w:rPr>
              <w:t>Amount Unlimited; Issuable in Series</w:t>
            </w:r>
          </w:p>
        </w:tc>
        <w:tc>
          <w:tcPr>
            <w:tcW w:w="22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302.</w:t>
            </w:r>
          </w:p>
        </w:tc>
        <w:tc>
          <w:tcPr>
            <w:tcW w:w="7640" w:type="dxa"/>
            <w:vAlign w:val="bottom"/>
          </w:tcPr>
          <w:p>
            <w:pPr>
              <w:ind w:left="260"/>
              <w:spacing w:after="0"/>
              <w:rPr>
                <w:sz w:val="20"/>
                <w:szCs w:val="20"/>
                <w:color w:val="auto"/>
              </w:rPr>
            </w:pPr>
            <w:r>
              <w:rPr>
                <w:rFonts w:ascii="Arial" w:cs="Arial" w:eastAsia="Arial" w:hAnsi="Arial"/>
                <w:sz w:val="18"/>
                <w:szCs w:val="18"/>
                <w:color w:val="auto"/>
              </w:rPr>
              <w:t>Denominations</w:t>
            </w:r>
          </w:p>
        </w:tc>
        <w:tc>
          <w:tcPr>
            <w:tcW w:w="22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303.</w:t>
            </w:r>
          </w:p>
        </w:tc>
        <w:tc>
          <w:tcPr>
            <w:tcW w:w="7640" w:type="dxa"/>
            <w:vAlign w:val="bottom"/>
          </w:tcPr>
          <w:p>
            <w:pPr>
              <w:ind w:left="260"/>
              <w:spacing w:after="0"/>
              <w:rPr>
                <w:sz w:val="20"/>
                <w:szCs w:val="20"/>
                <w:color w:val="auto"/>
              </w:rPr>
            </w:pPr>
            <w:r>
              <w:rPr>
                <w:rFonts w:ascii="Arial" w:cs="Arial" w:eastAsia="Arial" w:hAnsi="Arial"/>
                <w:sz w:val="18"/>
                <w:szCs w:val="18"/>
                <w:color w:val="auto"/>
              </w:rPr>
              <w:t>Execution, Authentication, Delivery and Dating</w:t>
            </w:r>
          </w:p>
        </w:tc>
        <w:tc>
          <w:tcPr>
            <w:tcW w:w="22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304.</w:t>
            </w:r>
          </w:p>
        </w:tc>
        <w:tc>
          <w:tcPr>
            <w:tcW w:w="7640" w:type="dxa"/>
            <w:vAlign w:val="bottom"/>
          </w:tcPr>
          <w:p>
            <w:pPr>
              <w:ind w:left="260"/>
              <w:spacing w:after="0"/>
              <w:rPr>
                <w:sz w:val="20"/>
                <w:szCs w:val="20"/>
                <w:color w:val="auto"/>
              </w:rPr>
            </w:pPr>
            <w:r>
              <w:rPr>
                <w:rFonts w:ascii="Arial" w:cs="Arial" w:eastAsia="Arial" w:hAnsi="Arial"/>
                <w:sz w:val="18"/>
                <w:szCs w:val="18"/>
                <w:color w:val="auto"/>
              </w:rPr>
              <w:t>Temporary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305.</w:t>
            </w:r>
          </w:p>
        </w:tc>
        <w:tc>
          <w:tcPr>
            <w:tcW w:w="7640" w:type="dxa"/>
            <w:vAlign w:val="bottom"/>
          </w:tcPr>
          <w:p>
            <w:pPr>
              <w:ind w:left="260"/>
              <w:spacing w:after="0"/>
              <w:rPr>
                <w:sz w:val="20"/>
                <w:szCs w:val="20"/>
                <w:color w:val="auto"/>
              </w:rPr>
            </w:pPr>
            <w:r>
              <w:rPr>
                <w:rFonts w:ascii="Arial" w:cs="Arial" w:eastAsia="Arial" w:hAnsi="Arial"/>
                <w:sz w:val="18"/>
                <w:szCs w:val="18"/>
                <w:color w:val="auto"/>
              </w:rPr>
              <w:t>Registration, Registration of Transfer and Exchange</w:t>
            </w:r>
          </w:p>
        </w:tc>
        <w:tc>
          <w:tcPr>
            <w:tcW w:w="22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306.</w:t>
            </w:r>
          </w:p>
        </w:tc>
        <w:tc>
          <w:tcPr>
            <w:tcW w:w="7640" w:type="dxa"/>
            <w:vAlign w:val="bottom"/>
          </w:tcPr>
          <w:p>
            <w:pPr>
              <w:ind w:left="260"/>
              <w:spacing w:after="0"/>
              <w:rPr>
                <w:sz w:val="20"/>
                <w:szCs w:val="20"/>
                <w:color w:val="auto"/>
              </w:rPr>
            </w:pPr>
            <w:r>
              <w:rPr>
                <w:rFonts w:ascii="Arial" w:cs="Arial" w:eastAsia="Arial" w:hAnsi="Arial"/>
                <w:sz w:val="18"/>
                <w:szCs w:val="18"/>
                <w:color w:val="auto"/>
              </w:rPr>
              <w:t>Mutilated, Destroyed, Lost and Stolen Securities</w:t>
            </w:r>
          </w:p>
        </w:tc>
        <w:tc>
          <w:tcPr>
            <w:tcW w:w="22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307.</w:t>
            </w:r>
          </w:p>
        </w:tc>
        <w:tc>
          <w:tcPr>
            <w:tcW w:w="7640" w:type="dxa"/>
            <w:vAlign w:val="bottom"/>
          </w:tcPr>
          <w:p>
            <w:pPr>
              <w:ind w:left="260"/>
              <w:spacing w:after="0"/>
              <w:rPr>
                <w:sz w:val="20"/>
                <w:szCs w:val="20"/>
                <w:color w:val="auto"/>
              </w:rPr>
            </w:pPr>
            <w:r>
              <w:rPr>
                <w:rFonts w:ascii="Arial" w:cs="Arial" w:eastAsia="Arial" w:hAnsi="Arial"/>
                <w:sz w:val="18"/>
                <w:szCs w:val="18"/>
                <w:color w:val="auto"/>
              </w:rPr>
              <w:t>Payment of Interest; Interest Rights Preserved</w:t>
            </w:r>
          </w:p>
        </w:tc>
        <w:tc>
          <w:tcPr>
            <w:tcW w:w="22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308.</w:t>
            </w:r>
          </w:p>
        </w:tc>
        <w:tc>
          <w:tcPr>
            <w:tcW w:w="7640" w:type="dxa"/>
            <w:vAlign w:val="bottom"/>
          </w:tcPr>
          <w:p>
            <w:pPr>
              <w:ind w:left="260"/>
              <w:spacing w:after="0"/>
              <w:rPr>
                <w:sz w:val="20"/>
                <w:szCs w:val="20"/>
                <w:color w:val="auto"/>
              </w:rPr>
            </w:pPr>
            <w:r>
              <w:rPr>
                <w:rFonts w:ascii="Arial" w:cs="Arial" w:eastAsia="Arial" w:hAnsi="Arial"/>
                <w:sz w:val="18"/>
                <w:szCs w:val="18"/>
                <w:color w:val="auto"/>
              </w:rPr>
              <w:t>Persons Deemed Owners</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309.</w:t>
            </w:r>
          </w:p>
        </w:tc>
        <w:tc>
          <w:tcPr>
            <w:tcW w:w="7640" w:type="dxa"/>
            <w:vAlign w:val="bottom"/>
          </w:tcPr>
          <w:p>
            <w:pPr>
              <w:ind w:left="260"/>
              <w:spacing w:after="0"/>
              <w:rPr>
                <w:sz w:val="20"/>
                <w:szCs w:val="20"/>
                <w:color w:val="auto"/>
              </w:rPr>
            </w:pPr>
            <w:r>
              <w:rPr>
                <w:rFonts w:ascii="Arial" w:cs="Arial" w:eastAsia="Arial" w:hAnsi="Arial"/>
                <w:sz w:val="18"/>
                <w:szCs w:val="18"/>
                <w:color w:val="auto"/>
              </w:rPr>
              <w:t>Cancellation</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310.</w:t>
            </w:r>
          </w:p>
        </w:tc>
        <w:tc>
          <w:tcPr>
            <w:tcW w:w="7640" w:type="dxa"/>
            <w:vAlign w:val="bottom"/>
          </w:tcPr>
          <w:p>
            <w:pPr>
              <w:ind w:left="260"/>
              <w:spacing w:after="0"/>
              <w:rPr>
                <w:sz w:val="20"/>
                <w:szCs w:val="20"/>
                <w:color w:val="auto"/>
              </w:rPr>
            </w:pPr>
            <w:r>
              <w:rPr>
                <w:rFonts w:ascii="Arial" w:cs="Arial" w:eastAsia="Arial" w:hAnsi="Arial"/>
                <w:sz w:val="18"/>
                <w:szCs w:val="18"/>
                <w:color w:val="auto"/>
              </w:rPr>
              <w:t>Computation of Interest</w:t>
            </w:r>
          </w:p>
        </w:tc>
        <w:tc>
          <w:tcPr>
            <w:tcW w:w="22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311.</w:t>
            </w:r>
          </w:p>
        </w:tc>
        <w:tc>
          <w:tcPr>
            <w:tcW w:w="7640" w:type="dxa"/>
            <w:vAlign w:val="bottom"/>
          </w:tcPr>
          <w:p>
            <w:pPr>
              <w:ind w:left="260"/>
              <w:spacing w:after="0"/>
              <w:rPr>
                <w:sz w:val="20"/>
                <w:szCs w:val="20"/>
                <w:color w:val="auto"/>
              </w:rPr>
            </w:pPr>
            <w:r>
              <w:rPr>
                <w:rFonts w:ascii="Arial" w:cs="Arial" w:eastAsia="Arial" w:hAnsi="Arial"/>
                <w:sz w:val="18"/>
                <w:szCs w:val="18"/>
                <w:color w:val="auto"/>
              </w:rPr>
              <w:t>CUSIP Numbers</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312.</w:t>
            </w:r>
          </w:p>
        </w:tc>
        <w:tc>
          <w:tcPr>
            <w:tcW w:w="7640" w:type="dxa"/>
            <w:vAlign w:val="bottom"/>
          </w:tcPr>
          <w:p>
            <w:pPr>
              <w:ind w:left="260"/>
              <w:spacing w:after="0"/>
              <w:rPr>
                <w:sz w:val="20"/>
                <w:szCs w:val="20"/>
                <w:color w:val="auto"/>
              </w:rPr>
            </w:pPr>
            <w:r>
              <w:rPr>
                <w:rFonts w:ascii="Arial" w:cs="Arial" w:eastAsia="Arial" w:hAnsi="Arial"/>
                <w:sz w:val="18"/>
                <w:szCs w:val="18"/>
                <w:color w:val="auto"/>
              </w:rPr>
              <w:t>Original Issue Discount</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324"/>
        </w:trPr>
        <w:tc>
          <w:tcPr>
            <w:tcW w:w="9080" w:type="dxa"/>
            <w:vAlign w:val="bottom"/>
            <w:gridSpan w:val="2"/>
          </w:tcPr>
          <w:p>
            <w:pPr>
              <w:spacing w:after="0"/>
              <w:rPr>
                <w:sz w:val="20"/>
                <w:szCs w:val="20"/>
                <w:color w:val="auto"/>
              </w:rPr>
            </w:pPr>
            <w:r>
              <w:rPr>
                <w:rFonts w:ascii="Arial" w:cs="Arial" w:eastAsia="Arial" w:hAnsi="Arial"/>
                <w:sz w:val="18"/>
                <w:szCs w:val="18"/>
                <w:b w:val="1"/>
                <w:bCs w:val="1"/>
                <w:color w:val="auto"/>
              </w:rPr>
              <w:t>ARTICLE IV SATISFACTION AND DISCHARGE</w:t>
            </w:r>
          </w:p>
        </w:tc>
        <w:tc>
          <w:tcPr>
            <w:tcW w:w="2280" w:type="dxa"/>
            <w:vAlign w:val="bottom"/>
          </w:tcPr>
          <w:p>
            <w:pPr>
              <w:jc w:val="right"/>
              <w:spacing w:after="0"/>
              <w:rPr>
                <w:sz w:val="20"/>
                <w:szCs w:val="20"/>
                <w:color w:val="auto"/>
              </w:rPr>
            </w:pPr>
            <w:r>
              <w:rPr>
                <w:rFonts w:ascii="Arial" w:cs="Arial" w:eastAsia="Arial" w:hAnsi="Arial"/>
                <w:sz w:val="18"/>
                <w:szCs w:val="18"/>
                <w:b w:val="1"/>
                <w:bCs w:val="1"/>
                <w:color w:val="auto"/>
              </w:rPr>
              <w:t>27</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401.</w:t>
            </w:r>
          </w:p>
        </w:tc>
        <w:tc>
          <w:tcPr>
            <w:tcW w:w="7640" w:type="dxa"/>
            <w:vAlign w:val="bottom"/>
          </w:tcPr>
          <w:p>
            <w:pPr>
              <w:ind w:left="260"/>
              <w:spacing w:after="0"/>
              <w:rPr>
                <w:sz w:val="20"/>
                <w:szCs w:val="20"/>
                <w:color w:val="auto"/>
              </w:rPr>
            </w:pPr>
            <w:r>
              <w:rPr>
                <w:rFonts w:ascii="Arial" w:cs="Arial" w:eastAsia="Arial" w:hAnsi="Arial"/>
                <w:sz w:val="18"/>
                <w:szCs w:val="18"/>
                <w:color w:val="auto"/>
              </w:rPr>
              <w:t>Satisfaction and Discharge of Indenture</w:t>
            </w:r>
          </w:p>
        </w:tc>
        <w:tc>
          <w:tcPr>
            <w:tcW w:w="2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402.</w:t>
            </w:r>
          </w:p>
        </w:tc>
        <w:tc>
          <w:tcPr>
            <w:tcW w:w="7640" w:type="dxa"/>
            <w:vAlign w:val="bottom"/>
          </w:tcPr>
          <w:p>
            <w:pPr>
              <w:ind w:left="260"/>
              <w:spacing w:after="0"/>
              <w:rPr>
                <w:sz w:val="20"/>
                <w:szCs w:val="20"/>
                <w:color w:val="auto"/>
              </w:rPr>
            </w:pPr>
            <w:r>
              <w:rPr>
                <w:rFonts w:ascii="Arial" w:cs="Arial" w:eastAsia="Arial" w:hAnsi="Arial"/>
                <w:sz w:val="18"/>
                <w:szCs w:val="18"/>
                <w:color w:val="auto"/>
              </w:rPr>
              <w:t>Application of Trust Money</w:t>
            </w:r>
          </w:p>
        </w:tc>
        <w:tc>
          <w:tcPr>
            <w:tcW w:w="2280" w:type="dxa"/>
            <w:vAlign w:val="bottom"/>
          </w:tcPr>
          <w:p>
            <w:pPr>
              <w:jc w:val="right"/>
              <w:spacing w:after="0"/>
              <w:rPr>
                <w:sz w:val="20"/>
                <w:szCs w:val="20"/>
                <w:color w:val="auto"/>
              </w:rPr>
            </w:pPr>
            <w:r>
              <w:rPr>
                <w:rFonts w:ascii="Arial" w:cs="Arial" w:eastAsia="Arial" w:hAnsi="Arial"/>
                <w:sz w:val="18"/>
                <w:szCs w:val="18"/>
                <w:color w:val="auto"/>
              </w:rPr>
              <w:t>28</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360"/>
          </w:cols>
          <w:pgMar w:left="240" w:top="270" w:right="299" w:bottom="1440" w:gutter="0" w:footer="0" w:header="0"/>
        </w:sectPr>
      </w:pPr>
    </w:p>
    <w:bookmarkStart w:id="44" w:name="page45"/>
    <w:bookmarkEnd w:id="44"/>
    <w:tbl>
      <w:tblPr>
        <w:tblLayout w:type="fixed"/>
        <w:tblInd w:w="0" w:type="dxa"/>
        <w:tblCellMar>
          <w:top w:w="0" w:type="dxa"/>
          <w:left w:w="0" w:type="dxa"/>
          <w:bottom w:w="0" w:type="dxa"/>
          <w:right w:w="0" w:type="dxa"/>
        </w:tblCellMar>
      </w:tblPr>
      <w:tr>
        <w:trPr>
          <w:trHeight w:val="234"/>
        </w:trPr>
        <w:tc>
          <w:tcPr>
            <w:tcW w:w="10120" w:type="dxa"/>
            <w:vAlign w:val="bottom"/>
            <w:gridSpan w:val="2"/>
          </w:tcPr>
          <w:p>
            <w:pPr>
              <w:spacing w:after="0"/>
              <w:rPr>
                <w:sz w:val="20"/>
                <w:szCs w:val="20"/>
                <w:color w:val="auto"/>
              </w:rPr>
            </w:pPr>
            <w:r>
              <w:rPr>
                <w:rFonts w:ascii="Arial" w:cs="Arial" w:eastAsia="Arial" w:hAnsi="Arial"/>
                <w:sz w:val="18"/>
                <w:szCs w:val="18"/>
                <w:b w:val="1"/>
                <w:bCs w:val="1"/>
                <w:color w:val="auto"/>
              </w:rPr>
              <w:t>ARTICLE V REMEDIES</w:t>
            </w:r>
          </w:p>
        </w:tc>
        <w:tc>
          <w:tcPr>
            <w:tcW w:w="1240" w:type="dxa"/>
            <w:vAlign w:val="bottom"/>
          </w:tcPr>
          <w:p>
            <w:pPr>
              <w:jc w:val="right"/>
              <w:spacing w:after="0"/>
              <w:rPr>
                <w:sz w:val="20"/>
                <w:szCs w:val="20"/>
                <w:color w:val="auto"/>
              </w:rPr>
            </w:pPr>
            <w:r>
              <w:rPr>
                <w:rFonts w:ascii="Arial" w:cs="Arial" w:eastAsia="Arial" w:hAnsi="Arial"/>
                <w:sz w:val="18"/>
                <w:szCs w:val="18"/>
                <w:b w:val="1"/>
                <w:bCs w:val="1"/>
                <w:color w:val="auto"/>
              </w:rPr>
              <w:t>28</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501.</w:t>
            </w:r>
          </w:p>
        </w:tc>
        <w:tc>
          <w:tcPr>
            <w:tcW w:w="8680" w:type="dxa"/>
            <w:vAlign w:val="bottom"/>
          </w:tcPr>
          <w:p>
            <w:pPr>
              <w:ind w:left="260"/>
              <w:spacing w:after="0"/>
              <w:rPr>
                <w:sz w:val="20"/>
                <w:szCs w:val="20"/>
                <w:color w:val="auto"/>
              </w:rPr>
            </w:pPr>
            <w:r>
              <w:rPr>
                <w:rFonts w:ascii="Arial" w:cs="Arial" w:eastAsia="Arial" w:hAnsi="Arial"/>
                <w:sz w:val="18"/>
                <w:szCs w:val="18"/>
                <w:color w:val="auto"/>
              </w:rPr>
              <w:t>Events of Default</w:t>
            </w:r>
          </w:p>
        </w:tc>
        <w:tc>
          <w:tcPr>
            <w:tcW w:w="124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502.</w:t>
            </w:r>
          </w:p>
        </w:tc>
        <w:tc>
          <w:tcPr>
            <w:tcW w:w="8680" w:type="dxa"/>
            <w:vAlign w:val="bottom"/>
          </w:tcPr>
          <w:p>
            <w:pPr>
              <w:ind w:left="260"/>
              <w:spacing w:after="0"/>
              <w:rPr>
                <w:sz w:val="20"/>
                <w:szCs w:val="20"/>
                <w:color w:val="auto"/>
              </w:rPr>
            </w:pPr>
            <w:r>
              <w:rPr>
                <w:rFonts w:ascii="Arial" w:cs="Arial" w:eastAsia="Arial" w:hAnsi="Arial"/>
                <w:sz w:val="18"/>
                <w:szCs w:val="18"/>
                <w:color w:val="auto"/>
              </w:rPr>
              <w:t>Acceleration of Maturity; Rescission and Annulment</w:t>
            </w:r>
          </w:p>
        </w:tc>
        <w:tc>
          <w:tcPr>
            <w:tcW w:w="124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503.</w:t>
            </w:r>
          </w:p>
        </w:tc>
        <w:tc>
          <w:tcPr>
            <w:tcW w:w="8680" w:type="dxa"/>
            <w:vAlign w:val="bottom"/>
          </w:tcPr>
          <w:p>
            <w:pPr>
              <w:ind w:left="260"/>
              <w:spacing w:after="0"/>
              <w:rPr>
                <w:sz w:val="20"/>
                <w:szCs w:val="20"/>
                <w:color w:val="auto"/>
              </w:rPr>
            </w:pPr>
            <w:r>
              <w:rPr>
                <w:rFonts w:ascii="Arial" w:cs="Arial" w:eastAsia="Arial" w:hAnsi="Arial"/>
                <w:sz w:val="18"/>
                <w:szCs w:val="18"/>
                <w:color w:val="auto"/>
              </w:rPr>
              <w:t>Collection of Indebtedness and Suits for Enforcement by Trustee</w:t>
            </w:r>
          </w:p>
        </w:tc>
        <w:tc>
          <w:tcPr>
            <w:tcW w:w="124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504.</w:t>
            </w:r>
          </w:p>
        </w:tc>
        <w:tc>
          <w:tcPr>
            <w:tcW w:w="8680" w:type="dxa"/>
            <w:vAlign w:val="bottom"/>
          </w:tcPr>
          <w:p>
            <w:pPr>
              <w:ind w:left="260"/>
              <w:spacing w:after="0"/>
              <w:rPr>
                <w:sz w:val="20"/>
                <w:szCs w:val="20"/>
                <w:color w:val="auto"/>
              </w:rPr>
            </w:pPr>
            <w:r>
              <w:rPr>
                <w:rFonts w:ascii="Arial" w:cs="Arial" w:eastAsia="Arial" w:hAnsi="Arial"/>
                <w:sz w:val="18"/>
                <w:szCs w:val="18"/>
                <w:color w:val="auto"/>
              </w:rPr>
              <w:t>Trustee May File Proofs of Claim</w:t>
            </w:r>
          </w:p>
        </w:tc>
        <w:tc>
          <w:tcPr>
            <w:tcW w:w="124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505.</w:t>
            </w:r>
          </w:p>
        </w:tc>
        <w:tc>
          <w:tcPr>
            <w:tcW w:w="8680" w:type="dxa"/>
            <w:vAlign w:val="bottom"/>
          </w:tcPr>
          <w:p>
            <w:pPr>
              <w:ind w:left="260"/>
              <w:spacing w:after="0"/>
              <w:rPr>
                <w:sz w:val="20"/>
                <w:szCs w:val="20"/>
                <w:color w:val="auto"/>
              </w:rPr>
            </w:pPr>
            <w:r>
              <w:rPr>
                <w:rFonts w:ascii="Arial" w:cs="Arial" w:eastAsia="Arial" w:hAnsi="Arial"/>
                <w:sz w:val="18"/>
                <w:szCs w:val="18"/>
                <w:color w:val="auto"/>
              </w:rPr>
              <w:t>Trustee May Enforce Claims Without Possession of Securities</w:t>
            </w:r>
          </w:p>
        </w:tc>
        <w:tc>
          <w:tcPr>
            <w:tcW w:w="124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506.</w:t>
            </w:r>
          </w:p>
        </w:tc>
        <w:tc>
          <w:tcPr>
            <w:tcW w:w="8680" w:type="dxa"/>
            <w:vAlign w:val="bottom"/>
          </w:tcPr>
          <w:p>
            <w:pPr>
              <w:ind w:left="260"/>
              <w:spacing w:after="0"/>
              <w:rPr>
                <w:sz w:val="20"/>
                <w:szCs w:val="20"/>
                <w:color w:val="auto"/>
              </w:rPr>
            </w:pPr>
            <w:r>
              <w:rPr>
                <w:rFonts w:ascii="Arial" w:cs="Arial" w:eastAsia="Arial" w:hAnsi="Arial"/>
                <w:sz w:val="18"/>
                <w:szCs w:val="18"/>
                <w:color w:val="auto"/>
              </w:rPr>
              <w:t>Application of Money Collected</w:t>
            </w:r>
          </w:p>
        </w:tc>
        <w:tc>
          <w:tcPr>
            <w:tcW w:w="124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507.</w:t>
            </w:r>
          </w:p>
        </w:tc>
        <w:tc>
          <w:tcPr>
            <w:tcW w:w="8680" w:type="dxa"/>
            <w:vAlign w:val="bottom"/>
          </w:tcPr>
          <w:p>
            <w:pPr>
              <w:ind w:left="260"/>
              <w:spacing w:after="0"/>
              <w:rPr>
                <w:sz w:val="20"/>
                <w:szCs w:val="20"/>
                <w:color w:val="auto"/>
              </w:rPr>
            </w:pPr>
            <w:r>
              <w:rPr>
                <w:rFonts w:ascii="Arial" w:cs="Arial" w:eastAsia="Arial" w:hAnsi="Arial"/>
                <w:sz w:val="18"/>
                <w:szCs w:val="18"/>
                <w:color w:val="auto"/>
              </w:rPr>
              <w:t>Limitation on Suits</w:t>
            </w:r>
          </w:p>
        </w:tc>
        <w:tc>
          <w:tcPr>
            <w:tcW w:w="124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508.</w:t>
            </w:r>
          </w:p>
        </w:tc>
        <w:tc>
          <w:tcPr>
            <w:tcW w:w="8680" w:type="dxa"/>
            <w:vAlign w:val="bottom"/>
          </w:tcPr>
          <w:p>
            <w:pPr>
              <w:ind w:left="260"/>
              <w:spacing w:after="0"/>
              <w:rPr>
                <w:sz w:val="20"/>
                <w:szCs w:val="20"/>
                <w:color w:val="auto"/>
              </w:rPr>
            </w:pPr>
            <w:r>
              <w:rPr>
                <w:rFonts w:ascii="Arial" w:cs="Arial" w:eastAsia="Arial" w:hAnsi="Arial"/>
                <w:sz w:val="18"/>
                <w:szCs w:val="18"/>
                <w:color w:val="auto"/>
              </w:rPr>
              <w:t>Unconditional Right of Holders to Receive Principal, Premium, and Interest and to Convert Securities</w:t>
            </w:r>
          </w:p>
        </w:tc>
        <w:tc>
          <w:tcPr>
            <w:tcW w:w="124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509.</w:t>
            </w:r>
          </w:p>
        </w:tc>
        <w:tc>
          <w:tcPr>
            <w:tcW w:w="8680" w:type="dxa"/>
            <w:vAlign w:val="bottom"/>
          </w:tcPr>
          <w:p>
            <w:pPr>
              <w:ind w:left="260"/>
              <w:spacing w:after="0"/>
              <w:rPr>
                <w:sz w:val="20"/>
                <w:szCs w:val="20"/>
                <w:color w:val="auto"/>
              </w:rPr>
            </w:pPr>
            <w:r>
              <w:rPr>
                <w:rFonts w:ascii="Arial" w:cs="Arial" w:eastAsia="Arial" w:hAnsi="Arial"/>
                <w:sz w:val="18"/>
                <w:szCs w:val="18"/>
                <w:color w:val="auto"/>
              </w:rPr>
              <w:t>Rights and Remedies Cumulative</w:t>
            </w:r>
          </w:p>
        </w:tc>
        <w:tc>
          <w:tcPr>
            <w:tcW w:w="124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510.</w:t>
            </w:r>
          </w:p>
        </w:tc>
        <w:tc>
          <w:tcPr>
            <w:tcW w:w="8680" w:type="dxa"/>
            <w:vAlign w:val="bottom"/>
          </w:tcPr>
          <w:p>
            <w:pPr>
              <w:ind w:left="260"/>
              <w:spacing w:after="0"/>
              <w:rPr>
                <w:sz w:val="20"/>
                <w:szCs w:val="20"/>
                <w:color w:val="auto"/>
              </w:rPr>
            </w:pPr>
            <w:r>
              <w:rPr>
                <w:rFonts w:ascii="Arial" w:cs="Arial" w:eastAsia="Arial" w:hAnsi="Arial"/>
                <w:sz w:val="18"/>
                <w:szCs w:val="18"/>
                <w:color w:val="auto"/>
              </w:rPr>
              <w:t>Delay or Omission Not Waiver</w:t>
            </w:r>
          </w:p>
        </w:tc>
        <w:tc>
          <w:tcPr>
            <w:tcW w:w="124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511.</w:t>
            </w:r>
          </w:p>
        </w:tc>
        <w:tc>
          <w:tcPr>
            <w:tcW w:w="8680" w:type="dxa"/>
            <w:vAlign w:val="bottom"/>
          </w:tcPr>
          <w:p>
            <w:pPr>
              <w:ind w:left="260"/>
              <w:spacing w:after="0"/>
              <w:rPr>
                <w:sz w:val="20"/>
                <w:szCs w:val="20"/>
                <w:color w:val="auto"/>
              </w:rPr>
            </w:pPr>
            <w:r>
              <w:rPr>
                <w:rFonts w:ascii="Arial" w:cs="Arial" w:eastAsia="Arial" w:hAnsi="Arial"/>
                <w:sz w:val="18"/>
                <w:szCs w:val="18"/>
                <w:color w:val="auto"/>
              </w:rPr>
              <w:t>Control by Holders</w:t>
            </w:r>
          </w:p>
        </w:tc>
        <w:tc>
          <w:tcPr>
            <w:tcW w:w="12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512.</w:t>
            </w:r>
          </w:p>
        </w:tc>
        <w:tc>
          <w:tcPr>
            <w:tcW w:w="8680" w:type="dxa"/>
            <w:vAlign w:val="bottom"/>
          </w:tcPr>
          <w:p>
            <w:pPr>
              <w:ind w:left="260"/>
              <w:spacing w:after="0"/>
              <w:rPr>
                <w:sz w:val="20"/>
                <w:szCs w:val="20"/>
                <w:color w:val="auto"/>
              </w:rPr>
            </w:pPr>
            <w:r>
              <w:rPr>
                <w:rFonts w:ascii="Arial" w:cs="Arial" w:eastAsia="Arial" w:hAnsi="Arial"/>
                <w:sz w:val="18"/>
                <w:szCs w:val="18"/>
                <w:color w:val="auto"/>
              </w:rPr>
              <w:t>Waiver of Past Defaults</w:t>
            </w:r>
          </w:p>
        </w:tc>
        <w:tc>
          <w:tcPr>
            <w:tcW w:w="12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513.</w:t>
            </w:r>
          </w:p>
        </w:tc>
        <w:tc>
          <w:tcPr>
            <w:tcW w:w="8680" w:type="dxa"/>
            <w:vAlign w:val="bottom"/>
          </w:tcPr>
          <w:p>
            <w:pPr>
              <w:ind w:left="260"/>
              <w:spacing w:after="0"/>
              <w:rPr>
                <w:sz w:val="20"/>
                <w:szCs w:val="20"/>
                <w:color w:val="auto"/>
              </w:rPr>
            </w:pPr>
            <w:r>
              <w:rPr>
                <w:rFonts w:ascii="Arial" w:cs="Arial" w:eastAsia="Arial" w:hAnsi="Arial"/>
                <w:sz w:val="18"/>
                <w:szCs w:val="18"/>
                <w:color w:val="auto"/>
              </w:rPr>
              <w:t>Undertaking for Costs</w:t>
            </w:r>
          </w:p>
        </w:tc>
        <w:tc>
          <w:tcPr>
            <w:tcW w:w="12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514.</w:t>
            </w:r>
          </w:p>
        </w:tc>
        <w:tc>
          <w:tcPr>
            <w:tcW w:w="8680" w:type="dxa"/>
            <w:vAlign w:val="bottom"/>
          </w:tcPr>
          <w:p>
            <w:pPr>
              <w:ind w:left="260"/>
              <w:spacing w:after="0"/>
              <w:rPr>
                <w:sz w:val="20"/>
                <w:szCs w:val="20"/>
                <w:color w:val="auto"/>
              </w:rPr>
            </w:pPr>
            <w:r>
              <w:rPr>
                <w:rFonts w:ascii="Arial" w:cs="Arial" w:eastAsia="Arial" w:hAnsi="Arial"/>
                <w:sz w:val="18"/>
                <w:szCs w:val="18"/>
                <w:color w:val="auto"/>
              </w:rPr>
              <w:t>Waiver of Usury, Stay or Extension Laws</w:t>
            </w:r>
          </w:p>
        </w:tc>
        <w:tc>
          <w:tcPr>
            <w:tcW w:w="124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515.</w:t>
            </w:r>
          </w:p>
        </w:tc>
        <w:tc>
          <w:tcPr>
            <w:tcW w:w="8680" w:type="dxa"/>
            <w:vAlign w:val="bottom"/>
          </w:tcPr>
          <w:p>
            <w:pPr>
              <w:ind w:left="260"/>
              <w:spacing w:after="0"/>
              <w:rPr>
                <w:sz w:val="20"/>
                <w:szCs w:val="20"/>
                <w:color w:val="auto"/>
              </w:rPr>
            </w:pPr>
            <w:r>
              <w:rPr>
                <w:rFonts w:ascii="Arial" w:cs="Arial" w:eastAsia="Arial" w:hAnsi="Arial"/>
                <w:sz w:val="18"/>
                <w:szCs w:val="18"/>
                <w:color w:val="auto"/>
              </w:rPr>
              <w:t>Restoration of Rights and Remedies</w:t>
            </w:r>
          </w:p>
        </w:tc>
        <w:tc>
          <w:tcPr>
            <w:tcW w:w="124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324"/>
        </w:trPr>
        <w:tc>
          <w:tcPr>
            <w:tcW w:w="10120" w:type="dxa"/>
            <w:vAlign w:val="bottom"/>
            <w:gridSpan w:val="2"/>
          </w:tcPr>
          <w:p>
            <w:pPr>
              <w:spacing w:after="0"/>
              <w:rPr>
                <w:sz w:val="20"/>
                <w:szCs w:val="20"/>
                <w:color w:val="auto"/>
              </w:rPr>
            </w:pPr>
            <w:r>
              <w:rPr>
                <w:rFonts w:ascii="Arial" w:cs="Arial" w:eastAsia="Arial" w:hAnsi="Arial"/>
                <w:sz w:val="18"/>
                <w:szCs w:val="18"/>
                <w:b w:val="1"/>
                <w:bCs w:val="1"/>
                <w:color w:val="auto"/>
              </w:rPr>
              <w:t>ARTICLE VI THE TRUSTEE</w:t>
            </w:r>
          </w:p>
        </w:tc>
        <w:tc>
          <w:tcPr>
            <w:tcW w:w="1240" w:type="dxa"/>
            <w:vAlign w:val="bottom"/>
          </w:tcPr>
          <w:p>
            <w:pPr>
              <w:jc w:val="right"/>
              <w:spacing w:after="0"/>
              <w:rPr>
                <w:sz w:val="20"/>
                <w:szCs w:val="20"/>
                <w:color w:val="auto"/>
              </w:rPr>
            </w:pPr>
            <w:r>
              <w:rPr>
                <w:rFonts w:ascii="Arial" w:cs="Arial" w:eastAsia="Arial" w:hAnsi="Arial"/>
                <w:sz w:val="18"/>
                <w:szCs w:val="18"/>
                <w:b w:val="1"/>
                <w:bCs w:val="1"/>
                <w:color w:val="auto"/>
              </w:rPr>
              <w:t>35</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601.</w:t>
            </w:r>
          </w:p>
        </w:tc>
        <w:tc>
          <w:tcPr>
            <w:tcW w:w="8680" w:type="dxa"/>
            <w:vAlign w:val="bottom"/>
          </w:tcPr>
          <w:p>
            <w:pPr>
              <w:ind w:left="260"/>
              <w:spacing w:after="0"/>
              <w:rPr>
                <w:sz w:val="20"/>
                <w:szCs w:val="20"/>
                <w:color w:val="auto"/>
              </w:rPr>
            </w:pPr>
            <w:r>
              <w:rPr>
                <w:rFonts w:ascii="Arial" w:cs="Arial" w:eastAsia="Arial" w:hAnsi="Arial"/>
                <w:sz w:val="18"/>
                <w:szCs w:val="18"/>
                <w:color w:val="auto"/>
              </w:rPr>
              <w:t>Certain Duties and Responsibilities of Trustee</w:t>
            </w:r>
          </w:p>
        </w:tc>
        <w:tc>
          <w:tcPr>
            <w:tcW w:w="124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602.</w:t>
            </w:r>
          </w:p>
        </w:tc>
        <w:tc>
          <w:tcPr>
            <w:tcW w:w="8680" w:type="dxa"/>
            <w:vAlign w:val="bottom"/>
          </w:tcPr>
          <w:p>
            <w:pPr>
              <w:ind w:left="260"/>
              <w:spacing w:after="0"/>
              <w:rPr>
                <w:sz w:val="20"/>
                <w:szCs w:val="20"/>
                <w:color w:val="auto"/>
              </w:rPr>
            </w:pPr>
            <w:r>
              <w:rPr>
                <w:rFonts w:ascii="Arial" w:cs="Arial" w:eastAsia="Arial" w:hAnsi="Arial"/>
                <w:sz w:val="18"/>
                <w:szCs w:val="18"/>
                <w:color w:val="auto"/>
              </w:rPr>
              <w:t>Notice of Defaults</w:t>
            </w:r>
          </w:p>
        </w:tc>
        <w:tc>
          <w:tcPr>
            <w:tcW w:w="124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603.</w:t>
            </w:r>
          </w:p>
        </w:tc>
        <w:tc>
          <w:tcPr>
            <w:tcW w:w="8680" w:type="dxa"/>
            <w:vAlign w:val="bottom"/>
          </w:tcPr>
          <w:p>
            <w:pPr>
              <w:ind w:left="260"/>
              <w:spacing w:after="0"/>
              <w:rPr>
                <w:sz w:val="20"/>
                <w:szCs w:val="20"/>
                <w:color w:val="auto"/>
              </w:rPr>
            </w:pPr>
            <w:r>
              <w:rPr>
                <w:rFonts w:ascii="Arial" w:cs="Arial" w:eastAsia="Arial" w:hAnsi="Arial"/>
                <w:sz w:val="18"/>
                <w:szCs w:val="18"/>
                <w:color w:val="auto"/>
              </w:rPr>
              <w:t>Certain Rights of Trustee</w:t>
            </w:r>
          </w:p>
        </w:tc>
        <w:tc>
          <w:tcPr>
            <w:tcW w:w="124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604.</w:t>
            </w:r>
          </w:p>
        </w:tc>
        <w:tc>
          <w:tcPr>
            <w:tcW w:w="8680" w:type="dxa"/>
            <w:vAlign w:val="bottom"/>
          </w:tcPr>
          <w:p>
            <w:pPr>
              <w:ind w:left="260"/>
              <w:spacing w:after="0"/>
              <w:rPr>
                <w:sz w:val="20"/>
                <w:szCs w:val="20"/>
                <w:color w:val="auto"/>
              </w:rPr>
            </w:pPr>
            <w:r>
              <w:rPr>
                <w:rFonts w:ascii="Arial" w:cs="Arial" w:eastAsia="Arial" w:hAnsi="Arial"/>
                <w:sz w:val="18"/>
                <w:szCs w:val="18"/>
                <w:color w:val="auto"/>
              </w:rPr>
              <w:t>Not Responsible for Recitals or Issuance of Securities</w:t>
            </w:r>
          </w:p>
        </w:tc>
        <w:tc>
          <w:tcPr>
            <w:tcW w:w="12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605.</w:t>
            </w:r>
          </w:p>
        </w:tc>
        <w:tc>
          <w:tcPr>
            <w:tcW w:w="8680" w:type="dxa"/>
            <w:vAlign w:val="bottom"/>
          </w:tcPr>
          <w:p>
            <w:pPr>
              <w:ind w:left="260"/>
              <w:spacing w:after="0"/>
              <w:rPr>
                <w:sz w:val="20"/>
                <w:szCs w:val="20"/>
                <w:color w:val="auto"/>
              </w:rPr>
            </w:pPr>
            <w:r>
              <w:rPr>
                <w:rFonts w:ascii="Arial" w:cs="Arial" w:eastAsia="Arial" w:hAnsi="Arial"/>
                <w:sz w:val="18"/>
                <w:szCs w:val="18"/>
                <w:color w:val="auto"/>
              </w:rPr>
              <w:t>May Hold Securities</w:t>
            </w:r>
          </w:p>
        </w:tc>
        <w:tc>
          <w:tcPr>
            <w:tcW w:w="12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606.</w:t>
            </w:r>
          </w:p>
        </w:tc>
        <w:tc>
          <w:tcPr>
            <w:tcW w:w="8680" w:type="dxa"/>
            <w:vAlign w:val="bottom"/>
          </w:tcPr>
          <w:p>
            <w:pPr>
              <w:ind w:left="260"/>
              <w:spacing w:after="0"/>
              <w:rPr>
                <w:sz w:val="20"/>
                <w:szCs w:val="20"/>
                <w:color w:val="auto"/>
              </w:rPr>
            </w:pPr>
            <w:r>
              <w:rPr>
                <w:rFonts w:ascii="Arial" w:cs="Arial" w:eastAsia="Arial" w:hAnsi="Arial"/>
                <w:sz w:val="18"/>
                <w:szCs w:val="18"/>
                <w:color w:val="auto"/>
              </w:rPr>
              <w:t>Money Held in Trust</w:t>
            </w:r>
          </w:p>
        </w:tc>
        <w:tc>
          <w:tcPr>
            <w:tcW w:w="12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607.</w:t>
            </w:r>
          </w:p>
        </w:tc>
        <w:tc>
          <w:tcPr>
            <w:tcW w:w="8680" w:type="dxa"/>
            <w:vAlign w:val="bottom"/>
          </w:tcPr>
          <w:p>
            <w:pPr>
              <w:ind w:left="260"/>
              <w:spacing w:after="0"/>
              <w:rPr>
                <w:sz w:val="20"/>
                <w:szCs w:val="20"/>
                <w:color w:val="auto"/>
              </w:rPr>
            </w:pPr>
            <w:r>
              <w:rPr>
                <w:rFonts w:ascii="Arial" w:cs="Arial" w:eastAsia="Arial" w:hAnsi="Arial"/>
                <w:sz w:val="18"/>
                <w:szCs w:val="18"/>
                <w:color w:val="auto"/>
              </w:rPr>
              <w:t>Compensation and Reimbursement</w:t>
            </w:r>
          </w:p>
        </w:tc>
        <w:tc>
          <w:tcPr>
            <w:tcW w:w="124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608.</w:t>
            </w:r>
          </w:p>
        </w:tc>
        <w:tc>
          <w:tcPr>
            <w:tcW w:w="8680" w:type="dxa"/>
            <w:vAlign w:val="bottom"/>
          </w:tcPr>
          <w:p>
            <w:pPr>
              <w:ind w:left="260"/>
              <w:spacing w:after="0"/>
              <w:rPr>
                <w:sz w:val="20"/>
                <w:szCs w:val="20"/>
                <w:color w:val="auto"/>
              </w:rPr>
            </w:pPr>
            <w:r>
              <w:rPr>
                <w:rFonts w:ascii="Arial" w:cs="Arial" w:eastAsia="Arial" w:hAnsi="Arial"/>
                <w:sz w:val="18"/>
                <w:szCs w:val="18"/>
                <w:color w:val="auto"/>
              </w:rPr>
              <w:t>Conflicting Interests</w:t>
            </w:r>
          </w:p>
        </w:tc>
        <w:tc>
          <w:tcPr>
            <w:tcW w:w="124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609.</w:t>
            </w:r>
          </w:p>
        </w:tc>
        <w:tc>
          <w:tcPr>
            <w:tcW w:w="8680" w:type="dxa"/>
            <w:vAlign w:val="bottom"/>
          </w:tcPr>
          <w:p>
            <w:pPr>
              <w:ind w:left="260"/>
              <w:spacing w:after="0"/>
              <w:rPr>
                <w:sz w:val="20"/>
                <w:szCs w:val="20"/>
                <w:color w:val="auto"/>
              </w:rPr>
            </w:pPr>
            <w:r>
              <w:rPr>
                <w:rFonts w:ascii="Arial" w:cs="Arial" w:eastAsia="Arial" w:hAnsi="Arial"/>
                <w:sz w:val="18"/>
                <w:szCs w:val="18"/>
                <w:color w:val="auto"/>
              </w:rPr>
              <w:t>Corporate Trustee Required; Eligibility</w:t>
            </w:r>
          </w:p>
        </w:tc>
        <w:tc>
          <w:tcPr>
            <w:tcW w:w="124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610.</w:t>
            </w:r>
          </w:p>
        </w:tc>
        <w:tc>
          <w:tcPr>
            <w:tcW w:w="8680" w:type="dxa"/>
            <w:vAlign w:val="bottom"/>
          </w:tcPr>
          <w:p>
            <w:pPr>
              <w:ind w:left="260"/>
              <w:spacing w:after="0"/>
              <w:rPr>
                <w:sz w:val="20"/>
                <w:szCs w:val="20"/>
                <w:color w:val="auto"/>
              </w:rPr>
            </w:pPr>
            <w:r>
              <w:rPr>
                <w:rFonts w:ascii="Arial" w:cs="Arial" w:eastAsia="Arial" w:hAnsi="Arial"/>
                <w:sz w:val="18"/>
                <w:szCs w:val="18"/>
                <w:color w:val="auto"/>
              </w:rPr>
              <w:t>Resignation and Removal; Appointment of Successor</w:t>
            </w:r>
          </w:p>
        </w:tc>
        <w:tc>
          <w:tcPr>
            <w:tcW w:w="124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611.</w:t>
            </w:r>
          </w:p>
        </w:tc>
        <w:tc>
          <w:tcPr>
            <w:tcW w:w="8680" w:type="dxa"/>
            <w:vAlign w:val="bottom"/>
          </w:tcPr>
          <w:p>
            <w:pPr>
              <w:ind w:left="260"/>
              <w:spacing w:after="0"/>
              <w:rPr>
                <w:sz w:val="20"/>
                <w:szCs w:val="20"/>
                <w:color w:val="auto"/>
              </w:rPr>
            </w:pPr>
            <w:r>
              <w:rPr>
                <w:rFonts w:ascii="Arial" w:cs="Arial" w:eastAsia="Arial" w:hAnsi="Arial"/>
                <w:sz w:val="18"/>
                <w:szCs w:val="18"/>
                <w:color w:val="auto"/>
              </w:rPr>
              <w:t>Acceptance of Appointment by Successor</w:t>
            </w:r>
          </w:p>
        </w:tc>
        <w:tc>
          <w:tcPr>
            <w:tcW w:w="124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612.</w:t>
            </w:r>
          </w:p>
        </w:tc>
        <w:tc>
          <w:tcPr>
            <w:tcW w:w="8680" w:type="dxa"/>
            <w:vAlign w:val="bottom"/>
          </w:tcPr>
          <w:p>
            <w:pPr>
              <w:ind w:left="260"/>
              <w:spacing w:after="0"/>
              <w:rPr>
                <w:sz w:val="20"/>
                <w:szCs w:val="20"/>
                <w:color w:val="auto"/>
              </w:rPr>
            </w:pPr>
            <w:r>
              <w:rPr>
                <w:rFonts w:ascii="Arial" w:cs="Arial" w:eastAsia="Arial" w:hAnsi="Arial"/>
                <w:sz w:val="18"/>
                <w:szCs w:val="18"/>
                <w:color w:val="auto"/>
              </w:rPr>
              <w:t>Merger, Conversion, Consolidation or Succession to Business</w:t>
            </w:r>
          </w:p>
        </w:tc>
        <w:tc>
          <w:tcPr>
            <w:tcW w:w="12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613.</w:t>
            </w:r>
          </w:p>
        </w:tc>
        <w:tc>
          <w:tcPr>
            <w:tcW w:w="8680" w:type="dxa"/>
            <w:vAlign w:val="bottom"/>
          </w:tcPr>
          <w:p>
            <w:pPr>
              <w:ind w:left="260"/>
              <w:spacing w:after="0"/>
              <w:rPr>
                <w:sz w:val="20"/>
                <w:szCs w:val="20"/>
                <w:color w:val="auto"/>
              </w:rPr>
            </w:pPr>
            <w:r>
              <w:rPr>
                <w:rFonts w:ascii="Arial" w:cs="Arial" w:eastAsia="Arial" w:hAnsi="Arial"/>
                <w:sz w:val="18"/>
                <w:szCs w:val="18"/>
                <w:color w:val="auto"/>
              </w:rPr>
              <w:t>Preferential Collection of Claims Against Company</w:t>
            </w:r>
          </w:p>
        </w:tc>
        <w:tc>
          <w:tcPr>
            <w:tcW w:w="12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614.</w:t>
            </w:r>
          </w:p>
        </w:tc>
        <w:tc>
          <w:tcPr>
            <w:tcW w:w="8680" w:type="dxa"/>
            <w:vAlign w:val="bottom"/>
          </w:tcPr>
          <w:p>
            <w:pPr>
              <w:ind w:left="260"/>
              <w:spacing w:after="0"/>
              <w:rPr>
                <w:sz w:val="20"/>
                <w:szCs w:val="20"/>
                <w:color w:val="auto"/>
              </w:rPr>
            </w:pPr>
            <w:r>
              <w:rPr>
                <w:rFonts w:ascii="Arial" w:cs="Arial" w:eastAsia="Arial" w:hAnsi="Arial"/>
                <w:sz w:val="18"/>
                <w:szCs w:val="18"/>
                <w:color w:val="auto"/>
              </w:rPr>
              <w:t>Appointment of Authenticating Agent</w:t>
            </w:r>
          </w:p>
        </w:tc>
        <w:tc>
          <w:tcPr>
            <w:tcW w:w="12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324"/>
        </w:trPr>
        <w:tc>
          <w:tcPr>
            <w:tcW w:w="10120" w:type="dxa"/>
            <w:vAlign w:val="bottom"/>
            <w:gridSpan w:val="2"/>
          </w:tcPr>
          <w:p>
            <w:pPr>
              <w:spacing w:after="0"/>
              <w:rPr>
                <w:sz w:val="20"/>
                <w:szCs w:val="20"/>
                <w:color w:val="auto"/>
              </w:rPr>
            </w:pPr>
            <w:r>
              <w:rPr>
                <w:rFonts w:ascii="Arial" w:cs="Arial" w:eastAsia="Arial" w:hAnsi="Arial"/>
                <w:sz w:val="18"/>
                <w:szCs w:val="18"/>
                <w:b w:val="1"/>
                <w:bCs w:val="1"/>
                <w:color w:val="auto"/>
              </w:rPr>
              <w:t>ARTICLE VII HOLDERS’ LISTS AND REPORTS BY TRUSTEE AND COMPANY</w:t>
            </w:r>
          </w:p>
        </w:tc>
        <w:tc>
          <w:tcPr>
            <w:tcW w:w="1240" w:type="dxa"/>
            <w:vAlign w:val="bottom"/>
          </w:tcPr>
          <w:p>
            <w:pPr>
              <w:jc w:val="right"/>
              <w:spacing w:after="0"/>
              <w:rPr>
                <w:sz w:val="20"/>
                <w:szCs w:val="20"/>
                <w:color w:val="auto"/>
              </w:rPr>
            </w:pPr>
            <w:r>
              <w:rPr>
                <w:rFonts w:ascii="Arial" w:cs="Arial" w:eastAsia="Arial" w:hAnsi="Arial"/>
                <w:sz w:val="18"/>
                <w:szCs w:val="18"/>
                <w:b w:val="1"/>
                <w:bCs w:val="1"/>
                <w:color w:val="auto"/>
              </w:rPr>
              <w:t>44</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701.</w:t>
            </w:r>
          </w:p>
        </w:tc>
        <w:tc>
          <w:tcPr>
            <w:tcW w:w="8680" w:type="dxa"/>
            <w:vAlign w:val="bottom"/>
          </w:tcPr>
          <w:p>
            <w:pPr>
              <w:ind w:left="260"/>
              <w:spacing w:after="0"/>
              <w:rPr>
                <w:sz w:val="20"/>
                <w:szCs w:val="20"/>
                <w:color w:val="auto"/>
              </w:rPr>
            </w:pPr>
            <w:r>
              <w:rPr>
                <w:rFonts w:ascii="Arial" w:cs="Arial" w:eastAsia="Arial" w:hAnsi="Arial"/>
                <w:sz w:val="18"/>
                <w:szCs w:val="18"/>
                <w:color w:val="auto"/>
              </w:rPr>
              <w:t>Company to Furnish Trustee Names and Addresses of Holders</w:t>
            </w:r>
          </w:p>
        </w:tc>
        <w:tc>
          <w:tcPr>
            <w:tcW w:w="12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702.</w:t>
            </w:r>
          </w:p>
        </w:tc>
        <w:tc>
          <w:tcPr>
            <w:tcW w:w="8680" w:type="dxa"/>
            <w:vAlign w:val="bottom"/>
          </w:tcPr>
          <w:p>
            <w:pPr>
              <w:ind w:left="260"/>
              <w:spacing w:after="0"/>
              <w:rPr>
                <w:sz w:val="20"/>
                <w:szCs w:val="20"/>
                <w:color w:val="auto"/>
              </w:rPr>
            </w:pPr>
            <w:r>
              <w:rPr>
                <w:rFonts w:ascii="Arial" w:cs="Arial" w:eastAsia="Arial" w:hAnsi="Arial"/>
                <w:sz w:val="18"/>
                <w:szCs w:val="18"/>
                <w:color w:val="auto"/>
              </w:rPr>
              <w:t>Preservation of Information; Communications to Holders</w:t>
            </w:r>
          </w:p>
        </w:tc>
        <w:tc>
          <w:tcPr>
            <w:tcW w:w="12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440" w:type="dxa"/>
            <w:vAlign w:val="bottom"/>
          </w:tcPr>
          <w:p>
            <w:pPr>
              <w:ind w:left="280"/>
              <w:spacing w:after="0"/>
              <w:rPr>
                <w:sz w:val="20"/>
                <w:szCs w:val="20"/>
                <w:color w:val="auto"/>
              </w:rPr>
            </w:pPr>
            <w:r>
              <w:rPr>
                <w:rFonts w:ascii="Arial" w:cs="Arial" w:eastAsia="Arial" w:hAnsi="Arial"/>
                <w:sz w:val="18"/>
                <w:szCs w:val="18"/>
                <w:color w:val="auto"/>
              </w:rPr>
              <w:t>Section 703.</w:t>
            </w:r>
          </w:p>
        </w:tc>
        <w:tc>
          <w:tcPr>
            <w:tcW w:w="8680" w:type="dxa"/>
            <w:vAlign w:val="bottom"/>
          </w:tcPr>
          <w:p>
            <w:pPr>
              <w:ind w:left="260"/>
              <w:spacing w:after="0"/>
              <w:rPr>
                <w:sz w:val="20"/>
                <w:szCs w:val="20"/>
                <w:color w:val="auto"/>
              </w:rPr>
            </w:pPr>
            <w:r>
              <w:rPr>
                <w:rFonts w:ascii="Arial" w:cs="Arial" w:eastAsia="Arial" w:hAnsi="Arial"/>
                <w:sz w:val="18"/>
                <w:szCs w:val="18"/>
                <w:color w:val="auto"/>
              </w:rPr>
              <w:t>Reports by Trustee</w:t>
            </w:r>
          </w:p>
        </w:tc>
        <w:tc>
          <w:tcPr>
            <w:tcW w:w="12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704.</w:t>
            </w:r>
          </w:p>
        </w:tc>
        <w:tc>
          <w:tcPr>
            <w:tcW w:w="8680" w:type="dxa"/>
            <w:vAlign w:val="bottom"/>
          </w:tcPr>
          <w:p>
            <w:pPr>
              <w:ind w:left="260"/>
              <w:spacing w:after="0"/>
              <w:rPr>
                <w:sz w:val="20"/>
                <w:szCs w:val="20"/>
                <w:color w:val="auto"/>
              </w:rPr>
            </w:pPr>
            <w:r>
              <w:rPr>
                <w:rFonts w:ascii="Arial" w:cs="Arial" w:eastAsia="Arial" w:hAnsi="Arial"/>
                <w:sz w:val="18"/>
                <w:szCs w:val="18"/>
                <w:color w:val="auto"/>
              </w:rPr>
              <w:t>Reports by Company</w:t>
            </w:r>
          </w:p>
        </w:tc>
        <w:tc>
          <w:tcPr>
            <w:tcW w:w="124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324"/>
        </w:trPr>
        <w:tc>
          <w:tcPr>
            <w:tcW w:w="10120" w:type="dxa"/>
            <w:vAlign w:val="bottom"/>
            <w:gridSpan w:val="2"/>
          </w:tcPr>
          <w:p>
            <w:pPr>
              <w:spacing w:after="0"/>
              <w:rPr>
                <w:sz w:val="20"/>
                <w:szCs w:val="20"/>
                <w:color w:val="auto"/>
              </w:rPr>
            </w:pPr>
            <w:r>
              <w:rPr>
                <w:rFonts w:ascii="Arial" w:cs="Arial" w:eastAsia="Arial" w:hAnsi="Arial"/>
                <w:sz w:val="18"/>
                <w:szCs w:val="18"/>
                <w:b w:val="1"/>
                <w:bCs w:val="1"/>
                <w:color w:val="auto"/>
              </w:rPr>
              <w:t>ARTICLE VIII CONSOLIDATION, MERGER AND SALE OF ASSETS</w:t>
            </w:r>
          </w:p>
        </w:tc>
        <w:tc>
          <w:tcPr>
            <w:tcW w:w="1240" w:type="dxa"/>
            <w:vAlign w:val="bottom"/>
          </w:tcPr>
          <w:p>
            <w:pPr>
              <w:jc w:val="right"/>
              <w:spacing w:after="0"/>
              <w:rPr>
                <w:sz w:val="20"/>
                <w:szCs w:val="20"/>
                <w:color w:val="auto"/>
              </w:rPr>
            </w:pPr>
            <w:r>
              <w:rPr>
                <w:rFonts w:ascii="Arial" w:cs="Arial" w:eastAsia="Arial" w:hAnsi="Arial"/>
                <w:sz w:val="18"/>
                <w:szCs w:val="18"/>
                <w:b w:val="1"/>
                <w:bCs w:val="1"/>
                <w:color w:val="auto"/>
              </w:rPr>
              <w:t>45</w:t>
            </w:r>
          </w:p>
        </w:tc>
      </w:tr>
      <w:tr>
        <w:trPr>
          <w:trHeight w:val="310"/>
        </w:trPr>
        <w:tc>
          <w:tcPr>
            <w:tcW w:w="1440" w:type="dxa"/>
            <w:vAlign w:val="bottom"/>
          </w:tcPr>
          <w:p>
            <w:pPr>
              <w:ind w:left="280"/>
              <w:spacing w:after="0"/>
              <w:rPr>
                <w:sz w:val="20"/>
                <w:szCs w:val="20"/>
                <w:color w:val="auto"/>
              </w:rPr>
            </w:pPr>
            <w:r>
              <w:rPr>
                <w:rFonts w:ascii="Arial" w:cs="Arial" w:eastAsia="Arial" w:hAnsi="Arial"/>
                <w:sz w:val="18"/>
                <w:szCs w:val="18"/>
                <w:color w:val="auto"/>
              </w:rPr>
              <w:t>Section 801.</w:t>
            </w:r>
          </w:p>
        </w:tc>
        <w:tc>
          <w:tcPr>
            <w:tcW w:w="8680" w:type="dxa"/>
            <w:vAlign w:val="bottom"/>
          </w:tcPr>
          <w:p>
            <w:pPr>
              <w:ind w:left="260"/>
              <w:spacing w:after="0"/>
              <w:rPr>
                <w:sz w:val="20"/>
                <w:szCs w:val="20"/>
                <w:color w:val="auto"/>
              </w:rPr>
            </w:pPr>
            <w:r>
              <w:rPr>
                <w:rFonts w:ascii="Arial" w:cs="Arial" w:eastAsia="Arial" w:hAnsi="Arial"/>
                <w:sz w:val="18"/>
                <w:szCs w:val="18"/>
                <w:color w:val="auto"/>
              </w:rPr>
              <w:t>Company May Merge or Transfer Assets Only on Certain Terms</w:t>
            </w:r>
          </w:p>
        </w:tc>
        <w:tc>
          <w:tcPr>
            <w:tcW w:w="124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30"/>
        </w:trPr>
        <w:tc>
          <w:tcPr>
            <w:tcW w:w="1440" w:type="dxa"/>
            <w:vAlign w:val="bottom"/>
          </w:tcPr>
          <w:p>
            <w:pPr>
              <w:ind w:left="280"/>
              <w:spacing w:after="0"/>
              <w:rPr>
                <w:sz w:val="20"/>
                <w:szCs w:val="20"/>
                <w:color w:val="auto"/>
              </w:rPr>
            </w:pPr>
            <w:r>
              <w:rPr>
                <w:rFonts w:ascii="Arial" w:cs="Arial" w:eastAsia="Arial" w:hAnsi="Arial"/>
                <w:sz w:val="18"/>
                <w:szCs w:val="18"/>
                <w:color w:val="auto"/>
              </w:rPr>
              <w:t>Section 802.</w:t>
            </w:r>
          </w:p>
        </w:tc>
        <w:tc>
          <w:tcPr>
            <w:tcW w:w="8680" w:type="dxa"/>
            <w:vAlign w:val="bottom"/>
          </w:tcPr>
          <w:p>
            <w:pPr>
              <w:ind w:left="260"/>
              <w:spacing w:after="0"/>
              <w:rPr>
                <w:sz w:val="20"/>
                <w:szCs w:val="20"/>
                <w:color w:val="auto"/>
              </w:rPr>
            </w:pPr>
            <w:r>
              <w:rPr>
                <w:rFonts w:ascii="Arial" w:cs="Arial" w:eastAsia="Arial" w:hAnsi="Arial"/>
                <w:sz w:val="18"/>
                <w:szCs w:val="18"/>
                <w:color w:val="auto"/>
              </w:rPr>
              <w:t>Successor Corporation Substituted</w:t>
            </w:r>
          </w:p>
        </w:tc>
        <w:tc>
          <w:tcPr>
            <w:tcW w:w="1240" w:type="dxa"/>
            <w:vAlign w:val="bottom"/>
          </w:tcPr>
          <w:p>
            <w:pPr>
              <w:jc w:val="right"/>
              <w:spacing w:after="0"/>
              <w:rPr>
                <w:sz w:val="20"/>
                <w:szCs w:val="20"/>
                <w:color w:val="auto"/>
              </w:rPr>
            </w:pPr>
            <w:r>
              <w:rPr>
                <w:rFonts w:ascii="Arial" w:cs="Arial" w:eastAsia="Arial" w:hAnsi="Arial"/>
                <w:sz w:val="18"/>
                <w:szCs w:val="18"/>
                <w:color w:val="auto"/>
              </w:rPr>
              <w:t>45</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360"/>
          </w:cols>
          <w:pgMar w:left="240" w:top="270" w:right="299" w:bottom="1440" w:gutter="0" w:footer="0" w:header="0"/>
        </w:sectPr>
      </w:pPr>
    </w:p>
    <w:bookmarkStart w:id="45" w:name="page46"/>
    <w:bookmarkEnd w:id="45"/>
    <w:tbl>
      <w:tblPr>
        <w:tblLayout w:type="fixed"/>
        <w:tblInd w:w="0" w:type="dxa"/>
        <w:tblCellMar>
          <w:top w:w="0" w:type="dxa"/>
          <w:left w:w="0" w:type="dxa"/>
          <w:bottom w:w="0" w:type="dxa"/>
          <w:right w:w="0" w:type="dxa"/>
        </w:tblCellMar>
      </w:tblPr>
      <w:tr>
        <w:trPr>
          <w:trHeight w:val="234"/>
        </w:trPr>
        <w:tc>
          <w:tcPr>
            <w:tcW w:w="10020" w:type="dxa"/>
            <w:vAlign w:val="bottom"/>
            <w:gridSpan w:val="2"/>
          </w:tcPr>
          <w:p>
            <w:pPr>
              <w:spacing w:after="0"/>
              <w:rPr>
                <w:sz w:val="20"/>
                <w:szCs w:val="20"/>
                <w:color w:val="auto"/>
              </w:rPr>
            </w:pPr>
            <w:r>
              <w:rPr>
                <w:rFonts w:ascii="Arial" w:cs="Arial" w:eastAsia="Arial" w:hAnsi="Arial"/>
                <w:sz w:val="18"/>
                <w:szCs w:val="18"/>
                <w:b w:val="1"/>
                <w:bCs w:val="1"/>
                <w:color w:val="auto"/>
              </w:rPr>
              <w:t>ARTICLE IX SUPPLEMENTAL INDENTURES</w:t>
            </w:r>
          </w:p>
        </w:tc>
        <w:tc>
          <w:tcPr>
            <w:tcW w:w="1340" w:type="dxa"/>
            <w:vAlign w:val="bottom"/>
          </w:tcPr>
          <w:p>
            <w:pPr>
              <w:jc w:val="right"/>
              <w:spacing w:after="0"/>
              <w:rPr>
                <w:sz w:val="20"/>
                <w:szCs w:val="20"/>
                <w:color w:val="auto"/>
              </w:rPr>
            </w:pPr>
            <w:r>
              <w:rPr>
                <w:rFonts w:ascii="Arial" w:cs="Arial" w:eastAsia="Arial" w:hAnsi="Arial"/>
                <w:sz w:val="18"/>
                <w:szCs w:val="18"/>
                <w:b w:val="1"/>
                <w:bCs w:val="1"/>
                <w:color w:val="auto"/>
              </w:rPr>
              <w:t>46</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901.</w:t>
            </w:r>
          </w:p>
        </w:tc>
        <w:tc>
          <w:tcPr>
            <w:tcW w:w="8540" w:type="dxa"/>
            <w:vAlign w:val="bottom"/>
          </w:tcPr>
          <w:p>
            <w:pPr>
              <w:ind w:left="220"/>
              <w:spacing w:after="0"/>
              <w:rPr>
                <w:sz w:val="20"/>
                <w:szCs w:val="20"/>
                <w:color w:val="auto"/>
              </w:rPr>
            </w:pPr>
            <w:r>
              <w:rPr>
                <w:rFonts w:ascii="Arial" w:cs="Arial" w:eastAsia="Arial" w:hAnsi="Arial"/>
                <w:sz w:val="18"/>
                <w:szCs w:val="18"/>
                <w:color w:val="auto"/>
              </w:rPr>
              <w:t>Supplemental Indentures Without Consent of Holders</w:t>
            </w:r>
          </w:p>
        </w:tc>
        <w:tc>
          <w:tcPr>
            <w:tcW w:w="134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902.</w:t>
            </w:r>
          </w:p>
        </w:tc>
        <w:tc>
          <w:tcPr>
            <w:tcW w:w="8540" w:type="dxa"/>
            <w:vAlign w:val="bottom"/>
          </w:tcPr>
          <w:p>
            <w:pPr>
              <w:ind w:left="220"/>
              <w:spacing w:after="0"/>
              <w:rPr>
                <w:sz w:val="20"/>
                <w:szCs w:val="20"/>
                <w:color w:val="auto"/>
              </w:rPr>
            </w:pPr>
            <w:r>
              <w:rPr>
                <w:rFonts w:ascii="Arial" w:cs="Arial" w:eastAsia="Arial" w:hAnsi="Arial"/>
                <w:sz w:val="18"/>
                <w:szCs w:val="18"/>
                <w:color w:val="auto"/>
              </w:rPr>
              <w:t>Supplemental Indentures With Consent of Holders</w:t>
            </w:r>
          </w:p>
        </w:tc>
        <w:tc>
          <w:tcPr>
            <w:tcW w:w="134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903.</w:t>
            </w:r>
          </w:p>
        </w:tc>
        <w:tc>
          <w:tcPr>
            <w:tcW w:w="8540" w:type="dxa"/>
            <w:vAlign w:val="bottom"/>
          </w:tcPr>
          <w:p>
            <w:pPr>
              <w:ind w:left="220"/>
              <w:spacing w:after="0"/>
              <w:rPr>
                <w:sz w:val="20"/>
                <w:szCs w:val="20"/>
                <w:color w:val="auto"/>
              </w:rPr>
            </w:pPr>
            <w:r>
              <w:rPr>
                <w:rFonts w:ascii="Arial" w:cs="Arial" w:eastAsia="Arial" w:hAnsi="Arial"/>
                <w:sz w:val="18"/>
                <w:szCs w:val="18"/>
                <w:color w:val="auto"/>
              </w:rPr>
              <w:t>Execution of Supplemental Indentures</w:t>
            </w:r>
          </w:p>
        </w:tc>
        <w:tc>
          <w:tcPr>
            <w:tcW w:w="13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904.</w:t>
            </w:r>
          </w:p>
        </w:tc>
        <w:tc>
          <w:tcPr>
            <w:tcW w:w="8540" w:type="dxa"/>
            <w:vAlign w:val="bottom"/>
          </w:tcPr>
          <w:p>
            <w:pPr>
              <w:ind w:left="220"/>
              <w:spacing w:after="0"/>
              <w:rPr>
                <w:sz w:val="20"/>
                <w:szCs w:val="20"/>
                <w:color w:val="auto"/>
              </w:rPr>
            </w:pPr>
            <w:r>
              <w:rPr>
                <w:rFonts w:ascii="Arial" w:cs="Arial" w:eastAsia="Arial" w:hAnsi="Arial"/>
                <w:sz w:val="18"/>
                <w:szCs w:val="18"/>
                <w:color w:val="auto"/>
              </w:rPr>
              <w:t>Effect of Supplemental Indentures</w:t>
            </w:r>
          </w:p>
        </w:tc>
        <w:tc>
          <w:tcPr>
            <w:tcW w:w="13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905.</w:t>
            </w:r>
          </w:p>
        </w:tc>
        <w:tc>
          <w:tcPr>
            <w:tcW w:w="8540" w:type="dxa"/>
            <w:vAlign w:val="bottom"/>
          </w:tcPr>
          <w:p>
            <w:pPr>
              <w:ind w:left="220"/>
              <w:spacing w:after="0"/>
              <w:rPr>
                <w:sz w:val="20"/>
                <w:szCs w:val="20"/>
                <w:color w:val="auto"/>
              </w:rPr>
            </w:pPr>
            <w:r>
              <w:rPr>
                <w:rFonts w:ascii="Arial" w:cs="Arial" w:eastAsia="Arial" w:hAnsi="Arial"/>
                <w:sz w:val="18"/>
                <w:szCs w:val="18"/>
                <w:color w:val="auto"/>
              </w:rPr>
              <w:t>Conformity with Trust Indenture Act</w:t>
            </w:r>
          </w:p>
        </w:tc>
        <w:tc>
          <w:tcPr>
            <w:tcW w:w="13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906.</w:t>
            </w:r>
          </w:p>
        </w:tc>
        <w:tc>
          <w:tcPr>
            <w:tcW w:w="8540" w:type="dxa"/>
            <w:vAlign w:val="bottom"/>
          </w:tcPr>
          <w:p>
            <w:pPr>
              <w:ind w:left="220"/>
              <w:spacing w:after="0"/>
              <w:rPr>
                <w:sz w:val="20"/>
                <w:szCs w:val="20"/>
                <w:color w:val="auto"/>
              </w:rPr>
            </w:pPr>
            <w:r>
              <w:rPr>
                <w:rFonts w:ascii="Arial" w:cs="Arial" w:eastAsia="Arial" w:hAnsi="Arial"/>
                <w:sz w:val="18"/>
                <w:szCs w:val="18"/>
                <w:color w:val="auto"/>
              </w:rPr>
              <w:t>Reference in Securities to Supplemental Indentures</w:t>
            </w:r>
          </w:p>
        </w:tc>
        <w:tc>
          <w:tcPr>
            <w:tcW w:w="13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324"/>
        </w:trPr>
        <w:tc>
          <w:tcPr>
            <w:tcW w:w="10020" w:type="dxa"/>
            <w:vAlign w:val="bottom"/>
            <w:gridSpan w:val="2"/>
          </w:tcPr>
          <w:p>
            <w:pPr>
              <w:spacing w:after="0"/>
              <w:rPr>
                <w:sz w:val="20"/>
                <w:szCs w:val="20"/>
                <w:color w:val="auto"/>
              </w:rPr>
            </w:pPr>
            <w:r>
              <w:rPr>
                <w:rFonts w:ascii="Arial" w:cs="Arial" w:eastAsia="Arial" w:hAnsi="Arial"/>
                <w:sz w:val="18"/>
                <w:szCs w:val="18"/>
                <w:b w:val="1"/>
                <w:bCs w:val="1"/>
                <w:color w:val="auto"/>
              </w:rPr>
              <w:t>ARTICLE X COVENANTS</w:t>
            </w:r>
          </w:p>
        </w:tc>
        <w:tc>
          <w:tcPr>
            <w:tcW w:w="1340" w:type="dxa"/>
            <w:vAlign w:val="bottom"/>
          </w:tcPr>
          <w:p>
            <w:pPr>
              <w:jc w:val="right"/>
              <w:spacing w:after="0"/>
              <w:rPr>
                <w:sz w:val="20"/>
                <w:szCs w:val="20"/>
                <w:color w:val="auto"/>
              </w:rPr>
            </w:pPr>
            <w:r>
              <w:rPr>
                <w:rFonts w:ascii="Arial" w:cs="Arial" w:eastAsia="Arial" w:hAnsi="Arial"/>
                <w:sz w:val="18"/>
                <w:szCs w:val="18"/>
                <w:b w:val="1"/>
                <w:bCs w:val="1"/>
                <w:color w:val="auto"/>
              </w:rPr>
              <w:t>49</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1001.</w:t>
            </w:r>
          </w:p>
        </w:tc>
        <w:tc>
          <w:tcPr>
            <w:tcW w:w="8540" w:type="dxa"/>
            <w:vAlign w:val="bottom"/>
          </w:tcPr>
          <w:p>
            <w:pPr>
              <w:ind w:left="220"/>
              <w:spacing w:after="0"/>
              <w:rPr>
                <w:sz w:val="20"/>
                <w:szCs w:val="20"/>
                <w:color w:val="auto"/>
              </w:rPr>
            </w:pPr>
            <w:r>
              <w:rPr>
                <w:rFonts w:ascii="Arial" w:cs="Arial" w:eastAsia="Arial" w:hAnsi="Arial"/>
                <w:sz w:val="18"/>
                <w:szCs w:val="18"/>
                <w:color w:val="auto"/>
              </w:rPr>
              <w:t>Payment of Principal, Premium, if any, and Interest</w:t>
            </w:r>
          </w:p>
        </w:tc>
        <w:tc>
          <w:tcPr>
            <w:tcW w:w="13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1002.</w:t>
            </w:r>
          </w:p>
        </w:tc>
        <w:tc>
          <w:tcPr>
            <w:tcW w:w="8540" w:type="dxa"/>
            <w:vAlign w:val="bottom"/>
          </w:tcPr>
          <w:p>
            <w:pPr>
              <w:ind w:left="220"/>
              <w:spacing w:after="0"/>
              <w:rPr>
                <w:sz w:val="20"/>
                <w:szCs w:val="20"/>
                <w:color w:val="auto"/>
              </w:rPr>
            </w:pPr>
            <w:r>
              <w:rPr>
                <w:rFonts w:ascii="Arial" w:cs="Arial" w:eastAsia="Arial" w:hAnsi="Arial"/>
                <w:sz w:val="18"/>
                <w:szCs w:val="18"/>
                <w:color w:val="auto"/>
              </w:rPr>
              <w:t>Corporate Existence</w:t>
            </w:r>
          </w:p>
        </w:tc>
        <w:tc>
          <w:tcPr>
            <w:tcW w:w="134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1003.</w:t>
            </w:r>
          </w:p>
        </w:tc>
        <w:tc>
          <w:tcPr>
            <w:tcW w:w="8540" w:type="dxa"/>
            <w:vAlign w:val="bottom"/>
          </w:tcPr>
          <w:p>
            <w:pPr>
              <w:ind w:left="220"/>
              <w:spacing w:after="0"/>
              <w:rPr>
                <w:sz w:val="20"/>
                <w:szCs w:val="20"/>
                <w:color w:val="auto"/>
              </w:rPr>
            </w:pPr>
            <w:r>
              <w:rPr>
                <w:rFonts w:ascii="Arial" w:cs="Arial" w:eastAsia="Arial" w:hAnsi="Arial"/>
                <w:sz w:val="18"/>
                <w:szCs w:val="18"/>
                <w:color w:val="auto"/>
              </w:rPr>
              <w:t>Maintenance of Office or Agency</w:t>
            </w:r>
          </w:p>
        </w:tc>
        <w:tc>
          <w:tcPr>
            <w:tcW w:w="134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1004.</w:t>
            </w:r>
          </w:p>
        </w:tc>
        <w:tc>
          <w:tcPr>
            <w:tcW w:w="8540" w:type="dxa"/>
            <w:vAlign w:val="bottom"/>
          </w:tcPr>
          <w:p>
            <w:pPr>
              <w:ind w:left="220"/>
              <w:spacing w:after="0"/>
              <w:rPr>
                <w:sz w:val="20"/>
                <w:szCs w:val="20"/>
                <w:color w:val="auto"/>
              </w:rPr>
            </w:pPr>
            <w:r>
              <w:rPr>
                <w:rFonts w:ascii="Arial" w:cs="Arial" w:eastAsia="Arial" w:hAnsi="Arial"/>
                <w:sz w:val="18"/>
                <w:szCs w:val="18"/>
                <w:color w:val="auto"/>
              </w:rPr>
              <w:t>Money for Securities Payments to Be Held in Trust</w:t>
            </w:r>
          </w:p>
        </w:tc>
        <w:tc>
          <w:tcPr>
            <w:tcW w:w="134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1005.</w:t>
            </w:r>
          </w:p>
        </w:tc>
        <w:tc>
          <w:tcPr>
            <w:tcW w:w="8540" w:type="dxa"/>
            <w:vAlign w:val="bottom"/>
          </w:tcPr>
          <w:p>
            <w:pPr>
              <w:ind w:left="220"/>
              <w:spacing w:after="0"/>
              <w:rPr>
                <w:sz w:val="20"/>
                <w:szCs w:val="20"/>
                <w:color w:val="auto"/>
              </w:rPr>
            </w:pPr>
            <w:r>
              <w:rPr>
                <w:rFonts w:ascii="Arial" w:cs="Arial" w:eastAsia="Arial" w:hAnsi="Arial"/>
                <w:sz w:val="18"/>
                <w:szCs w:val="18"/>
                <w:color w:val="auto"/>
              </w:rPr>
              <w:t>Payment of Additional Amounts</w:t>
            </w:r>
          </w:p>
        </w:tc>
        <w:tc>
          <w:tcPr>
            <w:tcW w:w="134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1006.</w:t>
            </w:r>
          </w:p>
        </w:tc>
        <w:tc>
          <w:tcPr>
            <w:tcW w:w="8540" w:type="dxa"/>
            <w:vAlign w:val="bottom"/>
          </w:tcPr>
          <w:p>
            <w:pPr>
              <w:ind w:left="220"/>
              <w:spacing w:after="0"/>
              <w:rPr>
                <w:sz w:val="20"/>
                <w:szCs w:val="20"/>
                <w:color w:val="auto"/>
              </w:rPr>
            </w:pPr>
            <w:r>
              <w:rPr>
                <w:rFonts w:ascii="Arial" w:cs="Arial" w:eastAsia="Arial" w:hAnsi="Arial"/>
                <w:sz w:val="18"/>
                <w:szCs w:val="18"/>
                <w:color w:val="auto"/>
              </w:rPr>
              <w:t>[Reserved]</w:t>
            </w:r>
          </w:p>
        </w:tc>
        <w:tc>
          <w:tcPr>
            <w:tcW w:w="134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1007.</w:t>
            </w:r>
          </w:p>
        </w:tc>
        <w:tc>
          <w:tcPr>
            <w:tcW w:w="8540" w:type="dxa"/>
            <w:vAlign w:val="bottom"/>
          </w:tcPr>
          <w:p>
            <w:pPr>
              <w:ind w:left="220"/>
              <w:spacing w:after="0"/>
              <w:rPr>
                <w:sz w:val="20"/>
                <w:szCs w:val="20"/>
                <w:color w:val="auto"/>
              </w:rPr>
            </w:pPr>
            <w:r>
              <w:rPr>
                <w:rFonts w:ascii="Arial" w:cs="Arial" w:eastAsia="Arial" w:hAnsi="Arial"/>
                <w:sz w:val="18"/>
                <w:szCs w:val="18"/>
                <w:color w:val="auto"/>
              </w:rPr>
              <w:t>Statement by Officers as to Default</w:t>
            </w:r>
          </w:p>
        </w:tc>
        <w:tc>
          <w:tcPr>
            <w:tcW w:w="134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1008.</w:t>
            </w:r>
          </w:p>
        </w:tc>
        <w:tc>
          <w:tcPr>
            <w:tcW w:w="8540" w:type="dxa"/>
            <w:vAlign w:val="bottom"/>
          </w:tcPr>
          <w:p>
            <w:pPr>
              <w:ind w:left="220"/>
              <w:spacing w:after="0"/>
              <w:rPr>
                <w:sz w:val="20"/>
                <w:szCs w:val="20"/>
                <w:color w:val="auto"/>
              </w:rPr>
            </w:pPr>
            <w:r>
              <w:rPr>
                <w:rFonts w:ascii="Arial" w:cs="Arial" w:eastAsia="Arial" w:hAnsi="Arial"/>
                <w:sz w:val="18"/>
                <w:szCs w:val="18"/>
                <w:color w:val="auto"/>
              </w:rPr>
              <w:t>Provision of Financial Information</w:t>
            </w:r>
          </w:p>
        </w:tc>
        <w:tc>
          <w:tcPr>
            <w:tcW w:w="134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1009.</w:t>
            </w:r>
          </w:p>
        </w:tc>
        <w:tc>
          <w:tcPr>
            <w:tcW w:w="8540" w:type="dxa"/>
            <w:vAlign w:val="bottom"/>
          </w:tcPr>
          <w:p>
            <w:pPr>
              <w:ind w:left="220"/>
              <w:spacing w:after="0"/>
              <w:rPr>
                <w:sz w:val="20"/>
                <w:szCs w:val="20"/>
                <w:color w:val="auto"/>
              </w:rPr>
            </w:pPr>
            <w:r>
              <w:rPr>
                <w:rFonts w:ascii="Arial" w:cs="Arial" w:eastAsia="Arial" w:hAnsi="Arial"/>
                <w:sz w:val="18"/>
                <w:szCs w:val="18"/>
                <w:color w:val="auto"/>
              </w:rPr>
              <w:t>Waiver of Certain Covenants</w:t>
            </w:r>
          </w:p>
        </w:tc>
        <w:tc>
          <w:tcPr>
            <w:tcW w:w="134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324"/>
        </w:trPr>
        <w:tc>
          <w:tcPr>
            <w:tcW w:w="10020" w:type="dxa"/>
            <w:vAlign w:val="bottom"/>
            <w:gridSpan w:val="2"/>
          </w:tcPr>
          <w:p>
            <w:pPr>
              <w:spacing w:after="0"/>
              <w:rPr>
                <w:sz w:val="20"/>
                <w:szCs w:val="20"/>
                <w:color w:val="auto"/>
              </w:rPr>
            </w:pPr>
            <w:r>
              <w:rPr>
                <w:rFonts w:ascii="Arial" w:cs="Arial" w:eastAsia="Arial" w:hAnsi="Arial"/>
                <w:sz w:val="18"/>
                <w:szCs w:val="18"/>
                <w:b w:val="1"/>
                <w:bCs w:val="1"/>
                <w:color w:val="auto"/>
              </w:rPr>
              <w:t>ARTICLE XI REDEMPTION OF SECURITIES</w:t>
            </w:r>
          </w:p>
        </w:tc>
        <w:tc>
          <w:tcPr>
            <w:tcW w:w="1340" w:type="dxa"/>
            <w:vAlign w:val="bottom"/>
          </w:tcPr>
          <w:p>
            <w:pPr>
              <w:jc w:val="right"/>
              <w:spacing w:after="0"/>
              <w:rPr>
                <w:sz w:val="20"/>
                <w:szCs w:val="20"/>
                <w:color w:val="auto"/>
              </w:rPr>
            </w:pPr>
            <w:r>
              <w:rPr>
                <w:rFonts w:ascii="Arial" w:cs="Arial" w:eastAsia="Arial" w:hAnsi="Arial"/>
                <w:sz w:val="18"/>
                <w:szCs w:val="18"/>
                <w:b w:val="1"/>
                <w:bCs w:val="1"/>
                <w:color w:val="auto"/>
              </w:rPr>
              <w:t>54</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1101.</w:t>
            </w:r>
          </w:p>
        </w:tc>
        <w:tc>
          <w:tcPr>
            <w:tcW w:w="854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134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1102.</w:t>
            </w:r>
          </w:p>
        </w:tc>
        <w:tc>
          <w:tcPr>
            <w:tcW w:w="8540" w:type="dxa"/>
            <w:vAlign w:val="bottom"/>
          </w:tcPr>
          <w:p>
            <w:pPr>
              <w:ind w:left="220"/>
              <w:spacing w:after="0"/>
              <w:rPr>
                <w:sz w:val="20"/>
                <w:szCs w:val="20"/>
                <w:color w:val="auto"/>
              </w:rPr>
            </w:pPr>
            <w:r>
              <w:rPr>
                <w:rFonts w:ascii="Arial" w:cs="Arial" w:eastAsia="Arial" w:hAnsi="Arial"/>
                <w:sz w:val="18"/>
                <w:szCs w:val="18"/>
                <w:color w:val="auto"/>
              </w:rPr>
              <w:t>Election to Redeem; Notice to Trustee</w:t>
            </w:r>
          </w:p>
        </w:tc>
        <w:tc>
          <w:tcPr>
            <w:tcW w:w="134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1103.</w:t>
            </w:r>
          </w:p>
        </w:tc>
        <w:tc>
          <w:tcPr>
            <w:tcW w:w="8540" w:type="dxa"/>
            <w:vAlign w:val="bottom"/>
          </w:tcPr>
          <w:p>
            <w:pPr>
              <w:ind w:left="220"/>
              <w:spacing w:after="0"/>
              <w:rPr>
                <w:sz w:val="20"/>
                <w:szCs w:val="20"/>
                <w:color w:val="auto"/>
              </w:rPr>
            </w:pPr>
            <w:r>
              <w:rPr>
                <w:rFonts w:ascii="Arial" w:cs="Arial" w:eastAsia="Arial" w:hAnsi="Arial"/>
                <w:sz w:val="18"/>
                <w:szCs w:val="18"/>
                <w:color w:val="auto"/>
              </w:rPr>
              <w:t>Selection by Trustee of Securities to Be Redeemed</w:t>
            </w:r>
          </w:p>
        </w:tc>
        <w:tc>
          <w:tcPr>
            <w:tcW w:w="134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1104.</w:t>
            </w:r>
          </w:p>
        </w:tc>
        <w:tc>
          <w:tcPr>
            <w:tcW w:w="8540" w:type="dxa"/>
            <w:vAlign w:val="bottom"/>
          </w:tcPr>
          <w:p>
            <w:pPr>
              <w:ind w:left="220"/>
              <w:spacing w:after="0"/>
              <w:rPr>
                <w:sz w:val="20"/>
                <w:szCs w:val="20"/>
                <w:color w:val="auto"/>
              </w:rPr>
            </w:pPr>
            <w:r>
              <w:rPr>
                <w:rFonts w:ascii="Arial" w:cs="Arial" w:eastAsia="Arial" w:hAnsi="Arial"/>
                <w:sz w:val="18"/>
                <w:szCs w:val="18"/>
                <w:color w:val="auto"/>
              </w:rPr>
              <w:t>Notice of Redemption</w:t>
            </w:r>
          </w:p>
        </w:tc>
        <w:tc>
          <w:tcPr>
            <w:tcW w:w="134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1105.</w:t>
            </w:r>
          </w:p>
        </w:tc>
        <w:tc>
          <w:tcPr>
            <w:tcW w:w="8540" w:type="dxa"/>
            <w:vAlign w:val="bottom"/>
          </w:tcPr>
          <w:p>
            <w:pPr>
              <w:ind w:left="220"/>
              <w:spacing w:after="0"/>
              <w:rPr>
                <w:sz w:val="20"/>
                <w:szCs w:val="20"/>
                <w:color w:val="auto"/>
              </w:rPr>
            </w:pPr>
            <w:r>
              <w:rPr>
                <w:rFonts w:ascii="Arial" w:cs="Arial" w:eastAsia="Arial" w:hAnsi="Arial"/>
                <w:sz w:val="18"/>
                <w:szCs w:val="18"/>
                <w:color w:val="auto"/>
              </w:rPr>
              <w:t>Deposit of Redemption Price</w:t>
            </w:r>
          </w:p>
        </w:tc>
        <w:tc>
          <w:tcPr>
            <w:tcW w:w="134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1106.</w:t>
            </w:r>
          </w:p>
        </w:tc>
        <w:tc>
          <w:tcPr>
            <w:tcW w:w="8540" w:type="dxa"/>
            <w:vAlign w:val="bottom"/>
          </w:tcPr>
          <w:p>
            <w:pPr>
              <w:ind w:left="220"/>
              <w:spacing w:after="0"/>
              <w:rPr>
                <w:sz w:val="20"/>
                <w:szCs w:val="20"/>
                <w:color w:val="auto"/>
              </w:rPr>
            </w:pPr>
            <w:r>
              <w:rPr>
                <w:rFonts w:ascii="Arial" w:cs="Arial" w:eastAsia="Arial" w:hAnsi="Arial"/>
                <w:sz w:val="18"/>
                <w:szCs w:val="18"/>
                <w:color w:val="auto"/>
              </w:rPr>
              <w:t>Securities Payable on Redemption Date</w:t>
            </w:r>
          </w:p>
        </w:tc>
        <w:tc>
          <w:tcPr>
            <w:tcW w:w="134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1107.</w:t>
            </w:r>
          </w:p>
        </w:tc>
        <w:tc>
          <w:tcPr>
            <w:tcW w:w="8540" w:type="dxa"/>
            <w:vAlign w:val="bottom"/>
          </w:tcPr>
          <w:p>
            <w:pPr>
              <w:ind w:left="220"/>
              <w:spacing w:after="0"/>
              <w:rPr>
                <w:sz w:val="20"/>
                <w:szCs w:val="20"/>
                <w:color w:val="auto"/>
              </w:rPr>
            </w:pPr>
            <w:r>
              <w:rPr>
                <w:rFonts w:ascii="Arial" w:cs="Arial" w:eastAsia="Arial" w:hAnsi="Arial"/>
                <w:sz w:val="18"/>
                <w:szCs w:val="18"/>
                <w:color w:val="auto"/>
              </w:rPr>
              <w:t>Securities Redeemed in Part</w:t>
            </w:r>
          </w:p>
        </w:tc>
        <w:tc>
          <w:tcPr>
            <w:tcW w:w="134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1108.</w:t>
            </w:r>
          </w:p>
        </w:tc>
        <w:tc>
          <w:tcPr>
            <w:tcW w:w="8540" w:type="dxa"/>
            <w:vAlign w:val="bottom"/>
          </w:tcPr>
          <w:p>
            <w:pPr>
              <w:ind w:left="220"/>
              <w:spacing w:after="0"/>
              <w:rPr>
                <w:sz w:val="20"/>
                <w:szCs w:val="20"/>
                <w:color w:val="auto"/>
              </w:rPr>
            </w:pPr>
            <w:r>
              <w:rPr>
                <w:rFonts w:ascii="Arial" w:cs="Arial" w:eastAsia="Arial" w:hAnsi="Arial"/>
                <w:sz w:val="18"/>
                <w:szCs w:val="18"/>
                <w:color w:val="auto"/>
              </w:rPr>
              <w:t>Redemption for Tax Purposes</w:t>
            </w:r>
          </w:p>
        </w:tc>
        <w:tc>
          <w:tcPr>
            <w:tcW w:w="134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324"/>
        </w:trPr>
        <w:tc>
          <w:tcPr>
            <w:tcW w:w="10020" w:type="dxa"/>
            <w:vAlign w:val="bottom"/>
            <w:gridSpan w:val="2"/>
          </w:tcPr>
          <w:p>
            <w:pPr>
              <w:spacing w:after="0"/>
              <w:rPr>
                <w:sz w:val="20"/>
                <w:szCs w:val="20"/>
                <w:color w:val="auto"/>
              </w:rPr>
            </w:pPr>
            <w:r>
              <w:rPr>
                <w:rFonts w:ascii="Arial" w:cs="Arial" w:eastAsia="Arial" w:hAnsi="Arial"/>
                <w:sz w:val="18"/>
                <w:szCs w:val="18"/>
                <w:b w:val="1"/>
                <w:bCs w:val="1"/>
                <w:color w:val="auto"/>
              </w:rPr>
              <w:t>ARTICLE XII SINKING FUNDS</w:t>
            </w:r>
          </w:p>
        </w:tc>
        <w:tc>
          <w:tcPr>
            <w:tcW w:w="1340" w:type="dxa"/>
            <w:vAlign w:val="bottom"/>
          </w:tcPr>
          <w:p>
            <w:pPr>
              <w:jc w:val="right"/>
              <w:spacing w:after="0"/>
              <w:rPr>
                <w:sz w:val="20"/>
                <w:szCs w:val="20"/>
                <w:color w:val="auto"/>
              </w:rPr>
            </w:pPr>
            <w:r>
              <w:rPr>
                <w:rFonts w:ascii="Arial" w:cs="Arial" w:eastAsia="Arial" w:hAnsi="Arial"/>
                <w:sz w:val="18"/>
                <w:szCs w:val="18"/>
                <w:b w:val="1"/>
                <w:bCs w:val="1"/>
                <w:color w:val="auto"/>
              </w:rPr>
              <w:t>58</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1201.</w:t>
            </w:r>
          </w:p>
        </w:tc>
        <w:tc>
          <w:tcPr>
            <w:tcW w:w="854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134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1202.</w:t>
            </w:r>
          </w:p>
        </w:tc>
        <w:tc>
          <w:tcPr>
            <w:tcW w:w="8540" w:type="dxa"/>
            <w:vAlign w:val="bottom"/>
          </w:tcPr>
          <w:p>
            <w:pPr>
              <w:ind w:left="220"/>
              <w:spacing w:after="0"/>
              <w:rPr>
                <w:sz w:val="20"/>
                <w:szCs w:val="20"/>
                <w:color w:val="auto"/>
              </w:rPr>
            </w:pPr>
            <w:r>
              <w:rPr>
                <w:rFonts w:ascii="Arial" w:cs="Arial" w:eastAsia="Arial" w:hAnsi="Arial"/>
                <w:sz w:val="18"/>
                <w:szCs w:val="18"/>
                <w:color w:val="auto"/>
              </w:rPr>
              <w:t>Satisfaction of Sinking Fund Payments with Securities</w:t>
            </w:r>
          </w:p>
        </w:tc>
        <w:tc>
          <w:tcPr>
            <w:tcW w:w="134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1203.</w:t>
            </w:r>
          </w:p>
        </w:tc>
        <w:tc>
          <w:tcPr>
            <w:tcW w:w="8540" w:type="dxa"/>
            <w:vAlign w:val="bottom"/>
          </w:tcPr>
          <w:p>
            <w:pPr>
              <w:ind w:left="220"/>
              <w:spacing w:after="0"/>
              <w:rPr>
                <w:sz w:val="20"/>
                <w:szCs w:val="20"/>
                <w:color w:val="auto"/>
              </w:rPr>
            </w:pPr>
            <w:r>
              <w:rPr>
                <w:rFonts w:ascii="Arial" w:cs="Arial" w:eastAsia="Arial" w:hAnsi="Arial"/>
                <w:sz w:val="18"/>
                <w:szCs w:val="18"/>
                <w:color w:val="auto"/>
              </w:rPr>
              <w:t>Redemption of Securities for Sinking Fund</w:t>
            </w:r>
          </w:p>
        </w:tc>
        <w:tc>
          <w:tcPr>
            <w:tcW w:w="134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324"/>
        </w:trPr>
        <w:tc>
          <w:tcPr>
            <w:tcW w:w="10020" w:type="dxa"/>
            <w:vAlign w:val="bottom"/>
            <w:gridSpan w:val="2"/>
          </w:tcPr>
          <w:p>
            <w:pPr>
              <w:spacing w:after="0"/>
              <w:rPr>
                <w:sz w:val="20"/>
                <w:szCs w:val="20"/>
                <w:color w:val="auto"/>
              </w:rPr>
            </w:pPr>
            <w:r>
              <w:rPr>
                <w:rFonts w:ascii="Arial" w:cs="Arial" w:eastAsia="Arial" w:hAnsi="Arial"/>
                <w:sz w:val="18"/>
                <w:szCs w:val="18"/>
                <w:b w:val="1"/>
                <w:bCs w:val="1"/>
                <w:color w:val="auto"/>
              </w:rPr>
              <w:t>ARTICLE XIII DEFEASANCE AND COVENANT DEFEASANCE</w:t>
            </w:r>
          </w:p>
        </w:tc>
        <w:tc>
          <w:tcPr>
            <w:tcW w:w="1340" w:type="dxa"/>
            <w:vAlign w:val="bottom"/>
          </w:tcPr>
          <w:p>
            <w:pPr>
              <w:jc w:val="right"/>
              <w:spacing w:after="0"/>
              <w:rPr>
                <w:sz w:val="20"/>
                <w:szCs w:val="20"/>
                <w:color w:val="auto"/>
              </w:rPr>
            </w:pPr>
            <w:r>
              <w:rPr>
                <w:rFonts w:ascii="Arial" w:cs="Arial" w:eastAsia="Arial" w:hAnsi="Arial"/>
                <w:sz w:val="18"/>
                <w:szCs w:val="18"/>
                <w:b w:val="1"/>
                <w:bCs w:val="1"/>
                <w:color w:val="auto"/>
              </w:rPr>
              <w:t>59</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1301.</w:t>
            </w:r>
          </w:p>
        </w:tc>
        <w:tc>
          <w:tcPr>
            <w:tcW w:w="8540" w:type="dxa"/>
            <w:vAlign w:val="bottom"/>
          </w:tcPr>
          <w:p>
            <w:pPr>
              <w:ind w:left="220"/>
              <w:spacing w:after="0"/>
              <w:rPr>
                <w:sz w:val="20"/>
                <w:szCs w:val="20"/>
                <w:color w:val="auto"/>
              </w:rPr>
            </w:pPr>
            <w:r>
              <w:rPr>
                <w:rFonts w:ascii="Arial" w:cs="Arial" w:eastAsia="Arial" w:hAnsi="Arial"/>
                <w:sz w:val="18"/>
                <w:szCs w:val="18"/>
                <w:color w:val="auto"/>
              </w:rPr>
              <w:t>Company’s Option to Effect Defeasance or Covenant Defeasance</w:t>
            </w:r>
          </w:p>
        </w:tc>
        <w:tc>
          <w:tcPr>
            <w:tcW w:w="134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1302.</w:t>
            </w:r>
          </w:p>
        </w:tc>
        <w:tc>
          <w:tcPr>
            <w:tcW w:w="8540" w:type="dxa"/>
            <w:vAlign w:val="bottom"/>
          </w:tcPr>
          <w:p>
            <w:pPr>
              <w:ind w:left="220"/>
              <w:spacing w:after="0"/>
              <w:rPr>
                <w:sz w:val="20"/>
                <w:szCs w:val="20"/>
                <w:color w:val="auto"/>
              </w:rPr>
            </w:pPr>
            <w:r>
              <w:rPr>
                <w:rFonts w:ascii="Arial" w:cs="Arial" w:eastAsia="Arial" w:hAnsi="Arial"/>
                <w:sz w:val="18"/>
                <w:szCs w:val="18"/>
                <w:color w:val="auto"/>
              </w:rPr>
              <w:t>Defeasance and Discharge</w:t>
            </w:r>
          </w:p>
        </w:tc>
        <w:tc>
          <w:tcPr>
            <w:tcW w:w="134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1303.</w:t>
            </w:r>
          </w:p>
        </w:tc>
        <w:tc>
          <w:tcPr>
            <w:tcW w:w="8540" w:type="dxa"/>
            <w:vAlign w:val="bottom"/>
          </w:tcPr>
          <w:p>
            <w:pPr>
              <w:ind w:left="220"/>
              <w:spacing w:after="0"/>
              <w:rPr>
                <w:sz w:val="20"/>
                <w:szCs w:val="20"/>
                <w:color w:val="auto"/>
              </w:rPr>
            </w:pPr>
            <w:r>
              <w:rPr>
                <w:rFonts w:ascii="Arial" w:cs="Arial" w:eastAsia="Arial" w:hAnsi="Arial"/>
                <w:sz w:val="18"/>
                <w:szCs w:val="18"/>
                <w:color w:val="auto"/>
              </w:rPr>
              <w:t>Covenant Defeasance</w:t>
            </w:r>
          </w:p>
        </w:tc>
        <w:tc>
          <w:tcPr>
            <w:tcW w:w="134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1304.</w:t>
            </w:r>
          </w:p>
        </w:tc>
        <w:tc>
          <w:tcPr>
            <w:tcW w:w="8540" w:type="dxa"/>
            <w:vAlign w:val="bottom"/>
          </w:tcPr>
          <w:p>
            <w:pPr>
              <w:ind w:left="220"/>
              <w:spacing w:after="0"/>
              <w:rPr>
                <w:sz w:val="20"/>
                <w:szCs w:val="20"/>
                <w:color w:val="auto"/>
              </w:rPr>
            </w:pPr>
            <w:r>
              <w:rPr>
                <w:rFonts w:ascii="Arial" w:cs="Arial" w:eastAsia="Arial" w:hAnsi="Arial"/>
                <w:sz w:val="18"/>
                <w:szCs w:val="18"/>
                <w:color w:val="auto"/>
              </w:rPr>
              <w:t>Conditions to Defeasance or Covenant Defeasance</w:t>
            </w:r>
          </w:p>
        </w:tc>
        <w:tc>
          <w:tcPr>
            <w:tcW w:w="134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1305.</w:t>
            </w:r>
          </w:p>
        </w:tc>
        <w:tc>
          <w:tcPr>
            <w:tcW w:w="8540" w:type="dxa"/>
            <w:vAlign w:val="bottom"/>
          </w:tcPr>
          <w:p>
            <w:pPr>
              <w:ind w:left="220"/>
              <w:spacing w:after="0"/>
              <w:rPr>
                <w:sz w:val="20"/>
                <w:szCs w:val="20"/>
                <w:color w:val="auto"/>
              </w:rPr>
            </w:pPr>
            <w:r>
              <w:rPr>
                <w:rFonts w:ascii="Arial" w:cs="Arial" w:eastAsia="Arial" w:hAnsi="Arial"/>
                <w:sz w:val="18"/>
                <w:szCs w:val="18"/>
                <w:color w:val="auto"/>
              </w:rPr>
              <w:t>Deposited Money and U.S. Government Obligations to Be Held in Trust; Miscellaneous Provisions</w:t>
            </w:r>
          </w:p>
        </w:tc>
        <w:tc>
          <w:tcPr>
            <w:tcW w:w="134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1306.</w:t>
            </w:r>
          </w:p>
        </w:tc>
        <w:tc>
          <w:tcPr>
            <w:tcW w:w="8540" w:type="dxa"/>
            <w:vAlign w:val="bottom"/>
          </w:tcPr>
          <w:p>
            <w:pPr>
              <w:ind w:left="220"/>
              <w:spacing w:after="0"/>
              <w:rPr>
                <w:sz w:val="20"/>
                <w:szCs w:val="20"/>
                <w:color w:val="auto"/>
              </w:rPr>
            </w:pPr>
            <w:r>
              <w:rPr>
                <w:rFonts w:ascii="Arial" w:cs="Arial" w:eastAsia="Arial" w:hAnsi="Arial"/>
                <w:sz w:val="18"/>
                <w:szCs w:val="18"/>
                <w:color w:val="auto"/>
              </w:rPr>
              <w:t>Reinstatement</w:t>
            </w:r>
          </w:p>
        </w:tc>
        <w:tc>
          <w:tcPr>
            <w:tcW w:w="1340" w:type="dxa"/>
            <w:vAlign w:val="bottom"/>
          </w:tcPr>
          <w:p>
            <w:pPr>
              <w:jc w:val="right"/>
              <w:spacing w:after="0"/>
              <w:rPr>
                <w:sz w:val="20"/>
                <w:szCs w:val="20"/>
                <w:color w:val="auto"/>
              </w:rPr>
            </w:pPr>
            <w:r>
              <w:rPr>
                <w:rFonts w:ascii="Arial" w:cs="Arial" w:eastAsia="Arial" w:hAnsi="Arial"/>
                <w:sz w:val="18"/>
                <w:szCs w:val="18"/>
                <w:color w:val="auto"/>
              </w:rPr>
              <w:t>62</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360"/>
          </w:cols>
          <w:pgMar w:left="240" w:top="270" w:right="299" w:bottom="1440" w:gutter="0" w:footer="0" w:header="0"/>
        </w:sectPr>
      </w:pPr>
    </w:p>
    <w:bookmarkStart w:id="46" w:name="page47"/>
    <w:bookmarkEnd w:id="46"/>
    <w:tbl>
      <w:tblPr>
        <w:tblLayout w:type="fixed"/>
        <w:tblInd w:w="0" w:type="dxa"/>
        <w:tblCellMar>
          <w:top w:w="0" w:type="dxa"/>
          <w:left w:w="0" w:type="dxa"/>
          <w:bottom w:w="0" w:type="dxa"/>
          <w:right w:w="0" w:type="dxa"/>
        </w:tblCellMar>
      </w:tblPr>
      <w:tr>
        <w:trPr>
          <w:trHeight w:val="234"/>
        </w:trPr>
        <w:tc>
          <w:tcPr>
            <w:tcW w:w="8920" w:type="dxa"/>
            <w:vAlign w:val="bottom"/>
            <w:gridSpan w:val="2"/>
          </w:tcPr>
          <w:p>
            <w:pPr>
              <w:spacing w:after="0"/>
              <w:rPr>
                <w:sz w:val="20"/>
                <w:szCs w:val="20"/>
                <w:color w:val="auto"/>
              </w:rPr>
            </w:pPr>
            <w:r>
              <w:rPr>
                <w:rFonts w:ascii="Arial" w:cs="Arial" w:eastAsia="Arial" w:hAnsi="Arial"/>
                <w:sz w:val="18"/>
                <w:szCs w:val="18"/>
                <w:b w:val="1"/>
                <w:bCs w:val="1"/>
                <w:color w:val="auto"/>
              </w:rPr>
              <w:t>ARTICLE XIV REPAYMENT AT THE OPTION OF HOLDERS</w:t>
            </w:r>
          </w:p>
        </w:tc>
        <w:tc>
          <w:tcPr>
            <w:tcW w:w="2440" w:type="dxa"/>
            <w:vAlign w:val="bottom"/>
          </w:tcPr>
          <w:p>
            <w:pPr>
              <w:jc w:val="right"/>
              <w:spacing w:after="0"/>
              <w:rPr>
                <w:sz w:val="20"/>
                <w:szCs w:val="20"/>
                <w:color w:val="auto"/>
              </w:rPr>
            </w:pPr>
            <w:r>
              <w:rPr>
                <w:rFonts w:ascii="Arial" w:cs="Arial" w:eastAsia="Arial" w:hAnsi="Arial"/>
                <w:sz w:val="18"/>
                <w:szCs w:val="18"/>
                <w:b w:val="1"/>
                <w:bCs w:val="1"/>
                <w:color w:val="auto"/>
              </w:rPr>
              <w:t>63</w:t>
            </w:r>
          </w:p>
        </w:tc>
      </w:tr>
      <w:tr>
        <w:trPr>
          <w:trHeight w:val="310"/>
        </w:trPr>
        <w:tc>
          <w:tcPr>
            <w:tcW w:w="1480" w:type="dxa"/>
            <w:vAlign w:val="bottom"/>
          </w:tcPr>
          <w:p>
            <w:pPr>
              <w:ind w:left="280"/>
              <w:spacing w:after="0"/>
              <w:rPr>
                <w:sz w:val="20"/>
                <w:szCs w:val="20"/>
                <w:color w:val="auto"/>
              </w:rPr>
            </w:pPr>
            <w:r>
              <w:rPr>
                <w:rFonts w:ascii="Arial" w:cs="Arial" w:eastAsia="Arial" w:hAnsi="Arial"/>
                <w:sz w:val="18"/>
                <w:szCs w:val="18"/>
                <w:color w:val="auto"/>
              </w:rPr>
              <w:t>Section 1401.</w:t>
            </w:r>
          </w:p>
        </w:tc>
        <w:tc>
          <w:tcPr>
            <w:tcW w:w="7440" w:type="dxa"/>
            <w:vAlign w:val="bottom"/>
          </w:tcPr>
          <w:p>
            <w:pPr>
              <w:ind w:left="220"/>
              <w:spacing w:after="0"/>
              <w:rPr>
                <w:sz w:val="20"/>
                <w:szCs w:val="20"/>
                <w:color w:val="auto"/>
              </w:rPr>
            </w:pPr>
            <w:r>
              <w:rPr>
                <w:rFonts w:ascii="Arial" w:cs="Arial" w:eastAsia="Arial" w:hAnsi="Arial"/>
                <w:sz w:val="18"/>
                <w:szCs w:val="18"/>
                <w:color w:val="auto"/>
              </w:rPr>
              <w:t>Applicability of Article</w:t>
            </w:r>
          </w:p>
        </w:tc>
        <w:tc>
          <w:tcPr>
            <w:tcW w:w="244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1402.</w:t>
            </w:r>
          </w:p>
        </w:tc>
        <w:tc>
          <w:tcPr>
            <w:tcW w:w="7440" w:type="dxa"/>
            <w:vAlign w:val="bottom"/>
          </w:tcPr>
          <w:p>
            <w:pPr>
              <w:ind w:left="220"/>
              <w:spacing w:after="0"/>
              <w:rPr>
                <w:sz w:val="20"/>
                <w:szCs w:val="20"/>
                <w:color w:val="auto"/>
              </w:rPr>
            </w:pPr>
            <w:r>
              <w:rPr>
                <w:rFonts w:ascii="Arial" w:cs="Arial" w:eastAsia="Arial" w:hAnsi="Arial"/>
                <w:sz w:val="18"/>
                <w:szCs w:val="18"/>
                <w:color w:val="auto"/>
              </w:rPr>
              <w:t>Repayment of Securities</w:t>
            </w:r>
          </w:p>
        </w:tc>
        <w:tc>
          <w:tcPr>
            <w:tcW w:w="244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1403.</w:t>
            </w:r>
          </w:p>
        </w:tc>
        <w:tc>
          <w:tcPr>
            <w:tcW w:w="7440" w:type="dxa"/>
            <w:vAlign w:val="bottom"/>
          </w:tcPr>
          <w:p>
            <w:pPr>
              <w:ind w:left="220"/>
              <w:spacing w:after="0"/>
              <w:rPr>
                <w:sz w:val="20"/>
                <w:szCs w:val="20"/>
                <w:color w:val="auto"/>
              </w:rPr>
            </w:pPr>
            <w:r>
              <w:rPr>
                <w:rFonts w:ascii="Arial" w:cs="Arial" w:eastAsia="Arial" w:hAnsi="Arial"/>
                <w:sz w:val="18"/>
                <w:szCs w:val="18"/>
                <w:color w:val="auto"/>
              </w:rPr>
              <w:t>Exercise of Option</w:t>
            </w:r>
          </w:p>
        </w:tc>
        <w:tc>
          <w:tcPr>
            <w:tcW w:w="244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1480" w:type="dxa"/>
            <w:vAlign w:val="bottom"/>
          </w:tcPr>
          <w:p>
            <w:pPr>
              <w:ind w:left="280"/>
              <w:spacing w:after="0"/>
              <w:rPr>
                <w:sz w:val="20"/>
                <w:szCs w:val="20"/>
                <w:color w:val="auto"/>
              </w:rPr>
            </w:pPr>
            <w:r>
              <w:rPr>
                <w:rFonts w:ascii="Arial" w:cs="Arial" w:eastAsia="Arial" w:hAnsi="Arial"/>
                <w:sz w:val="18"/>
                <w:szCs w:val="18"/>
                <w:color w:val="auto"/>
              </w:rPr>
              <w:t>Section 1404.</w:t>
            </w:r>
          </w:p>
        </w:tc>
        <w:tc>
          <w:tcPr>
            <w:tcW w:w="7440" w:type="dxa"/>
            <w:vAlign w:val="bottom"/>
          </w:tcPr>
          <w:p>
            <w:pPr>
              <w:ind w:left="220"/>
              <w:spacing w:after="0"/>
              <w:rPr>
                <w:sz w:val="20"/>
                <w:szCs w:val="20"/>
                <w:color w:val="auto"/>
              </w:rPr>
            </w:pPr>
            <w:r>
              <w:rPr>
                <w:rFonts w:ascii="Arial" w:cs="Arial" w:eastAsia="Arial" w:hAnsi="Arial"/>
                <w:sz w:val="18"/>
                <w:szCs w:val="18"/>
                <w:color w:val="auto"/>
              </w:rPr>
              <w:t>When Securities Presented for Repayment Become Due and Payable</w:t>
            </w:r>
          </w:p>
        </w:tc>
        <w:tc>
          <w:tcPr>
            <w:tcW w:w="244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30"/>
        </w:trPr>
        <w:tc>
          <w:tcPr>
            <w:tcW w:w="1480" w:type="dxa"/>
            <w:vAlign w:val="bottom"/>
          </w:tcPr>
          <w:p>
            <w:pPr>
              <w:ind w:left="280"/>
              <w:spacing w:after="0"/>
              <w:rPr>
                <w:sz w:val="20"/>
                <w:szCs w:val="20"/>
                <w:color w:val="auto"/>
              </w:rPr>
            </w:pPr>
            <w:r>
              <w:rPr>
                <w:rFonts w:ascii="Arial" w:cs="Arial" w:eastAsia="Arial" w:hAnsi="Arial"/>
                <w:sz w:val="18"/>
                <w:szCs w:val="18"/>
                <w:color w:val="auto"/>
              </w:rPr>
              <w:t>Section 1405.</w:t>
            </w:r>
          </w:p>
        </w:tc>
        <w:tc>
          <w:tcPr>
            <w:tcW w:w="7440" w:type="dxa"/>
            <w:vAlign w:val="bottom"/>
          </w:tcPr>
          <w:p>
            <w:pPr>
              <w:ind w:left="220"/>
              <w:spacing w:after="0"/>
              <w:rPr>
                <w:sz w:val="20"/>
                <w:szCs w:val="20"/>
                <w:color w:val="auto"/>
              </w:rPr>
            </w:pPr>
            <w:r>
              <w:rPr>
                <w:rFonts w:ascii="Arial" w:cs="Arial" w:eastAsia="Arial" w:hAnsi="Arial"/>
                <w:sz w:val="18"/>
                <w:szCs w:val="18"/>
                <w:color w:val="auto"/>
              </w:rPr>
              <w:t>Securities Repaid in Part</w:t>
            </w:r>
          </w:p>
        </w:tc>
        <w:tc>
          <w:tcPr>
            <w:tcW w:w="2440" w:type="dxa"/>
            <w:vAlign w:val="bottom"/>
          </w:tcPr>
          <w:p>
            <w:pPr>
              <w:jc w:val="right"/>
              <w:spacing w:after="0"/>
              <w:rPr>
                <w:sz w:val="20"/>
                <w:szCs w:val="20"/>
                <w:color w:val="auto"/>
              </w:rPr>
            </w:pPr>
            <w:r>
              <w:rPr>
                <w:rFonts w:ascii="Arial" w:cs="Arial" w:eastAsia="Arial" w:hAnsi="Arial"/>
                <w:sz w:val="18"/>
                <w:szCs w:val="18"/>
                <w:color w:val="auto"/>
              </w:rPr>
              <w:t>64</w:t>
            </w: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2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360"/>
          </w:cols>
          <w:pgMar w:left="240" w:top="270" w:right="299" w:bottom="1440" w:gutter="0" w:footer="0" w:header="0"/>
        </w:sectPr>
      </w:pPr>
    </w:p>
    <w:bookmarkStart w:id="47" w:name="page48"/>
    <w:bookmarkEnd w:id="47"/>
    <w:p>
      <w:pPr>
        <w:ind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INDENTURE, dated as of June 22, 2018, between Marvell Technology Group Ltd., a Bermuda exempted company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duly organized and existing under the laws of the United States, as Trustee (herein called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RECITALS OF THE COMPANY</w:t>
      </w:r>
    </w:p>
    <w:p>
      <w:pPr>
        <w:spacing w:after="0" w:line="225" w:lineRule="exact"/>
        <w:rPr>
          <w:sz w:val="20"/>
          <w:szCs w:val="20"/>
          <w:color w:val="auto"/>
        </w:rPr>
      </w:pPr>
    </w:p>
    <w:p>
      <w:pPr>
        <w:ind w:right="500" w:firstLine="456"/>
        <w:spacing w:after="0" w:line="277" w:lineRule="auto"/>
        <w:rPr>
          <w:sz w:val="20"/>
          <w:szCs w:val="20"/>
          <w:color w:val="auto"/>
        </w:rPr>
      </w:pPr>
      <w:r>
        <w:rPr>
          <w:rFonts w:ascii="Arial" w:cs="Arial" w:eastAsia="Arial" w:hAnsi="Arial"/>
          <w:sz w:val="18"/>
          <w:szCs w:val="18"/>
          <w:color w:val="auto"/>
        </w:rPr>
        <w:t>The Company has duly authorized the execution and delivery of this Indenture to provide for the issuance from time to time of its debt securities (herein called the “</w:t>
      </w:r>
      <w:r>
        <w:rPr>
          <w:rFonts w:ascii="Arial" w:cs="Arial" w:eastAsia="Arial" w:hAnsi="Arial"/>
          <w:sz w:val="18"/>
          <w:szCs w:val="18"/>
          <w:u w:val="single" w:color="auto"/>
          <w:color w:val="auto"/>
        </w:rPr>
        <w:t>Securities</w:t>
      </w:r>
      <w:r>
        <w:rPr>
          <w:rFonts w:ascii="Arial" w:cs="Arial" w:eastAsia="Arial" w:hAnsi="Arial"/>
          <w:sz w:val="18"/>
          <w:szCs w:val="18"/>
          <w:color w:val="auto"/>
        </w:rPr>
        <w:t>”), to be issued in one or more series as in this Indenture provided.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All things necessary to make this Indenture a valid agreement of the Company, in accordance with its terms, have been done.</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NOW, THEREFORE, THIS INDENTURE WITNESSETH:</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For and in consideration of the premises and the purchase of the Securities by the Holders thereof, it is mutually agreed, for the equal and proportionate benefit of all Holders of the Securities or of any series thereof, as follows:</w:t>
      </w: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DEFINITIONS AND OTHER PROVISIONS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 GENERAL APPLICATION</w:t>
      </w:r>
    </w:p>
    <w:p>
      <w:pPr>
        <w:spacing w:after="0" w:line="21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101.</w:t>
      </w:r>
      <w:r>
        <w:rPr>
          <w:sz w:val="20"/>
          <w:szCs w:val="20"/>
          <w:color w:val="auto"/>
        </w:rPr>
        <w:tab/>
      </w:r>
      <w:r>
        <w:rPr>
          <w:rFonts w:ascii="Arial" w:cs="Arial" w:eastAsia="Arial" w:hAnsi="Arial"/>
          <w:sz w:val="17"/>
          <w:szCs w:val="17"/>
          <w:u w:val="single" w:color="auto"/>
          <w:color w:val="auto"/>
        </w:rPr>
        <w:t>Definitions</w:t>
      </w:r>
      <w:r>
        <w:rPr>
          <w:rFonts w:ascii="Arial" w:cs="Arial" w:eastAsia="Arial" w:hAnsi="Arial"/>
          <w:sz w:val="17"/>
          <w:szCs w:val="17"/>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all purposes of this Indenture, except as otherwise expressly provided or unless the context otherwise requires:</w:t>
      </w:r>
    </w:p>
    <w:p>
      <w:pPr>
        <w:spacing w:after="0" w:line="131" w:lineRule="exact"/>
        <w:rPr>
          <w:sz w:val="20"/>
          <w:szCs w:val="20"/>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terms defined in this Article I have the meanings assigned to them in this Article I and include the plural as well as the singular;</w:t>
      </w:r>
    </w:p>
    <w:p>
      <w:pPr>
        <w:spacing w:after="0" w:line="130" w:lineRule="exact"/>
        <w:rPr>
          <w:rFonts w:ascii="Arial" w:cs="Arial" w:eastAsia="Arial" w:hAnsi="Arial"/>
          <w:sz w:val="18"/>
          <w:szCs w:val="18"/>
          <w:color w:val="auto"/>
        </w:rPr>
      </w:pPr>
    </w:p>
    <w:p>
      <w:pPr>
        <w:ind w:left="900" w:right="280" w:hanging="446"/>
        <w:spacing w:after="0" w:line="277"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all other terms used herein which are defined in the Trust Indenture Act, either directly or by reference therein, have the meanings assigned to them therein;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all accounting terms not otherwise defined herein have the meanings assigned to them in accordance with GAAP;</w:t>
      </w:r>
    </w:p>
    <w:p>
      <w:pPr>
        <w:spacing w:after="0" w:line="130" w:lineRule="exact"/>
        <w:rPr>
          <w:rFonts w:ascii="Arial" w:cs="Arial" w:eastAsia="Arial" w:hAnsi="Arial"/>
          <w:sz w:val="18"/>
          <w:szCs w:val="18"/>
          <w:color w:val="auto"/>
        </w:rPr>
      </w:pPr>
    </w:p>
    <w:p>
      <w:pPr>
        <w:ind w:left="900" w:right="300" w:hanging="446"/>
        <w:spacing w:after="0" w:line="277"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unless the context otherwise requires, any reference to an “Article” or a “Section” refers to an Article or a Section, as the case may be, of this Indenture;</w:t>
      </w:r>
    </w:p>
    <w:p>
      <w:pPr>
        <w:spacing w:after="0" w:line="75" w:lineRule="exact"/>
        <w:rPr>
          <w:rFonts w:ascii="Arial" w:cs="Arial" w:eastAsia="Arial" w:hAnsi="Arial"/>
          <w:sz w:val="18"/>
          <w:szCs w:val="18"/>
          <w:color w:val="auto"/>
        </w:rPr>
      </w:pPr>
    </w:p>
    <w:p>
      <w:pPr>
        <w:ind w:left="900" w:right="500" w:hanging="446"/>
        <w:spacing w:after="0" w:line="277"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words “herein,” “hereof” and “hereunder” and other words of similar import refer to this Indenture as a whole and not to any particular Article, Section or other subdivision;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“including” means including without limitation;</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“or” is inclusive;</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80"/>
          </w:cols>
          <w:pgMar w:left="240" w:top="274" w:right="279" w:bottom="1440" w:gutter="0" w:footer="0" w:header="0"/>
        </w:sectPr>
      </w:pPr>
    </w:p>
    <w:bookmarkStart w:id="48" w:name="page49"/>
    <w:bookmarkEnd w:id="48"/>
    <w:p>
      <w:pPr>
        <w:ind w:left="900" w:hanging="446"/>
        <w:spacing w:after="0"/>
        <w:tabs>
          <w:tab w:leader="none" w:pos="900" w:val="left"/>
        </w:tabs>
        <w:numPr>
          <w:ilvl w:val="0"/>
          <w:numId w:val="4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references to statutes are to be construed as including all statutory provisions consolidating, amending or replacing the statute referred to;</w:t>
      </w:r>
    </w:p>
    <w:p>
      <w:pPr>
        <w:spacing w:after="0" w:line="142" w:lineRule="exact"/>
        <w:rPr>
          <w:rFonts w:ascii="Arial" w:cs="Arial" w:eastAsia="Arial" w:hAnsi="Arial"/>
          <w:sz w:val="17"/>
          <w:szCs w:val="17"/>
          <w:color w:val="auto"/>
        </w:rPr>
      </w:pPr>
    </w:p>
    <w:p>
      <w:pPr>
        <w:ind w:left="900" w:right="40" w:hanging="446"/>
        <w:spacing w:after="0" w:line="293" w:lineRule="auto"/>
        <w:tabs>
          <w:tab w:leader="none" w:pos="900" w:val="left"/>
        </w:tabs>
        <w:numPr>
          <w:ilvl w:val="0"/>
          <w:numId w:val="47"/>
        </w:numPr>
        <w:rPr>
          <w:rFonts w:ascii="Arial" w:cs="Arial" w:eastAsia="Arial" w:hAnsi="Arial"/>
          <w:sz w:val="16"/>
          <w:szCs w:val="16"/>
          <w:color w:val="auto"/>
        </w:rPr>
      </w:pPr>
      <w:r>
        <w:rPr>
          <w:rFonts w:ascii="Arial" w:cs="Arial" w:eastAsia="Arial" w:hAnsi="Arial"/>
          <w:sz w:val="16"/>
          <w:szCs w:val="16"/>
          <w:color w:val="auto"/>
        </w:rPr>
        <w:t>when used with respect to any Security, the words “convert,” “converted” and “conversion” are intended to refer to the right of the Holder or the Company to convert or exchange such Security into or for securities or other property in accordance with such terms, if any, as may hereafter be specified for such Security as contemplated by Section 301, and these words are not intended to refer to any right of the Holder or the Company to exchange such Security for other Securities of the same series and like tenor pursuant to Section 304, Section 305, Section 306, Section 906 or Section 1107 or another similar provisions of this Indenture, unless the context otherwise requires; and references herein to the terms of any Security that may be converted mean such terms as may be specified for such Security as contemplated in Section 301;</w:t>
      </w:r>
    </w:p>
    <w:p>
      <w:pPr>
        <w:spacing w:after="0" w:line="70" w:lineRule="exact"/>
        <w:rPr>
          <w:rFonts w:ascii="Arial" w:cs="Arial" w:eastAsia="Arial" w:hAnsi="Arial"/>
          <w:sz w:val="16"/>
          <w:szCs w:val="16"/>
          <w:color w:val="auto"/>
        </w:rPr>
      </w:pPr>
    </w:p>
    <w:p>
      <w:pPr>
        <w:ind w:left="900" w:hanging="446"/>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words “federal” and “state” refer to the United States federal government and a state of the United States, respectively; and</w:t>
      </w:r>
    </w:p>
    <w:p>
      <w:pPr>
        <w:spacing w:after="0" w:line="130" w:lineRule="exact"/>
        <w:rPr>
          <w:rFonts w:ascii="Arial" w:cs="Arial" w:eastAsia="Arial" w:hAnsi="Arial"/>
          <w:sz w:val="18"/>
          <w:szCs w:val="18"/>
          <w:color w:val="auto"/>
        </w:rPr>
      </w:pPr>
    </w:p>
    <w:p>
      <w:pPr>
        <w:ind w:left="900" w:right="60" w:hanging="446"/>
        <w:spacing w:after="0" w:line="264" w:lineRule="auto"/>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unless otherwise provided, references to agreements and other instruments shall be deemed to include all amendments and other modifications to such agreements and instruments, but only to the extent such amendments and other modifications are not prohibited by the terms of this Indenture.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w:t>
      </w:r>
      <w:r>
        <w:rPr>
          <w:rFonts w:ascii="Arial" w:cs="Arial" w:eastAsia="Arial" w:hAnsi="Arial"/>
          <w:sz w:val="18"/>
          <w:szCs w:val="18"/>
          <w:color w:val="auto"/>
        </w:rPr>
        <w:t>,” when used with respect to any Holder, has the meaning specified in Section 104.</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Amounts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jc w:val="both"/>
        <w:ind w:right="240" w:firstLine="456"/>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Affiliate</w:t>
      </w:r>
      <w:r>
        <w:rPr>
          <w:rFonts w:ascii="Arial" w:cs="Arial" w:eastAsia="Arial" w:hAnsi="Arial"/>
          <w:sz w:val="17"/>
          <w:szCs w:val="17"/>
          <w:color w:val="auto"/>
        </w:rPr>
        <w:t>” means, with respect to any specified Person, any other Person directly or indirectly controlling or controlled by or under direct or indirect common control with such specified Person. For purposes of this definition, “control” when used with respect to any specified Person means the power to direct the management and policies of such Person, directly or indirectly, whether through the ownership of voting securities, by contract or otherwise; and the terms “controlling” and “controlled” have meanings correlative to the foregoing.</w:t>
      </w:r>
    </w:p>
    <w:p>
      <w:pPr>
        <w:spacing w:after="0" w:line="171"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 Depositary, as to any matter at any time, the policies and procedures of such Depositary, if any, that are applicable to such matter at such time.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Tax Law</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Authenticating Agent</w:t>
      </w:r>
      <w:r>
        <w:rPr>
          <w:rFonts w:ascii="Arial" w:cs="Arial" w:eastAsia="Arial" w:hAnsi="Arial"/>
          <w:sz w:val="18"/>
          <w:szCs w:val="18"/>
          <w:color w:val="auto"/>
        </w:rPr>
        <w:t>” means any Person authorized by the Trustee pursuant to Section 614 to act on behalf of the Trustee to authenticate Securities of one or more series.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Bankruptcy Law</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Directors</w:t>
      </w:r>
      <w:r>
        <w:rPr>
          <w:rFonts w:ascii="Arial" w:cs="Arial" w:eastAsia="Arial" w:hAnsi="Arial"/>
          <w:sz w:val="18"/>
          <w:szCs w:val="18"/>
          <w:color w:val="auto"/>
        </w:rPr>
        <w:t>” means either the Board of Directors of the Company or any duly authorized committee of that Board of Directors.</w:t>
      </w:r>
    </w:p>
    <w:p>
      <w:pPr>
        <w:spacing w:after="0" w:line="225" w:lineRule="exact"/>
        <w:rPr>
          <w:sz w:val="20"/>
          <w:szCs w:val="20"/>
          <w:color w:val="auto"/>
        </w:rPr>
      </w:pPr>
    </w:p>
    <w:p>
      <w:pPr>
        <w:ind w:right="32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Board Resolution</w:t>
      </w:r>
      <w:r>
        <w:rPr>
          <w:rFonts w:ascii="Arial" w:cs="Arial" w:eastAsia="Arial" w:hAnsi="Arial"/>
          <w:sz w:val="17"/>
          <w:szCs w:val="17"/>
          <w:color w:val="auto"/>
        </w:rPr>
        <w:t>” means a copy of one or more resolutions certified by the Secretary or an Assistant Secretary of the Company to have been duly adopted by the Board of Directors and to be in full force and effect on the date of such certification and delivered to the Trustee.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49" w:name="page50"/>
    <w:bookmarkEnd w:id="49"/>
    <w:p>
      <w:pPr>
        <w:ind w:right="28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when used with respect to any Place of Payment, unless otherwise specified as contemplated by Section 301, any day, other than a Saturday or Sunday, which is not a day on which banking institutions are authorized or required by law or executive order to close or on which commercial banks in New York, New York are authorized or required by law to close.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U.S. Internal Revenue Code of 1986, as amended.</w:t>
      </w:r>
    </w:p>
    <w:p>
      <w:pPr>
        <w:spacing w:after="0" w:line="225"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Commission</w:t>
      </w:r>
      <w:r>
        <w:rPr>
          <w:rFonts w:ascii="Arial" w:cs="Arial" w:eastAsia="Arial" w:hAnsi="Arial"/>
          <w:sz w:val="18"/>
          <w:szCs w:val="18"/>
          <w:color w:val="auto"/>
        </w:rPr>
        <w:t>” means the U.S. Securities and Exchange Commission, from time to time constituted, created under the Exchange Act, or, if at any time after the execution of this Indenture such Commission is not existing and performing the duties now assigned to it under the Trust Indenture Act, then the body performing such duties at such time.</w:t>
      </w:r>
    </w:p>
    <w:p>
      <w:pPr>
        <w:spacing w:after="0" w:line="181" w:lineRule="exact"/>
        <w:rPr>
          <w:sz w:val="20"/>
          <w:szCs w:val="20"/>
          <w:color w:val="auto"/>
        </w:rPr>
      </w:pPr>
    </w:p>
    <w:p>
      <w:pPr>
        <w:ind w:right="56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w:t>
      </w:r>
      <w:r>
        <w:rPr>
          <w:rFonts w:ascii="Arial" w:cs="Arial" w:eastAsia="Arial" w:hAnsi="Arial"/>
          <w:sz w:val="17"/>
          <w:szCs w:val="17"/>
          <w:color w:val="auto"/>
        </w:rPr>
        <w:t>” means the Person named as the “Company” in the first paragraph of this Indenture until a successor Person shall have become such pursuant to the applicable provisions of this Indenture, and thereafter “Company” shall mean such successor Person.</w:t>
      </w:r>
    </w:p>
    <w:p>
      <w:pPr>
        <w:spacing w:after="0" w:line="147" w:lineRule="exact"/>
        <w:rPr>
          <w:sz w:val="20"/>
          <w:szCs w:val="20"/>
          <w:color w:val="auto"/>
        </w:rPr>
      </w:pPr>
    </w:p>
    <w:p>
      <w:pPr>
        <w:jc w:val="both"/>
        <w:ind w:right="12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Request</w:t>
      </w:r>
      <w:r>
        <w:rPr>
          <w:rFonts w:ascii="Arial" w:cs="Arial" w:eastAsia="Arial" w:hAnsi="Arial"/>
          <w:sz w:val="18"/>
          <w:szCs w:val="18"/>
          <w:color w:val="auto"/>
        </w:rPr>
        <w:t>” or “</w:t>
      </w:r>
      <w:r>
        <w:rPr>
          <w:rFonts w:ascii="Arial" w:cs="Arial" w:eastAsia="Arial" w:hAnsi="Arial"/>
          <w:sz w:val="18"/>
          <w:szCs w:val="18"/>
          <w:u w:val="single" w:color="auto"/>
          <w:color w:val="auto"/>
        </w:rPr>
        <w:t>Company Order</w:t>
      </w:r>
      <w:r>
        <w:rPr>
          <w:rFonts w:ascii="Arial" w:cs="Arial" w:eastAsia="Arial" w:hAnsi="Arial"/>
          <w:sz w:val="18"/>
          <w:szCs w:val="18"/>
          <w:color w:val="auto"/>
        </w:rPr>
        <w:t>” means a written request or order signed in the name of the Company by an Officer of the Company (or any Person designated in writing by an Officer of the Company as authorized to execute and deliver Company Requests and Company Orders), and delivered to the Trustee.</w:t>
      </w:r>
    </w:p>
    <w:p>
      <w:pPr>
        <w:spacing w:after="0" w:line="181" w:lineRule="exact"/>
        <w:rPr>
          <w:sz w:val="20"/>
          <w:szCs w:val="20"/>
          <w:color w:val="auto"/>
        </w:rPr>
      </w:pPr>
    </w:p>
    <w:p>
      <w:pPr>
        <w:ind w:right="480" w:firstLine="456"/>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Corporate Trust Office</w:t>
      </w:r>
      <w:r>
        <w:rPr>
          <w:rFonts w:ascii="Arial" w:cs="Arial" w:eastAsia="Arial" w:hAnsi="Arial"/>
          <w:sz w:val="16"/>
          <w:szCs w:val="16"/>
          <w:color w:val="auto"/>
        </w:rPr>
        <w:t>” means the principal office of the Trustee at which, at any particular time, its corporate trust business shall be conducted (which office is located as of the date of this Indenture at One California Street, Suite 1000, San Francisco, CA 94111, Attention: D. Jason (Marvell Technology Group), or at any other time at such other address as the Trustee may designate from time to time by notice to the Holders).</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Covenant Defeasance</w:t>
      </w:r>
      <w:r>
        <w:rPr>
          <w:rFonts w:ascii="Arial" w:cs="Arial" w:eastAsia="Arial" w:hAnsi="Arial"/>
          <w:sz w:val="18"/>
          <w:szCs w:val="18"/>
          <w:color w:val="auto"/>
        </w:rPr>
        <w:t>” has the meaning specified in Section 1303.</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w:t>
      </w:r>
      <w:r>
        <w:rPr>
          <w:rFonts w:ascii="Arial" w:cs="Arial" w:eastAsia="Arial" w:hAnsi="Arial"/>
          <w:sz w:val="18"/>
          <w:szCs w:val="18"/>
          <w:color w:val="auto"/>
        </w:rPr>
        <w:t>” means any event which is, or after notice or passage of time or both would be, an Event of Default.</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Defaulted Interest</w:t>
      </w:r>
      <w:r>
        <w:rPr>
          <w:rFonts w:ascii="Arial" w:cs="Arial" w:eastAsia="Arial" w:hAnsi="Arial"/>
          <w:sz w:val="18"/>
          <w:szCs w:val="18"/>
          <w:color w:val="auto"/>
        </w:rPr>
        <w:t>” has the meaning specified in Section 307.</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Defeasance</w:t>
      </w:r>
      <w:r>
        <w:rPr>
          <w:rFonts w:ascii="Arial" w:cs="Arial" w:eastAsia="Arial" w:hAnsi="Arial"/>
          <w:sz w:val="18"/>
          <w:szCs w:val="18"/>
          <w:color w:val="auto"/>
        </w:rPr>
        <w:t>” has the meaning specified in Section 1302.</w:t>
      </w:r>
    </w:p>
    <w:p>
      <w:pPr>
        <w:spacing w:after="0" w:line="22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Depositary</w:t>
      </w:r>
      <w:r>
        <w:rPr>
          <w:rFonts w:ascii="Arial" w:cs="Arial" w:eastAsia="Arial" w:hAnsi="Arial"/>
          <w:sz w:val="18"/>
          <w:szCs w:val="18"/>
          <w:color w:val="auto"/>
        </w:rPr>
        <w:t>” means, with respect to Securities of any series issuable in whole or in part in the form of one or more Global Securities, the Person that is designated to act as depositary for such Securities as contemplated by Section 305, and, unless otherwise provided with respect to any Security, any successor to such Person. If at any time there is more than one such Person, “Depositary” shall mean, with respect to any Securities, the depositary which has been appointed with respect to such Securities.</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jc w:val="center"/>
        <w:ind w:right="12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U.S. Securities Exchange Act of 1934 and any statute successor thereto, in each case as amended from time to time. 3</w:t>
      </w:r>
    </w:p>
    <w:p>
      <w:pPr>
        <w:sectPr>
          <w:pgSz w:w="11900" w:h="16838" w:orient="portrait"/>
          <w:cols w:equalWidth="0" w:num="1">
            <w:col w:w="11380"/>
          </w:cols>
          <w:pgMar w:left="240" w:top="274" w:right="279" w:bottom="1440" w:gutter="0" w:footer="0" w:header="0"/>
        </w:sectPr>
      </w:pPr>
    </w:p>
    <w:bookmarkStart w:id="50" w:name="page51"/>
    <w:bookmarkEnd w:id="50"/>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Expiration Date</w:t>
      </w:r>
      <w:r>
        <w:rPr>
          <w:rFonts w:ascii="Arial" w:cs="Arial" w:eastAsia="Arial" w:hAnsi="Arial"/>
          <w:sz w:val="18"/>
          <w:szCs w:val="18"/>
          <w:color w:val="auto"/>
        </w:rPr>
        <w:t>” has the meaning specified in Section 104.</w:t>
      </w:r>
    </w:p>
    <w:p>
      <w:pPr>
        <w:spacing w:after="0" w:line="225"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Currency</w:t>
      </w:r>
      <w:r>
        <w:rPr>
          <w:rFonts w:ascii="Arial" w:cs="Arial" w:eastAsia="Arial" w:hAnsi="Arial"/>
          <w:sz w:val="18"/>
          <w:szCs w:val="18"/>
          <w:color w:val="auto"/>
        </w:rPr>
        <w:t>” means any currency, composite currency or currency unit issued by a government or governments other than the government of the United States of America including, without limitation, the euro.</w:t>
      </w:r>
    </w:p>
    <w:p>
      <w:pPr>
        <w:spacing w:after="0" w:line="170" w:lineRule="exact"/>
        <w:rPr>
          <w:sz w:val="20"/>
          <w:szCs w:val="20"/>
          <w:color w:val="auto"/>
        </w:rPr>
      </w:pPr>
    </w:p>
    <w:p>
      <w:pPr>
        <w:ind w:right="20" w:firstLine="456"/>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Government Obligations</w:t>
      </w:r>
      <w:r>
        <w:rPr>
          <w:rFonts w:ascii="Arial" w:cs="Arial" w:eastAsia="Arial" w:hAnsi="Arial"/>
          <w:sz w:val="17"/>
          <w:szCs w:val="17"/>
          <w:color w:val="auto"/>
        </w:rPr>
        <w:t>” means, with respect to any Securities that are denominated in a Foreign Currency, (a) direct obligations of the government that issued or caused to be issued such currency for the payment of which obligations its full faith and credit is pledged or (b) obligations of a person controlled or supervised by or acting as an agency or instrumentality of such government the timely payment of which is unconditionally guaranteed as a full faith and credit obligation by such government, which, in either case under clauses (a) or (b), are not callable or redeemable at the option of the issuer thereof, and shall also include a depositary receipt issued by a bank or trust company as custodian with respect to any such Foreign Government Obligation or a specific payment of interest on or principal of or other amount payable with respect to any such Foreign Government Obligation held by such custodian for the account of the holder of a depository receipt, provided that (except as required by law) such custodian is not authorized to make any deduction from the amount payable to the holder of such depository receipt from any amount received by the custodian in respect of the Foreign Government Obligation or the specific payment of interest on or principal of or other amount payable with respect to the Foreign Government Obligation evidenced by such depository receipt.</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as in effect from time to time.</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Global Security</w:t>
      </w:r>
      <w:r>
        <w:rPr>
          <w:rFonts w:ascii="Arial" w:cs="Arial" w:eastAsia="Arial" w:hAnsi="Arial"/>
          <w:sz w:val="18"/>
          <w:szCs w:val="18"/>
          <w:color w:val="auto"/>
        </w:rPr>
        <w:t>” means a Security that evidences all or part of the Securities of any series and bears the legend set forth in Section 202 (or such legend as may be specified as contemplated by Section 301 for such Securities).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Holder</w:t>
      </w:r>
      <w:r>
        <w:rPr>
          <w:rFonts w:ascii="Arial" w:cs="Arial" w:eastAsia="Arial" w:hAnsi="Arial"/>
          <w:sz w:val="18"/>
          <w:szCs w:val="18"/>
          <w:color w:val="auto"/>
        </w:rPr>
        <w:t>” means a Person in whose name a Security is registered in the Security Register.</w:t>
      </w:r>
    </w:p>
    <w:p>
      <w:pPr>
        <w:spacing w:after="0" w:line="225" w:lineRule="exact"/>
        <w:rPr>
          <w:sz w:val="20"/>
          <w:szCs w:val="20"/>
          <w:color w:val="auto"/>
        </w:rPr>
      </w:pPr>
    </w:p>
    <w:p>
      <w:pPr>
        <w:ind w:right="460" w:firstLine="456"/>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Indenture</w:t>
      </w:r>
      <w:r>
        <w:rPr>
          <w:rFonts w:ascii="Arial" w:cs="Arial" w:eastAsia="Arial" w:hAnsi="Arial"/>
          <w:sz w:val="16"/>
          <w:szCs w:val="16"/>
          <w:color w:val="auto"/>
        </w:rPr>
        <w:t>” means this instrument as originally executed and as it may from time to time be supplemented or amended by one or more indentures supplemental hereto entered into pursuant to the applicable provisions hereof, including, for all purposes of this instrument and any such supplemental indenture, the provisions of the Trust Indenture Act that are deemed to be a part of and govern this instrument and any such supplemental indenture, respectively. The term “Indenture” shall also include the terms of particular series of Securities established as contemplated by Section 301.</w:t>
      </w:r>
    </w:p>
    <w:p>
      <w:pPr>
        <w:spacing w:after="0" w:line="154"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w:t>
      </w:r>
      <w:r>
        <w:rPr>
          <w:rFonts w:ascii="Arial" w:cs="Arial" w:eastAsia="Arial" w:hAnsi="Arial"/>
          <w:sz w:val="18"/>
          <w:szCs w:val="18"/>
          <w:color w:val="auto"/>
        </w:rPr>
        <w:t>” means, when used with respect to an Original Issue Discount Security which by its terms bears interest only after Maturity, interest payable after Maturity.</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when used with respect to any Security, the Stated Maturity of an installment of interest on such Security.</w:t>
      </w:r>
    </w:p>
    <w:p>
      <w:pPr>
        <w:spacing w:after="0" w:line="23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 Exchange Rate</w:t>
      </w:r>
      <w:r>
        <w:rPr>
          <w:rFonts w:ascii="Arial" w:cs="Arial" w:eastAsia="Arial" w:hAnsi="Arial"/>
          <w:sz w:val="18"/>
          <w:szCs w:val="18"/>
          <w:color w:val="auto"/>
        </w:rPr>
        <w:t>” has the meaning specified in Section 117.</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51" w:name="page52"/>
    <w:bookmarkEnd w:id="51"/>
    <w:p>
      <w:pPr>
        <w:ind w:right="120" w:firstLine="456"/>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u w:val="single" w:color="auto"/>
          <w:color w:val="auto"/>
        </w:rPr>
        <w:t>Maturity</w:t>
      </w:r>
      <w:r>
        <w:rPr>
          <w:rFonts w:ascii="Arial" w:cs="Arial" w:eastAsia="Arial" w:hAnsi="Arial"/>
          <w:sz w:val="16"/>
          <w:szCs w:val="16"/>
          <w:color w:val="auto"/>
        </w:rPr>
        <w:t>” means, when used with respect to any Security, the date on which the principal of such Security or an installment of principal becomes due and payable as therein or herein provided, whether at the Stated Maturity or by declaration of acceleration, call for redemption or otherwise.</w:t>
      </w:r>
    </w:p>
    <w:p>
      <w:pPr>
        <w:spacing w:after="0" w:line="12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of Default</w:t>
      </w:r>
      <w:r>
        <w:rPr>
          <w:rFonts w:ascii="Arial" w:cs="Arial" w:eastAsia="Arial" w:hAnsi="Arial"/>
          <w:sz w:val="18"/>
          <w:szCs w:val="18"/>
          <w:color w:val="auto"/>
        </w:rPr>
        <w:t>” means a written notice of the kind specified in Section 501.</w:t>
      </w:r>
    </w:p>
    <w:p>
      <w:pPr>
        <w:spacing w:after="0" w:line="225"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the Chief Executive Officer, the Chief Financial Officer, the Corporate Treasurer, the Corporate Controller, or the General Counsel and Secretary, of the Company.</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Officer’s Certificate</w:t>
      </w:r>
      <w:r>
        <w:rPr>
          <w:rFonts w:ascii="Arial" w:cs="Arial" w:eastAsia="Arial" w:hAnsi="Arial"/>
          <w:sz w:val="18"/>
          <w:szCs w:val="18"/>
          <w:color w:val="auto"/>
        </w:rPr>
        <w:t>” means a certificate signed by an Officer of the Company (or any Person designated in writing by an Officer of the Company as authorized to execute and deliver Officer’s Certificates) and delivered to the Trustee.</w:t>
      </w:r>
    </w:p>
    <w:p>
      <w:pPr>
        <w:spacing w:after="0" w:line="170" w:lineRule="exact"/>
        <w:rPr>
          <w:sz w:val="20"/>
          <w:szCs w:val="20"/>
          <w:color w:val="auto"/>
        </w:rPr>
      </w:pPr>
    </w:p>
    <w:p>
      <w:pPr>
        <w:jc w:val="both"/>
        <w:ind w:right="56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Opinion of Counsel</w:t>
      </w:r>
      <w:r>
        <w:rPr>
          <w:rFonts w:ascii="Arial" w:cs="Arial" w:eastAsia="Arial" w:hAnsi="Arial"/>
          <w:sz w:val="18"/>
          <w:szCs w:val="18"/>
          <w:color w:val="auto"/>
        </w:rPr>
        <w:t>” means a written opinion of counsel (who may be counsel for the Company) and who shall be reasonably acceptable to the Trustee. The counsel may be an employee of the Company. Opinions of Counsel required to be delivered under this Indenture may have qualifications customary for opinions of the type required.</w:t>
      </w:r>
    </w:p>
    <w:p>
      <w:pPr>
        <w:spacing w:after="0" w:line="18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Original Issue Discount Security</w:t>
      </w:r>
      <w:r>
        <w:rPr>
          <w:rFonts w:ascii="Arial" w:cs="Arial" w:eastAsia="Arial" w:hAnsi="Arial"/>
          <w:sz w:val="18"/>
          <w:szCs w:val="18"/>
          <w:color w:val="auto"/>
        </w:rPr>
        <w:t>” means any Security which provides for an amount less than the principal amount thereof to be due and payable upon a declaration of acceleration of the Maturity thereof pursuant to Section 502.</w:t>
      </w:r>
    </w:p>
    <w:p>
      <w:pPr>
        <w:spacing w:after="0" w:line="170"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Outstanding</w:t>
      </w:r>
      <w:r>
        <w:rPr>
          <w:rFonts w:ascii="Arial" w:cs="Arial" w:eastAsia="Arial" w:hAnsi="Arial"/>
          <w:sz w:val="18"/>
          <w:szCs w:val="18"/>
          <w:color w:val="auto"/>
        </w:rPr>
        <w:t>” means, when used with respect to Securities, as of the date of determination, all Securities theretofore authenticated and delivered under this Indenture, except:</w:t>
      </w:r>
    </w:p>
    <w:p>
      <w:pPr>
        <w:spacing w:after="0" w:line="76" w:lineRule="exact"/>
        <w:rPr>
          <w:sz w:val="20"/>
          <w:szCs w:val="20"/>
          <w:color w:val="auto"/>
        </w:rPr>
      </w:pPr>
    </w:p>
    <w:p>
      <w:pPr>
        <w:ind w:left="900" w:hanging="446"/>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Securities theretofore cancelled by the Trustee or delivered to the Trustee for cancellation;</w:t>
      </w:r>
    </w:p>
    <w:p>
      <w:pPr>
        <w:spacing w:after="0" w:line="130" w:lineRule="exact"/>
        <w:rPr>
          <w:rFonts w:ascii="Arial" w:cs="Arial" w:eastAsia="Arial" w:hAnsi="Arial"/>
          <w:sz w:val="18"/>
          <w:szCs w:val="18"/>
          <w:color w:val="auto"/>
        </w:rPr>
      </w:pPr>
    </w:p>
    <w:p>
      <w:pPr>
        <w:ind w:left="900" w:right="40" w:hanging="446"/>
        <w:spacing w:after="0" w:line="259"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Securities for whose payment or redemption money in the necessary amount has been theretofore deposited with the Trustee or any Paying Agent (other than the Company) in trust or set aside and segregated in trust by the Company (if the Company shall act as its own Paying Agent) for the Holders of such Securities; provided that, if such Securities are to be redeemed, notice of such redemption has been duly given pursuant to this Indenture or provision therefor satisfactory to the Trustee has been made;</w:t>
      </w:r>
    </w:p>
    <w:p>
      <w:pPr>
        <w:spacing w:after="0" w:line="92" w:lineRule="exact"/>
        <w:rPr>
          <w:rFonts w:ascii="Arial" w:cs="Arial" w:eastAsia="Arial" w:hAnsi="Arial"/>
          <w:sz w:val="18"/>
          <w:szCs w:val="18"/>
          <w:color w:val="auto"/>
        </w:rPr>
      </w:pPr>
    </w:p>
    <w:p>
      <w:pPr>
        <w:ind w:left="900" w:hanging="446"/>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Securities as to which Defeasance has been effected pursuant to Section 1302;</w:t>
      </w:r>
    </w:p>
    <w:p>
      <w:pPr>
        <w:spacing w:after="0" w:line="130" w:lineRule="exact"/>
        <w:rPr>
          <w:rFonts w:ascii="Arial" w:cs="Arial" w:eastAsia="Arial" w:hAnsi="Arial"/>
          <w:sz w:val="18"/>
          <w:szCs w:val="18"/>
          <w:color w:val="auto"/>
        </w:rPr>
      </w:pPr>
    </w:p>
    <w:p>
      <w:pPr>
        <w:ind w:left="900" w:right="120" w:hanging="446"/>
        <w:spacing w:after="0" w:line="312" w:lineRule="auto"/>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color w:val="auto"/>
        </w:rPr>
        <w:t xml:space="preserve">Securities which have been paid pursuant to Section 306 or in exchange for or in lieu of which other Securities have been authenticated and delivered pursuant to this Indenture, other than any such Securities in respect of which there shall have been presented to the Trustee proof satisfactory to it that such Securities are held by a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purchaser in whose hands such Securities are valid obligations of the Company; and</w:t>
      </w:r>
    </w:p>
    <w:p>
      <w:pPr>
        <w:spacing w:after="0" w:line="52" w:lineRule="exact"/>
        <w:rPr>
          <w:rFonts w:ascii="Arial" w:cs="Arial" w:eastAsia="Arial" w:hAnsi="Arial"/>
          <w:sz w:val="16"/>
          <w:szCs w:val="16"/>
          <w:color w:val="auto"/>
        </w:rPr>
      </w:pPr>
    </w:p>
    <w:p>
      <w:pPr>
        <w:jc w:val="both"/>
        <w:ind w:left="900" w:right="220" w:hanging="446"/>
        <w:spacing w:after="0" w:line="342" w:lineRule="auto"/>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301;</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52" w:name="page53"/>
    <w:bookmarkEnd w:id="52"/>
    <w:p>
      <w:pPr>
        <w:spacing w:after="0" w:line="268" w:lineRule="auto"/>
        <w:rPr>
          <w:sz w:val="20"/>
          <w:szCs w:val="20"/>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determining whether the Holders of the requisite principal amount of the Outstanding Securities have given, made or taken any request, demand, authorization, direction, notice, consent, waiver or other action hereunder as of any date, (A) the principal amount of an Original Issue Discount Security which shall be deemed to be Outstanding shall be the amount of the principal thereof which would be due and payable as of such date upon acceleration of the Maturity thereof to such date pursuant to Section 502, (B) if, as of such date, the principal amount payable at the Stated Maturity of a Security is not determinable, the principal amount of such Security which shall be deemed to be Outstanding shall be the amount as specified or determined as contemplated by Section 301, (C) the principal amount of a Security denominated in one or more Foreign Currencies, composite currencies or currency units which shall be deemed to be Outstanding shall be the U.S. dollar equivalent, determined as of such date in the manner provided as contemplated by Section 301, of the principal amount of such Security (or, in the case of a Security described in clause (A) or (B) above, of the amount determined as provided in such clause), and (D) Securities owned by the Company or any other obligor upon the Securities or any Affiliate of the Company or of such other obligor shall be disregarded and deemed not to be Outstanding, except that, in determining whether the Trustee shall be protected in relying upon any such request, demand, authorization, direction, notice, consent, waiver or other action, only Securities which a Responsible Officer of the Trustee actually knows to be so owned shall be so disregarded. Securities so owned which have been pledged in good faith may be regarded as Outstanding if the pledgee establishes to the satisfaction of the Trustee the pledgee’s right so to act with respect to such Securities and that the pledgee is not the Company or any other obligor upon the Securities or any Affiliate of the Company or of such other obligor.</w:t>
      </w:r>
    </w:p>
    <w:p>
      <w:pPr>
        <w:spacing w:after="0" w:line="185"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Paying Agent</w:t>
      </w:r>
      <w:r>
        <w:rPr>
          <w:rFonts w:ascii="Arial" w:cs="Arial" w:eastAsia="Arial" w:hAnsi="Arial"/>
          <w:sz w:val="18"/>
          <w:szCs w:val="18"/>
          <w:color w:val="auto"/>
        </w:rPr>
        <w:t>” means any Person authorized by the Company to pay the principal of or premium, if any, or interest on any Securities on behalf of the Company. The Company initially authorizes and appoints the Trustee as the Paying Agent for each series of the Securities.</w:t>
      </w:r>
    </w:p>
    <w:p>
      <w:pPr>
        <w:spacing w:after="0" w:line="170" w:lineRule="exact"/>
        <w:rPr>
          <w:sz w:val="20"/>
          <w:szCs w:val="20"/>
          <w:color w:val="auto"/>
        </w:rPr>
      </w:pPr>
    </w:p>
    <w:p>
      <w:pPr>
        <w:ind w:right="10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corporation, partnership, limited liability company, joint venture, association, joint-stock company, trust, unincorporated organization or government or any agency or political subdivision thereof or any other entity.</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Place of Payment</w:t>
      </w:r>
      <w:r>
        <w:rPr>
          <w:rFonts w:ascii="Arial" w:cs="Arial" w:eastAsia="Arial" w:hAnsi="Arial"/>
          <w:sz w:val="18"/>
          <w:szCs w:val="18"/>
          <w:color w:val="auto"/>
        </w:rPr>
        <w:t>” means, when used with respect to the Securities of any series, the place or places where the principal of and premium, if any, and interest on the Securities of such series are payable as specified as contemplated by Section 301.</w:t>
      </w:r>
    </w:p>
    <w:p>
      <w:pPr>
        <w:spacing w:after="0" w:line="170"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Predecessor Security</w:t>
      </w:r>
      <w:r>
        <w:rPr>
          <w:rFonts w:ascii="Arial" w:cs="Arial" w:eastAsia="Arial" w:hAnsi="Arial"/>
          <w:sz w:val="16"/>
          <w:szCs w:val="16"/>
          <w:color w:val="auto"/>
        </w:rPr>
        <w:t>” means, with respect to any particular Security, every previous Security evidencing all or a portion of the same debt as that evidenced by such particular Security; and, for the purposes of this definition, any Security authenticated and delivered under Section 306 in exchange for or in lieu of a mutilated, destroyed, lost or stolen Security shall be deemed to evidence the same debt as the mutilated, destroyed, lost or stolen Security.</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Redemption Date</w:t>
      </w:r>
      <w:r>
        <w:rPr>
          <w:rFonts w:ascii="Arial" w:cs="Arial" w:eastAsia="Arial" w:hAnsi="Arial"/>
          <w:sz w:val="16"/>
          <w:szCs w:val="16"/>
          <w:color w:val="auto"/>
        </w:rPr>
        <w:t>” means, when used with respect to any Security to be redeemed, the date fixed for such redemption by or pursuant to this Indenture.</w:t>
      </w:r>
    </w:p>
    <w:p>
      <w:pPr>
        <w:spacing w:after="0" w:line="24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Redemption Price</w:t>
      </w:r>
      <w:r>
        <w:rPr>
          <w:rFonts w:ascii="Arial" w:cs="Arial" w:eastAsia="Arial" w:hAnsi="Arial"/>
          <w:sz w:val="16"/>
          <w:szCs w:val="16"/>
          <w:color w:val="auto"/>
        </w:rPr>
        <w:t>” means, when used with respect to any Security to be redeemed, the price at which it is to be redeemed pursuant to this Indenture.</w:t>
      </w:r>
    </w:p>
    <w:p>
      <w:pPr>
        <w:spacing w:after="0" w:line="248"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Regular Record Date</w:t>
      </w:r>
      <w:r>
        <w:rPr>
          <w:rFonts w:ascii="Arial" w:cs="Arial" w:eastAsia="Arial" w:hAnsi="Arial"/>
          <w:sz w:val="18"/>
          <w:szCs w:val="18"/>
          <w:color w:val="auto"/>
        </w:rPr>
        <w:t>” means, for the interest payable on any Interest Payment Date on the Securities of any series, the date specified for that purpose as contemplated by Section 301.</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53" w:name="page54"/>
    <w:bookmarkEnd w:id="53"/>
    <w:p>
      <w:pPr>
        <w:ind w:right="8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Repayment Date</w:t>
      </w:r>
      <w:r>
        <w:rPr>
          <w:rFonts w:ascii="Arial" w:cs="Arial" w:eastAsia="Arial" w:hAnsi="Arial"/>
          <w:sz w:val="18"/>
          <w:szCs w:val="18"/>
          <w:color w:val="auto"/>
        </w:rPr>
        <w:t>” means, when used with respect to a Security to be repaid at the option of a Holder, the date fixed for such repayment by or pursuant to this Indenture.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Responsible Officer</w:t>
      </w:r>
      <w:r>
        <w:rPr>
          <w:rFonts w:ascii="Arial" w:cs="Arial" w:eastAsia="Arial" w:hAnsi="Arial"/>
          <w:sz w:val="17"/>
          <w:szCs w:val="17"/>
          <w:color w:val="auto"/>
        </w:rPr>
        <w:t>” means, when used with respect to the Trustee, any officer within the corporate trust department of the Trustee, including any vice president, assistant secretary, senior associate, associate, trust officer, or any other officer associated with the corporate trust department of the Trustee customarily performing functions similar to those performed by any of the above designated officers, and also means, with respect to a particular corporate trust matter, any other officer to whom such matter is referred because of such person’s knowledge of and familiarity with the particular subject, and in each case, who shall have direct responsibility for the administration of this Indenture.</w:t>
      </w:r>
    </w:p>
    <w:p>
      <w:pPr>
        <w:spacing w:after="0" w:line="173"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has the meaning specified in the first recital of this Indenture and more particularly means any Securities authenticated and delivered under this Indenture.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U.S. Securities Act of 1933 and any statute successor thereto, in each case as amended from time to time.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 Register</w:t>
      </w:r>
      <w:r>
        <w:rPr>
          <w:rFonts w:ascii="Arial" w:cs="Arial" w:eastAsia="Arial" w:hAnsi="Arial"/>
          <w:sz w:val="18"/>
          <w:szCs w:val="18"/>
          <w:color w:val="auto"/>
        </w:rPr>
        <w:t>” and “</w:t>
      </w:r>
      <w:r>
        <w:rPr>
          <w:rFonts w:ascii="Arial" w:cs="Arial" w:eastAsia="Arial" w:hAnsi="Arial"/>
          <w:sz w:val="18"/>
          <w:szCs w:val="18"/>
          <w:u w:val="single" w:color="auto"/>
          <w:color w:val="auto"/>
        </w:rPr>
        <w:t>Security Registrar</w:t>
      </w:r>
      <w:r>
        <w:rPr>
          <w:rFonts w:ascii="Arial" w:cs="Arial" w:eastAsia="Arial" w:hAnsi="Arial"/>
          <w:sz w:val="18"/>
          <w:szCs w:val="18"/>
          <w:color w:val="auto"/>
        </w:rPr>
        <w:t>” have the respective meanings specified in Section 305.</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Record Date</w:t>
      </w:r>
      <w:r>
        <w:rPr>
          <w:rFonts w:ascii="Arial" w:cs="Arial" w:eastAsia="Arial" w:hAnsi="Arial"/>
          <w:sz w:val="18"/>
          <w:szCs w:val="18"/>
          <w:color w:val="auto"/>
        </w:rPr>
        <w:t>” means, for the payment of any Defaulted Interest, a date fixed by the Trustee pursuant to Section 307.</w:t>
      </w:r>
    </w:p>
    <w:p>
      <w:pPr>
        <w:spacing w:after="0" w:line="225" w:lineRule="exact"/>
        <w:rPr>
          <w:sz w:val="20"/>
          <w:szCs w:val="20"/>
          <w:color w:val="auto"/>
        </w:rPr>
      </w:pPr>
    </w:p>
    <w:p>
      <w:pPr>
        <w:ind w:right="220" w:firstLine="45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Stated Maturity</w:t>
      </w:r>
      <w:r>
        <w:rPr>
          <w:rFonts w:ascii="Arial" w:cs="Arial" w:eastAsia="Arial" w:hAnsi="Arial"/>
          <w:sz w:val="17"/>
          <w:szCs w:val="17"/>
          <w:color w:val="auto"/>
        </w:rPr>
        <w:t>” means, when used with respect to any Security or any installment of principal thereof or interest thereon, the date specified in such Security as the fixed date on which the principal of such Security or such installment of principal or interest is due and payable.</w:t>
      </w:r>
    </w:p>
    <w:p>
      <w:pPr>
        <w:spacing w:after="0" w:line="14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corporation more than 50% of the outstanding voting stock of which is owned, directly or indirectly, by the Company or by one or more other Subsidiaries, or by the Company and one or more other Subsidiaries. For purposes of this definition, “voting stock” means stock which ordinarily has voting power for the election of directors, whether at all times or only so long as no senior class of stock has such voting power by reason of any contingency.</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Successor</w:t>
      </w:r>
      <w:r>
        <w:rPr>
          <w:rFonts w:ascii="Arial" w:cs="Arial" w:eastAsia="Arial" w:hAnsi="Arial"/>
          <w:sz w:val="18"/>
          <w:szCs w:val="18"/>
          <w:color w:val="auto"/>
        </w:rPr>
        <w:t>” has the meaning specified in Section 801.</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Taxing Jurisdiction</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xml:space="preserve">” means the U.S. Trust Indenture Act of 1939 as in force at the date as of which this Indenture was executed;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the Trust Indenture Act of 1939 is amended after such date, “Trust Indenture Act” means, to the extent required by any such amendment, the Trust Indenture Act of 1939 as so amended.</w:t>
      </w:r>
    </w:p>
    <w:p>
      <w:pPr>
        <w:spacing w:after="0" w:line="18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means the Person named as the “Trustee” in the first paragraph of this Indenture until a successor Trustee shall have become such pursuant to the applicable provisions of this Indenture, and thereafter “Trustee” shall mean or include each Person who is then a Trustee hereunder, and if at any time there is more than one such Person, “Trustee” as used with respect to the Securities of any series shall mean the Trustee with respect to Securities of that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54" w:name="page55"/>
    <w:bookmarkEnd w:id="54"/>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U.S. Government Obligation</w:t>
      </w:r>
      <w:r>
        <w:rPr>
          <w:rFonts w:ascii="Arial" w:cs="Arial" w:eastAsia="Arial" w:hAnsi="Arial"/>
          <w:sz w:val="18"/>
          <w:szCs w:val="18"/>
          <w:color w:val="auto"/>
        </w:rPr>
        <w:t>” has the meaning specified in Section 1304(1).</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Vice President</w:t>
      </w:r>
      <w:r>
        <w:rPr>
          <w:rFonts w:ascii="Arial" w:cs="Arial" w:eastAsia="Arial" w:hAnsi="Arial"/>
          <w:sz w:val="18"/>
          <w:szCs w:val="18"/>
          <w:color w:val="auto"/>
        </w:rPr>
        <w:t>” means, when used with respect to the Company or the Trustee, any vice president, whether or not designated by a number or a word or words added before or after the title “vice president.”</w:t>
      </w:r>
    </w:p>
    <w:p>
      <w:pPr>
        <w:spacing w:after="0" w:line="170"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u w:val="single" w:color="auto"/>
          <w:color w:val="auto"/>
        </w:rPr>
        <w:t>Section 102.</w:t>
      </w:r>
      <w:r>
        <w:rPr>
          <w:sz w:val="20"/>
          <w:szCs w:val="20"/>
          <w:color w:val="auto"/>
        </w:rPr>
        <w:tab/>
      </w:r>
      <w:r>
        <w:rPr>
          <w:rFonts w:ascii="Arial" w:cs="Arial" w:eastAsia="Arial" w:hAnsi="Arial"/>
          <w:sz w:val="16"/>
          <w:szCs w:val="16"/>
          <w:u w:val="single" w:color="auto"/>
          <w:color w:val="auto"/>
        </w:rPr>
        <w:t>Compliance Certificates and Opinions.</w:t>
      </w:r>
    </w:p>
    <w:p>
      <w:pPr>
        <w:spacing w:after="0" w:line="117" w:lineRule="exact"/>
        <w:rPr>
          <w:sz w:val="20"/>
          <w:szCs w:val="20"/>
          <w:color w:val="auto"/>
        </w:rPr>
      </w:pPr>
    </w:p>
    <w:p>
      <w:pPr>
        <w:ind w:right="140" w:firstLine="456"/>
        <w:spacing w:after="0" w:line="276" w:lineRule="auto"/>
        <w:rPr>
          <w:sz w:val="20"/>
          <w:szCs w:val="20"/>
          <w:color w:val="auto"/>
        </w:rPr>
      </w:pPr>
      <w:r>
        <w:rPr>
          <w:rFonts w:ascii="Arial" w:cs="Arial" w:eastAsia="Arial" w:hAnsi="Arial"/>
          <w:sz w:val="17"/>
          <w:szCs w:val="17"/>
          <w:color w:val="auto"/>
        </w:rPr>
        <w:t>Upon any application or request by the Company to the Trustee to take any action under any provision of this Indenture, the Company shall furnish to the Trustee an Officer’s Certificate stating that all conditions precedent, if any, provided for in this Indenture relating to the proposed action have been complied with and an Opinion of Counsel stating that in the opinion of such counsel all such conditions precedent, if any, have been complied with, except that in the case of any such application or request as to which the furnishing of such documents is specifically required by any provision of this Indenture relating to such particular application or request, no additional certificate or opinion need be furnished by the Company.</w:t>
      </w:r>
    </w:p>
    <w:p>
      <w:pPr>
        <w:spacing w:after="0" w:line="173"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Every certificate or opinion with respect to compliance with a condition or covenant provided for in this Indenture (except for certificates provided for in Section 1007) shall include:</w:t>
      </w:r>
    </w:p>
    <w:p>
      <w:pPr>
        <w:spacing w:after="0" w:line="76" w:lineRule="exact"/>
        <w:rPr>
          <w:sz w:val="20"/>
          <w:szCs w:val="20"/>
          <w:color w:val="auto"/>
        </w:rPr>
      </w:pPr>
    </w:p>
    <w:p>
      <w:pPr>
        <w:ind w:left="900" w:hanging="446"/>
        <w:spacing w:after="0"/>
        <w:tabs>
          <w:tab w:leader="none" w:pos="900" w:val="left"/>
        </w:tabs>
        <w:numPr>
          <w:ilvl w:val="0"/>
          <w:numId w:val="49"/>
        </w:numPr>
        <w:rPr>
          <w:rFonts w:ascii="Arial" w:cs="Arial" w:eastAsia="Arial" w:hAnsi="Arial"/>
          <w:sz w:val="16"/>
          <w:szCs w:val="16"/>
          <w:color w:val="auto"/>
        </w:rPr>
      </w:pPr>
      <w:r>
        <w:rPr>
          <w:rFonts w:ascii="Arial" w:cs="Arial" w:eastAsia="Arial" w:hAnsi="Arial"/>
          <w:sz w:val="16"/>
          <w:szCs w:val="16"/>
          <w:color w:val="auto"/>
        </w:rPr>
        <w:t>a statement that each individual signing such certificate or opinion has read such covenant or condition and the definitions herein relating thereto;</w:t>
      </w:r>
    </w:p>
    <w:p>
      <w:pPr>
        <w:spacing w:after="0" w:line="153" w:lineRule="exact"/>
        <w:rPr>
          <w:rFonts w:ascii="Arial" w:cs="Arial" w:eastAsia="Arial" w:hAnsi="Arial"/>
          <w:sz w:val="16"/>
          <w:szCs w:val="16"/>
          <w:color w:val="auto"/>
        </w:rPr>
      </w:pPr>
    </w:p>
    <w:p>
      <w:pPr>
        <w:ind w:left="900" w:right="720" w:hanging="446"/>
        <w:spacing w:after="0" w:line="277"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 brief statement as to the nature and scope of the examination or investigation upon which the statements or opinions contained in such certificate or opinion are based;</w:t>
      </w:r>
    </w:p>
    <w:p>
      <w:pPr>
        <w:spacing w:after="0" w:line="75" w:lineRule="exact"/>
        <w:rPr>
          <w:rFonts w:ascii="Arial" w:cs="Arial" w:eastAsia="Arial" w:hAnsi="Arial"/>
          <w:sz w:val="18"/>
          <w:szCs w:val="18"/>
          <w:color w:val="auto"/>
        </w:rPr>
      </w:pPr>
    </w:p>
    <w:p>
      <w:pPr>
        <w:ind w:left="900" w:right="20" w:hanging="446"/>
        <w:spacing w:after="0" w:line="277"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 statement that, in the opinion of each such individual, he or she has made such examination or investigation as is necessary to enable him or her to express an informed opinion as to whether or not such covenant or condition has been complied with;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 statement as to whether, in the opinion of each such individual, such condition or covenant has been complied with.</w:t>
      </w:r>
    </w:p>
    <w:p>
      <w:pPr>
        <w:spacing w:after="0" w:line="225"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103.</w:t>
      </w:r>
      <w:r>
        <w:rPr>
          <w:sz w:val="20"/>
          <w:szCs w:val="20"/>
          <w:color w:val="auto"/>
        </w:rPr>
        <w:tab/>
      </w:r>
      <w:r>
        <w:rPr>
          <w:rFonts w:ascii="Arial" w:cs="Arial" w:eastAsia="Arial" w:hAnsi="Arial"/>
          <w:sz w:val="16"/>
          <w:szCs w:val="16"/>
          <w:u w:val="single" w:color="auto"/>
          <w:color w:val="auto"/>
        </w:rPr>
        <w:t>Form of Documents Delivered to Trustee</w:t>
      </w:r>
      <w:r>
        <w:rPr>
          <w:rFonts w:ascii="Arial" w:cs="Arial" w:eastAsia="Arial" w:hAnsi="Arial"/>
          <w:sz w:val="16"/>
          <w:szCs w:val="16"/>
          <w:color w:val="auto"/>
        </w:rPr>
        <w:t>.</w:t>
      </w:r>
    </w:p>
    <w:p>
      <w:pPr>
        <w:spacing w:after="0" w:line="11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any case where several matters are required to be certified by, or covered by an opinion of, any specified Person, it is not necessary that all such matters be certified by, or covered by the opinion of, only one such Person, or that they be so certified or covered by only one document, but one such Person may certify or give an opinion with respect to some matters and one or more other such Persons as to other matters, and any such Person may certify or give an opinion as to such matters in one or several documents.</w:t>
      </w:r>
    </w:p>
    <w:p>
      <w:pPr>
        <w:spacing w:after="0" w:line="187"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Any certificate or opinion of an Officer (or any Person designated in writing by an Officer of the Company as authorized to execute and deliver the Securities) may be based, insofar as it relates to legal matters, upon a certificate or opinion of, or representations by, counsel, unless such Officer (or any such Person designated in writing by an Officer of the Company as authorized to execute and deliver the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74" w:right="259" w:bottom="1440" w:gutter="0" w:footer="0" w:header="0"/>
        </w:sectPr>
      </w:pPr>
    </w:p>
    <w:bookmarkStart w:id="55" w:name="page56"/>
    <w:bookmarkEnd w:id="55"/>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Securities) knows, or in the exercise of reasonable care should know, that the certificate or opinion or representations with respect to the matters upon which such Officer’s (or such Person’s) certificate or opinion is based are erroneous. Any such certificate or Opinion of Counsel may be based, insofar as it relates to factual matters, upon a certificate or opinion of, or representations by, an Officer or Officers of the Company (or any Person or Persons designated in writing by an Officer of the Company as authorized to execute and deliver the Securities) stating that the information with respect to such factual matters is in the possession of the Company, unless such counsel knows, or in the exercise of reasonable care should know, that the certificate or opinion or representations with respect to such matters are erroneous. Counsel delivering an Opinion of Counsel may also rely as to factual matters on certificates of governmental or other officials customary for opinions of the type required.</w:t>
      </w:r>
    </w:p>
    <w:p>
      <w:pPr>
        <w:spacing w:after="0" w:line="178" w:lineRule="exact"/>
        <w:rPr>
          <w:sz w:val="20"/>
          <w:szCs w:val="20"/>
          <w:color w:val="auto"/>
        </w:rPr>
      </w:pPr>
    </w:p>
    <w:p>
      <w:pPr>
        <w:ind w:right="740" w:firstLine="456"/>
        <w:spacing w:after="0" w:line="277" w:lineRule="auto"/>
        <w:rPr>
          <w:sz w:val="20"/>
          <w:szCs w:val="20"/>
          <w:color w:val="auto"/>
        </w:rPr>
      </w:pPr>
      <w:r>
        <w:rPr>
          <w:rFonts w:ascii="Arial" w:cs="Arial" w:eastAsia="Arial" w:hAnsi="Arial"/>
          <w:sz w:val="18"/>
          <w:szCs w:val="18"/>
          <w:color w:val="auto"/>
        </w:rPr>
        <w:t>Where any Person is required to make, give or execute two or more applications, requests, consents, certificates, statements, opinions or other instruments under this Indenture, they may, but need not, be consolidated and form one instrument.</w:t>
      </w:r>
    </w:p>
    <w:p>
      <w:pPr>
        <w:spacing w:after="0" w:line="170"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104.</w:t>
      </w:r>
      <w:r>
        <w:rPr>
          <w:sz w:val="20"/>
          <w:szCs w:val="20"/>
          <w:color w:val="auto"/>
        </w:rPr>
        <w:tab/>
      </w:r>
      <w:r>
        <w:rPr>
          <w:rFonts w:ascii="Arial" w:cs="Arial" w:eastAsia="Arial" w:hAnsi="Arial"/>
          <w:sz w:val="16"/>
          <w:szCs w:val="16"/>
          <w:u w:val="single" w:color="auto"/>
          <w:color w:val="auto"/>
        </w:rPr>
        <w:t>Acts of Holders; Record Dates</w:t>
      </w:r>
      <w:r>
        <w:rPr>
          <w:rFonts w:ascii="Arial" w:cs="Arial" w:eastAsia="Arial" w:hAnsi="Arial"/>
          <w:sz w:val="16"/>
          <w:szCs w:val="16"/>
          <w:color w:val="auto"/>
        </w:rPr>
        <w:t>.</w:t>
      </w:r>
    </w:p>
    <w:p>
      <w:pPr>
        <w:spacing w:after="0" w:line="117" w:lineRule="exact"/>
        <w:rPr>
          <w:sz w:val="20"/>
          <w:szCs w:val="20"/>
          <w:color w:val="auto"/>
        </w:rPr>
      </w:pPr>
    </w:p>
    <w:p>
      <w:pPr>
        <w:ind w:right="100" w:firstLine="456"/>
        <w:spacing w:after="0" w:line="272" w:lineRule="auto"/>
        <w:rPr>
          <w:sz w:val="20"/>
          <w:szCs w:val="20"/>
          <w:color w:val="auto"/>
        </w:rPr>
      </w:pPr>
      <w:r>
        <w:rPr>
          <w:rFonts w:ascii="Arial" w:cs="Arial" w:eastAsia="Arial" w:hAnsi="Arial"/>
          <w:sz w:val="17"/>
          <w:szCs w:val="17"/>
          <w:color w:val="auto"/>
        </w:rPr>
        <w:t>Any request, demand, authorization, direction, notice, consent, waiver or other action provided or permitted by this Indenture to be given, made or taken by Holders may be embodied in and evidenced by one or more instruments of substantially similar tenor signed by such Holders in person or by an agent duly appointed in writing; and, except as herein otherwise expressly provided, such action shall become effective when such instrument or instruments are delivered to the Trustee and, where it is hereby expressly required, to the Company. Such instrument or instruments (and the action embodied therein and evidenced thereby) are herein sometimes referred to as the “</w:t>
      </w:r>
      <w:r>
        <w:rPr>
          <w:rFonts w:ascii="Arial" w:cs="Arial" w:eastAsia="Arial" w:hAnsi="Arial"/>
          <w:sz w:val="17"/>
          <w:szCs w:val="17"/>
          <w:u w:val="single" w:color="auto"/>
          <w:color w:val="auto"/>
        </w:rPr>
        <w:t>Act</w:t>
      </w:r>
      <w:r>
        <w:rPr>
          <w:rFonts w:ascii="Arial" w:cs="Arial" w:eastAsia="Arial" w:hAnsi="Arial"/>
          <w:sz w:val="17"/>
          <w:szCs w:val="17"/>
          <w:color w:val="auto"/>
        </w:rPr>
        <w:t>” of the Holders signing such instrument or instruments. Proof of execution of any such instrument or of a writing appointing any such agent shall be sufficient for any purpose of this Indenture and, subject to Section 601, conclusive in favor of the Trustee and the Company, if made in the manner provided in this Section 104.</w:t>
      </w:r>
    </w:p>
    <w:p>
      <w:pPr>
        <w:spacing w:after="0" w:line="178" w:lineRule="exact"/>
        <w:rPr>
          <w:sz w:val="20"/>
          <w:szCs w:val="20"/>
          <w:color w:val="auto"/>
        </w:rPr>
      </w:pPr>
    </w:p>
    <w:p>
      <w:pPr>
        <w:ind w:right="140" w:firstLine="456"/>
        <w:spacing w:after="0" w:line="279" w:lineRule="auto"/>
        <w:rPr>
          <w:sz w:val="20"/>
          <w:szCs w:val="20"/>
          <w:color w:val="auto"/>
        </w:rPr>
      </w:pPr>
      <w:r>
        <w:rPr>
          <w:rFonts w:ascii="Arial" w:cs="Arial" w:eastAsia="Arial" w:hAnsi="Arial"/>
          <w:sz w:val="17"/>
          <w:szCs w:val="17"/>
          <w:color w:val="auto"/>
        </w:rPr>
        <w:t>The fact and date of the execution by any Person of any such instrument or writing may be proved in any manner which the Trustee reasonably deems sufficient. Where such execution is by a Person acting in a capacity other than such Person’s individual capacity, such certificate or affidavit shall also constitute sufficient proof of such Person’s authority. The fact and date of the execution of any such instrument or writing, or the authority of the Person executing the same, may also be proved in any other manner which the Trustee deems sufficient.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ownership of Securities shall be proved by the Security Register.</w:t>
      </w:r>
    </w:p>
    <w:p>
      <w:pPr>
        <w:spacing w:after="0" w:line="225" w:lineRule="exact"/>
        <w:rPr>
          <w:sz w:val="20"/>
          <w:szCs w:val="20"/>
          <w:color w:val="auto"/>
        </w:rPr>
      </w:pPr>
    </w:p>
    <w:p>
      <w:pPr>
        <w:ind w:right="40" w:firstLine="456"/>
        <w:spacing w:after="0" w:line="312" w:lineRule="auto"/>
        <w:rPr>
          <w:sz w:val="20"/>
          <w:szCs w:val="20"/>
          <w:color w:val="auto"/>
        </w:rPr>
      </w:pPr>
      <w:r>
        <w:rPr>
          <w:rFonts w:ascii="Arial" w:cs="Arial" w:eastAsia="Arial" w:hAnsi="Arial"/>
          <w:sz w:val="16"/>
          <w:szCs w:val="16"/>
          <w:color w:val="auto"/>
        </w:rPr>
        <w:t>Any request, demand, authorization, direction, notice, consent, waiver or other Act of the Holder of any Security shall bind every future Holder of the same Security and the Holder of every Security issued upon the registration of transfer thereof or in exchange therefor or in lieu thereof in respect of anything done, omitted or suffered to be done by the Trustee or the Company in reliance thereon, whether or not notation of such action is made upon such Security.</w:t>
      </w:r>
    </w:p>
    <w:p>
      <w:pPr>
        <w:spacing w:after="0" w:line="147" w:lineRule="exact"/>
        <w:rPr>
          <w:sz w:val="20"/>
          <w:szCs w:val="20"/>
          <w:color w:val="auto"/>
        </w:rPr>
      </w:pPr>
    </w:p>
    <w:p>
      <w:pPr>
        <w:ind w:right="80" w:firstLine="456"/>
        <w:spacing w:after="0" w:line="302" w:lineRule="auto"/>
        <w:rPr>
          <w:sz w:val="20"/>
          <w:szCs w:val="20"/>
          <w:color w:val="auto"/>
        </w:rPr>
      </w:pPr>
      <w:r>
        <w:rPr>
          <w:rFonts w:ascii="Arial" w:cs="Arial" w:eastAsia="Arial" w:hAnsi="Arial"/>
          <w:sz w:val="16"/>
          <w:szCs w:val="16"/>
          <w:color w:val="auto"/>
        </w:rPr>
        <w:t xml:space="preserve">The Company may set any day as a record date for the purpose of determining the Holders of Outstanding Securities of any series entitled to give, make or take any request, demand, authorization, direction, notice, consent, waiver or other action provided or permitted by this Indenture to be given, made or taken by Holders of Securities of such series;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Company may not set a record date for, and the provisions of this paragraph shall not apply with respect to, the giving or making of any notice, declaration, request or direction referred to in the next paragraph. If any record date is set pursuant</w:t>
      </w:r>
    </w:p>
    <w:p>
      <w:pPr>
        <w:spacing w:after="0" w:line="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56" w:name="page57"/>
    <w:bookmarkEnd w:id="56"/>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to this paragraph, the Holders of Outstanding Securities of the relevant series on such record date, and no other Holders, shall be entitled to take the relevant action, whether or not such Holders remain Holders after such record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Company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Company, at its own expense, shall cause notice of such record date, the proposed action by Holders and the applicable Expiration Date to be given to the Trustee in writing and to each Holder of Securities of the relevant series in the manner set forth in Section 105 and Section 106.</w:t>
      </w:r>
    </w:p>
    <w:p>
      <w:pPr>
        <w:spacing w:after="0" w:line="182"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The Trustee may set any day as a record date for the purpose of determining the Holders of Outstanding Securities of any series entitled to join in the giving or making of (i) any Notice of Default, (ii) any declaration of acceleration referred to in Section 502, (iii) any request to institute proceedings referred to in Section 507(2) or (iv) any direction referred to in Section 511, in each case with respect to Securities of such series. If any record date is set pursuant to this paragraph, the Holders of Outstanding Securities of such series on such record date, and no other Holders, shall be entitled to join in such notice, declaration, request or direction, whether or not such Holders remain Holders after such record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Trustee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Trustee, at the Company’s expense, shall cause notice of such record date, the proposed action by Holders and the applicable Expiration Date to be given to the Company in writing and to each Holder of Securities of the relevant series in the manner set forth in Section 105 and Section 106.</w:t>
      </w:r>
    </w:p>
    <w:p>
      <w:pPr>
        <w:spacing w:after="0" w:line="169"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With respect to any record date set pursuant to this Section 104, the party hereto which sets such record dates may designate any day as the “</w:t>
      </w:r>
      <w:r>
        <w:rPr>
          <w:rFonts w:ascii="Arial" w:cs="Arial" w:eastAsia="Arial" w:hAnsi="Arial"/>
          <w:sz w:val="16"/>
          <w:szCs w:val="16"/>
          <w:u w:val="single" w:color="auto"/>
          <w:color w:val="auto"/>
        </w:rPr>
        <w:t>Expiration</w:t>
      </w:r>
      <w:r>
        <w:rPr>
          <w:rFonts w:ascii="Arial" w:cs="Arial" w:eastAsia="Arial" w:hAnsi="Arial"/>
          <w:sz w:val="16"/>
          <w:szCs w:val="16"/>
          <w:color w:val="auto"/>
        </w:rPr>
        <w:t xml:space="preserve"> </w:t>
      </w:r>
      <w:r>
        <w:rPr>
          <w:rFonts w:ascii="Arial" w:cs="Arial" w:eastAsia="Arial" w:hAnsi="Arial"/>
          <w:sz w:val="16"/>
          <w:szCs w:val="16"/>
          <w:u w:val="single" w:color="auto"/>
          <w:color w:val="auto"/>
        </w:rPr>
        <w:t>Date</w:t>
      </w:r>
      <w:r>
        <w:rPr>
          <w:rFonts w:ascii="Arial" w:cs="Arial" w:eastAsia="Arial" w:hAnsi="Arial"/>
          <w:sz w:val="16"/>
          <w:szCs w:val="16"/>
          <w:color w:val="auto"/>
        </w:rPr>
        <w:t xml:space="preserve">” and from time to time may change the Expiration Date to any earlier or later day;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change shall be effective unless notice of the proposed new Expiration Date is given to the other party hereto in writing, and to each Holder of Securities of the relevant series in the manner set forth in Section 106, on or prior to the existing Expiration Date. If an Expiration Date is not designated with respect to any record date set pursuant to this</w:t>
      </w:r>
    </w:p>
    <w:p>
      <w:pPr>
        <w:spacing w:after="0" w:line="2"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color w:val="auto"/>
        </w:rPr>
        <w:t>Section 104, the party hereto which set such record date shall be deemed to have initially designated the 180th day after such record date as the Expiration Date with respect thereto, subject to its right to change the Expiration Date as provided in this paragraph.</w:t>
      </w:r>
    </w:p>
    <w:p>
      <w:pPr>
        <w:spacing w:after="0" w:line="184"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Without limiting the foregoing, a Holder entitled hereunder to take any action hereunder with regard to any particular Security may do so with regard to all or any part of the principal amount of such Security or by one or more duly appointed agents each of which may do so pursuant to such appointment with regard to all or any part of such principal amount.</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57" w:name="page58"/>
    <w:bookmarkEnd w:id="57"/>
    <w:p>
      <w:pPr>
        <w:spacing w:after="0"/>
        <w:tabs>
          <w:tab w:leader="none" w:pos="10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Section 105.</w:t>
      </w:r>
      <w:r>
        <w:rPr>
          <w:sz w:val="20"/>
          <w:szCs w:val="20"/>
          <w:color w:val="auto"/>
        </w:rPr>
        <w:tab/>
      </w:r>
      <w:r>
        <w:rPr>
          <w:rFonts w:ascii="Arial" w:cs="Arial" w:eastAsia="Arial" w:hAnsi="Arial"/>
          <w:sz w:val="16"/>
          <w:szCs w:val="16"/>
          <w:u w:val="single" w:color="auto"/>
          <w:color w:val="auto"/>
        </w:rPr>
        <w:t>Notices, Etc., to Trustee and Company</w:t>
      </w:r>
      <w:r>
        <w:rPr>
          <w:rFonts w:ascii="Arial" w:cs="Arial" w:eastAsia="Arial" w:hAnsi="Arial"/>
          <w:sz w:val="16"/>
          <w:szCs w:val="16"/>
          <w:color w:val="auto"/>
        </w:rPr>
        <w:t>.</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Any request, demand, authorization, direction, notice, consent, waiver or Act of Holders or other document provided or permitted by this Indenture to be made upon, given or furnished to, or filed with,</w:t>
      </w:r>
    </w:p>
    <w:p>
      <w:pPr>
        <w:spacing w:after="0" w:line="76" w:lineRule="exact"/>
        <w:rPr>
          <w:sz w:val="20"/>
          <w:szCs w:val="20"/>
          <w:color w:val="auto"/>
        </w:rPr>
      </w:pPr>
    </w:p>
    <w:p>
      <w:pPr>
        <w:ind w:left="900" w:right="80" w:hanging="446"/>
        <w:spacing w:after="0" w:line="277"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Trustee by any Holder or by the Company shall be sufficient for every purpose hereunder if made, given, furnished or filed in writing (which may be by facsimile) to or with the Trustee at its Corporate Trust Office at the location specified in Section 101; or</w:t>
      </w:r>
    </w:p>
    <w:p>
      <w:pPr>
        <w:spacing w:after="0" w:line="75" w:lineRule="exact"/>
        <w:rPr>
          <w:rFonts w:ascii="Arial" w:cs="Arial" w:eastAsia="Arial" w:hAnsi="Arial"/>
          <w:sz w:val="18"/>
          <w:szCs w:val="18"/>
          <w:color w:val="auto"/>
        </w:rPr>
      </w:pPr>
    </w:p>
    <w:p>
      <w:pPr>
        <w:ind w:left="900" w:right="180" w:hanging="446"/>
        <w:spacing w:after="0" w:line="255"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Company by the Trustee or by any Holder shall be sufficient for every purpose hereunder (unless otherwise herein expressly provided) if in writing and mailed, first-class postage prepaid, to the Company addressed to the attention of the Secretary of the Company at the address of the Company’s principal office specified in writing to the Trustee by the Company and, until further notice, at Canon’s Court, 22 Victoria Street, Hamilton HM 12, Bermuda, fax number: (441) 295 3328, Attention: Secretary, with a copy to: Marvell Technology Group Ltd. c/o Marvell Semiconductor, Inc., 5488 Marvell Lane, Santa Clara, California 95054, fax number: (408) 222- 9177, Attention: Office of the Chief Administration and Legal Officer.</w:t>
      </w:r>
    </w:p>
    <w:p>
      <w:pPr>
        <w:spacing w:after="0" w:line="193"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addition to the foregoing, the Trustee agrees to accept and act upon notice, instructions or directions pursuant to this Indenture sent by unsecured e-mail, facsimile transmission or other similar unsecured electronic methods. If the party elects to give the Trustee e-mail or facsimile instructions (or instructions by a similar electronic method) and the Trustee in its discretion elects to act upon such instructions, the Trustee’s understanding of such instructions shall be deemed controlling. The Trustee shall not be liable for any losses, costs or expenses arising directly or indirectly from the Trustee’s reliance upon and compliance with such instructions notwithstanding such instructions conflict or are inconsistent with a subsequent written instruction. The party providing electronic instructions agrees to assume all risks arising out of the use of such electronic methods to submit instructions and directions to the Trustee, including without limitation the risk of the Trustee acting on unauthorized instructions, and the risk or interception and misuse by third parties.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Notice to Holders; Waiver</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Where this Indenture provides for notice to Holders of any event, such notice shall be sufficiently given (unless otherwise herein expressly provided) if in writing and mailed, first-class postage prepaid, sent by overnight courier or hand delivery, transmitted by email or transmitted by facsimile transmission to each Holder affected by such event, at such Holder’s address as it appears in the Security Register, not later than the latest date, if any, and not earlier than the earliest date, if any, prescribed for the giving of such notice. In any case where notice to Holders is given by mail, neither the failure to mail such notice, nor any defect in any notice so mailed, to any particular Holder shall affect the sufficiency of such notice with respect to other Holders. Any notice when mailed to a Holder in the aforesaid manner shall be conclusively deemed to have been received by such Holder whether or not actually received by such Holder. 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82"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274" w:right="259" w:bottom="1440" w:gutter="0" w:footer="0" w:header="0"/>
        </w:sectPr>
      </w:pPr>
    </w:p>
    <w:bookmarkStart w:id="58" w:name="page59"/>
    <w:bookmarkEnd w:id="5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107. </w:t>
      </w:r>
      <w:r>
        <w:rPr>
          <w:rFonts w:ascii="Arial" w:cs="Arial" w:eastAsia="Arial" w:hAnsi="Arial"/>
          <w:sz w:val="18"/>
          <w:szCs w:val="18"/>
          <w:u w:val="single" w:color="auto"/>
          <w:color w:val="auto"/>
        </w:rPr>
        <w:t>Conflict with Trust Indenture Act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312" w:lineRule="auto"/>
        <w:rPr>
          <w:sz w:val="20"/>
          <w:szCs w:val="20"/>
          <w:color w:val="auto"/>
        </w:rPr>
      </w:pPr>
      <w:r>
        <w:rPr>
          <w:rFonts w:ascii="Arial" w:cs="Arial" w:eastAsia="Arial" w:hAnsi="Arial"/>
          <w:sz w:val="16"/>
          <w:szCs w:val="16"/>
          <w:color w:val="auto"/>
        </w:rPr>
        <w:t>If any provision of this Indenture limits, qualifies or conflicts with a provision of the Trust Indenture Act which is required under such Act to be a part of and govern this Indenture, the latter provision shall control. If any provision of this Indenture modifies or excludes any provision of the Trust Indenture Act which may be so modified or excluded, the latter provision shall be deemed to apply to this Indenture as so modified or to be excluded, as the case may be.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Effect of Headings and Table of Contents</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Article and Section headings herein and the Table of Contents are for convenience only and shall not affect the construction hereof.</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109. </w:t>
      </w:r>
      <w:r>
        <w:rPr>
          <w:rFonts w:ascii="Arial" w:cs="Arial" w:eastAsia="Arial" w:hAnsi="Arial"/>
          <w:sz w:val="18"/>
          <w:szCs w:val="18"/>
          <w:u w:val="single" w:color="auto"/>
          <w:color w:val="auto"/>
        </w:rPr>
        <w:t>Successors and Assigns</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All covenants and agreements in this Indenture by the Company shall bind its successors and assigns, whether so expressed or not. All agreements of the Trustee in this Indenture shall bind its successors and assigns, whether so expressed or not.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 </w:t>
      </w:r>
      <w:r>
        <w:rPr>
          <w:rFonts w:ascii="Arial" w:cs="Arial" w:eastAsia="Arial" w:hAnsi="Arial"/>
          <w:sz w:val="18"/>
          <w:szCs w:val="18"/>
          <w:u w:val="single" w:color="auto"/>
          <w:color w:val="auto"/>
        </w:rPr>
        <w:t>Separability Clause</w:t>
      </w:r>
      <w:r>
        <w:rPr>
          <w:rFonts w:ascii="Arial" w:cs="Arial" w:eastAsia="Arial" w:hAnsi="Arial"/>
          <w:sz w:val="18"/>
          <w:szCs w:val="18"/>
          <w:color w:val="auto"/>
        </w:rPr>
        <w:t>.</w:t>
      </w:r>
    </w:p>
    <w:p>
      <w:pPr>
        <w:spacing w:after="0" w:line="117" w:lineRule="exact"/>
        <w:rPr>
          <w:sz w:val="20"/>
          <w:szCs w:val="20"/>
          <w:color w:val="auto"/>
        </w:rPr>
      </w:pPr>
    </w:p>
    <w:p>
      <w:pPr>
        <w:ind w:right="500" w:firstLine="456"/>
        <w:spacing w:after="0" w:line="277" w:lineRule="auto"/>
        <w:rPr>
          <w:sz w:val="20"/>
          <w:szCs w:val="20"/>
          <w:color w:val="auto"/>
        </w:rPr>
      </w:pPr>
      <w:r>
        <w:rPr>
          <w:rFonts w:ascii="Arial" w:cs="Arial" w:eastAsia="Arial" w:hAnsi="Arial"/>
          <w:sz w:val="18"/>
          <w:szCs w:val="18"/>
          <w:color w:val="auto"/>
        </w:rPr>
        <w:t>In case any provision in this Indenture or in the Securities shall be invalid, illegal or unenforceable, the validity, legality and enforceability of the remaining provisions shall not in any way be affected or impaired thereby.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111. </w:t>
      </w:r>
      <w:r>
        <w:rPr>
          <w:rFonts w:ascii="Arial" w:cs="Arial" w:eastAsia="Arial" w:hAnsi="Arial"/>
          <w:sz w:val="18"/>
          <w:szCs w:val="18"/>
          <w:u w:val="single" w:color="auto"/>
          <w:color w:val="auto"/>
        </w:rPr>
        <w:t>Benefits of Indenture</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Nothing in this Indenture or in the Securities, express or implied, shall give to any Person, other than the parties hereto and their successors hereunder and the Holders, any benefit or any legal or equitable right, remedy or claim under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112. </w:t>
      </w:r>
      <w:r>
        <w:rPr>
          <w:rFonts w:ascii="Arial" w:cs="Arial" w:eastAsia="Arial" w:hAnsi="Arial"/>
          <w:sz w:val="18"/>
          <w:szCs w:val="18"/>
          <w:u w:val="single" w:color="auto"/>
          <w:color w:val="auto"/>
        </w:rPr>
        <w:t>Governing Law</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Indenture and the Securities shall be governed by, and construed in accordance with, the law of the State of New York.</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113. </w:t>
      </w:r>
      <w:r>
        <w:rPr>
          <w:rFonts w:ascii="Arial" w:cs="Arial" w:eastAsia="Arial" w:hAnsi="Arial"/>
          <w:sz w:val="18"/>
          <w:szCs w:val="18"/>
          <w:u w:val="single" w:color="auto"/>
          <w:color w:val="auto"/>
        </w:rPr>
        <w:t>Legal Holidays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In any case where any Interest Payment Date, Redemption Date, Repayment Date or Stated Maturity of any Security, or any date on which a Holder has the right to convert such Holder’s Security, shall not be a Business Day at any Place of Payment, then (notwithstanding any other provision of this Indenture or of the Securities (other than a provision of any Security which specifically states that such provision shall apply in lieu of this Section 113)) payment of principal and premium, if any, or interest, or the Redemption Price or conversion of such Security, shall not be made at such Place of Payment on such date, but shall be made on the next succeeding Business Day at such Place of Payment with the same force and effect as if made on the Interest Payment Date, Redemption Date or Repayment Date, or at the Stated Maturity, or on such conversion date. In the case, however, of Securities of a series bearing interest at a floating rate based on the London interbank offered rate (LIBOR) or a successor or substitute rate therefor, if any Interest Payment Date (other than the Redemption Date, Repayment Date or Stated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274" w:right="259" w:bottom="1440" w:gutter="0" w:footer="0" w:header="0"/>
        </w:sectPr>
      </w:pPr>
    </w:p>
    <w:bookmarkStart w:id="59" w:name="page60"/>
    <w:bookmarkEnd w:id="59"/>
    <w:p>
      <w:pPr>
        <w:ind w:right="1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Maturity) would otherwise be a date that is not a Business Day, then the Interest Payment Date shall be postponed to the following date which is a Business Day, unless that Business Day falls in the next succeeding calendar month, in which case the Interest Payment Date will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114. </w:t>
      </w:r>
      <w:r>
        <w:rPr>
          <w:rFonts w:ascii="Arial" w:cs="Arial" w:eastAsia="Arial" w:hAnsi="Arial"/>
          <w:sz w:val="18"/>
          <w:szCs w:val="18"/>
          <w:u w:val="single" w:color="auto"/>
          <w:color w:val="auto"/>
        </w:rPr>
        <w:t>No Recourse Against Others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No recourse shall be had for the payment of principal of, or premium, if any, or interest, if any, on any Security of any series, or for any claim based thereon, or upon any obligation, covenant or agreement of this Indenture, against any incorporator, shareholder, officer or director, as such, past, present or future, of the Company or any successor corporation of the Company, either directly or indirectly through the Company or any successor corporation of the Company, whether by virtue of any constitution, statute or rule of law or by the enforcement of any assessment of penalty or otherwise; it being expressly agreed and understood that this Indenture and all the Securities of each series are solely corporate obligations, and that no personal liability whatsoever shall attach to, or is incurred by, any incorporator, shareholder, officer or director, past, present or future, of the Company or of any successor corporation of the Company, either directly or indirectly through the Company or any successor corporation of the Company, because of the incurring of the indebtedness hereby authorized or under or by reason of any of the obligations, covenants or agreements contained in this Indenture or in any of the Securities of any series, or to be implied herefrom or therefrom; and that all such personal liability is hereby expressly released and waived as a condition of, and as part of the consideration for, the execution of this Indenture and the issuance of the Securities of each series.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115.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EACH OF THE COMPANY, THE TRUSTEE AND EACH HOLDER OF A SECURITY BY ITS ACCEPTANCE THEREOF HEREBY IRREVOCABLY WAIVES, TO THE FULLEST EXTENT PERMITTED BY APPLICABLE LAW, ANY AND ALL RIGHT TO TRIAL BY JURY IN ANY LEGAL PROCEEDING AS AMONG OR BETWEEN THE COMPANY, THE TRUSTEE AND/OR A HOLDER OF A SECURITY ONLY ARISING OUT OF OR RELATING TO THIS INDENTURE OR THE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116. </w:t>
      </w:r>
      <w:r>
        <w:rPr>
          <w:rFonts w:ascii="Arial" w:cs="Arial" w:eastAsia="Arial" w:hAnsi="Arial"/>
          <w:sz w:val="18"/>
          <w:szCs w:val="18"/>
          <w:u w:val="single" w:color="auto"/>
          <w:color w:val="auto"/>
        </w:rPr>
        <w:t>Judgment Currency; Submission to Jurisdiction and Consent to Service</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71" w:lineRule="auto"/>
        <w:rPr>
          <w:sz w:val="20"/>
          <w:szCs w:val="20"/>
          <w:color w:val="auto"/>
        </w:rPr>
      </w:pPr>
      <w:r>
        <w:rPr>
          <w:rFonts w:ascii="Arial" w:cs="Arial" w:eastAsia="Arial" w:hAnsi="Arial"/>
          <w:sz w:val="17"/>
          <w:szCs w:val="17"/>
          <w:color w:val="auto"/>
        </w:rPr>
        <w:t>The Company agrees, to the fullest extent that it may effectively do so under applicable law, that (a) if for the purpose of obtaining judgment in any court it is necessary to convert the sum due in respect of the principal of or interest on the Securities of any series (the “Required Currency”) into a currency in which a judgment will be rendered (the “Judgment Currency”), the rate of exchange used shall be the rate at which in accordance with normal banking procedures the Trustee for such Securities could purchase in the City of New York the Required Currency with the Judgment Currency at 10:00 A.M. New York City time, or as close to such time as is reasonably practicable, on the day on which final unappealable judgment is entered, unless such day is not a New York Banking Day, then, to the extent permitted by applicable law, the rate of exchange used shall be the rate at which in accordance with normal banking procedures such Trustee could purchase in The City of New York the Required Currency with the Judgment Currency at 10:00 A.M. New York City time, or as close to such time as is reasonably</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60" w:name="page61"/>
    <w:bookmarkEnd w:id="60"/>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practicable, on the New York Banking Day preceding the day on which final unappealable judgment is entered and (b) its obligations under this Indenture to make payments in the Required Currency (i) shall not be discharged or satisfied by any tender, or any recovery pursuant to any judgment (whether or not entered in accordance with this Subsection (a)), in any currency other than the Required Currency, except to the extent that such tender or recovery shall result in the actual receipt, by the payee, of the full amount of the Required Currency expressed to be payable in respect of such payments, (ii) shall be enforceable as an alternative or additional cause of action for the purpose of recovering in the Required Currency the amount, if any, by which such actual receipt shall fall short of the full amount of the Required Currency so expressed to be payable and (iii) shall not be affected by judgment being obtained for any other sum due under this Indenture. For purposes of the foregoing, “New York Banking Day” means any day except a Saturday, Sunday or a legal holiday in the City of New York or a day on which banking institutions in the City of New York are authorized or required by law or executive order to close.</w:t>
      </w:r>
    </w:p>
    <w:p>
      <w:pPr>
        <w:spacing w:after="0" w:line="162" w:lineRule="exact"/>
        <w:rPr>
          <w:sz w:val="20"/>
          <w:szCs w:val="20"/>
          <w:color w:val="auto"/>
        </w:rPr>
      </w:pPr>
    </w:p>
    <w:p>
      <w:pPr>
        <w:ind w:right="20" w:firstLine="456"/>
        <w:spacing w:after="0" w:line="272" w:lineRule="auto"/>
        <w:rPr>
          <w:sz w:val="20"/>
          <w:szCs w:val="20"/>
          <w:color w:val="auto"/>
        </w:rPr>
      </w:pPr>
      <w:r>
        <w:rPr>
          <w:rFonts w:ascii="Arial" w:cs="Arial" w:eastAsia="Arial" w:hAnsi="Arial"/>
          <w:sz w:val="17"/>
          <w:szCs w:val="17"/>
          <w:b w:val="1"/>
          <w:bCs w:val="1"/>
          <w:color w:val="auto"/>
        </w:rPr>
        <w:t>The Company hereby irrevocably submits to the jurisdiction of any New York State court sitting in the Borough of Manhattan in the City of New York or any federal court sitting in the Borough of Manhattan in the City of New York in respect of any suit, action or proceeding arising out of or relating to this Indenture and the Securities, and irrevocably accepts for itself and in respect of its property, generally and unconditionally, jurisdiction of the aforesaid courts. The Company irrevocably waives, to the fullest extent permitted by law, any objection which it may have to the laying of the venue of any such suit, action or proceeding brought in an inconvenient forum. The Company agrees that final judgment in any such suit, action or proceeding brought in such a court shall be conclusive and binding upon the Company, and may be enforced in the courts of Bermuda (or any other courts to the jurisdiction of which the Company is subject) by a suit upon such judgment, provided, that service of process is effected upon the Company in the manner specified herein or as otherwise permitted by law.</w:t>
      </w:r>
    </w:p>
    <w:p>
      <w:pPr>
        <w:spacing w:after="0" w:line="176" w:lineRule="exact"/>
        <w:rPr>
          <w:sz w:val="20"/>
          <w:szCs w:val="20"/>
          <w:color w:val="auto"/>
        </w:rPr>
      </w:pPr>
    </w:p>
    <w:p>
      <w:pPr>
        <w:ind w:right="20" w:firstLine="456"/>
        <w:spacing w:after="0" w:line="269" w:lineRule="auto"/>
        <w:rPr>
          <w:sz w:val="20"/>
          <w:szCs w:val="20"/>
          <w:color w:val="auto"/>
        </w:rPr>
      </w:pPr>
      <w:r>
        <w:rPr>
          <w:rFonts w:ascii="Arial" w:cs="Arial" w:eastAsia="Arial" w:hAnsi="Arial"/>
          <w:sz w:val="17"/>
          <w:szCs w:val="17"/>
          <w:color w:val="auto"/>
        </w:rPr>
        <w:t>The Company hereby irrevocably designates and appoints Marvell Semiconductor, Inc., a California corporation, 5488 Marvell Lane, Santa Clara, CA 95054, United States of America, (the “Process Agent”) as its authorized agent for service of process for purposes of this Section 116, it being understood that the designation and appointment of the Process Agent as such authorized agent shall become effective immediately without any further action on the part of the Company. The Company further agrees that service of process upon the Process Agent and written notice of said service to the Company mailed by prepaid registered first class mail or delivered to the Process Agent at its principal office, shall be deemed in every respect effective service of process upon the Company in any such suit or proceeding. The Company further agrees to take any and all action, including the execution and filing of any and all such documents and instruments as may be necessary, to continue such designation and appointment of the Process Agent in full force and effect so long as the Company has any outstanding obligations under this Indenture. To the extent the Company has or hereafter may acquire any immunity from jurisdiction of any court or from any legal process (whether through service of notice, attachment prior to judgment, attachment in aid of execution, executor or otherwise) with respect to itself or its property, the Company hereby irrevocably waives such immunity in respect of its obligations under this Indenture to the extent permitted by law.</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274" w:right="239" w:bottom="1440" w:gutter="0" w:footer="0" w:header="0"/>
        </w:sectPr>
      </w:pPr>
    </w:p>
    <w:bookmarkStart w:id="61" w:name="page62"/>
    <w:bookmarkEnd w:id="6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117. </w:t>
      </w:r>
      <w:r>
        <w:rPr>
          <w:rFonts w:ascii="Arial" w:cs="Arial" w:eastAsia="Arial" w:hAnsi="Arial"/>
          <w:sz w:val="18"/>
          <w:szCs w:val="18"/>
          <w:u w:val="single" w:color="auto"/>
          <w:color w:val="auto"/>
        </w:rPr>
        <w:t>Securities in a Composite Currency, Currency Unit or Foreign Currency</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68" w:lineRule="auto"/>
        <w:rPr>
          <w:sz w:val="20"/>
          <w:szCs w:val="20"/>
          <w:color w:val="auto"/>
        </w:rPr>
      </w:pPr>
      <w:r>
        <w:rPr>
          <w:rFonts w:ascii="Arial" w:cs="Arial" w:eastAsia="Arial" w:hAnsi="Arial"/>
          <w:sz w:val="17"/>
          <w:szCs w:val="17"/>
          <w:color w:val="auto"/>
        </w:rPr>
        <w:t>Unless otherwise provided pursuant to Section 301 of this Indenture with respect to a particular series of Securities, whenever for purposes of this Indenture any consent, notice, waiver or other action may be taken or given by the Holders of a specified percentage in aggregate principal amount of Securities of one or more series at the time outstanding and, at such time, all the outstanding Securities of such series are not denominated in the same currency or currency unit or are denominated in a Foreign Currency, then the principal amount (which, in the case of Original Issue Discount Securities, shall be determined as provided in the definition of “Outstanding” in Section 101 hereof) of Securities of such series which shall be deemed to be outstanding for the purpose of giving any consent, notice or waiver or taking any other action under this Indenture or the Securities of such series shall be (except in the case of any such Securities denominated in Dollars) that amount of Dollars that could be obtained for such principal amount (or other amount, as the case may be) at the Market Exchange Rate at such time. For purposes of this Section 117, “Market Exchange Rate” shall mean the noon Dollar buying rate in New York City for cable transfers of such currency or currencies as published by the Federal Reserve Bank of New York, as of the most recent available date. If such Market Exchange Rate is not available for any reason with respect to any such currency, the Company shall use, in its sole discretion, such quotation of the Federal Reserve Bank of New York as of the most recent available date, or quotations or rates of exchange from one or more major banks in The City of New York or in the country of issue of the currency in question, which for purposes of euros shall be Brussels, Belgium, or such other quotations or rates of exchange as the Company shall deem appropriate.</w:t>
      </w:r>
    </w:p>
    <w:p>
      <w:pPr>
        <w:spacing w:after="0" w:line="188"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color w:val="auto"/>
        </w:rPr>
        <w:t>The Company may, at its option, appoint an agent to obtain the Market Exchange Rate (or alternative rate) and to perform the relevant calculations with respect to any Securities denominated in a currency or currencies other than Dollars. All decisions and determinations of the Company or any such agent regarding the Market Exchange Rate or any alternative determination provided for in the preceding paragraph shall be in its sole discretion and shall, in the absence of manifest error, to the extent permitted by law, be conclusive for all purposes and irrevocably binding upon the Company and all Holders.</w:t>
      </w: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SECURITY FORMS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Forms Generally</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Securities of each series shall be in substantially such form or forms as shall be established by or pursuant to a Board Resolution or, subject to Section 303, set forth in, or determined in the manner provided in, an Officer’s Certificate pursuant to a Board Resolution, or in one or more indentures supplemental hereto, in each case with such appropriate insertions, omissions, substitutions and other variations as are required or permitted by this Indenture, and may have such letters, numbers or other marks of identification and such legends or endorsements placed thereon as may be required to comply with applicable tax laws or the rules of any securities exchange or Depositary therefor or as may, consistently herewith, be determined by the Officer (or any Person designated in writing by an Officer of the Company as authorized to execute and deliver the Securities) executing such Securities, as evidenced by his or her execution thereof. If the form of Securities of any series is established by action taken pursuant to a Board Resolution, a copy of an appropriate record of such action shall be certified by the Secretary or an Assistant Secretary of the Company and delivered to the Trustee at or prior to the delivery of the Company Order contemplated by Section 303 for the authentication and delivery of such Securities. If all of the Securities of any series established by action taken pursuant to a Board Resolution are not to be issued at one time, it shall not be necessary to deliver a record of such action at the time of issuance of each Security of such series, but an appropriate record of such action shall be delivered at or before the time of issuance of the first Security of such series.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74" w:right="259" w:bottom="1440" w:gutter="0" w:footer="0" w:header="0"/>
        </w:sectPr>
      </w:pPr>
    </w:p>
    <w:bookmarkStart w:id="62" w:name="page63"/>
    <w:bookmarkEnd w:id="62"/>
    <w:p>
      <w:pPr>
        <w:ind w:right="8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definitive Securities shall be printed, lithographed or engraved or may be produced in any other manner, all as determined by the Officer (or any Person designated in writing by an Officer of the Company as authorized to execute and deliver the Securities) executing such Securities, as evidenced by his or her execution of such Securities.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Form of Legend for Global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Unless otherwise specified as contemplated by Section 301 for the Securities evidenced thereby or as required by Applicable Procedures, every Global Security authenticated and delivered hereunder shall bear a legend in substantially the following form:</w:t>
      </w:r>
    </w:p>
    <w:p>
      <w:pPr>
        <w:spacing w:after="0" w:line="17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89"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Section 203. F</w:t>
      </w:r>
      <w:r>
        <w:rPr>
          <w:rFonts w:ascii="Arial" w:cs="Arial" w:eastAsia="Arial" w:hAnsi="Arial"/>
          <w:sz w:val="18"/>
          <w:szCs w:val="18"/>
          <w:u w:val="single" w:color="auto"/>
          <w:color w:val="auto"/>
        </w:rPr>
        <w:t>orm of Trustee’s Certificate of Authentication</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Trustee’s certificates of authentication shall be in substantially the following form:</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4546600</wp:posOffset>
            </wp:positionH>
            <wp:positionV relativeFrom="paragraph">
              <wp:posOffset>-10160</wp:posOffset>
            </wp:positionV>
            <wp:extent cx="1743075"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7430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Authorized Signatory</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274" w:right="239" w:bottom="1440" w:gutter="0" w:footer="0" w:header="0"/>
        </w:sectPr>
      </w:pPr>
    </w:p>
    <w:bookmarkStart w:id="63" w:name="page64"/>
    <w:bookmarkEnd w:id="63"/>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ARTICLE III</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THE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Amount Unlimited; Issuable in Series</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aggregate principal amount of Securities which may be authenticated and delivered under this Indenture is unlimited.</w:t>
      </w:r>
    </w:p>
    <w:p>
      <w:pPr>
        <w:spacing w:after="0" w:line="225" w:lineRule="exact"/>
        <w:rPr>
          <w:sz w:val="20"/>
          <w:szCs w:val="20"/>
          <w:color w:val="auto"/>
        </w:rPr>
      </w:pPr>
    </w:p>
    <w:p>
      <w:pPr>
        <w:jc w:val="both"/>
        <w:ind w:right="60" w:firstLine="456"/>
        <w:spacing w:after="0" w:line="264" w:lineRule="auto"/>
        <w:rPr>
          <w:sz w:val="20"/>
          <w:szCs w:val="20"/>
          <w:color w:val="auto"/>
        </w:rPr>
      </w:pPr>
      <w:r>
        <w:rPr>
          <w:rFonts w:ascii="Arial" w:cs="Arial" w:eastAsia="Arial" w:hAnsi="Arial"/>
          <w:sz w:val="18"/>
          <w:szCs w:val="18"/>
          <w:color w:val="auto"/>
        </w:rPr>
        <w:t>The Securities may be issued in one or more series. There shall be established in or pursuant to (a) a Board Resolution or pursuant to authority granted by a Board Resolution and, subject to Section 303, set forth, or determined in the manner provided, in an Officer’s Certificate, or (b) one or more indentures supplemental hereto, prior to the issuance of Securities of any series:</w:t>
      </w:r>
    </w:p>
    <w:p>
      <w:pPr>
        <w:spacing w:after="0" w:line="87" w:lineRule="exact"/>
        <w:rPr>
          <w:sz w:val="20"/>
          <w:szCs w:val="20"/>
          <w:color w:val="auto"/>
        </w:rPr>
      </w:pPr>
    </w:p>
    <w:p>
      <w:pPr>
        <w:ind w:left="900" w:hanging="446"/>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title of the Securities of the series (which shall distinguish the Securities of the series from Securities of any other series);</w:t>
      </w:r>
    </w:p>
    <w:p>
      <w:pPr>
        <w:spacing w:after="0" w:line="130" w:lineRule="exact"/>
        <w:rPr>
          <w:rFonts w:ascii="Arial" w:cs="Arial" w:eastAsia="Arial" w:hAnsi="Arial"/>
          <w:sz w:val="18"/>
          <w:szCs w:val="18"/>
          <w:color w:val="auto"/>
        </w:rPr>
      </w:pPr>
    </w:p>
    <w:p>
      <w:pPr>
        <w:ind w:left="900" w:right="120" w:hanging="446"/>
        <w:spacing w:after="0" w:line="297" w:lineRule="auto"/>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 xml:space="preserve">the limit, if any, on the aggregate principal amount of the Securities of the series which may be authenticated and delivered under this Indenture (except for Securities authenticated and delivered upon registration of transfer of, or in exchange for, or in lieu of, other Securities of the series pursuant to Section 304, Section 305, Section 306, Section 906, Section 1107 or Section 1405 and except for any Securities which, pursuant to Section 303, are deemed never to have been authenticated and delivered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the authorized aggregate principal amount of such series may from time to time be increased above such amount by a Board Resolution to such effect;</w:t>
      </w:r>
    </w:p>
    <w:p>
      <w:pPr>
        <w:spacing w:after="0" w:line="63" w:lineRule="exact"/>
        <w:rPr>
          <w:rFonts w:ascii="Arial" w:cs="Arial" w:eastAsia="Arial" w:hAnsi="Arial"/>
          <w:sz w:val="16"/>
          <w:szCs w:val="16"/>
          <w:color w:val="auto"/>
        </w:rPr>
      </w:pPr>
    </w:p>
    <w:p>
      <w:pPr>
        <w:ind w:left="900" w:hanging="446"/>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price or prices at which the Securities will be sold;</w:t>
      </w:r>
    </w:p>
    <w:p>
      <w:pPr>
        <w:spacing w:after="0" w:line="130" w:lineRule="exact"/>
        <w:rPr>
          <w:rFonts w:ascii="Arial" w:cs="Arial" w:eastAsia="Arial" w:hAnsi="Arial"/>
          <w:sz w:val="18"/>
          <w:szCs w:val="18"/>
          <w:color w:val="auto"/>
        </w:rPr>
      </w:pPr>
    </w:p>
    <w:p>
      <w:pPr>
        <w:ind w:left="900" w:hanging="446"/>
        <w:spacing w:after="0" w:line="277"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Person to whom any interest on a Security of the series shall be payable, if other than the Person in whose name that Security (or one or more Predecessor Securities) is registered at the close of business on the Regular Record Date for such interest;</w:t>
      </w:r>
    </w:p>
    <w:p>
      <w:pPr>
        <w:spacing w:after="0" w:line="75"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Securities of the series is payable or the method used to determine or extend those dates;</w:t>
      </w:r>
    </w:p>
    <w:p>
      <w:pPr>
        <w:spacing w:after="0" w:line="75" w:lineRule="exact"/>
        <w:rPr>
          <w:rFonts w:ascii="Arial" w:cs="Arial" w:eastAsia="Arial" w:hAnsi="Arial"/>
          <w:sz w:val="18"/>
          <w:szCs w:val="18"/>
          <w:color w:val="auto"/>
        </w:rPr>
      </w:pPr>
    </w:p>
    <w:p>
      <w:pPr>
        <w:ind w:left="900" w:right="80" w:hanging="446"/>
        <w:spacing w:after="0" w:line="297" w:lineRule="auto"/>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rate or rates at which any Securities of the series shall bear interest, if any, or the method by which such rate or rates shall be determined, the date or dates from which any such interest shall accrue, or the method by which such date or dates shall be determined, the Interest Payment Dates on which any such interest shall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60"/>
          </w:cols>
          <w:pgMar w:left="240" w:top="270" w:right="299" w:bottom="1440" w:gutter="0" w:footer="0" w:header="0"/>
        </w:sectPr>
      </w:pPr>
    </w:p>
    <w:bookmarkStart w:id="64" w:name="page65"/>
    <w:bookmarkEnd w:id="64"/>
    <w:p>
      <w:pPr>
        <w:ind w:left="446" w:hanging="446"/>
        <w:spacing w:after="0" w:line="312" w:lineRule="auto"/>
        <w:tabs>
          <w:tab w:leader="none" w:pos="446" w:val="left"/>
        </w:tabs>
        <w:numPr>
          <w:ilvl w:val="0"/>
          <w:numId w:val="5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place or places where the principal of and any premium and interest on any Securities of the series shall be payable, the place or places where the Securities of such series may be presented for registration of transfer or exchange, the place or places where notices and demands to or upon the Company in respect of the Securities of such series may be made and the manner in which any payment may be made;</w:t>
      </w:r>
    </w:p>
    <w:p>
      <w:pPr>
        <w:spacing w:after="0" w:line="52" w:lineRule="exact"/>
        <w:rPr>
          <w:rFonts w:ascii="Arial" w:cs="Arial" w:eastAsia="Arial" w:hAnsi="Arial"/>
          <w:sz w:val="16"/>
          <w:szCs w:val="16"/>
          <w:color w:val="auto"/>
        </w:rPr>
      </w:pPr>
    </w:p>
    <w:p>
      <w:pPr>
        <w:jc w:val="both"/>
        <w:ind w:left="446" w:right="240" w:hanging="446"/>
        <w:spacing w:after="0" w:line="312" w:lineRule="auto"/>
        <w:tabs>
          <w:tab w:leader="none" w:pos="446" w:val="left"/>
        </w:tabs>
        <w:numPr>
          <w:ilvl w:val="0"/>
          <w:numId w:val="52"/>
        </w:numPr>
        <w:rPr>
          <w:rFonts w:ascii="Arial" w:cs="Arial" w:eastAsia="Arial" w:hAnsi="Arial"/>
          <w:sz w:val="16"/>
          <w:szCs w:val="16"/>
          <w:color w:val="auto"/>
        </w:rPr>
      </w:pPr>
      <w:r>
        <w:rPr>
          <w:rFonts w:ascii="Arial" w:cs="Arial" w:eastAsia="Arial" w:hAnsi="Arial"/>
          <w:sz w:val="16"/>
          <w:szCs w:val="16"/>
          <w:color w:val="auto"/>
        </w:rPr>
        <w:t>the period or periods within which or the date or dates on which, the price or prices at which, the currency or currency units in which, and the terms and conditions upon which any Securities of the series may be redeemed, in whole or in part, at the option of the Company and, if other than by a Board Resolution, the manner in which any election by the Company to redeem the Securities shall be evidenced;</w:t>
      </w:r>
    </w:p>
    <w:p>
      <w:pPr>
        <w:spacing w:after="0" w:line="52" w:lineRule="exact"/>
        <w:rPr>
          <w:rFonts w:ascii="Arial" w:cs="Arial" w:eastAsia="Arial" w:hAnsi="Arial"/>
          <w:sz w:val="16"/>
          <w:szCs w:val="16"/>
          <w:color w:val="auto"/>
        </w:rPr>
      </w:pPr>
    </w:p>
    <w:p>
      <w:pPr>
        <w:jc w:val="both"/>
        <w:ind w:left="446" w:right="80" w:hanging="446"/>
        <w:spacing w:after="0" w:line="259" w:lineRule="auto"/>
        <w:tabs>
          <w:tab w:leader="none" w:pos="4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obligation or the right, if any, of the Company to redeem or purchase any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Securities of the series shall be redeemed or purchased, in whole or in part, pursuant to such obligation;</w:t>
      </w:r>
    </w:p>
    <w:p>
      <w:pPr>
        <w:spacing w:after="0" w:line="92" w:lineRule="exact"/>
        <w:rPr>
          <w:rFonts w:ascii="Arial" w:cs="Arial" w:eastAsia="Arial" w:hAnsi="Arial"/>
          <w:sz w:val="18"/>
          <w:szCs w:val="18"/>
          <w:color w:val="auto"/>
        </w:rPr>
      </w:pPr>
    </w:p>
    <w:p>
      <w:pPr>
        <w:ind w:left="446" w:right="20" w:hanging="446"/>
        <w:spacing w:after="0" w:line="277" w:lineRule="auto"/>
        <w:tabs>
          <w:tab w:leader="none" w:pos="4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Securities of the series shall be issuable;</w:t>
      </w:r>
    </w:p>
    <w:p>
      <w:pPr>
        <w:spacing w:after="0" w:line="75" w:lineRule="exact"/>
        <w:rPr>
          <w:rFonts w:ascii="Arial" w:cs="Arial" w:eastAsia="Arial" w:hAnsi="Arial"/>
          <w:sz w:val="18"/>
          <w:szCs w:val="18"/>
          <w:color w:val="auto"/>
        </w:rPr>
      </w:pPr>
    </w:p>
    <w:p>
      <w:pPr>
        <w:ind w:left="446" w:hanging="446"/>
        <w:spacing w:after="0"/>
        <w:tabs>
          <w:tab w:leader="none" w:pos="4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446" w:right="340" w:hanging="446"/>
        <w:spacing w:after="0" w:line="277" w:lineRule="auto"/>
        <w:tabs>
          <w:tab w:leader="none" w:pos="4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if the amount of principal of or premium, if any, or interest on any Securities of the series may be determined with reference to a financial or economic measure or index or pursuant to a formula, the manner in which such amounts shall be determined;</w:t>
      </w:r>
    </w:p>
    <w:p>
      <w:pPr>
        <w:spacing w:after="0" w:line="75" w:lineRule="exact"/>
        <w:rPr>
          <w:rFonts w:ascii="Arial" w:cs="Arial" w:eastAsia="Arial" w:hAnsi="Arial"/>
          <w:sz w:val="18"/>
          <w:szCs w:val="18"/>
          <w:color w:val="auto"/>
        </w:rPr>
      </w:pPr>
    </w:p>
    <w:p>
      <w:pPr>
        <w:ind w:left="446" w:hanging="446"/>
        <w:spacing w:after="0" w:line="286" w:lineRule="auto"/>
        <w:tabs>
          <w:tab w:leader="none" w:pos="446" w:val="left"/>
        </w:tabs>
        <w:numPr>
          <w:ilvl w:val="0"/>
          <w:numId w:val="52"/>
        </w:numPr>
        <w:rPr>
          <w:rFonts w:ascii="Arial" w:cs="Arial" w:eastAsia="Arial" w:hAnsi="Arial"/>
          <w:sz w:val="17"/>
          <w:szCs w:val="17"/>
          <w:color w:val="auto"/>
        </w:rPr>
      </w:pPr>
      <w:r>
        <w:rPr>
          <w:rFonts w:ascii="Arial" w:cs="Arial" w:eastAsia="Arial" w:hAnsi="Arial"/>
          <w:sz w:val="17"/>
          <w:szCs w:val="17"/>
          <w:color w:val="auto"/>
        </w:rPr>
        <w:t>if other than the currency of the United States of America, the currency, currencies or currency units in which the principal of or premium, if any, or interest on any Securities of the series shall be payable and the manner of determining the equivalent thereof in the currency of the United States of America for any purpose, including for purposes of the definition of “</w:t>
      </w:r>
      <w:r>
        <w:rPr>
          <w:rFonts w:ascii="Arial" w:cs="Arial" w:eastAsia="Arial" w:hAnsi="Arial"/>
          <w:sz w:val="17"/>
          <w:szCs w:val="17"/>
          <w:u w:val="single" w:color="auto"/>
          <w:color w:val="auto"/>
        </w:rPr>
        <w:t>Outstanding</w:t>
      </w:r>
      <w:r>
        <w:rPr>
          <w:rFonts w:ascii="Arial" w:cs="Arial" w:eastAsia="Arial" w:hAnsi="Arial"/>
          <w:sz w:val="17"/>
          <w:szCs w:val="17"/>
          <w:color w:val="auto"/>
        </w:rPr>
        <w:t>” in Section 101;</w:t>
      </w:r>
    </w:p>
    <w:p>
      <w:pPr>
        <w:spacing w:after="0" w:line="70" w:lineRule="exact"/>
        <w:rPr>
          <w:rFonts w:ascii="Arial" w:cs="Arial" w:eastAsia="Arial" w:hAnsi="Arial"/>
          <w:sz w:val="17"/>
          <w:szCs w:val="17"/>
          <w:color w:val="auto"/>
        </w:rPr>
      </w:pPr>
    </w:p>
    <w:p>
      <w:pPr>
        <w:ind w:left="446" w:right="40" w:hanging="446"/>
        <w:spacing w:after="0" w:line="257" w:lineRule="auto"/>
        <w:tabs>
          <w:tab w:leader="none" w:pos="4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if the principal of or premium, if any, or interest on any Securities of the series is to be payable, at the election of the Company or the Holder thereof, in one or more currencies or currency units other than that or those in which such Securities are stated to be payable, the currency, currencies or currency units in which the principal of or premium, if any, or interest on such Securities as to which such election is made shall be payable, the periods within which or the dates on which and the terms and conditions upon which such election is to be made and the amount so payable (or the manner in which such amount shall be determined);</w:t>
      </w:r>
    </w:p>
    <w:p>
      <w:pPr>
        <w:spacing w:after="0" w:line="93" w:lineRule="exact"/>
        <w:rPr>
          <w:rFonts w:ascii="Arial" w:cs="Arial" w:eastAsia="Arial" w:hAnsi="Arial"/>
          <w:sz w:val="18"/>
          <w:szCs w:val="18"/>
          <w:color w:val="auto"/>
        </w:rPr>
      </w:pPr>
    </w:p>
    <w:p>
      <w:pPr>
        <w:ind w:left="446" w:right="320" w:hanging="446"/>
        <w:spacing w:after="0" w:line="342" w:lineRule="auto"/>
        <w:tabs>
          <w:tab w:leader="none" w:pos="446" w:val="left"/>
        </w:tabs>
        <w:numPr>
          <w:ilvl w:val="0"/>
          <w:numId w:val="52"/>
        </w:numPr>
        <w:rPr>
          <w:rFonts w:ascii="Arial" w:cs="Arial" w:eastAsia="Arial" w:hAnsi="Arial"/>
          <w:sz w:val="16"/>
          <w:szCs w:val="16"/>
          <w:color w:val="auto"/>
        </w:rPr>
      </w:pPr>
      <w:r>
        <w:rPr>
          <w:rFonts w:ascii="Arial" w:cs="Arial" w:eastAsia="Arial" w:hAnsi="Arial"/>
          <w:sz w:val="16"/>
          <w:szCs w:val="16"/>
          <w:color w:val="auto"/>
        </w:rPr>
        <w:t>if the provisions of Section 401 relating to the satisfaction and discharge of this Indenture shall apply to the Securities of that series; or if provisions for the satisfaction and discharge of this Indenture other than as set forth in Section 401 shall apply to the Securities of that series;</w:t>
      </w:r>
    </w:p>
    <w:p>
      <w:pPr>
        <w:spacing w:after="0" w:line="56" w:lineRule="exact"/>
        <w:rPr>
          <w:sz w:val="20"/>
          <w:szCs w:val="20"/>
          <w:color w:val="auto"/>
        </w:rPr>
      </w:pPr>
    </w:p>
    <w:p>
      <w:pPr>
        <w:jc w:val="center"/>
        <w:ind w:right="374"/>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06"/>
          </w:cols>
          <w:pgMar w:left="694" w:top="274" w:right="299" w:bottom="1440" w:gutter="0" w:footer="0" w:header="0"/>
        </w:sectPr>
      </w:pPr>
    </w:p>
    <w:bookmarkStart w:id="65" w:name="page66"/>
    <w:bookmarkEnd w:id="65"/>
    <w:p>
      <w:pPr>
        <w:ind w:left="446" w:right="220" w:hanging="446"/>
        <w:spacing w:after="0" w:line="342" w:lineRule="auto"/>
        <w:tabs>
          <w:tab w:leader="none" w:pos="446" w:val="left"/>
        </w:tabs>
        <w:numPr>
          <w:ilvl w:val="0"/>
          <w:numId w:val="5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other than the entire principal amount thereof, the portion of the principal amount of any Securities of the series which shall be payable upon declaration of acceleration of the Maturity thereof pursuant to Section 502 or the method by which such portion shall be determined;</w:t>
      </w:r>
    </w:p>
    <w:p>
      <w:pPr>
        <w:spacing w:after="0" w:line="29" w:lineRule="exact"/>
        <w:rPr>
          <w:rFonts w:ascii="Arial" w:cs="Arial" w:eastAsia="Arial" w:hAnsi="Arial"/>
          <w:sz w:val="16"/>
          <w:szCs w:val="16"/>
          <w:color w:val="auto"/>
        </w:rPr>
      </w:pPr>
    </w:p>
    <w:p>
      <w:pPr>
        <w:ind w:left="446" w:right="60" w:hanging="446"/>
        <w:spacing w:after="0" w:line="257" w:lineRule="auto"/>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Securities of the series will not be determinable as of any one or more dates prior to the Stated Maturity, the amount which shall be deemed to be the principal amount of such Securities as of any such date for any purpose thereunder or hereunder, including the principal amount thereof which shall be due and payable upon any Maturity other than the Stated Maturity or which shall be deemed to be Outstanding as of any date prior to the Stated Maturity (or, in any such case, the manner in which such amount deemed to be the principal amount shall be determined);</w:t>
      </w:r>
    </w:p>
    <w:p>
      <w:pPr>
        <w:spacing w:after="0" w:line="93" w:lineRule="exact"/>
        <w:rPr>
          <w:rFonts w:ascii="Arial" w:cs="Arial" w:eastAsia="Arial" w:hAnsi="Arial"/>
          <w:sz w:val="18"/>
          <w:szCs w:val="18"/>
          <w:color w:val="auto"/>
        </w:rPr>
      </w:pPr>
    </w:p>
    <w:p>
      <w:pPr>
        <w:ind w:left="446" w:right="160" w:hanging="446"/>
        <w:spacing w:after="0" w:line="264" w:lineRule="auto"/>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whether and under what circumstances the Company will pay Additional Amounts on the Securities of the series held by a person in respect of any Taxes withheld or deducted and, if so, whether the Company will have the option to redeem such Securities rather than pay such Additional Amounts;</w:t>
      </w:r>
    </w:p>
    <w:p>
      <w:pPr>
        <w:spacing w:after="0" w:line="86" w:lineRule="exact"/>
        <w:rPr>
          <w:rFonts w:ascii="Arial" w:cs="Arial" w:eastAsia="Arial" w:hAnsi="Arial"/>
          <w:sz w:val="18"/>
          <w:szCs w:val="18"/>
          <w:color w:val="auto"/>
        </w:rPr>
      </w:pPr>
    </w:p>
    <w:p>
      <w:pPr>
        <w:ind w:left="446" w:right="320" w:hanging="446"/>
        <w:spacing w:after="0" w:line="257" w:lineRule="auto"/>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the Company to defease any Securities of the series pursuant to Section 1302 or Section 1303 shall be evidenced; whether any Securities of the series other than Securities denominated in U.S. dollars and bearing interest at a fixed rate are to be subject to Section 1302 or Section 1303; or, in the case of Securities denominated in U.S. dollars and bearing interest at a fixed rate, if applicable, that the Securities of the series, in whole or any specified part, shall not be defeasible pursuant to Section 1302 or Section 1303 or both such Sections;</w:t>
      </w:r>
    </w:p>
    <w:p>
      <w:pPr>
        <w:spacing w:after="0" w:line="93" w:lineRule="exact"/>
        <w:rPr>
          <w:rFonts w:ascii="Arial" w:cs="Arial" w:eastAsia="Arial" w:hAnsi="Arial"/>
          <w:sz w:val="18"/>
          <w:szCs w:val="18"/>
          <w:color w:val="auto"/>
        </w:rPr>
      </w:pPr>
    </w:p>
    <w:p>
      <w:pPr>
        <w:ind w:left="446" w:hanging="446"/>
        <w:spacing w:after="0" w:line="255" w:lineRule="auto"/>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if applicable, that any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Section 202 and any circumstances in addition to or in lieu of those set forth in clause (2) of the last paragraph of Section 305 in which any such Global Security may be exchanged in whole or in part for Securities registered, and any transfer of such Global Security in whole or in part may be registered, in the name or names of Persons other than the Depositary for such Global Security or a nominee thereof;</w:t>
      </w:r>
    </w:p>
    <w:p>
      <w:pPr>
        <w:spacing w:after="0" w:line="98" w:lineRule="exact"/>
        <w:rPr>
          <w:rFonts w:ascii="Arial" w:cs="Arial" w:eastAsia="Arial" w:hAnsi="Arial"/>
          <w:sz w:val="18"/>
          <w:szCs w:val="18"/>
          <w:color w:val="auto"/>
        </w:rPr>
      </w:pPr>
    </w:p>
    <w:p>
      <w:pPr>
        <w:ind w:left="446" w:right="200" w:hanging="446"/>
        <w:spacing w:after="0" w:line="342" w:lineRule="auto"/>
        <w:tabs>
          <w:tab w:leader="none" w:pos="446" w:val="left"/>
        </w:tabs>
        <w:numPr>
          <w:ilvl w:val="0"/>
          <w:numId w:val="53"/>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which applies to any Securities of the series and any change in the right of the Trustee or the requisite Holders of such Securities to declare the principal amount thereof due and payable pursuant to Section 502;</w:t>
      </w:r>
    </w:p>
    <w:p>
      <w:pPr>
        <w:spacing w:after="0" w:line="29" w:lineRule="exact"/>
        <w:rPr>
          <w:rFonts w:ascii="Arial" w:cs="Arial" w:eastAsia="Arial" w:hAnsi="Arial"/>
          <w:sz w:val="16"/>
          <w:szCs w:val="16"/>
          <w:color w:val="auto"/>
        </w:rPr>
      </w:pPr>
    </w:p>
    <w:p>
      <w:pPr>
        <w:ind w:left="446" w:hanging="446"/>
        <w:spacing w:after="0"/>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set forth in Article X which applies to Securities of the series;</w:t>
      </w:r>
    </w:p>
    <w:p>
      <w:pPr>
        <w:spacing w:after="0" w:line="130" w:lineRule="exact"/>
        <w:rPr>
          <w:rFonts w:ascii="Arial" w:cs="Arial" w:eastAsia="Arial" w:hAnsi="Arial"/>
          <w:sz w:val="18"/>
          <w:szCs w:val="18"/>
          <w:color w:val="auto"/>
        </w:rPr>
      </w:pPr>
    </w:p>
    <w:p>
      <w:pPr>
        <w:ind w:left="446" w:right="340" w:hanging="446"/>
        <w:spacing w:after="0" w:line="264" w:lineRule="auto"/>
        <w:tabs>
          <w:tab w:leader="none" w:pos="4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terms of any right to convert or exchange Securities of such series into any other securities or property of the Company or of any other corporation or Person, and the additions or changes, if any, to this Indenture with respect to the Securities of such series to permit or facilitate such conversion or exchange;</w:t>
      </w:r>
    </w:p>
    <w:p>
      <w:pPr>
        <w:spacing w:after="0" w:line="114" w:lineRule="exact"/>
        <w:rPr>
          <w:sz w:val="20"/>
          <w:szCs w:val="20"/>
          <w:color w:val="auto"/>
        </w:rPr>
      </w:pPr>
    </w:p>
    <w:p>
      <w:pPr>
        <w:jc w:val="center"/>
        <w:ind w:right="434"/>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6"/>
          </w:cols>
          <w:pgMar w:left="694" w:top="274" w:right="239" w:bottom="1440" w:gutter="0" w:footer="0" w:header="0"/>
        </w:sectPr>
      </w:pPr>
    </w:p>
    <w:bookmarkStart w:id="66" w:name="page67"/>
    <w:bookmarkEnd w:id="66"/>
    <w:p>
      <w:pPr>
        <w:ind w:left="900" w:right="160" w:hanging="446"/>
        <w:spacing w:after="0" w:line="264"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whether the Securities of the series will be guaranteed by any Person or Persons and, if so, the identity of such Person or Persons, the terms and conditions upon which such Securities shall be guaranteed and, if applicable, the terms and conditions upon which such guarantees may be subordinated to other indebtedness of the respective guarantors;</w:t>
      </w:r>
    </w:p>
    <w:p>
      <w:pPr>
        <w:spacing w:after="0" w:line="86" w:lineRule="exact"/>
        <w:rPr>
          <w:rFonts w:ascii="Arial" w:cs="Arial" w:eastAsia="Arial" w:hAnsi="Arial"/>
          <w:sz w:val="18"/>
          <w:szCs w:val="18"/>
          <w:color w:val="auto"/>
        </w:rPr>
      </w:pPr>
    </w:p>
    <w:p>
      <w:pPr>
        <w:ind w:left="900" w:right="420" w:hanging="446"/>
        <w:spacing w:after="0" w:line="264"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whether the Securities of the series will be secured by any collateral and, if so, the terms and conditions upon which such Securities shall be secured and, if applicable, upon which such liens may be subordinated to other liens securing other indebtedness of the Company or any guarantor;</w:t>
      </w:r>
    </w:p>
    <w:p>
      <w:pPr>
        <w:spacing w:after="0" w:line="86" w:lineRule="exact"/>
        <w:rPr>
          <w:rFonts w:ascii="Arial" w:cs="Arial" w:eastAsia="Arial" w:hAnsi="Arial"/>
          <w:sz w:val="18"/>
          <w:szCs w:val="18"/>
          <w:color w:val="auto"/>
        </w:rPr>
      </w:pPr>
    </w:p>
    <w:p>
      <w:pPr>
        <w:ind w:left="900" w:right="140" w:hanging="446"/>
        <w:spacing w:after="0" w:line="277"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whether the Securities will be issued in a transaction registered under the Securities Act and any restriction or condition on the transferability of the Securities of such series;</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exchanges, if any, on which the Securities may be listed;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any other terms of the series (which terms shall not be inconsistent with the provisions of this Indenture, except as permitted by Section 901).</w:t>
      </w:r>
    </w:p>
    <w:p>
      <w:pPr>
        <w:spacing w:after="0" w:line="24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 xml:space="preserve">All Securities of any one series shall be substantially identical except as to denomination and except as may otherwise be provided in or pursuant to the Board Resolution referred to above or pursuant to authority granted by one or more Board Resolutions and, subject to Section 303, set forth, or determined in the manner provided, in the Officer’s Certificate referred to above or in any such indenture supplemental hereto. All Securities of any one series need not be issued at one time and, unless otherwise provided in or pursuant to the Board Resolution referred to above and, subject to Section 303, set forth, or determined in the manner provided, in the Officer’s Certificate referred to above or pursuant to authority granted by one or more Board Resolutions or in any such indenture supplemental hereto with respect to a series of Securities, additional Securities of a series may be issued, at the option of the Company, without the consent of any Holder, at any time and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additional Securities are not fungible with the outstanding Securities of the applicable series for U.S. federal income tax purposes, the additional Securities will have one or more separate CUSIP numbers.</w:t>
      </w:r>
    </w:p>
    <w:p>
      <w:pPr>
        <w:spacing w:after="0" w:line="166" w:lineRule="exact"/>
        <w:rPr>
          <w:sz w:val="20"/>
          <w:szCs w:val="20"/>
          <w:color w:val="auto"/>
        </w:rPr>
      </w:pPr>
    </w:p>
    <w:p>
      <w:pPr>
        <w:jc w:val="both"/>
        <w:ind w:right="160" w:firstLine="456"/>
        <w:spacing w:after="0" w:line="264" w:lineRule="auto"/>
        <w:rPr>
          <w:sz w:val="20"/>
          <w:szCs w:val="20"/>
          <w:color w:val="auto"/>
        </w:rPr>
      </w:pPr>
      <w:r>
        <w:rPr>
          <w:rFonts w:ascii="Arial" w:cs="Arial" w:eastAsia="Arial" w:hAnsi="Arial"/>
          <w:sz w:val="18"/>
          <w:szCs w:val="18"/>
          <w:color w:val="auto"/>
        </w:rPr>
        <w:t>If any of the terms of the series are established by action taken pursuant to a Board Resolution, a copy of an appropriate record of such action shall be certified by the Secretary or an Assistant Secretary of the Company and delivered to the Trustee at or prior to the delivery of the Officer’s Certificate setting forth the terms of the series.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u w:val="single" w:color="auto"/>
          <w:color w:val="auto"/>
        </w:rPr>
        <w:t>Denominations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The Securities of each series shall be issuable only in registered form without coupons and only in such denominations as shall be specified as contemplated by Section 301. In the absence of any such specified denomination with respect to the Securities of any series, the Securities of such series shall be issuable in minimum denominations of $2,000 and any integral multiple of $1,000 in excess thereof.</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u w:val="single" w:color="auto"/>
          <w:color w:val="auto"/>
        </w:rPr>
        <w:t>Execution, Authentication, Delivery and Dating</w:t>
      </w:r>
      <w:r>
        <w:rPr>
          <w:rFonts w:ascii="Arial" w:cs="Arial" w:eastAsia="Arial" w:hAnsi="Arial"/>
          <w:sz w:val="18"/>
          <w:szCs w:val="18"/>
          <w:color w:val="auto"/>
        </w:rPr>
        <w:t>.</w:t>
      </w:r>
    </w:p>
    <w:p>
      <w:pPr>
        <w:spacing w:after="0" w:line="117" w:lineRule="exact"/>
        <w:rPr>
          <w:sz w:val="20"/>
          <w:szCs w:val="20"/>
          <w:color w:val="auto"/>
        </w:rPr>
      </w:pPr>
    </w:p>
    <w:p>
      <w:pPr>
        <w:ind w:right="360" w:firstLine="456"/>
        <w:spacing w:after="0" w:line="342" w:lineRule="auto"/>
        <w:rPr>
          <w:sz w:val="20"/>
          <w:szCs w:val="20"/>
          <w:color w:val="auto"/>
        </w:rPr>
      </w:pPr>
      <w:r>
        <w:rPr>
          <w:rFonts w:ascii="Arial" w:cs="Arial" w:eastAsia="Arial" w:hAnsi="Arial"/>
          <w:sz w:val="16"/>
          <w:szCs w:val="16"/>
          <w:color w:val="auto"/>
        </w:rPr>
        <w:t>The Securities shall be executed on behalf of the Company by an Officer of the Company (or any Person designated in writing by an Officer of the Company as authorized to execute and deliver the Securities). The signature of any of these officers on the Securities may be manual or facsimile.</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274" w:right="259" w:bottom="1440" w:gutter="0" w:footer="0" w:header="0"/>
        </w:sectPr>
      </w:pPr>
    </w:p>
    <w:bookmarkStart w:id="67" w:name="page68"/>
    <w:bookmarkEnd w:id="67"/>
    <w:p>
      <w:pPr>
        <w:ind w:right="10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Securities bearing the manual or facsimile signatures of individuals who were at any time the proper officers of the Company shall bind the Company, notwithstanding that such individuals or any of them have ceased to hold such offices prior to the authentication and delivery of such Securities or did not hold such offices at the date of such Securities.</w:t>
      </w:r>
    </w:p>
    <w:p>
      <w:pPr>
        <w:spacing w:after="0" w:line="181"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At any time and from time to time after the execution and delivery of this Indenture, the Company may deliver Securities of any series executed by the Company to the Trustee for authentication, together with an Officer’s Certificate and a Company Order for the authentication and delivery of such Securities, and the Trustee in accordance with the Company Order shall authenticate and deliver such Securities. If the form or terms of the Securities of the series have been established by or pursuant to one or more Board Resolutions or pursuant to authority granted by one or more Board Resolutions as permitted by Section 201 and Section 301, in authenticating such Securities, and accepting the additional responsibilities under this Indenture in relation to such Securities, the Trustee shall be provided with, and, subject to Section 601, shall be fully protected in relying upon, an Opinion of Counsel stating,</w:t>
      </w:r>
    </w:p>
    <w:p>
      <w:pPr>
        <w:spacing w:after="0" w:line="70" w:lineRule="exact"/>
        <w:rPr>
          <w:sz w:val="20"/>
          <w:szCs w:val="20"/>
          <w:color w:val="auto"/>
        </w:rPr>
      </w:pPr>
    </w:p>
    <w:p>
      <w:pPr>
        <w:ind w:left="900" w:right="340" w:hanging="446"/>
        <w:spacing w:after="0" w:line="308" w:lineRule="auto"/>
        <w:tabs>
          <w:tab w:leader="none" w:pos="900" w:val="left"/>
        </w:tabs>
        <w:numPr>
          <w:ilvl w:val="0"/>
          <w:numId w:val="55"/>
        </w:numPr>
        <w:rPr>
          <w:rFonts w:ascii="Arial" w:cs="Arial" w:eastAsia="Arial" w:hAnsi="Arial"/>
          <w:sz w:val="17"/>
          <w:szCs w:val="17"/>
          <w:color w:val="auto"/>
        </w:rPr>
      </w:pPr>
      <w:r>
        <w:rPr>
          <w:rFonts w:ascii="Arial" w:cs="Arial" w:eastAsia="Arial" w:hAnsi="Arial"/>
          <w:sz w:val="17"/>
          <w:szCs w:val="17"/>
          <w:color w:val="auto"/>
        </w:rPr>
        <w:t>if the form of such Securities has been established by or pursuant to Board Resolution or pursuant to authority granted by one or more Board Resolutions as permitted by Section 201, that such form has been established in conformity with the provisions of this Indenture;</w:t>
      </w:r>
    </w:p>
    <w:p>
      <w:pPr>
        <w:spacing w:after="0" w:line="51" w:lineRule="exact"/>
        <w:rPr>
          <w:rFonts w:ascii="Arial" w:cs="Arial" w:eastAsia="Arial" w:hAnsi="Arial"/>
          <w:sz w:val="17"/>
          <w:szCs w:val="17"/>
          <w:color w:val="auto"/>
        </w:rPr>
      </w:pPr>
    </w:p>
    <w:p>
      <w:pPr>
        <w:ind w:left="900" w:right="200" w:hanging="446"/>
        <w:spacing w:after="0" w:line="342" w:lineRule="auto"/>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color w:val="auto"/>
        </w:rPr>
        <w:t>if the terms of such Securities have been established by or pursuant to Board Resolution or pursuant to authority granted by one or more Board Resolutions as permitted by Section 301, that such terms have been established in conformity with the provisions of this Indenture; and</w:t>
      </w:r>
    </w:p>
    <w:p>
      <w:pPr>
        <w:spacing w:after="0" w:line="29" w:lineRule="exact"/>
        <w:rPr>
          <w:rFonts w:ascii="Arial" w:cs="Arial" w:eastAsia="Arial" w:hAnsi="Arial"/>
          <w:sz w:val="16"/>
          <w:szCs w:val="16"/>
          <w:color w:val="auto"/>
        </w:rPr>
      </w:pPr>
    </w:p>
    <w:p>
      <w:pPr>
        <w:ind w:left="900" w:hanging="446"/>
        <w:spacing w:after="0" w:line="302" w:lineRule="auto"/>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that such Securities, when authenticated by the Trustee and issued and delivered by the Company in the manner and subject to any conditions specified in such Opinion of Counsel, will constitute valid and legally binding obligations of the Company enforceable in accordance with their terms, subject to (i) the effects of bankruptcy, insolvency, fraudulent conveyance, reorganization, moratorium and other similar laws relating to or affecting creditors’ rights generally, (ii) general equitable principles and (iii) an implied covenant of good faith and fair dealing.</w:t>
      </w:r>
    </w:p>
    <w:p>
      <w:pPr>
        <w:spacing w:after="0" w:line="154"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If such form or terms have been so established, the Trustee shall not be required to authenticate such Securities if the issue of such Securities pursuant to this Indenture will adversely affect the Trustee’s own rights, duties or immunities under the Securities and this Indenture or otherwise in a manner which is not reasonably acceptable to the Trustee.</w:t>
      </w:r>
    </w:p>
    <w:p>
      <w:pPr>
        <w:spacing w:after="0" w:line="181" w:lineRule="exact"/>
        <w:rPr>
          <w:sz w:val="20"/>
          <w:szCs w:val="20"/>
          <w:color w:val="auto"/>
        </w:rPr>
      </w:pPr>
    </w:p>
    <w:p>
      <w:pPr>
        <w:ind w:right="140" w:firstLine="456"/>
        <w:spacing w:after="0" w:line="297" w:lineRule="auto"/>
        <w:rPr>
          <w:sz w:val="20"/>
          <w:szCs w:val="20"/>
          <w:color w:val="auto"/>
        </w:rPr>
      </w:pPr>
      <w:r>
        <w:rPr>
          <w:rFonts w:ascii="Arial" w:cs="Arial" w:eastAsia="Arial" w:hAnsi="Arial"/>
          <w:sz w:val="16"/>
          <w:szCs w:val="16"/>
          <w:color w:val="auto"/>
        </w:rPr>
        <w:t>Notwithstanding the provisions of Section 301 and of the preceding paragraph of this Section 303, if all Securities of a series are not to be originally issued at one time, including in the event that the aggregate principal amount of a series of Outstanding Securities is increased as contemplated by Section 301, it shall not be necessary to deliver the Officer’s Certificate, Board Resolution or supplemental indenture otherwise required pursuant to Section 301 or the Company Order and Opinion of Counsel otherwise required pursuant to this Section 303 at or prior to the authentication of each Security of such series if such documents are delivered at or prior to the authentication upon original issuance of the first Security of such series to be issued.</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Security shall be dated the date of its authentication.</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274" w:right="279" w:bottom="1440" w:gutter="0" w:footer="0" w:header="0"/>
        </w:sectPr>
      </w:pPr>
    </w:p>
    <w:bookmarkStart w:id="68" w:name="page69"/>
    <w:bookmarkEnd w:id="68"/>
    <w:p>
      <w:pPr>
        <w:ind w:firstLine="456"/>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Security shall be entitled to any benefit under this Indenture or be valid or obligatory for any purpose unless there appears on such Security a certificate of authentication substantially in the form provided for herein executed by the Trustee by manual signature, and such certificate upon any Security shall be conclusive evidence, and the only evidence, that such Security has been duly authenticated and delivered hereunder. Notwithstanding the foregoing, if any Security shall have been authenticated and delivered hereunder but never issued and sold by the Company, and the Company shall deliver such Security to the Trustee for cancellation as provided in Section 309, for all purposes of this Indenture such Security shall be deemed never to have been authenticated and delivered hereunder and shall never be entitled to the benefits of this Indenture.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u w:val="single" w:color="auto"/>
          <w:color w:val="auto"/>
        </w:rPr>
        <w:t>Temporary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302" w:lineRule="auto"/>
        <w:rPr>
          <w:sz w:val="20"/>
          <w:szCs w:val="20"/>
          <w:color w:val="auto"/>
        </w:rPr>
      </w:pPr>
      <w:r>
        <w:rPr>
          <w:rFonts w:ascii="Arial" w:cs="Arial" w:eastAsia="Arial" w:hAnsi="Arial"/>
          <w:sz w:val="16"/>
          <w:szCs w:val="16"/>
          <w:color w:val="auto"/>
        </w:rPr>
        <w:t>Pending the preparation of definitive Securities of any series, the Company may execute, and, upon Company Order, the Trustee shall authenticate and deliver, temporary Securities which are printed, lithographed, typewritten, mimeographed or otherwise produced, in any authorized denomination, substantially of the tenor of the definitive Securities of such series in lieu of which they are issued and with such appropriate insertions, omissions, substitutions and other variations as the officers executing such Securities may determine, as evidenced by their execution of such Securities.</w:t>
      </w:r>
    </w:p>
    <w:p>
      <w:pPr>
        <w:spacing w:after="0" w:line="154" w:lineRule="exact"/>
        <w:rPr>
          <w:sz w:val="20"/>
          <w:szCs w:val="20"/>
          <w:color w:val="auto"/>
        </w:rPr>
      </w:pPr>
    </w:p>
    <w:p>
      <w:pPr>
        <w:ind w:right="120" w:firstLine="456"/>
        <w:spacing w:after="0" w:line="272" w:lineRule="auto"/>
        <w:rPr>
          <w:sz w:val="20"/>
          <w:szCs w:val="20"/>
          <w:color w:val="auto"/>
        </w:rPr>
      </w:pPr>
      <w:r>
        <w:rPr>
          <w:rFonts w:ascii="Arial" w:cs="Arial" w:eastAsia="Arial" w:hAnsi="Arial"/>
          <w:sz w:val="17"/>
          <w:szCs w:val="17"/>
          <w:color w:val="auto"/>
        </w:rPr>
        <w:t>If temporary Securities of any series are issued, the Company will cause definitive Securities of such series to be prepared without unreasonable delay. After the preparation of definitive Securities of such series, the temporary Securities of such series shall be exchangeable for definitive Securities of such series upon surrender of the temporary Securities of such series at the office or agency of the Company in a Place of Payment for such series, without charge to the Holder. Upon surrender for cancellation of any one or more temporary Securities of any series, the Company shall execute and the Trustee shall authenticate and deliver in exchange therefor one or more definitive Securities of the same series, of any authorized denominations and of like tenor and aggregate principal amount. Until so exchanged, the temporary Securities of any series shall in all respects be entitled to the same benefits under this Indenture as definitive Securities of such series and tenor.</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u w:val="single" w:color="auto"/>
          <w:color w:val="auto"/>
        </w:rPr>
        <w:t>Registration, Registration of Transfer and Exchange</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The Company shall cause to be kept at the Corporate Trust Office of the Trustee a register (the register maintained in such office and in any other office or agency of the Company in a Place of Payment being herein sometimes collectively referred to as the “</w:t>
      </w:r>
      <w:r>
        <w:rPr>
          <w:rFonts w:ascii="Arial" w:cs="Arial" w:eastAsia="Arial" w:hAnsi="Arial"/>
          <w:sz w:val="17"/>
          <w:szCs w:val="17"/>
          <w:u w:val="single" w:color="auto"/>
          <w:color w:val="auto"/>
        </w:rPr>
        <w:t>Security Register</w:t>
      </w:r>
      <w:r>
        <w:rPr>
          <w:rFonts w:ascii="Arial" w:cs="Arial" w:eastAsia="Arial" w:hAnsi="Arial"/>
          <w:sz w:val="17"/>
          <w:szCs w:val="17"/>
          <w:color w:val="auto"/>
        </w:rPr>
        <w:t>”) in which, subject to such reasonable regulations as it may prescribe, the Company shall provide for the registration of Securities and of transfers of Securities. The Trustee is hereby appointed “</w:t>
      </w:r>
      <w:r>
        <w:rPr>
          <w:rFonts w:ascii="Arial" w:cs="Arial" w:eastAsia="Arial" w:hAnsi="Arial"/>
          <w:sz w:val="17"/>
          <w:szCs w:val="17"/>
          <w:u w:val="single" w:color="auto"/>
          <w:color w:val="auto"/>
        </w:rPr>
        <w:t>Security Registrar</w:t>
      </w:r>
      <w:r>
        <w:rPr>
          <w:rFonts w:ascii="Arial" w:cs="Arial" w:eastAsia="Arial" w:hAnsi="Arial"/>
          <w:sz w:val="17"/>
          <w:szCs w:val="17"/>
          <w:color w:val="auto"/>
        </w:rPr>
        <w:t>” for the purpose of registering Securities and transfers of Securities as herein provided.</w:t>
      </w:r>
    </w:p>
    <w:p>
      <w:pPr>
        <w:spacing w:after="0" w:line="171" w:lineRule="exact"/>
        <w:rPr>
          <w:sz w:val="20"/>
          <w:szCs w:val="20"/>
          <w:color w:val="auto"/>
        </w:rPr>
      </w:pPr>
    </w:p>
    <w:p>
      <w:pPr>
        <w:ind w:right="160" w:firstLine="456"/>
        <w:spacing w:after="0" w:line="257" w:lineRule="auto"/>
        <w:rPr>
          <w:sz w:val="20"/>
          <w:szCs w:val="20"/>
          <w:color w:val="auto"/>
        </w:rPr>
      </w:pPr>
      <w:r>
        <w:rPr>
          <w:rFonts w:ascii="Arial" w:cs="Arial" w:eastAsia="Arial" w:hAnsi="Arial"/>
          <w:sz w:val="18"/>
          <w:szCs w:val="18"/>
          <w:color w:val="auto"/>
        </w:rPr>
        <w:t>Subject to the prior written consent of the Bermuda Monetary Authority, to the extent required by applicable law, upon surrender for registration of transfer of any Security of a series at the office or agency of the Company in a Place of Payment for such series, the Company shall execute, and the Trustee shall authenticate and deliver, in the name of the designated transferee or transferees, one or more new Securities of the same series, of any authorized denominations and of like tenor and principal amount. The Trustee shall not be required to confirm that the written consent of the Bermuda Monetary Authority has been granted prior to authenticating a new Security.</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274" w:right="239" w:bottom="1440" w:gutter="0" w:footer="0" w:header="0"/>
        </w:sectPr>
      </w:pPr>
    </w:p>
    <w:bookmarkStart w:id="69" w:name="page70"/>
    <w:bookmarkEnd w:id="69"/>
    <w:p>
      <w:pPr>
        <w:ind w:right="16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At the option of the Holder, Securities of any series may be exchanged for other Securities of the same series, of any authorized denominations and of like tenor and principal amount, upon surrender of the Securities to be exchanged at such office or agency. Whenever any Securities are so surrendered for exchange, the Company shall execute, and the Trustee shall authenticate and deliver, the Securities which the Holder making the exchange is entitled to receive.</w:t>
      </w:r>
    </w:p>
    <w:p>
      <w:pPr>
        <w:spacing w:after="0" w:line="187" w:lineRule="exact"/>
        <w:rPr>
          <w:sz w:val="20"/>
          <w:szCs w:val="20"/>
          <w:color w:val="auto"/>
        </w:rPr>
      </w:pPr>
    </w:p>
    <w:p>
      <w:pPr>
        <w:ind w:right="380" w:firstLine="456"/>
        <w:spacing w:after="0" w:line="308" w:lineRule="auto"/>
        <w:rPr>
          <w:sz w:val="20"/>
          <w:szCs w:val="20"/>
          <w:color w:val="auto"/>
        </w:rPr>
      </w:pPr>
      <w:r>
        <w:rPr>
          <w:rFonts w:ascii="Arial" w:cs="Arial" w:eastAsia="Arial" w:hAnsi="Arial"/>
          <w:sz w:val="17"/>
          <w:szCs w:val="17"/>
          <w:color w:val="auto"/>
        </w:rPr>
        <w:t>All Securities issued upon any registration of transfer or exchange of Securities shall be the valid obligations of the Company, evidencing the same debt, and entitled to the same benefits under this Indenture, as the Securities surrendered upon such registration of transfer or exchange.</w:t>
      </w:r>
    </w:p>
    <w:p>
      <w:pPr>
        <w:spacing w:after="0" w:line="147"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Every Security presented or surrendered for registration of transfer or for exchange shall (if so required by the Company or the Trustee) be duly endorsed, or be accompanied by a written instrument of transfer in form satisfactory to the Company and the Security Registrar duly executed, by the Holder thereof or such Holder’s attorney duly authorized in writing.</w:t>
      </w:r>
    </w:p>
    <w:p>
      <w:pPr>
        <w:spacing w:after="0" w:line="181"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No service charge shall be made for any registration of transfer or exchange of Securities, but the Company may require payment of a sum sufficient to cover any tax or other governmental charge that may be imposed in connection with any registration of transfer or exchange of Securities, other than exchanges pursuant to Section 304, Section 906, Section 1107 or Section 1405 not involving any transfer.</w:t>
      </w:r>
    </w:p>
    <w:p>
      <w:pPr>
        <w:spacing w:after="0" w:line="18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If the Securities of any series (or of any series and specified tenor) are to be redeemed in part, the Company shall not be required (A) to issue, register the transfer of or exchange any Securities of such series (or of such series and specified tenor, as the case may be) during a period beginning at the opening of business 15 days before the day of the mailing of a notice of redemption of any such Securities selected for redemption under Section 1103 and ending at the close of business on the day of such mailing, or (B) to register the transfer of or exchange any Security so selected for redemption, in whole or in part, except the unredeemed portion of any Security being redeemed in part.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provisions of clauses (1), (2), (3) and (4) of this paragraph shall apply only to Global Securities:</w:t>
      </w:r>
    </w:p>
    <w:p>
      <w:pPr>
        <w:spacing w:after="0" w:line="131" w:lineRule="exact"/>
        <w:rPr>
          <w:sz w:val="20"/>
          <w:szCs w:val="20"/>
          <w:color w:val="auto"/>
        </w:rPr>
      </w:pPr>
    </w:p>
    <w:p>
      <w:pPr>
        <w:ind w:left="900" w:hanging="446"/>
        <w:spacing w:after="0" w:line="264" w:lineRule="auto"/>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Each Global Security authenticated under this Indenture shall be registered in the name of the Depositary designated for such Global Security or a nominee thereof and delivered to such Depositary or a nominee thereof or custodian therefor, and each such Global Security shall constitute a single Security for all purposes of this Indenture.</w:t>
      </w:r>
    </w:p>
    <w:p>
      <w:pPr>
        <w:spacing w:after="0" w:line="86" w:lineRule="exact"/>
        <w:rPr>
          <w:rFonts w:ascii="Arial" w:cs="Arial" w:eastAsia="Arial" w:hAnsi="Arial"/>
          <w:sz w:val="18"/>
          <w:szCs w:val="18"/>
          <w:color w:val="auto"/>
        </w:rPr>
      </w:pPr>
    </w:p>
    <w:p>
      <w:pPr>
        <w:ind w:left="900" w:right="40" w:hanging="446"/>
        <w:spacing w:after="0" w:line="272" w:lineRule="auto"/>
        <w:tabs>
          <w:tab w:leader="none" w:pos="900" w:val="left"/>
        </w:tabs>
        <w:numPr>
          <w:ilvl w:val="0"/>
          <w:numId w:val="56"/>
        </w:numPr>
        <w:rPr>
          <w:rFonts w:ascii="Arial" w:cs="Arial" w:eastAsia="Arial" w:hAnsi="Arial"/>
          <w:sz w:val="17"/>
          <w:szCs w:val="17"/>
          <w:color w:val="auto"/>
        </w:rPr>
      </w:pPr>
      <w:r>
        <w:rPr>
          <w:rFonts w:ascii="Arial" w:cs="Arial" w:eastAsia="Arial" w:hAnsi="Arial"/>
          <w:sz w:val="17"/>
          <w:szCs w:val="17"/>
          <w:color w:val="auto"/>
        </w:rPr>
        <w:t>Notwithstanding any other provision in this Indenture, and subject to such applicable provisions, if any, as may be specified as contemplated by Section 301, no Global Security may be exchanged in whole or in part for Securities registered, and no transfer of a Global Security in whole or in part may be registered, in the name of any Person other than the Depositary for such Global Security or a nominee thereof unless (A) such Depositary has notified the Company that it is unwilling or unable or no longer permitted under applicable law to continue as Depositary for such Global Security, (B) there shall have occurred and be continuing an Event of Default with respect to such Global Security, (C) the Company so directs the Trustee by a Company Order or (D) there shall exist such circumstances, if any, in addition to or in lieu of the foregoing as have been specified for this purpose as contemplated by Section 301.</w:t>
      </w:r>
    </w:p>
    <w:p>
      <w:pPr>
        <w:spacing w:after="0" w:line="83" w:lineRule="exact"/>
        <w:rPr>
          <w:rFonts w:ascii="Arial" w:cs="Arial" w:eastAsia="Arial" w:hAnsi="Arial"/>
          <w:sz w:val="17"/>
          <w:szCs w:val="17"/>
          <w:color w:val="auto"/>
        </w:rPr>
      </w:pPr>
    </w:p>
    <w:p>
      <w:pPr>
        <w:ind w:left="900" w:right="120" w:hanging="446"/>
        <w:spacing w:after="0" w:line="286" w:lineRule="auto"/>
        <w:tabs>
          <w:tab w:leader="none" w:pos="900" w:val="left"/>
        </w:tabs>
        <w:numPr>
          <w:ilvl w:val="0"/>
          <w:numId w:val="56"/>
        </w:numPr>
        <w:rPr>
          <w:rFonts w:ascii="Arial" w:cs="Arial" w:eastAsia="Arial" w:hAnsi="Arial"/>
          <w:sz w:val="17"/>
          <w:szCs w:val="17"/>
          <w:color w:val="auto"/>
        </w:rPr>
      </w:pPr>
      <w:r>
        <w:rPr>
          <w:rFonts w:ascii="Arial" w:cs="Arial" w:eastAsia="Arial" w:hAnsi="Arial"/>
          <w:sz w:val="17"/>
          <w:szCs w:val="17"/>
          <w:color w:val="auto"/>
        </w:rPr>
        <w:t>Subject to clause (2) above, and subject to such applicable provisions, if any, as may be specified as contemplated by Section 301, any exchange of a Global Security for other Securities may be made in whole or in part, and all Securities issued in exchange for a Global Security or any portion thereof shall be registered in such names as the Depositary for such Global Security shall direct.</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274" w:right="239" w:bottom="1440" w:gutter="0" w:footer="0" w:header="0"/>
        </w:sectPr>
      </w:pPr>
    </w:p>
    <w:bookmarkStart w:id="70" w:name="page71"/>
    <w:bookmarkEnd w:id="70"/>
    <w:p>
      <w:pPr>
        <w:ind w:left="900" w:right="200" w:hanging="446"/>
        <w:spacing w:after="0" w:line="259" w:lineRule="auto"/>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Every Security authenticated and delivered upon registration of transfer of, or in exchange for or in lieu of, a Global Security or any portion thereof, whether pursuant to this Section 305, Section 304, Section 306, Section 906, Section 1107 or Section 1405 or otherwise, shall be authenticated and delivered in the form of, and shall be, a Global Security, unless such Security is registered in the name of a Person other than the Depositary for such Global Security or a nominee thereof.</w:t>
      </w:r>
    </w:p>
    <w:p>
      <w:pPr>
        <w:spacing w:after="0" w:line="187" w:lineRule="exact"/>
        <w:rPr>
          <w:sz w:val="20"/>
          <w:szCs w:val="20"/>
          <w:color w:val="auto"/>
        </w:rPr>
      </w:pPr>
    </w:p>
    <w:p>
      <w:pPr>
        <w:ind w:right="20" w:firstLine="456"/>
        <w:spacing w:after="0" w:line="257" w:lineRule="auto"/>
        <w:rPr>
          <w:sz w:val="20"/>
          <w:szCs w:val="20"/>
          <w:color w:val="auto"/>
        </w:rPr>
      </w:pPr>
      <w:r>
        <w:rPr>
          <w:rFonts w:ascii="Arial" w:cs="Arial" w:eastAsia="Arial" w:hAnsi="Arial"/>
          <w:sz w:val="18"/>
          <w:szCs w:val="18"/>
          <w:color w:val="auto"/>
        </w:rPr>
        <w:t>The Trustee shall have no obligation or duty to monitor, determine or inquire as to compliance with any restrictions on transfer imposed under this Indenture or under applicable law with respect to any transfer of any interest in any Security (including any transfers between or among Depositary participants or beneficial owners of interests in any Global Security) other than to require delivery of such certificates and other documentation or evidence as are expressly required by, and to do so if and when expressly required by the terms of, this Indenture, and to examine the same to determine substantial compliance as to form with the express requirements hereof.</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Neither the Trustee nor any agent of the Trustee shall have any responsibility for any actions taken or not taken by the Depositary.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u w:val="single" w:color="auto"/>
          <w:color w:val="auto"/>
        </w:rPr>
        <w:t>Mutilated, Destroyed, Lost and Stolen Securities</w:t>
      </w:r>
      <w:r>
        <w:rPr>
          <w:rFonts w:ascii="Arial" w:cs="Arial" w:eastAsia="Arial" w:hAnsi="Arial"/>
          <w:sz w:val="18"/>
          <w:szCs w:val="18"/>
          <w:color w:val="auto"/>
        </w:rPr>
        <w:t>.</w:t>
      </w:r>
    </w:p>
    <w:p>
      <w:pPr>
        <w:spacing w:after="0" w:line="117"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If any mutilated Security is surrendered to the Trustee, the Company shall execute and the Trustee shall authenticate and deliver in exchange therefor a new Security of the same series and of like tenor and principal amount and bearing a number not contemporaneously outstanding and shall cancel and dispose of such mutilated security in accordance with its customary procedures.</w:t>
      </w:r>
    </w:p>
    <w:p>
      <w:pPr>
        <w:spacing w:after="0" w:line="18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 xml:space="preserve">If there shall be delivered to the Company and the Trustee (1) evidence to their satisfaction of the destruction, loss or theft of any Security and (2) such security or indemnity as may be required by them to save each of them and any agent of either of them harmless, then, in the absence of notice to the Company or the Trustee that such Security has been acquired by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purchaser, the Company shall execute and the Trustee shall authenticate and deliver, in lieu of any such destroyed, lost or stolen Security, a new Security of the same series and of like tenor and principal amount and bearing a number not contemporaneously outstanding.</w:t>
      </w:r>
    </w:p>
    <w:p>
      <w:pPr>
        <w:spacing w:after="0" w:line="188"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color w:val="auto"/>
        </w:rPr>
        <w:t>In case any such mutilated, destroyed, lost or stolen Security has become or is about to become due and payable, the Company in its discretion may, instead of issuing a new Security, pay such Security.</w:t>
      </w:r>
    </w:p>
    <w:p>
      <w:pPr>
        <w:spacing w:after="0" w:line="170"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Upon the issuance of any new Security under this Section 306, the Company may require the payment of a sum sufficient to cover any tax or other governmental charge that may be imposed in relation thereto and any other expenses (including the fees and expenses of counsel to the Company and the fees and expenses of the Trustee and its counsel) connected therewith.</w:t>
      </w:r>
    </w:p>
    <w:p>
      <w:pPr>
        <w:spacing w:after="0" w:line="181"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Every new Security of any series issued pursuant to this Section 306 in lieu of any mutilated, destroyed, lost or stolen Security shall constitute an original additional contractual obligation of the Company, whether or not the mutilated, destroyed, lost or stolen Security shall be at any time enforceable by anyone, and shall be entitled to all the benefits of this Indenture equally and proportionately with any and all other Securities of such series duly issued hereunder.</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274" w:right="259" w:bottom="1440" w:gutter="0" w:footer="0" w:header="0"/>
        </w:sectPr>
      </w:pPr>
    </w:p>
    <w:bookmarkStart w:id="71" w:name="page72"/>
    <w:bookmarkEnd w:id="71"/>
    <w:p>
      <w:pPr>
        <w:ind w:right="18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provisions of this Section 306 are exclusive and shall preclude (to the extent lawful) all other rights and remedies with respect to the replacement or payment of mutilated, destroyed, lost or stolen Securities.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Payment of Interest; Interest Rights Preserved</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Except as otherwise provided as contemplated by Section 301 with respect to any series of Securities, interest on any Security which is payable, and is punctually paid or duly provided for, on any Interest Payment Date shall be paid to the Person in whose name that Security (or one or more Predecessor Securities) is registered at the close of business on the Regular Record Date for such interest.</w:t>
      </w:r>
    </w:p>
    <w:p>
      <w:pPr>
        <w:spacing w:after="0" w:line="181" w:lineRule="exact"/>
        <w:rPr>
          <w:sz w:val="20"/>
          <w:szCs w:val="20"/>
          <w:color w:val="auto"/>
        </w:rPr>
      </w:pPr>
    </w:p>
    <w:p>
      <w:pPr>
        <w:ind w:right="20" w:firstLine="456"/>
        <w:spacing w:after="0" w:line="286" w:lineRule="auto"/>
        <w:rPr>
          <w:sz w:val="20"/>
          <w:szCs w:val="20"/>
          <w:color w:val="auto"/>
        </w:rPr>
      </w:pPr>
      <w:r>
        <w:rPr>
          <w:rFonts w:ascii="Arial" w:cs="Arial" w:eastAsia="Arial" w:hAnsi="Arial"/>
          <w:sz w:val="17"/>
          <w:szCs w:val="17"/>
          <w:color w:val="auto"/>
        </w:rPr>
        <w:t>Any interest on any Security of any series which is payable, but is not punctually paid or duly provided for, on any Interest Payment Date (herein called “</w:t>
      </w:r>
      <w:r>
        <w:rPr>
          <w:rFonts w:ascii="Arial" w:cs="Arial" w:eastAsia="Arial" w:hAnsi="Arial"/>
          <w:sz w:val="17"/>
          <w:szCs w:val="17"/>
          <w:u w:val="single" w:color="auto"/>
          <w:color w:val="auto"/>
        </w:rPr>
        <w:t>Defaulted Interest</w:t>
      </w:r>
      <w:r>
        <w:rPr>
          <w:rFonts w:ascii="Arial" w:cs="Arial" w:eastAsia="Arial" w:hAnsi="Arial"/>
          <w:sz w:val="17"/>
          <w:szCs w:val="17"/>
          <w:color w:val="auto"/>
        </w:rPr>
        <w:t>”) shall forthwith cease to be payable to the Holder on the relevant Regular Record Date by virtue of having been such Holder, and such Defaulted Interest may be paid by the Company, at its election in each case, as provided in clause (1) or (2) below:</w:t>
      </w:r>
    </w:p>
    <w:p>
      <w:pPr>
        <w:spacing w:after="0" w:line="71" w:lineRule="exact"/>
        <w:rPr>
          <w:sz w:val="20"/>
          <w:szCs w:val="20"/>
          <w:color w:val="auto"/>
        </w:rPr>
      </w:pPr>
    </w:p>
    <w:p>
      <w:pPr>
        <w:ind w:left="900" w:hanging="446"/>
        <w:spacing w:after="0" w:line="286" w:lineRule="auto"/>
        <w:tabs>
          <w:tab w:leader="none" w:pos="90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The Company may elect to make payment of any Defaulted Interest payable on Securities of a series to the Persons in whose names the Securities of such series (or their respective Predecessor Securities) are registered at the close of business on a Special Record Date for the payment of such Defaulted Interest, which shall be fixed in the following manner. The Company shall notify the Trustee in writing of the amount of Defaulted Interest proposed to be paid on each Security of such series and the date of the proposed payment, and at the same time the Company shall deposit with the Trustee an amount of money equal to the aggregate amount proposed to be paid in respect of such Defaulted Interest or shall make arrangements satisfactory to the Trustee for such deposit prior to the date of the proposed payment, such money when deposited to be held in trust for the benefit of the Persons entitled to such Defaulted Interest as in this clause provided. Thereupon the Trustee in consultation with the Company shall fix a Special Record Date for the payment of such Defaulted Interest which shall be not more than 15 days and not less than 10 days prior to the date of the proposed payment and not less than 10 days after the receipt by the Trustee of the notice of the proposed payment. The Trustee shall promptly notify the Company of such Special Record Date and, in the name and at the expense of the Company, shall cause notice of the proposed payment of such Defaulted Interest and the Special Record Date therefor to be given to each Holder of Securities of such series in the manner set forth in Section 106, not less than 10 days prior to such Special Record Date. Notice of the proposed payment of such Defaulted Interest and the Special Record Date therefor having been so mailed, such Defaulted Interest shall be paid to the Persons in whose names the Securities of such series (or their respective Predecessor Securities) are registered at the close of business on such Special Record Date and shall no longer be payable pursuant to the following clause (2).</w:t>
      </w:r>
    </w:p>
    <w:p>
      <w:pPr>
        <w:spacing w:after="0" w:line="74" w:lineRule="exact"/>
        <w:rPr>
          <w:rFonts w:ascii="Arial" w:cs="Arial" w:eastAsia="Arial" w:hAnsi="Arial"/>
          <w:sz w:val="16"/>
          <w:szCs w:val="16"/>
          <w:color w:val="auto"/>
        </w:rPr>
      </w:pPr>
    </w:p>
    <w:p>
      <w:pPr>
        <w:ind w:left="900" w:right="200" w:hanging="446"/>
        <w:spacing w:after="0" w:line="259" w:lineRule="auto"/>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Company may make payment of any Defaulted Interest on the Securities of any series in any other lawful manner not inconsistent with the requirements of any securities exchange on which such Securities may be listed, and upon such notice as may be required by such exchange, if, after notice given by the Company to the Trustee of the proposed payment pursuant to this clause, such manner of payment shall be deemed practicable by the Trustee.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274" w:right="239" w:bottom="1440" w:gutter="0" w:footer="0" w:header="0"/>
        </w:sectPr>
      </w:pPr>
    </w:p>
    <w:bookmarkStart w:id="72" w:name="page73"/>
    <w:bookmarkEnd w:id="72"/>
    <w:p>
      <w:pPr>
        <w:ind w:right="120" w:firstLine="456"/>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Subject to the foregoing provisions of this Section 307, each Security delivered under this Indenture upon registration of transfer of or in exchange for or in lieu of any other Security shall carry the rights to interest accrued and unpaid, and to accrue, which were carried by such other Security.</w:t>
      </w:r>
    </w:p>
    <w:p>
      <w:pPr>
        <w:spacing w:after="0" w:line="12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the case of any Security which is converted after any Regular Record Date and on or prior to the next succeeding Interest Payment Date (other than any Security whose Maturity is prior to such Interest Payment Date), interest whose Stated Maturity is on such Interest Payment Date shall be payable on such Interest Payment Date notwithstanding such conversion, and such interest (whether or not punctually paid or made available for payment) shall be paid to the Person in whose name that Security (or one or more Predecessor Securities) is registered at the close of business on such Regular Record Date. Except as otherwise expressly provided in the immediately preceding sentence, in the case of any Security which is converted, interest whose Stated Maturity is after the date of conversion of such Security shall not be payable. Notwithstanding the foregoing, the terms of any Security that may be converted may provide that the provisions of this paragraph do not apply, or apply with such additions, changes or omissions as may be provided thereby, to such Security.</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Persons Deemed Owners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Prior to due presentment of a Security for registration of transfer, the Company, the Trustee and any agent of the Company or the Trustee may treat the Person in whose name such Security is registered as the owner of such Security for the purpose of receiving payment of principal of and premium, if any, and, subject to Section 307, any interest on such Security and for all other purposes whatsoever, whether or not such Security be overdue, and neither the Company, the Trustee nor any agent of the Company or the Trustee shall be affected by notice to the contrary.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Cancellation</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71" w:lineRule="auto"/>
        <w:rPr>
          <w:sz w:val="20"/>
          <w:szCs w:val="20"/>
          <w:color w:val="auto"/>
        </w:rPr>
      </w:pPr>
      <w:r>
        <w:rPr>
          <w:rFonts w:ascii="Arial" w:cs="Arial" w:eastAsia="Arial" w:hAnsi="Arial"/>
          <w:sz w:val="17"/>
          <w:szCs w:val="17"/>
          <w:color w:val="auto"/>
        </w:rPr>
        <w:t>All Securities surrendered for payment, redemption, registration of transfer or exchange or conversion or for credit against any sinking fund payment shall, if surrendered to any Person other than the Trustee, be delivered to the Trustee and shall be promptly cancelled by it. The Company may at any time deliver to the Trustee for cancellation any Securities previously authenticated and delivered hereunder which the Company may have acquired in any manner whatsoever, and may deliver to the Trustee (or to any other Person for delivery to the Trustee) for cancellation any Securities previously authenticated hereunder which the Company has not issued and sold, and all Securities so delivered shall be promptly cancelled by the Trustee. No Securities shall be authenticated in lieu of or in exchange for any Securities cancelled as provided in this Section 309, except as expressly permitted by this Indenture. All cancelled Securities held by the Trustee shall be disposed of in accordance with its customary procedures. The Trustee shall provide the Company a list of all Securities that have been cancelled from time to time as requested by the Company.</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Computation of Interest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Except as otherwise specified as contemplated by Section 301 for Securities of any series, interest on the Securities of each series shall be computed on the basis of a 360-day year of twelve 30-day months.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274" w:right="259" w:bottom="1440" w:gutter="0" w:footer="0" w:header="0"/>
        </w:sectPr>
      </w:pPr>
    </w:p>
    <w:bookmarkStart w:id="73" w:name="page74"/>
    <w:bookmarkEnd w:id="7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311. </w:t>
      </w:r>
      <w:r>
        <w:rPr>
          <w:rFonts w:ascii="Arial" w:cs="Arial" w:eastAsia="Arial" w:hAnsi="Arial"/>
          <w:sz w:val="18"/>
          <w:szCs w:val="18"/>
          <w:u w:val="single" w:color="auto"/>
          <w:color w:val="auto"/>
        </w:rPr>
        <w:t>CUSIP Numbers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7" w:lineRule="auto"/>
        <w:rPr>
          <w:sz w:val="20"/>
          <w:szCs w:val="20"/>
          <w:color w:val="auto"/>
        </w:rPr>
      </w:pPr>
      <w:r>
        <w:rPr>
          <w:rFonts w:ascii="Arial" w:cs="Arial" w:eastAsia="Arial" w:hAnsi="Arial"/>
          <w:sz w:val="18"/>
          <w:szCs w:val="18"/>
          <w:color w:val="auto"/>
        </w:rPr>
        <w:t xml:space="preserve">The Company in issuing any series of the Securities may use “CUSIP” or “ISIN” numbers and/or other similar numbers, if then generally in use, and thereafter with respect to such series, the Trustee may use such numbers in any notice of redemption with respect to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such notice may state that no representation is made as to the correctness of such numbers either as printed on the Securities of such series or as contained in any notice of a redemption and that reliance may be placed only on the other identification numbers printed on the Securities of such series, and any such redemption shall not be affected by any defect in or omission of such numbers.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Original Issue Discount</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If any of the Securities is an Original Issue Discount Security, the Company shall file with the Trustee promptly at the end of each calendar year (1) a written notice specifying the amount of original issue discount (including daily rates and accrual periods) accrued on such Outstanding Original Issue Discount Securities as of the end of such year and (2) such other specific information relating to such original issue discount as may then be relevant under the Code.</w:t>
      </w:r>
    </w:p>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SATISFACTION AND DISCHARGE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u w:val="single" w:color="auto"/>
          <w:color w:val="auto"/>
        </w:rPr>
        <w:t>Satisfaction and Discharge of Indenture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This Indenture shall, upon Company Request, cease to be of further effect with respect to any series of Securities specified in such Company Request (except as to any surviving rights of registration of transfer or exchange of Securities of such series and certain rights of the Trustee herein expressly provided for), and the Trustee, at the expense of the Company, shall execute such instruments reasonably requested by the Company acknowledging satisfaction and discharge of this Indenture as to such series, when:</w:t>
      </w:r>
    </w:p>
    <w:p>
      <w:pPr>
        <w:spacing w:after="0" w:line="92" w:lineRule="exact"/>
        <w:rPr>
          <w:sz w:val="20"/>
          <w:szCs w:val="20"/>
          <w:color w:val="auto"/>
        </w:rPr>
      </w:pPr>
    </w:p>
    <w:p>
      <w:pPr>
        <w:ind w:left="900" w:hanging="446"/>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either</w:t>
      </w:r>
    </w:p>
    <w:p>
      <w:pPr>
        <w:spacing w:after="0" w:line="130" w:lineRule="exact"/>
        <w:rPr>
          <w:rFonts w:ascii="Arial" w:cs="Arial" w:eastAsia="Arial" w:hAnsi="Arial"/>
          <w:sz w:val="18"/>
          <w:szCs w:val="18"/>
          <w:color w:val="auto"/>
        </w:rPr>
      </w:pPr>
    </w:p>
    <w:p>
      <w:pPr>
        <w:ind w:left="1480" w:hanging="567"/>
        <w:spacing w:after="0" w:line="279" w:lineRule="auto"/>
        <w:tabs>
          <w:tab w:leader="none" w:pos="1480" w:val="left"/>
        </w:tabs>
        <w:numPr>
          <w:ilvl w:val="1"/>
          <w:numId w:val="59"/>
        </w:numPr>
        <w:rPr>
          <w:rFonts w:ascii="Arial" w:cs="Arial" w:eastAsia="Arial" w:hAnsi="Arial"/>
          <w:sz w:val="17"/>
          <w:szCs w:val="17"/>
          <w:color w:val="auto"/>
        </w:rPr>
      </w:pPr>
      <w:r>
        <w:rPr>
          <w:rFonts w:ascii="Arial" w:cs="Arial" w:eastAsia="Arial" w:hAnsi="Arial"/>
          <w:sz w:val="17"/>
          <w:szCs w:val="17"/>
          <w:color w:val="auto"/>
        </w:rPr>
        <w:t>all Securities of such series theretofore authenticated and delivered (other than (i) Securities which have been mutilated, destroyed, lost or stolen and which have been replaced or paid as provided in Section 306 and (ii) Securities for whose payment money has theretofore been deposited in trust or segregated and held in trust by the Company and thereafter repaid to the Company or discharged from such trust, as provided in Section 1004) have been delivered to the Trustee for cancellation; or</w:t>
      </w:r>
    </w:p>
    <w:p>
      <w:pPr>
        <w:spacing w:after="0" w:line="76" w:lineRule="exact"/>
        <w:rPr>
          <w:rFonts w:ascii="Arial" w:cs="Arial" w:eastAsia="Arial" w:hAnsi="Arial"/>
          <w:sz w:val="17"/>
          <w:szCs w:val="17"/>
          <w:color w:val="auto"/>
        </w:rPr>
      </w:pPr>
    </w:p>
    <w:p>
      <w:pPr>
        <w:ind w:left="1480" w:hanging="567"/>
        <w:spacing w:after="0"/>
        <w:tabs>
          <w:tab w:leader="none" w:pos="1480" w:val="left"/>
        </w:tabs>
        <w:numPr>
          <w:ilvl w:val="1"/>
          <w:numId w:val="59"/>
        </w:numPr>
        <w:rPr>
          <w:rFonts w:ascii="Arial" w:cs="Arial" w:eastAsia="Arial" w:hAnsi="Arial"/>
          <w:sz w:val="18"/>
          <w:szCs w:val="18"/>
          <w:color w:val="auto"/>
        </w:rPr>
      </w:pPr>
      <w:r>
        <w:rPr>
          <w:rFonts w:ascii="Arial" w:cs="Arial" w:eastAsia="Arial" w:hAnsi="Arial"/>
          <w:sz w:val="18"/>
          <w:szCs w:val="18"/>
          <w:color w:val="auto"/>
        </w:rPr>
        <w:t>all such Securities of such series not theretofore delivered to the Trustee for cancellation</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2"/>
          <w:numId w:val="59"/>
        </w:numPr>
        <w:rPr>
          <w:rFonts w:ascii="Arial" w:cs="Arial" w:eastAsia="Arial" w:hAnsi="Arial"/>
          <w:sz w:val="18"/>
          <w:szCs w:val="18"/>
          <w:color w:val="auto"/>
        </w:rPr>
      </w:pPr>
      <w:r>
        <w:rPr>
          <w:rFonts w:ascii="Arial" w:cs="Arial" w:eastAsia="Arial" w:hAnsi="Arial"/>
          <w:sz w:val="18"/>
          <w:szCs w:val="18"/>
          <w:color w:val="auto"/>
        </w:rPr>
        <w:t>have become due and payable, or</w:t>
      </w:r>
    </w:p>
    <w:p>
      <w:pPr>
        <w:spacing w:after="0" w:line="130" w:lineRule="exact"/>
        <w:rPr>
          <w:rFonts w:ascii="Arial" w:cs="Arial" w:eastAsia="Arial" w:hAnsi="Arial"/>
          <w:sz w:val="18"/>
          <w:szCs w:val="18"/>
          <w:color w:val="auto"/>
        </w:rPr>
      </w:pPr>
    </w:p>
    <w:p>
      <w:pPr>
        <w:ind w:left="1920" w:hanging="440"/>
        <w:spacing w:after="0"/>
        <w:tabs>
          <w:tab w:leader="none" w:pos="1920" w:val="left"/>
        </w:tabs>
        <w:numPr>
          <w:ilvl w:val="2"/>
          <w:numId w:val="59"/>
        </w:numPr>
        <w:rPr>
          <w:rFonts w:ascii="Arial" w:cs="Arial" w:eastAsia="Arial" w:hAnsi="Arial"/>
          <w:sz w:val="18"/>
          <w:szCs w:val="18"/>
          <w:color w:val="auto"/>
        </w:rPr>
      </w:pPr>
      <w:r>
        <w:rPr>
          <w:rFonts w:ascii="Arial" w:cs="Arial" w:eastAsia="Arial" w:hAnsi="Arial"/>
          <w:sz w:val="18"/>
          <w:szCs w:val="18"/>
          <w:color w:val="auto"/>
        </w:rPr>
        <w:t>will become due and payable at their Stated Maturity within one year of the date of deposit, or</w:t>
      </w:r>
    </w:p>
    <w:p>
      <w:pPr>
        <w:spacing w:after="0" w:line="130" w:lineRule="exact"/>
        <w:rPr>
          <w:rFonts w:ascii="Arial" w:cs="Arial" w:eastAsia="Arial" w:hAnsi="Arial"/>
          <w:sz w:val="18"/>
          <w:szCs w:val="18"/>
          <w:color w:val="auto"/>
        </w:rPr>
      </w:pPr>
    </w:p>
    <w:p>
      <w:pPr>
        <w:ind w:left="1920" w:right="840" w:hanging="440"/>
        <w:spacing w:after="0" w:line="277" w:lineRule="auto"/>
        <w:tabs>
          <w:tab w:leader="none" w:pos="1920" w:val="left"/>
        </w:tabs>
        <w:numPr>
          <w:ilvl w:val="2"/>
          <w:numId w:val="59"/>
        </w:numPr>
        <w:rPr>
          <w:rFonts w:ascii="Arial" w:cs="Arial" w:eastAsia="Arial" w:hAnsi="Arial"/>
          <w:sz w:val="18"/>
          <w:szCs w:val="18"/>
          <w:color w:val="auto"/>
        </w:rPr>
      </w:pPr>
      <w:r>
        <w:rPr>
          <w:rFonts w:ascii="Arial" w:cs="Arial" w:eastAsia="Arial" w:hAnsi="Arial"/>
          <w:sz w:val="18"/>
          <w:szCs w:val="18"/>
          <w:color w:val="auto"/>
        </w:rPr>
        <w:t>are to be called for redemption within one year under arrangements satisfactory to the Trustee for the giving of notice of redemption by the Trustee in the name, and at the expense, of the Company,</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274" w:right="239" w:bottom="1440" w:gutter="0" w:footer="0" w:header="0"/>
        </w:sectPr>
      </w:pPr>
    </w:p>
    <w:bookmarkStart w:id="74" w:name="page75"/>
    <w:bookmarkEnd w:id="74"/>
    <w:p>
      <w:pPr>
        <w:ind w:left="1940" w:right="20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the Company, in the case of (i), (ii) or (iii) above, has deposited or caused to be deposited with the Trustee as trust funds in trust for such purpose money in an amount sufficient to pay and discharge the entire indebtedness on such Securities not theretofore delivered to the Trustee for cancellation, for principal and premium, if any, and interest to the date of such deposit (in the case of Securities which have become due and payable) or to the Stated Maturity or Redemption Date, as the case may be;</w:t>
      </w:r>
    </w:p>
    <w:p>
      <w:pPr>
        <w:spacing w:after="0" w:line="60" w:lineRule="exact"/>
        <w:rPr>
          <w:sz w:val="20"/>
          <w:szCs w:val="20"/>
          <w:color w:val="auto"/>
        </w:rPr>
      </w:pPr>
    </w:p>
    <w:p>
      <w:pPr>
        <w:ind w:left="900" w:hanging="446"/>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Company has paid or caused to be paid all other sums payable hereunder by the Company; and</w:t>
      </w:r>
    </w:p>
    <w:p>
      <w:pPr>
        <w:spacing w:after="0" w:line="130" w:lineRule="exact"/>
        <w:rPr>
          <w:rFonts w:ascii="Arial" w:cs="Arial" w:eastAsia="Arial" w:hAnsi="Arial"/>
          <w:sz w:val="18"/>
          <w:szCs w:val="18"/>
          <w:color w:val="auto"/>
        </w:rPr>
      </w:pPr>
    </w:p>
    <w:p>
      <w:pPr>
        <w:ind w:left="900" w:right="320" w:hanging="446"/>
        <w:spacing w:after="0" w:line="308" w:lineRule="auto"/>
        <w:tabs>
          <w:tab w:leader="none" w:pos="900" w:val="left"/>
        </w:tabs>
        <w:numPr>
          <w:ilvl w:val="0"/>
          <w:numId w:val="60"/>
        </w:numPr>
        <w:rPr>
          <w:rFonts w:ascii="Arial" w:cs="Arial" w:eastAsia="Arial" w:hAnsi="Arial"/>
          <w:sz w:val="17"/>
          <w:szCs w:val="17"/>
          <w:color w:val="auto"/>
        </w:rPr>
      </w:pPr>
      <w:r>
        <w:rPr>
          <w:rFonts w:ascii="Arial" w:cs="Arial" w:eastAsia="Arial" w:hAnsi="Arial"/>
          <w:sz w:val="17"/>
          <w:szCs w:val="17"/>
          <w:color w:val="auto"/>
        </w:rPr>
        <w:t>the Company has delivered to the Trustee an Officer’s Certificate and an Opinion of Counsel, each stating that all conditions precedent herein provided for relating to the satisfaction and discharge of this Indenture as to such series have been complied with.</w:t>
      </w:r>
    </w:p>
    <w:p>
      <w:pPr>
        <w:spacing w:after="0" w:line="147" w:lineRule="exact"/>
        <w:rPr>
          <w:sz w:val="20"/>
          <w:szCs w:val="20"/>
          <w:color w:val="auto"/>
        </w:rPr>
      </w:pPr>
    </w:p>
    <w:p>
      <w:pPr>
        <w:jc w:val="both"/>
        <w:ind w:right="100" w:firstLine="456"/>
        <w:spacing w:after="0" w:line="264" w:lineRule="auto"/>
        <w:rPr>
          <w:sz w:val="20"/>
          <w:szCs w:val="20"/>
          <w:color w:val="auto"/>
        </w:rPr>
      </w:pPr>
      <w:r>
        <w:rPr>
          <w:rFonts w:ascii="Arial" w:cs="Arial" w:eastAsia="Arial" w:hAnsi="Arial"/>
          <w:sz w:val="18"/>
          <w:szCs w:val="18"/>
          <w:color w:val="auto"/>
        </w:rPr>
        <w:t>Notwithstanding the satisfaction and discharge of this Indenture, the obligations of the Company to the Trustee under Section 607 and, if money shall have been deposited with the Trustee pursuant to subclause (B) of clause (1) of this Section 401, the obligations of the Trustee under Section 402 and the last paragraph of Section 1004 shall survive such satisfaction and discharge.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Application of Trust Money</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69" w:lineRule="auto"/>
        <w:rPr>
          <w:sz w:val="20"/>
          <w:szCs w:val="20"/>
          <w:color w:val="auto"/>
        </w:rPr>
      </w:pPr>
      <w:r>
        <w:rPr>
          <w:rFonts w:ascii="Arial" w:cs="Arial" w:eastAsia="Arial" w:hAnsi="Arial"/>
          <w:sz w:val="17"/>
          <w:szCs w:val="17"/>
          <w:color w:val="auto"/>
        </w:rPr>
        <w:t>Subject to the provisions of the last paragraph of Section 1004, all money deposited with the Trustee pursuant to Section 401 shall be held in trust and applied by it, in accordance with the provisions of the applicable series of Securities and this Indenture, to the payment, either directly or through any Paying Agent (including the Company acting as its own Paying Agent) as the Trustee may determine, to the Persons entitled thereto, of the principal and premium, if any, and interest for whose payment such money has been deposited with the Trustee. All money deposited with the Trustee pursuant to Section 401 (and held by it or any Paying Agent) for the payment of Securities subsequently converted into other property shall be returned to the Company upon Company Request. The Company may direct, by a Company Order, the investment of any money deposited with the Trustee pursuant to Section 401, without distinction between principal and income, in (1) United States Treasury securities with a maturity of one year or less or (2) a money market fund that invests solely in short-term United States Treasury securities (including money market funds for which the Trustee or an affiliate of the Trustee serves as investment advisor, administrator, shareholder, servicing agent and/or custodian or sub-custodian, notwithstanding that (a) the Trustee charges and collects fees and expenses from such funds for services rendered and (b) the Trustee charges and collects fees and expenses for services rendered pursuant to this Indenture at any time) and from time to time the Company may direct the reinvestment of all or a portion of such money in other securities or funds meeting the criteria specified in clause (1) or (2) of this Section 402.</w:t>
      </w:r>
    </w:p>
    <w:p>
      <w:pPr>
        <w:spacing w:after="0" w:line="392" w:lineRule="exact"/>
        <w:rPr>
          <w:sz w:val="20"/>
          <w:szCs w:val="20"/>
          <w:color w:val="auto"/>
        </w:rPr>
      </w:pPr>
    </w:p>
    <w:p>
      <w:pPr>
        <w:ind w:left="5220"/>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240"/>
        <w:spacing w:after="0"/>
        <w:rPr>
          <w:sz w:val="20"/>
          <w:szCs w:val="20"/>
          <w:color w:val="auto"/>
        </w:rPr>
      </w:pPr>
      <w:r>
        <w:rPr>
          <w:rFonts w:ascii="Arial" w:cs="Arial" w:eastAsia="Arial" w:hAnsi="Arial"/>
          <w:sz w:val="18"/>
          <w:szCs w:val="18"/>
          <w:b w:val="1"/>
          <w:bCs w:val="1"/>
          <w:color w:val="auto"/>
        </w:rPr>
        <w:t>REMEDIES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u w:val="single" w:color="auto"/>
          <w:color w:val="auto"/>
        </w:rPr>
        <w:t>Events of Default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Except as may be otherwise provided pursuant to Section 301 for Securities of any series,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means, whenever used herein or in a Security issued hereunder with respect to Securities of any series, any one of the following events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274" w:right="239" w:bottom="1440" w:gutter="0" w:footer="0" w:header="0"/>
        </w:sectPr>
      </w:pPr>
    </w:p>
    <w:bookmarkStart w:id="75" w:name="page76"/>
    <w:bookmarkEnd w:id="75"/>
    <w:p>
      <w:pPr>
        <w:ind w:left="446" w:hanging="446"/>
        <w:spacing w:after="0"/>
        <w:tabs>
          <w:tab w:leader="none" w:pos="446" w:val="left"/>
        </w:tabs>
        <w:numPr>
          <w:ilvl w:val="0"/>
          <w:numId w:val="6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defaults in the payment of any installment of interest on any Security of such series for 30 days after becoming due;</w:t>
      </w:r>
    </w:p>
    <w:p>
      <w:pPr>
        <w:spacing w:after="0" w:line="130" w:lineRule="exact"/>
        <w:rPr>
          <w:rFonts w:ascii="Arial" w:cs="Arial" w:eastAsia="Arial" w:hAnsi="Arial"/>
          <w:sz w:val="18"/>
          <w:szCs w:val="18"/>
          <w:color w:val="auto"/>
        </w:rPr>
      </w:pPr>
    </w:p>
    <w:p>
      <w:pPr>
        <w:ind w:left="446" w:right="340" w:hanging="446"/>
        <w:spacing w:after="0" w:line="277" w:lineRule="auto"/>
        <w:tabs>
          <w:tab w:leader="none" w:pos="446"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Company defaults in the payment of the principal of or premium, if any, on any Security of such series when the same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446" w:hanging="446"/>
        <w:spacing w:after="0" w:line="302" w:lineRule="auto"/>
        <w:tabs>
          <w:tab w:leader="none" w:pos="446"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Company defaults in the performance of, or breaches any of its covenants and agreements in respect of any Security of such series contained in this Indenture or in the Securities of such series (other than a covenant or agreement, a default in the performance of which or a breach of which is elsewhere in this Section specifically dealt with or that has expressly been included in this Indenture solely for the benefit of a series of Securities other than that series), and such default or breach continues for a period of 90 days after the notice specified below;</w:t>
      </w:r>
    </w:p>
    <w:p>
      <w:pPr>
        <w:spacing w:after="0" w:line="59" w:lineRule="exact"/>
        <w:rPr>
          <w:rFonts w:ascii="Arial" w:cs="Arial" w:eastAsia="Arial" w:hAnsi="Arial"/>
          <w:sz w:val="16"/>
          <w:szCs w:val="16"/>
          <w:color w:val="auto"/>
        </w:rPr>
      </w:pPr>
    </w:p>
    <w:p>
      <w:pPr>
        <w:ind w:left="446" w:hanging="446"/>
        <w:spacing w:after="0"/>
        <w:tabs>
          <w:tab w:leader="none" w:pos="446"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Company, pursuant to or within the meaning of the Bankruptcy Law (as defined below):</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commences a voluntary case or proceeding;</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consents to the entry of an order for relief against it in an involuntary case or proceeding;</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consents to the appointment of a Custodian (as defined below) of it or for all or substantially all of its property;</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makes a general assignment for the benefit of its creditors;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files a petition in bankruptcy or answer or consent seeking reorganization or relief;</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consents to the filing of such petition or the appointment of or taking possession by a Custodian; or</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takes any comparable action under any foreign laws relating to insolvency;</w:t>
      </w:r>
    </w:p>
    <w:p>
      <w:pPr>
        <w:spacing w:after="0" w:line="130" w:lineRule="exact"/>
        <w:rPr>
          <w:rFonts w:ascii="Arial" w:cs="Arial" w:eastAsia="Arial" w:hAnsi="Arial"/>
          <w:sz w:val="18"/>
          <w:szCs w:val="18"/>
          <w:color w:val="auto"/>
        </w:rPr>
      </w:pPr>
    </w:p>
    <w:p>
      <w:pPr>
        <w:ind w:left="446" w:hanging="446"/>
        <w:spacing w:after="0"/>
        <w:tabs>
          <w:tab w:leader="none" w:pos="446" w:val="left"/>
        </w:tabs>
        <w:numPr>
          <w:ilvl w:val="0"/>
          <w:numId w:val="61"/>
        </w:numPr>
        <w:rPr>
          <w:rFonts w:ascii="Arial" w:cs="Arial" w:eastAsia="Arial" w:hAnsi="Arial"/>
          <w:sz w:val="18"/>
          <w:szCs w:val="18"/>
          <w:color w:val="auto"/>
        </w:rPr>
      </w:pPr>
      <w:r>
        <w:rPr>
          <w:rFonts w:ascii="Arial" w:cs="Arial" w:eastAsia="Arial" w:hAnsi="Arial"/>
          <w:sz w:val="18"/>
          <w:szCs w:val="18"/>
          <w:color w:val="auto"/>
        </w:rPr>
        <w:t>a court of competent jurisdiction enters an order or decree under any Bankruptcy Law that:</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is for relief against the Company in an involuntary case, or adjudicates the Company insolvent or bankrupt;</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1"/>
          <w:numId w:val="61"/>
        </w:numPr>
        <w:rPr>
          <w:rFonts w:ascii="Arial" w:cs="Arial" w:eastAsia="Arial" w:hAnsi="Arial"/>
          <w:sz w:val="18"/>
          <w:szCs w:val="18"/>
          <w:color w:val="auto"/>
        </w:rPr>
      </w:pPr>
      <w:r>
        <w:rPr>
          <w:rFonts w:ascii="Arial" w:cs="Arial" w:eastAsia="Arial" w:hAnsi="Arial"/>
          <w:sz w:val="18"/>
          <w:szCs w:val="18"/>
          <w:color w:val="auto"/>
        </w:rPr>
        <w:t>appoints a Custodian of the Company or for all or substantially all of the property of the Company; or</w:t>
      </w:r>
    </w:p>
    <w:p>
      <w:pPr>
        <w:spacing w:after="0" w:line="158" w:lineRule="exact"/>
        <w:rPr>
          <w:sz w:val="20"/>
          <w:szCs w:val="20"/>
          <w:color w:val="auto"/>
        </w:rPr>
      </w:pPr>
    </w:p>
    <w:p>
      <w:pPr>
        <w:jc w:val="center"/>
        <w:ind w:right="314"/>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846"/>
          </w:cols>
          <w:pgMar w:left="694" w:top="274" w:right="359" w:bottom="1440" w:gutter="0" w:footer="0" w:header="0"/>
        </w:sectPr>
      </w:pPr>
    </w:p>
    <w:bookmarkStart w:id="76" w:name="page77"/>
    <w:bookmarkEnd w:id="76"/>
    <w:p>
      <w:pPr>
        <w:ind w:left="1480" w:hanging="567"/>
        <w:spacing w:after="0"/>
        <w:tabs>
          <w:tab w:leader="none" w:pos="1480" w:val="left"/>
        </w:tabs>
        <w:numPr>
          <w:ilvl w:val="1"/>
          <w:numId w:val="6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orders the winding-up or liquidation of the Company (or any similar relief is granted under any foreign laws);</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62"/>
        </w:numPr>
        <w:rPr>
          <w:rFonts w:ascii="Arial" w:cs="Arial" w:eastAsia="Arial" w:hAnsi="Arial"/>
          <w:sz w:val="18"/>
          <w:szCs w:val="18"/>
          <w:color w:val="auto"/>
        </w:rPr>
      </w:pPr>
      <w:r>
        <w:rPr>
          <w:rFonts w:ascii="Arial" w:cs="Arial" w:eastAsia="Arial" w:hAnsi="Arial"/>
          <w:sz w:val="18"/>
          <w:szCs w:val="18"/>
          <w:color w:val="auto"/>
        </w:rPr>
        <w:t>and the order or decree remains unstayed and in effect for 90 days; or</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any other Event of Default provided with respect to Securities of such series occurs.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term “</w:t>
      </w:r>
      <w:r>
        <w:rPr>
          <w:rFonts w:ascii="Arial" w:cs="Arial" w:eastAsia="Arial" w:hAnsi="Arial"/>
          <w:sz w:val="16"/>
          <w:szCs w:val="16"/>
          <w:u w:val="single" w:color="auto"/>
          <w:color w:val="auto"/>
        </w:rPr>
        <w:t>Bankruptcy Law</w:t>
      </w:r>
      <w:r>
        <w:rPr>
          <w:rFonts w:ascii="Arial" w:cs="Arial" w:eastAsia="Arial" w:hAnsi="Arial"/>
          <w:sz w:val="16"/>
          <w:szCs w:val="16"/>
          <w:color w:val="auto"/>
        </w:rPr>
        <w:t>” means Title 11, United States Code, or any similar federal or state, Bermuda or other foreign law for the relief of debtors.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 term “</w:t>
      </w:r>
      <w:r>
        <w:rPr>
          <w:rFonts w:ascii="Arial" w:cs="Arial" w:eastAsia="Arial" w:hAnsi="Arial"/>
          <w:sz w:val="18"/>
          <w:szCs w:val="18"/>
          <w:u w:val="single" w:color="auto"/>
          <w:color w:val="auto"/>
        </w:rPr>
        <w:t>Custodian</w:t>
      </w:r>
      <w:r>
        <w:rPr>
          <w:rFonts w:ascii="Arial" w:cs="Arial" w:eastAsia="Arial" w:hAnsi="Arial"/>
          <w:sz w:val="18"/>
          <w:szCs w:val="18"/>
          <w:color w:val="auto"/>
        </w:rPr>
        <w:t>” means any custodian, receiver, trustee, assignee, liquidator or other similar official under any Bankruptcy Law.</w:t>
      </w:r>
    </w:p>
    <w:p>
      <w:pPr>
        <w:spacing w:after="0" w:line="211"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A Default with respect to Securities of any series under clause (3) of this Section 501 shall not be an Event of Default until the Trustee (by written notice to the Company) or the Holders of at least 25% in aggregate principal amount of the outstanding Securities of such series (by written notice to the Company and the Trustee) gives notice of the Default and the Company does not cure such Default within the time specified in clause (3) after receipt of such notice. Such notice must specify the Default, demand that it be remedied and state that such notice is a “</w:t>
      </w:r>
      <w:r>
        <w:rPr>
          <w:rFonts w:ascii="Arial" w:cs="Arial" w:eastAsia="Arial" w:hAnsi="Arial"/>
          <w:sz w:val="17"/>
          <w:szCs w:val="17"/>
          <w:u w:val="single" w:color="auto"/>
          <w:color w:val="auto"/>
        </w:rPr>
        <w:t>Notice of Default</w:t>
      </w:r>
      <w:r>
        <w:rPr>
          <w:rFonts w:ascii="Arial" w:cs="Arial" w:eastAsia="Arial" w:hAnsi="Arial"/>
          <w:sz w:val="17"/>
          <w:szCs w:val="17"/>
          <w:color w:val="auto"/>
        </w:rPr>
        <w: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u w:val="single" w:color="auto"/>
          <w:color w:val="auto"/>
        </w:rPr>
        <w:t>Acceleration of Maturity; Rescission and Annulment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If an Event of Default with respect to Securities of any series at the time Outstanding (other than an Event of Default specified in Section 501(4) or Section 501(5) with respect to the Company) occurs and is continuing, then in every such case the Trustee or the Holders of not less than 25% in aggregate principal amount of the Outstanding Securities of such series may declare the principal amount of all the Securities of such series (or, if any Securities of that series are Original Issue Discount Securities, such portion of the principal amount of such Securities as may be specified by the terms thereof), together with any accrued and unpaid interest thereon, to be due and payable immediately, by a notice in writing to the Company (and to the Trustee if given by Holders), and upon any such declaration, such principal amount (or specified amount), together with any accrued and unpaid interest thereon, shall become immediately due and payable. If an Event of Default specified in Section 501(4) or Section 501(5) with respect to the Securities of any series at the time Outstanding occurs, the principal amount of all the Securities of such series (or, in the case of any Security of such series which specifies an amount to be due and payable thereon upon acceleration of the Maturity thereof, such amount as may be specified by the terms thereof), together with any accrued and unpaid interest thereon, shall automatically, and without any declaration or other action on the part of the Trustee or any Holder, become immediately due and payable. Upon payment of such amount, all obligations of the Company in respect of the payment of principal and interest of the Securities of such series shall terminate.</w:t>
      </w:r>
    </w:p>
    <w:p>
      <w:pPr>
        <w:spacing w:after="0" w:line="173" w:lineRule="exact"/>
        <w:rPr>
          <w:sz w:val="20"/>
          <w:szCs w:val="20"/>
          <w:color w:val="auto"/>
        </w:rPr>
      </w:pPr>
    </w:p>
    <w:p>
      <w:pPr>
        <w:ind w:right="160" w:firstLine="456"/>
        <w:spacing w:after="0" w:line="279" w:lineRule="auto"/>
        <w:rPr>
          <w:sz w:val="20"/>
          <w:szCs w:val="20"/>
          <w:color w:val="auto"/>
        </w:rPr>
      </w:pPr>
      <w:r>
        <w:rPr>
          <w:rFonts w:ascii="Arial" w:cs="Arial" w:eastAsia="Arial" w:hAnsi="Arial"/>
          <w:sz w:val="17"/>
          <w:szCs w:val="17"/>
          <w:color w:val="auto"/>
        </w:rPr>
        <w:t>Except as may otherwise be provided pursuant to Section 301 for all or any specific Securities of any series, at any time after such a declaration of acceleration with respect to the Securities of any series has been made and before a judgment or decree for payment of the money due has been obtained by the Trustee as hereinafter in this Article V provided, the Holders of a majority in aggregate principal amount of the Outstanding Securities of such series, by written notice to the Company and the Trustee, may rescind and annul such declaration and its consequences if:</w:t>
      </w:r>
    </w:p>
    <w:p>
      <w:pPr>
        <w:spacing w:after="0" w:line="77" w:lineRule="exact"/>
        <w:rPr>
          <w:sz w:val="20"/>
          <w:szCs w:val="20"/>
          <w:color w:val="auto"/>
        </w:rPr>
      </w:pPr>
    </w:p>
    <w:p>
      <w:pPr>
        <w:ind w:left="900" w:hanging="446"/>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Company has paid or deposited with the Trustee a sum sufficient to pay:</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1"/>
          <w:numId w:val="64"/>
        </w:numPr>
        <w:rPr>
          <w:rFonts w:ascii="Arial" w:cs="Arial" w:eastAsia="Arial" w:hAnsi="Arial"/>
          <w:sz w:val="18"/>
          <w:szCs w:val="18"/>
          <w:color w:val="auto"/>
        </w:rPr>
      </w:pPr>
      <w:r>
        <w:rPr>
          <w:rFonts w:ascii="Arial" w:cs="Arial" w:eastAsia="Arial" w:hAnsi="Arial"/>
          <w:sz w:val="18"/>
          <w:szCs w:val="18"/>
          <w:color w:val="auto"/>
        </w:rPr>
        <w:t>all overdue interest on all Securities of such series,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274" w:right="239" w:bottom="1440" w:gutter="0" w:footer="0" w:header="0"/>
        </w:sectPr>
      </w:pPr>
    </w:p>
    <w:bookmarkStart w:id="77" w:name="page78"/>
    <w:bookmarkEnd w:id="77"/>
    <w:p>
      <w:pPr>
        <w:ind w:left="1480" w:right="460" w:hanging="567"/>
        <w:spacing w:after="0" w:line="308" w:lineRule="auto"/>
        <w:tabs>
          <w:tab w:leader="none" w:pos="1480" w:val="left"/>
        </w:tabs>
        <w:numPr>
          <w:ilvl w:val="1"/>
          <w:numId w:val="6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principal of and premium, if any, on any Securities of such series which have become due otherwise than by such declaration of acceleration and any interest thereon at the rate or rates prescribed therefor in the Securities of such series,</w:t>
      </w:r>
    </w:p>
    <w:p>
      <w:pPr>
        <w:spacing w:after="0" w:line="51" w:lineRule="exact"/>
        <w:rPr>
          <w:rFonts w:ascii="Arial" w:cs="Arial" w:eastAsia="Arial" w:hAnsi="Arial"/>
          <w:sz w:val="17"/>
          <w:szCs w:val="17"/>
          <w:color w:val="auto"/>
        </w:rPr>
      </w:pPr>
    </w:p>
    <w:p>
      <w:pPr>
        <w:ind w:left="1480" w:right="700" w:hanging="567"/>
        <w:spacing w:after="0" w:line="277" w:lineRule="auto"/>
        <w:tabs>
          <w:tab w:leader="none" w:pos="1480" w:val="left"/>
        </w:tabs>
        <w:numPr>
          <w:ilvl w:val="1"/>
          <w:numId w:val="65"/>
        </w:numPr>
        <w:rPr>
          <w:rFonts w:ascii="Arial" w:cs="Arial" w:eastAsia="Arial" w:hAnsi="Arial"/>
          <w:sz w:val="18"/>
          <w:szCs w:val="18"/>
          <w:color w:val="auto"/>
        </w:rPr>
      </w:pPr>
      <w:r>
        <w:rPr>
          <w:rFonts w:ascii="Arial" w:cs="Arial" w:eastAsia="Arial" w:hAnsi="Arial"/>
          <w:sz w:val="18"/>
          <w:szCs w:val="18"/>
          <w:color w:val="auto"/>
        </w:rPr>
        <w:t>to the extent that payment of such interest is lawful, interest upon overdue interest at the rate or rates prescribed therefor in such Securities, and</w:t>
      </w:r>
    </w:p>
    <w:p>
      <w:pPr>
        <w:spacing w:after="0" w:line="75" w:lineRule="exact"/>
        <w:rPr>
          <w:rFonts w:ascii="Arial" w:cs="Arial" w:eastAsia="Arial" w:hAnsi="Arial"/>
          <w:sz w:val="18"/>
          <w:szCs w:val="18"/>
          <w:color w:val="auto"/>
        </w:rPr>
      </w:pPr>
    </w:p>
    <w:p>
      <w:pPr>
        <w:ind w:left="1480" w:right="460" w:hanging="567"/>
        <w:spacing w:after="0" w:line="277" w:lineRule="auto"/>
        <w:tabs>
          <w:tab w:leader="none" w:pos="1480" w:val="left"/>
        </w:tabs>
        <w:numPr>
          <w:ilvl w:val="1"/>
          <w:numId w:val="65"/>
        </w:numPr>
        <w:rPr>
          <w:rFonts w:ascii="Arial" w:cs="Arial" w:eastAsia="Arial" w:hAnsi="Arial"/>
          <w:sz w:val="18"/>
          <w:szCs w:val="18"/>
          <w:color w:val="auto"/>
        </w:rPr>
      </w:pPr>
      <w:r>
        <w:rPr>
          <w:rFonts w:ascii="Arial" w:cs="Arial" w:eastAsia="Arial" w:hAnsi="Arial"/>
          <w:sz w:val="18"/>
          <w:szCs w:val="18"/>
          <w:color w:val="auto"/>
        </w:rPr>
        <w:t>all sums paid or advanced by the Trustee hereunder and the reasonable compensation, expenses, disbursements and advances of the Trustee, its agents and counsel; and</w:t>
      </w:r>
    </w:p>
    <w:p>
      <w:pPr>
        <w:spacing w:after="0" w:line="75"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all Events of Default with respect to Securities of such series, other than the non-payment of the principal of Securities of such series which have become due solely by such declaration of acceleration, have been cured or waived as provided in Section 512.</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such rescission shall affect any subsequent default or impair any right consequent thereon.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Collection of Indebtedness and Suits for Enforcement by Trustee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covenants that if (1) default is made in the payment of any interest on any Security when such interest becomes due and payable and such default continues for a period of 30 days or (2) default is made in the payment of the principal of or premium, if any, on any Security at the Maturity thereof, the Company will, upon demand of the Trustee, pay to it, for the benefit of the Holders of such Securities, the whole amount then due and payable on such Securities for principal and premium, if any, and interest and, to the extent that payment of such interest shall be legally enforceable, interest on any overdue principal and premium and on any overdue interest, at the rate or rates prescribed therefor in such Securities, and, in addition thereto, such further amount as shall be sufficient to cover the costs and expenses of collection, including the reasonable compensation, expenses, disbursements and advances of the Trustee, its agents and counsel.</w:t>
      </w:r>
    </w:p>
    <w:p>
      <w:pPr>
        <w:spacing w:after="0" w:line="189"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If an Event of Default with respect to Securities of any series occurs and is continuing, the Trustee may in its discretion proceed to protect and enforce its rights and the rights of the Holders of Securities of such series by such appropriate judicial proceedings as the Trustee shall deem necessary to protect and enforce any such rights, whether for the specific enforcement of any covenant or agreement in this Indenture or in aid of the exercise of any power granted herein, or to enforce any other proper remedy.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u w:val="single" w:color="auto"/>
          <w:color w:val="auto"/>
        </w:rPr>
        <w:t>Trustee May File Proofs of Claim</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In case of any judicial proceeding relative to the Company (or any other obligor upon the Securities), its property or its creditors, the Trustee shall be entitled and empowered, by intervention in such proceeding or otherwise, to take any and all actions authorized under the Trust Indenture Act in order to have claims of the Holders and the Trustee allowed in any such proceeding. In particular, the Trustee shall be authorized to collect and receive any moneys or other property payable or deliverable on any such claims and to distribute the same; and any custodian, receiver, assignee, trustee, liquidator, sequestrator or other similar official in any such judicial proceeding is hereby authorized by each Holder to make such payments to the Trustee and, in the event that the Trustee shall consent to the making of such payments directly to the Holders, to pay to the Trustee any amount due it and any predecessor Trustee under Section 607.</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274" w:right="259" w:bottom="1440" w:gutter="0" w:footer="0" w:header="0"/>
        </w:sectPr>
      </w:pPr>
    </w:p>
    <w:bookmarkStart w:id="78" w:name="page79"/>
    <w:bookmarkEnd w:id="78"/>
    <w:p>
      <w:pPr>
        <w:ind w:right="4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No provision of this Indenture shall be deemed to authorize the Trustee to authorize or consent to or accept or adopt on behalf of any Holder any plan of reorganization, arrangement, adjustment or composition affecting the Securities or the rights of any Holder thereof or to authorize the Trustee to vote in respect of the claim of any Holder in any such proceeding;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Trustee may, on behalf of the Holders, vote for the election of a trustee in bankruptcy or similar official and be a member of a creditors’ or other similar committee.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u w:val="single" w:color="auto"/>
          <w:color w:val="auto"/>
        </w:rPr>
        <w:t>Trustee May Enforce Claims Without Possession of Securities</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57" w:lineRule="auto"/>
        <w:rPr>
          <w:sz w:val="20"/>
          <w:szCs w:val="20"/>
          <w:color w:val="auto"/>
        </w:rPr>
      </w:pPr>
      <w:r>
        <w:rPr>
          <w:rFonts w:ascii="Arial" w:cs="Arial" w:eastAsia="Arial" w:hAnsi="Arial"/>
          <w:sz w:val="18"/>
          <w:szCs w:val="18"/>
          <w:color w:val="auto"/>
        </w:rPr>
        <w:t>All rights of action and claims under this Indenture or the Securities may be prosecuted and enforced by the Trustee without the possession of any of the Securities or the production thereof in any proceeding relating thereto, and any such proceeding instituted by the Trustee shall be brought in its own name as trustee of an express trust, and any recovery of judgment shall, after provision for the payment of the reasonable compensation, expenses, disbursements and advances of the Trustee, any predecessor Trustee under Section 607, its agents and counsel, be for the ratable benefit of the Holders of the Securities in respect of which such judgment has been recovered.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Application of Money Collected</w:t>
      </w:r>
      <w:r>
        <w:rPr>
          <w:rFonts w:ascii="Arial" w:cs="Arial" w:eastAsia="Arial" w:hAnsi="Arial"/>
          <w:sz w:val="18"/>
          <w:szCs w:val="18"/>
          <w:color w:val="auto"/>
        </w:rPr>
        <w:t>.</w:t>
      </w:r>
    </w:p>
    <w:p>
      <w:pPr>
        <w:spacing w:after="0" w:line="117" w:lineRule="exact"/>
        <w:rPr>
          <w:sz w:val="20"/>
          <w:szCs w:val="20"/>
          <w:color w:val="auto"/>
        </w:rPr>
      </w:pPr>
    </w:p>
    <w:p>
      <w:pPr>
        <w:ind w:right="200" w:firstLine="456"/>
        <w:spacing w:after="0" w:line="264" w:lineRule="auto"/>
        <w:rPr>
          <w:sz w:val="20"/>
          <w:szCs w:val="20"/>
          <w:color w:val="auto"/>
        </w:rPr>
      </w:pPr>
      <w:r>
        <w:rPr>
          <w:rFonts w:ascii="Arial" w:cs="Arial" w:eastAsia="Arial" w:hAnsi="Arial"/>
          <w:sz w:val="18"/>
          <w:szCs w:val="18"/>
          <w:color w:val="auto"/>
        </w:rPr>
        <w:t>Any money or property collected by the Trustee pursuant to this Article V shall be applied in the following order, at the date or dates fixed by the Trustee and, in case of the distribution of such money or property on account of principal or premium, if any, or interest, upon presentation of the Securities and the notation thereon of the payment if only partially paid and upon surrender thereof if fully paid:</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FIRST: To the payment of all amounts due the Trustee under Section 607;</w:t>
      </w:r>
    </w:p>
    <w:p>
      <w:pPr>
        <w:spacing w:after="0" w:line="225" w:lineRule="exact"/>
        <w:rPr>
          <w:sz w:val="20"/>
          <w:szCs w:val="20"/>
          <w:color w:val="auto"/>
        </w:rPr>
      </w:pPr>
    </w:p>
    <w:p>
      <w:pPr>
        <w:ind w:firstLine="456"/>
        <w:spacing w:after="0" w:line="312" w:lineRule="auto"/>
        <w:rPr>
          <w:sz w:val="20"/>
          <w:szCs w:val="20"/>
          <w:color w:val="auto"/>
        </w:rPr>
      </w:pPr>
      <w:r>
        <w:rPr>
          <w:rFonts w:ascii="Arial" w:cs="Arial" w:eastAsia="Arial" w:hAnsi="Arial"/>
          <w:sz w:val="16"/>
          <w:szCs w:val="16"/>
          <w:color w:val="auto"/>
        </w:rPr>
        <w:t>SECOND: To the payment of the amounts then due and unpaid for principal of and premium, if any, and interest on the Securities in respect of which or for the benefit of which such money has been collected, ratably, without preference or priority of any kind (other than contractual subordination agreements pursuant to the Indenture), according to the amounts due and payable on such Securities for principal and premium, if any, and interest, respectively; and</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THIRD: To the payment of the remainder, if any, to the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507. </w:t>
      </w:r>
      <w:r>
        <w:rPr>
          <w:rFonts w:ascii="Arial" w:cs="Arial" w:eastAsia="Arial" w:hAnsi="Arial"/>
          <w:sz w:val="18"/>
          <w:szCs w:val="18"/>
          <w:u w:val="single" w:color="auto"/>
          <w:color w:val="auto"/>
        </w:rPr>
        <w:t>Limitation on Suits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308" w:lineRule="auto"/>
        <w:rPr>
          <w:sz w:val="20"/>
          <w:szCs w:val="20"/>
          <w:color w:val="auto"/>
        </w:rPr>
      </w:pPr>
      <w:r>
        <w:rPr>
          <w:rFonts w:ascii="Arial" w:cs="Arial" w:eastAsia="Arial" w:hAnsi="Arial"/>
          <w:sz w:val="17"/>
          <w:szCs w:val="17"/>
          <w:color w:val="auto"/>
        </w:rPr>
        <w:t>No Holder of any Security of any series shall have any right to institute any proceeding, judicial or otherwise, with respect to this Indenture, or for the appointment of a receiver, assignee, trustee, liquidator or sequestrator (or similar official) or for any other remedy hereunder, unless:</w:t>
      </w:r>
    </w:p>
    <w:p>
      <w:pPr>
        <w:spacing w:after="0" w:line="52" w:lineRule="exact"/>
        <w:rPr>
          <w:sz w:val="20"/>
          <w:szCs w:val="20"/>
          <w:color w:val="auto"/>
        </w:rPr>
      </w:pPr>
    </w:p>
    <w:p>
      <w:pPr>
        <w:ind w:left="900" w:hanging="446"/>
        <w:spacing w:after="0"/>
        <w:tabs>
          <w:tab w:leader="none" w:pos="900" w:val="left"/>
        </w:tabs>
        <w:numPr>
          <w:ilvl w:val="0"/>
          <w:numId w:val="67"/>
        </w:numPr>
        <w:rPr>
          <w:rFonts w:ascii="Arial" w:cs="Arial" w:eastAsia="Arial" w:hAnsi="Arial"/>
          <w:sz w:val="17"/>
          <w:szCs w:val="17"/>
          <w:color w:val="auto"/>
        </w:rPr>
      </w:pPr>
      <w:r>
        <w:rPr>
          <w:rFonts w:ascii="Arial" w:cs="Arial" w:eastAsia="Arial" w:hAnsi="Arial"/>
          <w:sz w:val="17"/>
          <w:szCs w:val="17"/>
          <w:color w:val="auto"/>
        </w:rPr>
        <w:t>Such Holder has previously given written notice to the Trustee of a continuing Event of Default with respect to the Securities of such series;</w:t>
      </w:r>
    </w:p>
    <w:p>
      <w:pPr>
        <w:spacing w:after="0" w:line="142" w:lineRule="exact"/>
        <w:rPr>
          <w:rFonts w:ascii="Arial" w:cs="Arial" w:eastAsia="Arial" w:hAnsi="Arial"/>
          <w:sz w:val="17"/>
          <w:szCs w:val="17"/>
          <w:color w:val="auto"/>
        </w:rPr>
      </w:pPr>
    </w:p>
    <w:p>
      <w:pPr>
        <w:ind w:left="900" w:right="40" w:hanging="446"/>
        <w:spacing w:after="0" w:line="277"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Holders of not less than 25% in aggregate principal amount of the Outstanding Securities of such series shall have made written request to the Trustee to institute proceedings in respect of such Event of Default in its own name as Trustee hereunder;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274" w:right="239" w:bottom="1440" w:gutter="0" w:footer="0" w:header="0"/>
        </w:sectPr>
      </w:pPr>
    </w:p>
    <w:bookmarkStart w:id="79" w:name="page80"/>
    <w:bookmarkEnd w:id="79"/>
    <w:p>
      <w:pPr>
        <w:ind w:left="900" w:right="80" w:hanging="446"/>
        <w:spacing w:after="0" w:line="277" w:lineRule="auto"/>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such Holder or Holders have offered, and if requested, provided to the Trustee indemnity reasonably satisfactory to it against the costs, expenses and liabilities to be incurred in compliance with such request;</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68"/>
        </w:numPr>
        <w:rPr>
          <w:rFonts w:ascii="Arial" w:cs="Arial" w:eastAsia="Arial" w:hAnsi="Arial"/>
          <w:sz w:val="17"/>
          <w:szCs w:val="17"/>
          <w:color w:val="auto"/>
        </w:rPr>
      </w:pPr>
      <w:r>
        <w:rPr>
          <w:rFonts w:ascii="Arial" w:cs="Arial" w:eastAsia="Arial" w:hAnsi="Arial"/>
          <w:sz w:val="17"/>
          <w:szCs w:val="17"/>
          <w:color w:val="auto"/>
        </w:rPr>
        <w:t>the Trustee has failed to institute any such proceeding for 60 days after its receipt of such notice, request and offer of indemnity; and</w:t>
      </w:r>
    </w:p>
    <w:p>
      <w:pPr>
        <w:spacing w:after="0" w:line="142" w:lineRule="exact"/>
        <w:rPr>
          <w:rFonts w:ascii="Arial" w:cs="Arial" w:eastAsia="Arial" w:hAnsi="Arial"/>
          <w:sz w:val="17"/>
          <w:szCs w:val="17"/>
          <w:color w:val="auto"/>
        </w:rPr>
      </w:pPr>
    </w:p>
    <w:p>
      <w:pPr>
        <w:ind w:left="900" w:right="500" w:hanging="446"/>
        <w:spacing w:after="0" w:line="277" w:lineRule="auto"/>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Securities of such series;</w:t>
      </w:r>
    </w:p>
    <w:p>
      <w:pPr>
        <w:spacing w:after="0" w:line="170"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it being understood and intended that no one or more of such Holders shall have any right in any manner whatever by virtue of, or by availing of, any provision of this Indenture to affect, disturb or prejudice the rights of any other of such Holders, or to obtain or to seek to obtain priority or preference over any other of such Holders (it being understood that the Trustee does not have an affirmative duty to ascertain whether or not such actions are unduly prejudicial to such Holders) or to enforce any right under this Indenture, except in the manner herein provided and for the equal and ratable benefit of all of such Holders.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508. </w:t>
      </w:r>
      <w:r>
        <w:rPr>
          <w:rFonts w:ascii="Arial" w:cs="Arial" w:eastAsia="Arial" w:hAnsi="Arial"/>
          <w:sz w:val="18"/>
          <w:szCs w:val="18"/>
          <w:u w:val="single" w:color="auto"/>
          <w:color w:val="auto"/>
        </w:rPr>
        <w:t>Unconditional Right of Holders to Receive Principal, Premium, and Interest and to Convert Securities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97" w:lineRule="auto"/>
        <w:rPr>
          <w:sz w:val="20"/>
          <w:szCs w:val="20"/>
          <w:color w:val="auto"/>
        </w:rPr>
      </w:pPr>
      <w:r>
        <w:rPr>
          <w:rFonts w:ascii="Arial" w:cs="Arial" w:eastAsia="Arial" w:hAnsi="Arial"/>
          <w:sz w:val="16"/>
          <w:szCs w:val="16"/>
          <w:color w:val="auto"/>
        </w:rPr>
        <w:t>Notwithstanding any other provision in this Indenture, the Holder of any Security shall have the right, which is absolute and unconditional, to receive payment of the principal of and premium, if any, and, subject to Section 307, interest and, subject to Section 1005, Additional Amounts, on such Security on the Stated Maturity expressed in such Security (or, in the case of redemption or repayment, on the Redemption Date or date for repayment, as the case may be, and, if the terms of such Security so provide, to convert such Security in accordance with its terms) and to institute suit for the enforcement of any such payment and, if applicable, any such right to convert, and such rights shall not be impaired without the consent of such Holder.</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Rights and Remedies Cumulative</w:t>
      </w:r>
      <w:r>
        <w:rPr>
          <w:rFonts w:ascii="Arial" w:cs="Arial" w:eastAsia="Arial" w:hAnsi="Arial"/>
          <w:sz w:val="18"/>
          <w:szCs w:val="18"/>
          <w:color w:val="auto"/>
        </w:rPr>
        <w:t>.</w:t>
      </w:r>
    </w:p>
    <w:p>
      <w:pPr>
        <w:spacing w:after="0" w:line="117" w:lineRule="exact"/>
        <w:rPr>
          <w:sz w:val="20"/>
          <w:szCs w:val="20"/>
          <w:color w:val="auto"/>
        </w:rPr>
      </w:pPr>
    </w:p>
    <w:p>
      <w:pPr>
        <w:ind w:right="240" w:firstLine="456"/>
        <w:spacing w:after="0" w:line="257" w:lineRule="auto"/>
        <w:rPr>
          <w:sz w:val="20"/>
          <w:szCs w:val="20"/>
          <w:color w:val="auto"/>
        </w:rPr>
      </w:pPr>
      <w:r>
        <w:rPr>
          <w:rFonts w:ascii="Arial" w:cs="Arial" w:eastAsia="Arial" w:hAnsi="Arial"/>
          <w:sz w:val="18"/>
          <w:szCs w:val="18"/>
          <w:color w:val="auto"/>
        </w:rPr>
        <w:t>Except as otherwise provided with respect to the replacement or payment of mutilated, destroyed, lost or stolen Securities in the last paragraph of Section 306, no right or remedy herein conferred upon or reserved to the Trustee or to the Holders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510. </w:t>
      </w:r>
      <w:r>
        <w:rPr>
          <w:rFonts w:ascii="Arial" w:cs="Arial" w:eastAsia="Arial" w:hAnsi="Arial"/>
          <w:sz w:val="18"/>
          <w:szCs w:val="18"/>
          <w:u w:val="single" w:color="auto"/>
          <w:color w:val="auto"/>
        </w:rPr>
        <w:t>Delay or Omission Not Waiver</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No delay or omission of the Trustee or of any Holder of any Securities to exercise any right or remedy accruing upon any Event of Default shall impair any such right or remedy or constitute a waiver of any such Event of Default or an acquiescence therein. Every right and remedy given by this Article V or by law to the Trustee or to the Holders may be exercised from time to time, and as often as may be deemed expedient, by the Trustee or by the Holders, as the case may be.</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274" w:right="279" w:bottom="1440" w:gutter="0" w:footer="0" w:header="0"/>
        </w:sectPr>
      </w:pPr>
    </w:p>
    <w:bookmarkStart w:id="80" w:name="page81"/>
    <w:bookmarkEnd w:id="8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511. </w:t>
      </w:r>
      <w:r>
        <w:rPr>
          <w:rFonts w:ascii="Arial" w:cs="Arial" w:eastAsia="Arial" w:hAnsi="Arial"/>
          <w:sz w:val="18"/>
          <w:szCs w:val="18"/>
          <w:u w:val="single" w:color="auto"/>
          <w:color w:val="auto"/>
        </w:rPr>
        <w:t>Control by Holders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 xml:space="preserve">The Holders of not less than a majority in aggregate principal amount of the Outstanding Securities of any series shall have the right to direct the time, method and place of conducting any proceeding for any remedy available to the Trustee, or exercising any trust or power conferred on the Trustee, with respect to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7" w:lineRule="exact"/>
        <w:rPr>
          <w:sz w:val="20"/>
          <w:szCs w:val="20"/>
          <w:color w:val="auto"/>
        </w:rPr>
      </w:pPr>
    </w:p>
    <w:p>
      <w:pPr>
        <w:ind w:left="900" w:hanging="446"/>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such direction shall not be in conflict with any rule of law or with this Indenture, and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Trustee may take any other action deemed proper by the Trustee which is not inconsistent with such direction.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Waiver of Past Defaults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Holders of not less than a majority in aggregate principal amount of the Outstanding Securities of any series may on behalf of the Holders of all the Securities of such series waive any past default hereunder with respect to such series and its consequences, except a default</w:t>
      </w:r>
    </w:p>
    <w:p>
      <w:pPr>
        <w:spacing w:after="0" w:line="76" w:lineRule="exact"/>
        <w:rPr>
          <w:sz w:val="20"/>
          <w:szCs w:val="20"/>
          <w:color w:val="auto"/>
        </w:rPr>
      </w:pPr>
    </w:p>
    <w:p>
      <w:pPr>
        <w:ind w:left="900" w:hanging="446"/>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the payment of the principal of or premium, if any, or interest on any Security of such series, or</w:t>
      </w:r>
    </w:p>
    <w:p>
      <w:pPr>
        <w:spacing w:after="0" w:line="130" w:lineRule="exact"/>
        <w:rPr>
          <w:rFonts w:ascii="Arial" w:cs="Arial" w:eastAsia="Arial" w:hAnsi="Arial"/>
          <w:sz w:val="18"/>
          <w:szCs w:val="18"/>
          <w:color w:val="auto"/>
        </w:rPr>
      </w:pPr>
    </w:p>
    <w:p>
      <w:pPr>
        <w:ind w:left="900" w:right="300" w:hanging="446"/>
        <w:spacing w:after="0" w:line="277"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respect of a covenant or provision hereof which under Article IX cannot be modified or amended without the consent of the Holder of each Outstanding Security of such series affected.</w:t>
      </w:r>
    </w:p>
    <w:p>
      <w:pPr>
        <w:spacing w:after="0" w:line="17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Upon any such waiver, such default shall cease to exist, and any Event of Default arising therefrom shall be deemed to have been cured, for every purpose of this Indenture, but no such waiver shall extend to any subsequent or other default or impair any right consequent thereon.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Undertaking for Costs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97" w:lineRule="auto"/>
        <w:rPr>
          <w:sz w:val="20"/>
          <w:szCs w:val="20"/>
          <w:color w:val="auto"/>
        </w:rPr>
      </w:pPr>
      <w:r>
        <w:rPr>
          <w:rFonts w:ascii="Arial" w:cs="Arial" w:eastAsia="Arial" w:hAnsi="Arial"/>
          <w:sz w:val="16"/>
          <w:szCs w:val="16"/>
          <w:color w:val="auto"/>
        </w:rPr>
        <w:t xml:space="preserve">In any suit for the enforcement of any right or remedy under this Indenture, or in any suit against the Trustee for any action taken, suffered or omitted by it as Trustee, a court may require any party litigant in such suit to file an undertaking to pay the costs of such suit, and may assess reasonable costs against any such party litigant, in the manner and to the extent provided in the Trust Indenture Act;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neither this Section 513 nor the Trust Indenture Act shall be deemed to authorize any court to require such an undertaking or to make such an assessment in any suit instituted by the Company or the Trustee, a suit by a Holder under Section 508, or a suit by Holders of more than 10% in aggregate principal amount of the Outstanding Securities.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Waiver of Usury, Stay or Extension Laws</w:t>
      </w:r>
      <w:r>
        <w:rPr>
          <w:rFonts w:ascii="Arial" w:cs="Arial" w:eastAsia="Arial" w:hAnsi="Arial"/>
          <w:sz w:val="18"/>
          <w:szCs w:val="18"/>
          <w:color w:val="auto"/>
        </w:rPr>
        <w:t>.</w:t>
      </w:r>
    </w:p>
    <w:p>
      <w:pPr>
        <w:spacing w:after="0" w:line="117" w:lineRule="exact"/>
        <w:rPr>
          <w:sz w:val="20"/>
          <w:szCs w:val="20"/>
          <w:color w:val="auto"/>
        </w:rPr>
      </w:pPr>
    </w:p>
    <w:p>
      <w:pPr>
        <w:jc w:val="both"/>
        <w:ind w:right="20" w:firstLine="456"/>
        <w:spacing w:after="0" w:line="257" w:lineRule="auto"/>
        <w:rPr>
          <w:sz w:val="20"/>
          <w:szCs w:val="20"/>
          <w:color w:val="auto"/>
        </w:rPr>
      </w:pPr>
      <w:r>
        <w:rPr>
          <w:rFonts w:ascii="Arial" w:cs="Arial" w:eastAsia="Arial" w:hAnsi="Arial"/>
          <w:sz w:val="18"/>
          <w:szCs w:val="18"/>
          <w:color w:val="auto"/>
        </w:rPr>
        <w:t>The Company covenants (to the extent that it may lawfully do so) that it will not at any time insist upon, or plead, or in any manner whatsoever claim or take the benefit or advantage of, any usury, stay or extension law wherever enacted, now or at any time hereafter in force, which may affect the covenants or the performance of this Indenture; and the Company (to the extent that it may lawfully do so) hereby expressly waives all benefit or advantage of any such law and covenants that it will not hinder, delay or impede the execution of any power herein granted to the Trustee, but will suffer and permit the execution of every such power as though no such law had been enacted.</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274" w:right="259" w:bottom="1440" w:gutter="0" w:footer="0" w:header="0"/>
        </w:sectPr>
      </w:pPr>
    </w:p>
    <w:bookmarkStart w:id="81" w:name="page82"/>
    <w:bookmarkEnd w:id="8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515. </w:t>
      </w:r>
      <w:r>
        <w:rPr>
          <w:rFonts w:ascii="Arial" w:cs="Arial" w:eastAsia="Arial" w:hAnsi="Arial"/>
          <w:sz w:val="18"/>
          <w:szCs w:val="18"/>
          <w:u w:val="single" w:color="auto"/>
          <w:color w:val="auto"/>
        </w:rPr>
        <w:t>Restoration of Rights and Remedies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302" w:lineRule="auto"/>
        <w:rPr>
          <w:sz w:val="20"/>
          <w:szCs w:val="20"/>
          <w:color w:val="auto"/>
        </w:rPr>
      </w:pPr>
      <w:r>
        <w:rPr>
          <w:rFonts w:ascii="Arial" w:cs="Arial" w:eastAsia="Arial" w:hAnsi="Arial"/>
          <w:sz w:val="16"/>
          <w:szCs w:val="16"/>
          <w:color w:val="auto"/>
        </w:rPr>
        <w:t>If the Trustee or any Holder has instituted any proceeding to enforce any right or remedy under this Indenture and such proceeding has been discontinued or abandoned for any reason, or has been determined adversely to the Trustee or to such Holder, then and in every such case, subject to any determination in such proceeding, the Company, the Trustee and the Holders shall be restored severally and respectively to their former positions hereunder and thereafter all rights and remedies of the Trustee and the Holders shall continue as though no such proceeding had been instituted.</w:t>
      </w:r>
    </w:p>
    <w:p>
      <w:pPr>
        <w:spacing w:after="0" w:line="36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THE TRUSTEE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u w:val="single" w:color="auto"/>
          <w:color w:val="auto"/>
        </w:rPr>
        <w:t>Certain Duties and Responsibilities of Trustee</w:t>
      </w:r>
      <w:r>
        <w:rPr>
          <w:rFonts w:ascii="Arial" w:cs="Arial" w:eastAsia="Arial" w:hAnsi="Arial"/>
          <w:sz w:val="18"/>
          <w:szCs w:val="18"/>
          <w:color w:val="auto"/>
        </w:rPr>
        <w:t>.</w:t>
      </w:r>
    </w:p>
    <w:p>
      <w:pPr>
        <w:spacing w:after="0" w:line="131" w:lineRule="exact"/>
        <w:rPr>
          <w:sz w:val="20"/>
          <w:szCs w:val="20"/>
          <w:color w:val="auto"/>
        </w:rPr>
      </w:pPr>
    </w:p>
    <w:p>
      <w:pPr>
        <w:ind w:left="900" w:hanging="446"/>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Except during the continuance of an Event of Default with respect to any series of Securities,</w:t>
      </w:r>
    </w:p>
    <w:p>
      <w:pPr>
        <w:spacing w:after="0" w:line="130" w:lineRule="exact"/>
        <w:rPr>
          <w:rFonts w:ascii="Arial" w:cs="Arial" w:eastAsia="Arial" w:hAnsi="Arial"/>
          <w:sz w:val="18"/>
          <w:szCs w:val="18"/>
          <w:color w:val="auto"/>
        </w:rPr>
      </w:pPr>
    </w:p>
    <w:p>
      <w:pPr>
        <w:ind w:left="1480" w:hanging="567"/>
        <w:spacing w:after="0" w:line="264" w:lineRule="auto"/>
        <w:tabs>
          <w:tab w:leader="none" w:pos="14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the Trustee undertakes to perform such duties and only such duties as are specifically set forth in this Indenture with respect to the Securities of such series, and no implied covenants or obligations shall be read into this Indenture against the Trustee with respect to such series; and</w:t>
      </w:r>
    </w:p>
    <w:p>
      <w:pPr>
        <w:spacing w:after="0" w:line="86" w:lineRule="exact"/>
        <w:rPr>
          <w:rFonts w:ascii="Arial" w:cs="Arial" w:eastAsia="Arial" w:hAnsi="Arial"/>
          <w:sz w:val="18"/>
          <w:szCs w:val="18"/>
          <w:color w:val="auto"/>
        </w:rPr>
      </w:pPr>
    </w:p>
    <w:p>
      <w:pPr>
        <w:ind w:left="1480" w:hanging="567"/>
        <w:spacing w:after="0" w:line="255" w:lineRule="auto"/>
        <w:tabs>
          <w:tab w:leader="none" w:pos="14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in the absence of bad faith on its part, the Trustee may rely with respect to the Securities of such series, as to the truth of the statements and the correctness of the opinions expressed therein, upon certificates or opinions furnished to the Trustee and conforming to the requirements of this Indenture; but in the case of any such certificates or opinions which by any provision hereof are specifically required to be furnished to the Trustee, the Trustee shall be under a duty to examine the same to determine whether or not they conform to the requirements of this Indenture (but need not confirm or investigate the accuracy of mathematical calculations or other facts stated therein).</w:t>
      </w:r>
    </w:p>
    <w:p>
      <w:pPr>
        <w:spacing w:after="0" w:line="98" w:lineRule="exact"/>
        <w:rPr>
          <w:rFonts w:ascii="Arial" w:cs="Arial" w:eastAsia="Arial" w:hAnsi="Arial"/>
          <w:sz w:val="18"/>
          <w:szCs w:val="18"/>
          <w:color w:val="auto"/>
        </w:rPr>
      </w:pPr>
    </w:p>
    <w:p>
      <w:pPr>
        <w:ind w:left="900" w:right="120" w:hanging="446"/>
        <w:spacing w:after="0" w:line="286" w:lineRule="auto"/>
        <w:tabs>
          <w:tab w:leader="none" w:pos="900" w:val="left"/>
        </w:tabs>
        <w:numPr>
          <w:ilvl w:val="0"/>
          <w:numId w:val="71"/>
        </w:numPr>
        <w:rPr>
          <w:rFonts w:ascii="Arial" w:cs="Arial" w:eastAsia="Arial" w:hAnsi="Arial"/>
          <w:sz w:val="17"/>
          <w:szCs w:val="17"/>
          <w:color w:val="auto"/>
        </w:rPr>
      </w:pPr>
      <w:r>
        <w:rPr>
          <w:rFonts w:ascii="Arial" w:cs="Arial" w:eastAsia="Arial" w:hAnsi="Arial"/>
          <w:sz w:val="17"/>
          <w:szCs w:val="17"/>
          <w:color w:val="auto"/>
        </w:rPr>
        <w:t>In case an Event of Default with respect to any series of Securities has occurred and is continuing, the Trustee shall exercise such of the rights and powers vested in it by this Indenture with respect to the Securities of such series, and use the same degree of care and skill in their exercise, as a prudent person would exercise or use under the circumstances in the conduct of his or her own affairs.</w:t>
      </w:r>
    </w:p>
    <w:p>
      <w:pPr>
        <w:spacing w:after="0" w:line="70" w:lineRule="exact"/>
        <w:rPr>
          <w:rFonts w:ascii="Arial" w:cs="Arial" w:eastAsia="Arial" w:hAnsi="Arial"/>
          <w:sz w:val="17"/>
          <w:szCs w:val="17"/>
          <w:color w:val="auto"/>
        </w:rPr>
      </w:pPr>
    </w:p>
    <w:p>
      <w:pPr>
        <w:ind w:left="900" w:right="40" w:hanging="446"/>
        <w:spacing w:after="0" w:line="277" w:lineRule="auto"/>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No provision of this Indenture shall be construed to relieve the Trustee from liability for its own negligent action, its own negligent failure to act, or its own willful misconduct, except that:</w:t>
      </w:r>
    </w:p>
    <w:p>
      <w:pPr>
        <w:spacing w:after="0" w:line="75" w:lineRule="exact"/>
        <w:rPr>
          <w:rFonts w:ascii="Arial" w:cs="Arial" w:eastAsia="Arial" w:hAnsi="Arial"/>
          <w:sz w:val="18"/>
          <w:szCs w:val="18"/>
          <w:color w:val="auto"/>
        </w:rPr>
      </w:pPr>
    </w:p>
    <w:p>
      <w:pPr>
        <w:ind w:left="1480" w:hanging="567"/>
        <w:spacing w:after="0"/>
        <w:tabs>
          <w:tab w:leader="none" w:pos="14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this Section 601(3) shall not be construed to limit the effect of Section 601(1);</w:t>
      </w:r>
    </w:p>
    <w:p>
      <w:pPr>
        <w:spacing w:after="0" w:line="130" w:lineRule="exact"/>
        <w:rPr>
          <w:rFonts w:ascii="Arial" w:cs="Arial" w:eastAsia="Arial" w:hAnsi="Arial"/>
          <w:sz w:val="18"/>
          <w:szCs w:val="18"/>
          <w:color w:val="auto"/>
        </w:rPr>
      </w:pPr>
    </w:p>
    <w:p>
      <w:pPr>
        <w:ind w:left="1480" w:right="260" w:hanging="567"/>
        <w:spacing w:after="0" w:line="277" w:lineRule="auto"/>
        <w:tabs>
          <w:tab w:leader="none" w:pos="14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the Trustee shall not be liable for any error of judgment made in good faith by a Responsible Officer, unless it shall be proved that the Trustee was negligent in ascertaining the pertinent facts;</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274" w:right="279" w:bottom="1440" w:gutter="0" w:footer="0" w:header="0"/>
        </w:sectPr>
      </w:pPr>
    </w:p>
    <w:bookmarkStart w:id="82" w:name="page83"/>
    <w:bookmarkEnd w:id="82"/>
    <w:p>
      <w:pPr>
        <w:ind w:left="1480" w:right="80" w:hanging="567"/>
        <w:spacing w:after="0" w:line="257" w:lineRule="auto"/>
        <w:tabs>
          <w:tab w:leader="none" w:pos="1480" w:val="left"/>
        </w:tabs>
        <w:numPr>
          <w:ilvl w:val="1"/>
          <w:numId w:val="7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Trustee shall not be liable with respect to any action taken or omitted to be taken by it in good faith in accordance with the direction of the Holders of a majority in aggregate principal amount of the Outstanding Securities of any series, determined as provided in Section 101, Section 104 and Section 511, relating to the time, method and place of conducting any proceeding for any remedy available to the Trustee, or exercising any trust or power conferred upon the Trustee, under this Indenture with respect to the Securities of such series; and</w:t>
      </w:r>
    </w:p>
    <w:p>
      <w:pPr>
        <w:spacing w:after="0" w:line="93" w:lineRule="exact"/>
        <w:rPr>
          <w:rFonts w:ascii="Arial" w:cs="Arial" w:eastAsia="Arial" w:hAnsi="Arial"/>
          <w:sz w:val="18"/>
          <w:szCs w:val="18"/>
          <w:color w:val="auto"/>
        </w:rPr>
      </w:pPr>
    </w:p>
    <w:p>
      <w:pPr>
        <w:ind w:left="1480" w:right="340" w:hanging="567"/>
        <w:spacing w:after="0" w:line="312" w:lineRule="auto"/>
        <w:tabs>
          <w:tab w:leader="none" w:pos="1480" w:val="left"/>
        </w:tabs>
        <w:numPr>
          <w:ilvl w:val="1"/>
          <w:numId w:val="72"/>
        </w:numPr>
        <w:rPr>
          <w:rFonts w:ascii="Arial" w:cs="Arial" w:eastAsia="Arial" w:hAnsi="Arial"/>
          <w:sz w:val="16"/>
          <w:szCs w:val="16"/>
          <w:color w:val="auto"/>
        </w:rPr>
      </w:pPr>
      <w:r>
        <w:rPr>
          <w:rFonts w:ascii="Arial" w:cs="Arial" w:eastAsia="Arial" w:hAnsi="Arial"/>
          <w:sz w:val="16"/>
          <w:szCs w:val="16"/>
          <w:color w:val="auto"/>
        </w:rPr>
        <w:t>no provision of this Indenture shall require the Trustee to expend or risk its own funds or otherwise incur any financial liability in the performance of any of its duties hereunder, or in the exercise of any of its rights or powers, if it shall have reasonable grounds for believing that repayment of such funds or adequate indemnity against such risk or liability is not reasonably assured to it.</w:t>
      </w:r>
    </w:p>
    <w:p>
      <w:pPr>
        <w:spacing w:after="0" w:line="52" w:lineRule="exact"/>
        <w:rPr>
          <w:rFonts w:ascii="Arial" w:cs="Arial" w:eastAsia="Arial" w:hAnsi="Arial"/>
          <w:sz w:val="16"/>
          <w:szCs w:val="16"/>
          <w:color w:val="auto"/>
        </w:rPr>
      </w:pPr>
    </w:p>
    <w:p>
      <w:pPr>
        <w:ind w:left="900" w:right="300" w:hanging="446"/>
        <w:spacing w:after="0" w:line="277"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Whether or not therein expressly so provided, every provision of this Indenture relating to the conduct or affecting the liability of or affording protection to the Trustee shall be subject to the provisions of this Section 601.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3900170</wp:posOffset>
            </wp:positionH>
            <wp:positionV relativeFrom="paragraph">
              <wp:posOffset>-45085</wp:posOffset>
            </wp:positionV>
            <wp:extent cx="2286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228600" cy="8890"/>
                    </a:xfrm>
                    <a:prstGeom prst="rect">
                      <a:avLst/>
                    </a:prstGeom>
                    <a:noFill/>
                  </pic:spPr>
                </pic:pic>
              </a:graphicData>
            </a:graphic>
          </wp:anchor>
        </w:drawing>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Notice of Defaults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If a Default or an Event of Default occurs with respect to Securities of any series and is continuing and if it is actually known to the Trustee, the Trustee shall send to each Holder of Securities of such series notice of the Default within 90 days after it is known to a Responsible Officer or written notice of it is received by a Responsible Officer of the Trustee. Except in the case of a Default in payment of principal of or interest on any Security, the Trustee may withhold the notice if and so long as it in good faith determines that withholding the notice is not opposed to the interests of Holders of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Certain Rights of Trustee</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Subject to the provisions of Section 601:</w:t>
      </w:r>
    </w:p>
    <w:p>
      <w:pPr>
        <w:spacing w:after="0" w:line="131" w:lineRule="exact"/>
        <w:rPr>
          <w:sz w:val="20"/>
          <w:szCs w:val="20"/>
          <w:color w:val="auto"/>
        </w:rPr>
      </w:pPr>
    </w:p>
    <w:p>
      <w:pPr>
        <w:ind w:left="900" w:right="380" w:hanging="446"/>
        <w:spacing w:after="0" w:line="312" w:lineRule="auto"/>
        <w:tabs>
          <w:tab w:leader="none" w:pos="9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the Trustee may conclusively rely and shall be fully protected in acting or refraining from acting upon any resolution, certificate, statement, instrument, opinion, report, notice, request, direction, consent, order, bond, debenture, note, other evidence of indebtedness or other paper or document believed by it to be genuine and to have been signed or presented by the proper party or parties;</w:t>
      </w:r>
    </w:p>
    <w:p>
      <w:pPr>
        <w:spacing w:after="0" w:line="52" w:lineRule="exact"/>
        <w:rPr>
          <w:rFonts w:ascii="Arial" w:cs="Arial" w:eastAsia="Arial" w:hAnsi="Arial"/>
          <w:sz w:val="16"/>
          <w:szCs w:val="16"/>
          <w:color w:val="auto"/>
        </w:rPr>
      </w:pPr>
    </w:p>
    <w:p>
      <w:pPr>
        <w:ind w:left="900" w:right="120" w:hanging="446"/>
        <w:spacing w:after="0" w:line="308" w:lineRule="auto"/>
        <w:tabs>
          <w:tab w:leader="none" w:pos="900" w:val="left"/>
        </w:tabs>
        <w:numPr>
          <w:ilvl w:val="0"/>
          <w:numId w:val="74"/>
        </w:numPr>
        <w:rPr>
          <w:rFonts w:ascii="Arial" w:cs="Arial" w:eastAsia="Arial" w:hAnsi="Arial"/>
          <w:sz w:val="17"/>
          <w:szCs w:val="17"/>
          <w:color w:val="auto"/>
        </w:rPr>
      </w:pPr>
      <w:r>
        <w:rPr>
          <w:rFonts w:ascii="Arial" w:cs="Arial" w:eastAsia="Arial" w:hAnsi="Arial"/>
          <w:sz w:val="17"/>
          <w:szCs w:val="17"/>
          <w:color w:val="auto"/>
        </w:rPr>
        <w:t>if so requested by the Trustee, any request or direction of the Company mentioned herein shall be sufficiently evidenced by a Company Request or Company Order, and any resolution of the Board of Directors shall be sufficiently evidenced by a Board Resolution;</w:t>
      </w:r>
    </w:p>
    <w:p>
      <w:pPr>
        <w:spacing w:after="0" w:line="51" w:lineRule="exact"/>
        <w:rPr>
          <w:rFonts w:ascii="Arial" w:cs="Arial" w:eastAsia="Arial" w:hAnsi="Arial"/>
          <w:sz w:val="17"/>
          <w:szCs w:val="17"/>
          <w:color w:val="auto"/>
        </w:rPr>
      </w:pPr>
    </w:p>
    <w:p>
      <w:pPr>
        <w:ind w:left="900" w:right="140" w:hanging="446"/>
        <w:spacing w:after="0" w:line="264" w:lineRule="auto"/>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whenever in the administration of this Indenture the Trustee shall deem it desirable that a matter be proved or established prior to taking, suffering or omitting any action hereunder, the Trustee (unless other evidence be herein specifically prescribed) may, in the absence of bad faith on its part, conclusively rely upon an Officer’s Certificate, Opinion of Counsel, or both;</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274" w:right="259" w:bottom="1440" w:gutter="0" w:footer="0" w:header="0"/>
        </w:sectPr>
      </w:pPr>
    </w:p>
    <w:bookmarkStart w:id="83" w:name="page84"/>
    <w:bookmarkEnd w:id="83"/>
    <w:p>
      <w:pPr>
        <w:ind w:left="446" w:right="600" w:hanging="446"/>
        <w:spacing w:after="0" w:line="342" w:lineRule="auto"/>
        <w:tabs>
          <w:tab w:leader="none" w:pos="446" w:val="left"/>
        </w:tabs>
        <w:numPr>
          <w:ilvl w:val="0"/>
          <w:numId w:val="7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Trustee may consult with counsel of its selection and the advice of such counsel or any Opinion of Counsel shall be full and complete authorization and protection in respect of any action taken, suffered or omitted by it hereunder in good faith and in reliance thereon;</w:t>
      </w:r>
    </w:p>
    <w:p>
      <w:pPr>
        <w:spacing w:after="0" w:line="29" w:lineRule="exact"/>
        <w:rPr>
          <w:rFonts w:ascii="Arial" w:cs="Arial" w:eastAsia="Arial" w:hAnsi="Arial"/>
          <w:sz w:val="16"/>
          <w:szCs w:val="16"/>
          <w:color w:val="auto"/>
        </w:rPr>
      </w:pPr>
    </w:p>
    <w:p>
      <w:pPr>
        <w:ind w:left="446" w:right="160" w:hanging="446"/>
        <w:spacing w:after="0" w:line="312" w:lineRule="auto"/>
        <w:tabs>
          <w:tab w:leader="none" w:pos="446" w:val="left"/>
        </w:tabs>
        <w:numPr>
          <w:ilvl w:val="0"/>
          <w:numId w:val="75"/>
        </w:numPr>
        <w:rPr>
          <w:rFonts w:ascii="Arial" w:cs="Arial" w:eastAsia="Arial" w:hAnsi="Arial"/>
          <w:sz w:val="16"/>
          <w:szCs w:val="16"/>
          <w:color w:val="auto"/>
        </w:rPr>
      </w:pPr>
      <w:r>
        <w:rPr>
          <w:rFonts w:ascii="Arial" w:cs="Arial" w:eastAsia="Arial" w:hAnsi="Arial"/>
          <w:sz w:val="16"/>
          <w:szCs w:val="16"/>
          <w:color w:val="auto"/>
        </w:rPr>
        <w:t>the Trustee shall be under no obligation to exercise any of the rights or powers vested in it by this Indenture at the request or direction of any of the Holders pursuant to this Indenture, unless such Holders shall have offered, and if requested, provided to the Trustee security or indemnity satisfactory to the Trustee against the costs, expenses and liabilities which might be incurred by it in compliance with such request or direction;</w:t>
      </w:r>
    </w:p>
    <w:p>
      <w:pPr>
        <w:spacing w:after="0" w:line="52" w:lineRule="exact"/>
        <w:rPr>
          <w:rFonts w:ascii="Arial" w:cs="Arial" w:eastAsia="Arial" w:hAnsi="Arial"/>
          <w:sz w:val="16"/>
          <w:szCs w:val="16"/>
          <w:color w:val="auto"/>
        </w:rPr>
      </w:pPr>
    </w:p>
    <w:p>
      <w:pPr>
        <w:ind w:left="446" w:right="80" w:hanging="446"/>
        <w:spacing w:after="0" w:line="255" w:lineRule="auto"/>
        <w:tabs>
          <w:tab w:leader="none" w:pos="4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Trustee shall not be bound to make any investigation into the facts or matters stated in any resolution, certificate, statement, instrument, opinion, report, notice, request, direction, consent, order, bond, debenture, note, other evidence of indebtedness or other paper or document, but the Trustee, in its discretion, may make such further inquiry or investigation into such facts or matters as it may see fit, and, if the Trustee shall determine to make such further inquiry or investigation, it shall be entitled to examine the books, records and premises of the Company, personally or by agent or attorney at the sole cost of the Company and shall incur no liability or additional liability of any kind by reason of such inquiry or investigation;</w:t>
      </w:r>
    </w:p>
    <w:p>
      <w:pPr>
        <w:spacing w:after="0" w:line="98" w:lineRule="exact"/>
        <w:rPr>
          <w:rFonts w:ascii="Arial" w:cs="Arial" w:eastAsia="Arial" w:hAnsi="Arial"/>
          <w:sz w:val="18"/>
          <w:szCs w:val="18"/>
          <w:color w:val="auto"/>
        </w:rPr>
      </w:pPr>
    </w:p>
    <w:p>
      <w:pPr>
        <w:ind w:left="446" w:hanging="446"/>
        <w:spacing w:after="0" w:line="264" w:lineRule="auto"/>
        <w:tabs>
          <w:tab w:leader="none" w:pos="4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Trustee may execute any of the trusts or powers hereunder or perform any duties hereunder either directly or by or through agents or attorneys and the Trustee shall not be responsible for any misconduct or negligence on the part of any agent or attorney appointed with due care by it hereunder;</w:t>
      </w:r>
    </w:p>
    <w:p>
      <w:pPr>
        <w:spacing w:after="0" w:line="86" w:lineRule="exact"/>
        <w:rPr>
          <w:rFonts w:ascii="Arial" w:cs="Arial" w:eastAsia="Arial" w:hAnsi="Arial"/>
          <w:sz w:val="18"/>
          <w:szCs w:val="18"/>
          <w:color w:val="auto"/>
        </w:rPr>
      </w:pPr>
    </w:p>
    <w:p>
      <w:pPr>
        <w:ind w:left="446" w:right="420" w:hanging="446"/>
        <w:spacing w:after="0" w:line="277" w:lineRule="auto"/>
        <w:tabs>
          <w:tab w:leader="none" w:pos="4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rights, privileges, protections, immunities and benefits given to the Trustee, including, without limitation, its right to be indemnified, are extended to, and shall be enforceable by, the Trustee in each of its capacities hereunder and to its agents;</w:t>
      </w:r>
    </w:p>
    <w:p>
      <w:pPr>
        <w:spacing w:after="0" w:line="75" w:lineRule="exact"/>
        <w:rPr>
          <w:rFonts w:ascii="Arial" w:cs="Arial" w:eastAsia="Arial" w:hAnsi="Arial"/>
          <w:sz w:val="18"/>
          <w:szCs w:val="18"/>
          <w:color w:val="auto"/>
        </w:rPr>
      </w:pPr>
    </w:p>
    <w:p>
      <w:pPr>
        <w:ind w:left="446" w:right="660" w:hanging="446"/>
        <w:spacing w:after="0" w:line="277" w:lineRule="auto"/>
        <w:tabs>
          <w:tab w:leader="none" w:pos="4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Trustee shall not be liable for any action taken, suffered, or omitted to be taken by it in good faith and reasonably believed by it to be authorized or within the discretion or rights or powers conferred upon it by this Indenture;</w:t>
      </w:r>
    </w:p>
    <w:p>
      <w:pPr>
        <w:spacing w:after="0" w:line="75" w:lineRule="exact"/>
        <w:rPr>
          <w:rFonts w:ascii="Arial" w:cs="Arial" w:eastAsia="Arial" w:hAnsi="Arial"/>
          <w:sz w:val="18"/>
          <w:szCs w:val="18"/>
          <w:color w:val="auto"/>
        </w:rPr>
      </w:pPr>
    </w:p>
    <w:p>
      <w:pPr>
        <w:ind w:left="446" w:right="80" w:hanging="446"/>
        <w:spacing w:after="0" w:line="264" w:lineRule="auto"/>
        <w:tabs>
          <w:tab w:leader="none" w:pos="446" w:val="left"/>
        </w:tabs>
        <w:numPr>
          <w:ilvl w:val="0"/>
          <w:numId w:val="75"/>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special, indirect, or consequential loss or damage of any kind whatsoever (including, but not limited to, loss of profit) irrespective of whether the Trustee has been advised of the likelihood of such loss or damage and regardless of the form of action;</w:t>
      </w:r>
    </w:p>
    <w:p>
      <w:pPr>
        <w:spacing w:after="0" w:line="86" w:lineRule="exact"/>
        <w:rPr>
          <w:rFonts w:ascii="Arial" w:cs="Arial" w:eastAsia="Arial" w:hAnsi="Arial"/>
          <w:sz w:val="18"/>
          <w:szCs w:val="18"/>
          <w:color w:val="auto"/>
        </w:rPr>
      </w:pPr>
    </w:p>
    <w:p>
      <w:pPr>
        <w:ind w:left="446" w:right="420" w:hanging="446"/>
        <w:spacing w:after="0" w:line="297" w:lineRule="auto"/>
        <w:tabs>
          <w:tab w:leader="none" w:pos="446" w:val="left"/>
        </w:tabs>
        <w:numPr>
          <w:ilvl w:val="0"/>
          <w:numId w:val="75"/>
        </w:numPr>
        <w:rPr>
          <w:rFonts w:ascii="Arial" w:cs="Arial" w:eastAsia="Arial" w:hAnsi="Arial"/>
          <w:sz w:val="16"/>
          <w:szCs w:val="16"/>
          <w:color w:val="auto"/>
        </w:rPr>
      </w:pPr>
      <w:r>
        <w:rPr>
          <w:rFonts w:ascii="Arial" w:cs="Arial" w:eastAsia="Arial" w:hAnsi="Arial"/>
          <w:sz w:val="16"/>
          <w:szCs w:val="16"/>
          <w:color w:val="auto"/>
        </w:rPr>
        <w:t>in no event shall the Trustee be responsible or liable for any failure or delay in the performance of its obligations hereunder arising out of or caused by, directly or indirectly, forces beyond its control, including, without limitation, strikes, work stoppages, accidents, acts of war or terrorism, civil or military disturbances, nuclear or natural catastrophes or acts of God, and interruptions, loss or malfunctions of utilities, communications or computer (software and hardware) services (it being understood that the Trustee shall use reasonable efforts which are consistent with accepted practices in the banking industry to resume performance as soon as practicable under the circumstances);</w:t>
      </w:r>
    </w:p>
    <w:p>
      <w:pPr>
        <w:spacing w:after="0" w:line="91"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46"/>
          </w:cols>
          <w:pgMar w:left="694" w:top="274" w:right="259" w:bottom="1440" w:gutter="0" w:footer="0" w:header="0"/>
        </w:sectPr>
      </w:pPr>
    </w:p>
    <w:bookmarkStart w:id="84" w:name="page85"/>
    <w:bookmarkEnd w:id="84"/>
    <w:p>
      <w:pPr>
        <w:jc w:val="both"/>
        <w:ind w:left="900" w:right="160" w:hanging="446"/>
        <w:spacing w:after="0" w:line="286" w:lineRule="auto"/>
        <w:tabs>
          <w:tab w:leader="none" w:pos="900" w:val="left"/>
        </w:tabs>
        <w:numPr>
          <w:ilvl w:val="0"/>
          <w:numId w:val="7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Trustee shall not be deemed to have notice of any Default or Event of Default unless a Responsible Officer of the Trustee shall have actual knowledge thereof or unless written notice of any event which is in fact such a default shall have been received by a Responsible Officer of the Trustee at the Corporate Trust Office of the Trustee, and such notice references the Securities and this Indenture; and</w:t>
      </w:r>
    </w:p>
    <w:p>
      <w:pPr>
        <w:spacing w:after="0" w:line="70" w:lineRule="exact"/>
        <w:rPr>
          <w:rFonts w:ascii="Arial" w:cs="Arial" w:eastAsia="Arial" w:hAnsi="Arial"/>
          <w:sz w:val="17"/>
          <w:szCs w:val="17"/>
          <w:color w:val="auto"/>
        </w:rPr>
      </w:pPr>
    </w:p>
    <w:p>
      <w:pPr>
        <w:ind w:left="900" w:right="160" w:hanging="446"/>
        <w:spacing w:after="0" w:line="277"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The Trustee may request that the Company deliver a certificate setting forth the names of individuals and/or titles of officers authorized at such time to take specified actions pursuant to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604. </w:t>
      </w:r>
      <w:r>
        <w:rPr>
          <w:rFonts w:ascii="Arial" w:cs="Arial" w:eastAsia="Arial" w:hAnsi="Arial"/>
          <w:sz w:val="18"/>
          <w:szCs w:val="18"/>
          <w:u w:val="single" w:color="auto"/>
          <w:color w:val="auto"/>
        </w:rPr>
        <w:t>Not Responsible for Recitals or Issuance of Securities</w:t>
      </w:r>
      <w:r>
        <w:rPr>
          <w:rFonts w:ascii="Arial" w:cs="Arial" w:eastAsia="Arial" w:hAnsi="Arial"/>
          <w:sz w:val="18"/>
          <w:szCs w:val="18"/>
          <w:color w:val="auto"/>
        </w:rPr>
        <w:t>.</w:t>
      </w:r>
    </w:p>
    <w:p>
      <w:pPr>
        <w:spacing w:after="0" w:line="117" w:lineRule="exact"/>
        <w:rPr>
          <w:sz w:val="20"/>
          <w:szCs w:val="20"/>
          <w:color w:val="auto"/>
        </w:rPr>
      </w:pPr>
    </w:p>
    <w:p>
      <w:pPr>
        <w:jc w:val="both"/>
        <w:ind w:right="100" w:firstLine="456"/>
        <w:spacing w:after="0" w:line="312" w:lineRule="auto"/>
        <w:rPr>
          <w:sz w:val="20"/>
          <w:szCs w:val="20"/>
          <w:color w:val="auto"/>
        </w:rPr>
      </w:pPr>
      <w:r>
        <w:rPr>
          <w:rFonts w:ascii="Arial" w:cs="Arial" w:eastAsia="Arial" w:hAnsi="Arial"/>
          <w:sz w:val="16"/>
          <w:szCs w:val="16"/>
          <w:color w:val="auto"/>
        </w:rPr>
        <w:t>The recitals contained herein and in the Securities, except the Trustee’s certificates of authentication, shall be taken as the statements of the Company, and the Trustee assumes no responsibility for their correctness. The Trustee makes no representations as to the validity or sufficiency of this Indenture or of the Securities. The Trustee shall not be accountable for the use or application by the Company of Securities or the proceeds thereof.</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May Hold Securities</w:t>
      </w:r>
      <w:r>
        <w:rPr>
          <w:rFonts w:ascii="Arial" w:cs="Arial" w:eastAsia="Arial" w:hAnsi="Arial"/>
          <w:sz w:val="18"/>
          <w:szCs w:val="18"/>
          <w:color w:val="auto"/>
        </w:rPr>
        <w:t>.</w:t>
      </w:r>
    </w:p>
    <w:p>
      <w:pPr>
        <w:spacing w:after="0" w:line="117" w:lineRule="exact"/>
        <w:rPr>
          <w:sz w:val="20"/>
          <w:szCs w:val="20"/>
          <w:color w:val="auto"/>
        </w:rPr>
      </w:pPr>
    </w:p>
    <w:p>
      <w:pPr>
        <w:ind w:right="260" w:firstLine="456"/>
        <w:spacing w:after="0" w:line="264" w:lineRule="auto"/>
        <w:rPr>
          <w:sz w:val="20"/>
          <w:szCs w:val="20"/>
          <w:color w:val="auto"/>
        </w:rPr>
      </w:pPr>
      <w:r>
        <w:rPr>
          <w:rFonts w:ascii="Arial" w:cs="Arial" w:eastAsia="Arial" w:hAnsi="Arial"/>
          <w:sz w:val="18"/>
          <w:szCs w:val="18"/>
          <w:color w:val="auto"/>
        </w:rPr>
        <w:t>The Trustee, any Paying Agent, any Security Registrar or any other agent of the Company, in its individual or any other capacity, may become the owner or pledgee of Securities and, subject to Section 608 and Section 613, may otherwise deal with the Company with the same rights it would have if it were not Trustee, Paying Agent, Security Registrar or such other agent.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Money Held in Trust</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Money held by the Trustee in trust hereunder shall, until used or applied as herein provided, be held in trust for the purposes for which they were received, but need not be segregated from other funds except to the extent required by law. The Trustee shall be under no liability for interest on any money received by it hereunder except as otherwise agreed with the Company.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607. </w:t>
      </w:r>
      <w:r>
        <w:rPr>
          <w:rFonts w:ascii="Arial" w:cs="Arial" w:eastAsia="Arial" w:hAnsi="Arial"/>
          <w:sz w:val="18"/>
          <w:szCs w:val="18"/>
          <w:u w:val="single" w:color="auto"/>
          <w:color w:val="auto"/>
        </w:rPr>
        <w:t>Compensation and Reimbursement</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agrees</w:t>
      </w:r>
    </w:p>
    <w:p>
      <w:pPr>
        <w:spacing w:after="0" w:line="131" w:lineRule="exact"/>
        <w:rPr>
          <w:sz w:val="20"/>
          <w:szCs w:val="20"/>
          <w:color w:val="auto"/>
        </w:rPr>
      </w:pPr>
    </w:p>
    <w:p>
      <w:pPr>
        <w:ind w:left="900" w:right="100" w:hanging="446"/>
        <w:spacing w:after="0" w:line="264"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to pay to the Trustee from time to time such compensation as shall be agreed to in writing between the Company and the Trustee for all services rendered by it hereunder (which compensation shall not be limited by any provision of law in regard to the compensation of a trustee of an express trust);</w:t>
      </w:r>
    </w:p>
    <w:p>
      <w:pPr>
        <w:spacing w:after="0" w:line="86"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except as otherwise expressly provided herein, to reimburse the Trustee upon its request for all reasonable expenses, disbursements and advances incurred or made by the Trustee in accordance with any provision of this Indenture (including the reasonable compensation and the reasonable expenses and disbursements of its agents and counsel), except any such expense, disbursement or advance as shall have been caused by its negligence or willful misconduct; and</w:t>
      </w:r>
    </w:p>
    <w:p>
      <w:pPr>
        <w:spacing w:after="0" w:line="11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60"/>
          </w:cols>
          <w:pgMar w:left="240" w:top="274" w:right="299" w:bottom="1440" w:gutter="0" w:footer="0" w:header="0"/>
        </w:sectPr>
      </w:pPr>
    </w:p>
    <w:bookmarkStart w:id="85" w:name="page86"/>
    <w:bookmarkEnd w:id="85"/>
    <w:p>
      <w:pPr>
        <w:ind w:left="900" w:hanging="446"/>
        <w:spacing w:after="0" w:line="312" w:lineRule="auto"/>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indemnify the Trustee for, and to hold it harmless against, any loss, liability or expense incurred without negligence or willful misconduct on its part, arising out of or in connection with the acceptance or administration of the trust or trusts hereunder, including the reasonable costs and expenses of defending itself against any claim or liability in connection with the exercise or performance of any of its powers or duties hereunder.</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Trustee shall notify the Company promptly of any claim for which it may seek indemnity.</w:t>
      </w:r>
    </w:p>
    <w:p>
      <w:pPr>
        <w:spacing w:after="0" w:line="225" w:lineRule="exact"/>
        <w:rPr>
          <w:sz w:val="20"/>
          <w:szCs w:val="20"/>
          <w:color w:val="auto"/>
        </w:rPr>
      </w:pPr>
    </w:p>
    <w:p>
      <w:pPr>
        <w:jc w:val="both"/>
        <w:ind w:right="640" w:firstLine="456"/>
        <w:spacing w:after="0" w:line="286" w:lineRule="auto"/>
        <w:rPr>
          <w:sz w:val="20"/>
          <w:szCs w:val="20"/>
          <w:color w:val="auto"/>
        </w:rPr>
      </w:pPr>
      <w:r>
        <w:rPr>
          <w:rFonts w:ascii="Arial" w:cs="Arial" w:eastAsia="Arial" w:hAnsi="Arial"/>
          <w:sz w:val="17"/>
          <w:szCs w:val="17"/>
          <w:color w:val="auto"/>
        </w:rPr>
        <w:t>When the Trustee incurs expenses or renders services in connection with an Event of Default specified in Section 501(4) or Section 501(5), the expenses (including the reasonable charges and expenses of its counsel) and the compensation for the services are intended to constitute expenses of administration under any applicable federal or state or Bermuda bankruptcy, insolvency or other similar law.</w:t>
      </w:r>
    </w:p>
    <w:p>
      <w:pPr>
        <w:spacing w:after="0" w:line="166"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The Trustee shall have a lien prior to the Securities as to all property and funds held by it hereunder for any amount owing it or any predecessor Trustee pursuant to this Section 607, except with respect to funds held in trust for the benefit of the Holders of Securities.</w:t>
      </w:r>
    </w:p>
    <w:p>
      <w:pPr>
        <w:spacing w:after="0" w:line="170"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The provisions of this Section 607 shall survive the termination of this Indenture, the payment in full of the Securities and the resignation or removal of the Trustee.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608. </w:t>
      </w:r>
      <w:r>
        <w:rPr>
          <w:rFonts w:ascii="Arial" w:cs="Arial" w:eastAsia="Arial" w:hAnsi="Arial"/>
          <w:sz w:val="18"/>
          <w:szCs w:val="18"/>
          <w:u w:val="single" w:color="auto"/>
          <w:color w:val="auto"/>
        </w:rPr>
        <w:t>Conflicting Interests</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308" w:lineRule="auto"/>
        <w:rPr>
          <w:sz w:val="20"/>
          <w:szCs w:val="20"/>
          <w:color w:val="auto"/>
        </w:rPr>
      </w:pPr>
      <w:r>
        <w:rPr>
          <w:rFonts w:ascii="Arial" w:cs="Arial" w:eastAsia="Arial" w:hAnsi="Arial"/>
          <w:sz w:val="17"/>
          <w:szCs w:val="17"/>
          <w:color w:val="auto"/>
        </w:rPr>
        <w:t>If the Trustee has or shall acquire a conflicting interest within the meaning of the Trust Indenture Act, the Trustee shall either eliminate such interest or resign, to the extent and in the manner provided by, and subject to the provisions of, the Trust Indenture Act and this Indenture.</w:t>
      </w:r>
    </w:p>
    <w:p>
      <w:pPr>
        <w:spacing w:after="0" w:line="14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To the extent permitted by the Trust Indenture Act, the Trustee shall not be deemed to have a conflicting interest by virtue of being a trustee under this Indenture with respect to Securities of more than one series.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609. </w:t>
      </w:r>
      <w:r>
        <w:rPr>
          <w:rFonts w:ascii="Arial" w:cs="Arial" w:eastAsia="Arial" w:hAnsi="Arial"/>
          <w:sz w:val="18"/>
          <w:szCs w:val="18"/>
          <w:u w:val="single" w:color="auto"/>
          <w:color w:val="auto"/>
        </w:rPr>
        <w:t>Corporate Trustee Required; Eligibility</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1" w:lineRule="auto"/>
        <w:rPr>
          <w:sz w:val="20"/>
          <w:szCs w:val="20"/>
          <w:color w:val="auto"/>
        </w:rPr>
      </w:pPr>
      <w:r>
        <w:rPr>
          <w:rFonts w:ascii="Arial" w:cs="Arial" w:eastAsia="Arial" w:hAnsi="Arial"/>
          <w:sz w:val="17"/>
          <w:szCs w:val="17"/>
          <w:color w:val="auto"/>
        </w:rPr>
        <w:t>There shall at all times be one (and only one) Trustee hereunder with respect to the Securities of each series, which may be Trustee hereunder for Securities of one or more other series. Each Trustee shall be a Person that is eligible pursuant to the Trust Indenture Act to act as such, has a combined capital and surplus of at least $50,000,000 and has its Corporate Trust Office in any major city in the contiguous United States that is acceptable to the Company. If any such Person publishes reports of condition at least annually, pursuant to law or to the requirements of its supervising or examining authority, then for the purposes of this Section 609 and to the extent permitted by the Trust Indenture Act, the combined capital and surplus of such Person shall be deemed to be its combined capital and surplus as set forth in its most recent annual report of condition so published. If at any time the Trustee with respect to the Securities of any series shall cease to be eligible in accordance with the provisions of this Section 609, it shall resign immediately in the manner and with the effect hereinafter specified in this Article VI.</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274" w:right="259" w:bottom="1440" w:gutter="0" w:footer="0" w:header="0"/>
        </w:sectPr>
      </w:pPr>
    </w:p>
    <w:bookmarkStart w:id="86" w:name="page87"/>
    <w:bookmarkEnd w:id="8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610. </w:t>
      </w:r>
      <w:r>
        <w:rPr>
          <w:rFonts w:ascii="Arial" w:cs="Arial" w:eastAsia="Arial" w:hAnsi="Arial"/>
          <w:sz w:val="18"/>
          <w:szCs w:val="18"/>
          <w:u w:val="single" w:color="auto"/>
          <w:color w:val="auto"/>
        </w:rPr>
        <w:t>Resignation and Removal; Appointment of Successor</w:t>
      </w:r>
      <w:r>
        <w:rPr>
          <w:rFonts w:ascii="Arial" w:cs="Arial" w:eastAsia="Arial" w:hAnsi="Arial"/>
          <w:sz w:val="18"/>
          <w:szCs w:val="18"/>
          <w:color w:val="auto"/>
        </w:rPr>
        <w:t>.</w:t>
      </w:r>
    </w:p>
    <w:p>
      <w:pPr>
        <w:spacing w:after="0" w:line="117" w:lineRule="exact"/>
        <w:rPr>
          <w:sz w:val="20"/>
          <w:szCs w:val="20"/>
          <w:color w:val="auto"/>
        </w:rPr>
      </w:pPr>
    </w:p>
    <w:p>
      <w:pPr>
        <w:ind w:right="640" w:firstLine="456"/>
        <w:spacing w:after="0" w:line="277" w:lineRule="auto"/>
        <w:rPr>
          <w:sz w:val="20"/>
          <w:szCs w:val="20"/>
          <w:color w:val="auto"/>
        </w:rPr>
      </w:pPr>
      <w:r>
        <w:rPr>
          <w:rFonts w:ascii="Arial" w:cs="Arial" w:eastAsia="Arial" w:hAnsi="Arial"/>
          <w:sz w:val="18"/>
          <w:szCs w:val="18"/>
          <w:color w:val="auto"/>
        </w:rPr>
        <w:t>No resignation or removal of the Trustee and no appointment of a successor Trustee pursuant to this Article VI shall become effective until the acceptance of appointment by the successor Trustee in accordance with the applicable requirements of Section 611.</w:t>
      </w:r>
    </w:p>
    <w:p>
      <w:pPr>
        <w:spacing w:after="0" w:line="17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Trustee may resign at any time with respect to the Securities of one or more series by giving written notice thereof to the Company. If the instrument of acceptance by a successor Trustee required by Section 611 shall not have been delivered to the Trustee within 30 days after the giving of such notice of resignation, the resigning Trustee, at the expense of the Company, may petition any court of competent jurisdiction for the appointment of a successor Trustee with respect to the Securities of such series.</w:t>
      </w:r>
    </w:p>
    <w:p>
      <w:pPr>
        <w:spacing w:after="0" w:line="187" w:lineRule="exact"/>
        <w:rPr>
          <w:sz w:val="20"/>
          <w:szCs w:val="20"/>
          <w:color w:val="auto"/>
        </w:rPr>
      </w:pPr>
    </w:p>
    <w:p>
      <w:pPr>
        <w:ind w:right="120" w:firstLine="456"/>
        <w:spacing w:after="0" w:line="257" w:lineRule="auto"/>
        <w:rPr>
          <w:sz w:val="20"/>
          <w:szCs w:val="20"/>
          <w:color w:val="auto"/>
        </w:rPr>
      </w:pPr>
      <w:r>
        <w:rPr>
          <w:rFonts w:ascii="Arial" w:cs="Arial" w:eastAsia="Arial" w:hAnsi="Arial"/>
          <w:sz w:val="18"/>
          <w:szCs w:val="18"/>
          <w:color w:val="auto"/>
        </w:rPr>
        <w:t>The Trustee may be removed at any time with respect to the Securities of any series by Act of the Holders of a majority in aggregate principal amount of the Outstanding Securities of such series, upon written notice delivered to the Trustee and to the Company. If the instrument of acceptance by a successor Trustee required by Section 611 shall not have been delivered to the Trustee within 30 days after the giving of such notice of removal, the Trustee being removed, at the expense of the Company, may petition any court of competent jurisdiction for the appointment of a successor Trustee with respect to the Securities of such series.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at any time:</w:t>
      </w:r>
    </w:p>
    <w:p>
      <w:pPr>
        <w:spacing w:after="0" w:line="131" w:lineRule="exact"/>
        <w:rPr>
          <w:sz w:val="20"/>
          <w:szCs w:val="20"/>
          <w:color w:val="auto"/>
        </w:rPr>
      </w:pPr>
    </w:p>
    <w:p>
      <w:pPr>
        <w:ind w:left="900" w:right="500" w:hanging="446"/>
        <w:spacing w:after="0" w:line="277"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 xml:space="preserve">the Trustee shall fail to comply with Section 608 after written request therefor by the Company or by any Holder who has been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Holder of a Security for at least six months, or</w:t>
      </w:r>
    </w:p>
    <w:p>
      <w:pPr>
        <w:spacing w:after="0" w:line="75" w:lineRule="exact"/>
        <w:rPr>
          <w:rFonts w:ascii="Arial" w:cs="Arial" w:eastAsia="Arial" w:hAnsi="Arial"/>
          <w:sz w:val="18"/>
          <w:szCs w:val="18"/>
          <w:color w:val="auto"/>
        </w:rPr>
      </w:pPr>
    </w:p>
    <w:p>
      <w:pPr>
        <w:ind w:left="900" w:right="440" w:hanging="446"/>
        <w:spacing w:after="0" w:line="277"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Trustee shall cease to be eligible under Section 609 and shall fail to resign after written request therefor by the Company or by any such Holder, or</w:t>
      </w:r>
    </w:p>
    <w:p>
      <w:pPr>
        <w:spacing w:after="0" w:line="75" w:lineRule="exact"/>
        <w:rPr>
          <w:rFonts w:ascii="Arial" w:cs="Arial" w:eastAsia="Arial" w:hAnsi="Arial"/>
          <w:sz w:val="18"/>
          <w:szCs w:val="18"/>
          <w:color w:val="auto"/>
        </w:rPr>
      </w:pPr>
    </w:p>
    <w:p>
      <w:pPr>
        <w:ind w:left="900" w:right="40" w:hanging="446"/>
        <w:spacing w:after="0" w:line="273" w:lineRule="auto"/>
        <w:tabs>
          <w:tab w:leader="none" w:pos="900" w:val="left"/>
        </w:tabs>
        <w:numPr>
          <w:ilvl w:val="0"/>
          <w:numId w:val="79"/>
        </w:numPr>
        <w:rPr>
          <w:rFonts w:ascii="Arial" w:cs="Arial" w:eastAsia="Arial" w:hAnsi="Arial"/>
          <w:sz w:val="17"/>
          <w:szCs w:val="17"/>
          <w:color w:val="auto"/>
        </w:rPr>
      </w:pPr>
      <w:r>
        <w:rPr>
          <w:rFonts w:ascii="Arial" w:cs="Arial" w:eastAsia="Arial" w:hAnsi="Arial"/>
          <w:sz w:val="17"/>
          <w:szCs w:val="17"/>
          <w:color w:val="auto"/>
        </w:rPr>
        <w:t xml:space="preserve">the Trustee shall become incapable of acting or shall be adjudged bankrupt or insolvent or a receiver of the Trustee or of its property shall be appointed or any public officer shall take charge or control of the Trustee or of its property or affairs for the purpose of rehabilitation, conservation or liquidation, then, in any such case, (A) the Company may remove the Trustee with respect to all Securities or (B) subject to Section 513, Holders of 10% in aggregate principal amount of Securities of any series who have been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Holders of such Securities for at least six months may, on behalf of themselves and all others similarly situated, petition any court of competent jurisdiction for the removal of the Trustee with respect to all Securities and the appointment of a successor Trustee or Trustees.</w:t>
      </w:r>
    </w:p>
    <w:p>
      <w:pPr>
        <w:spacing w:after="0" w:line="178"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If the Trustee shall resign, be removed or become incapable of acting, or if a vacancy shall occur in the office of Trustee for any cause, with respect to the Securities of one or more series, the Company shall promptly appoint a successor Trustee or Trustees with respect to the Securities of that or those series (it being understood that any such successor Trustee may be appointed with respect to the Securities of one or more or all of such series and that at any time there shall be only one Trustee with respect to the Securities of any particular series) and shall comply with the applicable requirements of Section 611. If a successor Trustee with respect to the Securities of any series shall be appointed by Act of the Holders of a majority in aggregate principal amount of the Outstanding Securities of such series delivered to the Company and the retiring Trustee, the successor Trustee so appointed shall, forthwith upon its acceptance of such appointment in accordance with the applicable requirements of Section 611, become the successor Trustee with respect to the Securities of such series and to that extent supersede the successor Trustee</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274" w:right="279" w:bottom="1440" w:gutter="0" w:footer="0" w:header="0"/>
        </w:sectPr>
      </w:pPr>
    </w:p>
    <w:bookmarkStart w:id="87" w:name="page88"/>
    <w:bookmarkEnd w:id="87"/>
    <w:p>
      <w:pPr>
        <w:ind w:right="20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appointed by the Company. If no successor Trustee with respect to the Securities of any series shall have been so appointed by the Company or the Holders and accepted appointment in the manner required by Section 611, Holders of 10% in aggregate principal amount of Securities of any series who have been </w:t>
      </w:r>
      <w:r>
        <w:rPr>
          <w:rFonts w:ascii="Arial" w:cs="Arial" w:eastAsia="Arial" w:hAnsi="Arial"/>
          <w:sz w:val="17"/>
          <w:szCs w:val="17"/>
          <w:i w:val="1"/>
          <w:iCs w:val="1"/>
          <w:color w:val="auto"/>
        </w:rPr>
        <w:t xml:space="preserve">bona fide </w:t>
      </w:r>
      <w:r>
        <w:rPr>
          <w:rFonts w:ascii="Arial" w:cs="Arial" w:eastAsia="Arial" w:hAnsi="Arial"/>
          <w:sz w:val="17"/>
          <w:szCs w:val="17"/>
          <w:color w:val="auto"/>
        </w:rPr>
        <w:t>Holders of Securities of such series for at least six months may, on behalf of themselves and all others similarly situated, petition any court of</w:t>
      </w:r>
      <w:r>
        <w:rPr>
          <w:rFonts w:ascii="Arial" w:cs="Arial" w:eastAsia="Arial" w:hAnsi="Arial"/>
          <w:sz w:val="17"/>
          <w:szCs w:val="17"/>
          <w:i w:val="1"/>
          <w:iCs w:val="1"/>
          <w:color w:val="auto"/>
        </w:rPr>
        <w:t xml:space="preserve"> </w:t>
      </w:r>
      <w:r>
        <w:rPr>
          <w:rFonts w:ascii="Arial" w:cs="Arial" w:eastAsia="Arial" w:hAnsi="Arial"/>
          <w:sz w:val="17"/>
          <w:szCs w:val="17"/>
          <w:color w:val="auto"/>
        </w:rPr>
        <w:t>competent jurisdiction for the appointment of a successor Trustee with respect to the Securities of such series.</w:t>
      </w:r>
    </w:p>
    <w:p>
      <w:pPr>
        <w:spacing w:after="0" w:line="171" w:lineRule="exact"/>
        <w:rPr>
          <w:sz w:val="20"/>
          <w:szCs w:val="20"/>
          <w:color w:val="auto"/>
        </w:rPr>
      </w:pPr>
    </w:p>
    <w:p>
      <w:pPr>
        <w:ind w:right="20" w:firstLine="456"/>
        <w:spacing w:after="0" w:line="312" w:lineRule="auto"/>
        <w:rPr>
          <w:sz w:val="20"/>
          <w:szCs w:val="20"/>
          <w:color w:val="auto"/>
        </w:rPr>
      </w:pPr>
      <w:r>
        <w:rPr>
          <w:rFonts w:ascii="Arial" w:cs="Arial" w:eastAsia="Arial" w:hAnsi="Arial"/>
          <w:sz w:val="16"/>
          <w:szCs w:val="16"/>
          <w:color w:val="auto"/>
        </w:rPr>
        <w:t>The Company shall give notice of each resignation and each removal of the Trustee with respect to the Securities of any series and each appointment of a successor Trustee with respect to the Securities of any series to all Holders of Securities of such series in the manner provided in Section 106. Each notice shall include the name of the successor Trustee with respect to the Securities of such series and the address of its Corporate Trust Office.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Acceptance of Appointment by Successor</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93" w:lineRule="auto"/>
        <w:rPr>
          <w:sz w:val="20"/>
          <w:szCs w:val="20"/>
          <w:color w:val="auto"/>
        </w:rPr>
      </w:pPr>
      <w:r>
        <w:rPr>
          <w:rFonts w:ascii="Arial" w:cs="Arial" w:eastAsia="Arial" w:hAnsi="Arial"/>
          <w:sz w:val="16"/>
          <w:szCs w:val="16"/>
          <w:color w:val="auto"/>
        </w:rPr>
        <w:t>In case of the appointment hereunder of a successor Trustee with respect to all Securities, every such successor Trustee so appointed shall execute, acknowledge and deliver to the Company and to the retiring Trustee a written instrument accepting such appointment, and thereupon the resignation or removal of the retiring Trustee shall become effective and such successor Trustee, without any further act, deed or conveyance, shall become vested with all the rights, powers, trusts and duties of the retiring Trustee, but, on the request of the Company or the successor Trustee, such retiring Trustee shall, upon payment of its charges, execute and deliver a written instrument transferring to such successor Trustee all the rights, powers and trusts of the retiring Trustee and shall duly assign, transfer and deliver to such successor Trustee all property and money held by such retiring Trustee hereunder.</w:t>
      </w:r>
    </w:p>
    <w:p>
      <w:pPr>
        <w:spacing w:after="0" w:line="16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case of the appointment hereunder of a successor Trustee with respect to the Securities of one or more (but not all) series, the Company, the retiring Trustee and each successor Trustee with respect to the Securities of one or more series shall execute and deliver an indenture supplemental hereto wherein each successor Trustee shall accept such appointment and which (1) shall contain such provisions as shall be necessary or desirable to transfer and confirm to, and to vest in, each successor Trustee all the rights, powers, trusts and duties of the retiring Trustee with respect to the Securities of that or those series to which the appointment of such successor Trustee relates, (2) if the retiring Trustee is not retiring with respect to all Securities, shall contain such provisions as shall be deemed necessary or desirable to confirm that all the rights, powers, trusts and duties of the retiring Trustee with respect to the Securities of that or those series as to which the retiring Trustee is not retiring shall continue to be vested in the retiring Trustee, and (3) 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hereunder separate and apart from any trust or trusts hereunder administered by any other such Trustee; and upon the execution and delivery of such supplemental indenture the resignation or removal of the retiring Trustee shall become effective to the extent provided therein and each such successor Trustee, without any further act, deed or conveyance, shall become vested with all the rights, powers, trusts and duties of the retiring Trustee with respect to the Securities of that or those series to which the appointment of such successor Trustee relates; but, on request of the Company or any successor Trustee, such retiring Trustee shall duly assign, transfer and deliver to such successor Trustee all property and money held by such retiring Trustee hereunder with respect to the Securities of that or those series to which the appointment of such successor Trustee relates.</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274" w:right="259" w:bottom="1440" w:gutter="0" w:footer="0" w:header="0"/>
        </w:sectPr>
      </w:pPr>
    </w:p>
    <w:bookmarkStart w:id="88" w:name="page89"/>
    <w:bookmarkEnd w:id="88"/>
    <w:p>
      <w:pPr>
        <w:ind w:right="120" w:firstLine="456"/>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Upon request of any such successor Trustee, the Company shall execute any and all instruments for more fully and certainly vesting in and confirming to such successor Trustee all such rights, powers and trusts referred to in the first or second preceding paragraph, as the case may be.</w:t>
      </w:r>
    </w:p>
    <w:p>
      <w:pPr>
        <w:spacing w:after="0" w:line="147"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No successor Trustee shall accept its appointment unless at the time of such acceptance such successor Trustee shall be qualified and eligible under this Article VI.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612. </w:t>
      </w:r>
      <w:r>
        <w:rPr>
          <w:rFonts w:ascii="Arial" w:cs="Arial" w:eastAsia="Arial" w:hAnsi="Arial"/>
          <w:sz w:val="18"/>
          <w:szCs w:val="18"/>
          <w:u w:val="single" w:color="auto"/>
          <w:color w:val="auto"/>
        </w:rPr>
        <w:t>Merger, Conversion, Consolidation or Succession to Business</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0" w:lineRule="auto"/>
        <w:rPr>
          <w:sz w:val="20"/>
          <w:szCs w:val="20"/>
          <w:color w:val="auto"/>
        </w:rPr>
      </w:pPr>
      <w:r>
        <w:rPr>
          <w:rFonts w:ascii="Arial" w:cs="Arial" w:eastAsia="Arial" w:hAnsi="Arial"/>
          <w:sz w:val="17"/>
          <w:szCs w:val="17"/>
          <w:color w:val="auto"/>
        </w:rPr>
        <w:t xml:space="preserve">Any corporation into which the Trustee may be merged or converted or with which it may be consolidated, or any corporation resulting from any merger, conversion or consolidation to which the Trustee shall be a party, or any corporation succeeding to all or substantially all the corporate trust business of the Trustee, shall be the successor of the Trustee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corporation shall be otherwise qualified and eligible under this Article VI, without the execution or filing of any paper or any further act on the part of any of the parties hereto. In case any Securities shall have been authenticated, but not delivered, by the Trustee then in office, any successor by merger, conversion, consolidation or sale to such authenticating Trustee may adopt such authentication and deliver the Securities so authenticated with the same effect as if such successor Trustee had itself authenticated such Securities; and in case at that time any Securities shall not have been authenticated, any successor to the Trustee may authenticate such Securities either in the name of any predecessor hereunder or in the name of the successor to the Trustee; and in all such cases such certificates shall have the full force which it is anywhere in the Securities or in this Indenture provided that the certificate of the Trustee shall have.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613. </w:t>
      </w:r>
      <w:r>
        <w:rPr>
          <w:rFonts w:ascii="Arial" w:cs="Arial" w:eastAsia="Arial" w:hAnsi="Arial"/>
          <w:sz w:val="18"/>
          <w:szCs w:val="18"/>
          <w:u w:val="single" w:color="auto"/>
          <w:color w:val="auto"/>
        </w:rPr>
        <w:t>Preferential Collection of Claims Against Company</w:t>
      </w:r>
      <w:r>
        <w:rPr>
          <w:rFonts w:ascii="Arial" w:cs="Arial" w:eastAsia="Arial" w:hAnsi="Arial"/>
          <w:sz w:val="18"/>
          <w:szCs w:val="18"/>
          <w:color w:val="auto"/>
        </w:rPr>
        <w:t>.</w:t>
      </w:r>
    </w:p>
    <w:p>
      <w:pPr>
        <w:spacing w:after="0" w:line="117" w:lineRule="exact"/>
        <w:rPr>
          <w:sz w:val="20"/>
          <w:szCs w:val="20"/>
          <w:color w:val="auto"/>
        </w:rPr>
      </w:pPr>
    </w:p>
    <w:p>
      <w:pPr>
        <w:ind w:right="400" w:firstLine="456"/>
        <w:spacing w:after="0" w:line="277" w:lineRule="auto"/>
        <w:rPr>
          <w:sz w:val="20"/>
          <w:szCs w:val="20"/>
          <w:color w:val="auto"/>
        </w:rPr>
      </w:pPr>
      <w:r>
        <w:rPr>
          <w:rFonts w:ascii="Arial" w:cs="Arial" w:eastAsia="Arial" w:hAnsi="Arial"/>
          <w:sz w:val="18"/>
          <w:szCs w:val="18"/>
          <w:color w:val="auto"/>
        </w:rPr>
        <w:t>If and when the Trustee shall be or become a creditor of the Company (or any other obligor upon the Securities), the Trustee shall be subject to the provisions of the Trust Indenture Act regarding the collection of claims against the Company (or any such other obligor)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614. </w:t>
      </w:r>
      <w:r>
        <w:rPr>
          <w:rFonts w:ascii="Arial" w:cs="Arial" w:eastAsia="Arial" w:hAnsi="Arial"/>
          <w:sz w:val="18"/>
          <w:szCs w:val="18"/>
          <w:u w:val="single" w:color="auto"/>
          <w:color w:val="auto"/>
        </w:rPr>
        <w:t>Appointment of Authenticating Agent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8" w:lineRule="auto"/>
        <w:rPr>
          <w:sz w:val="20"/>
          <w:szCs w:val="20"/>
          <w:color w:val="auto"/>
        </w:rPr>
      </w:pPr>
      <w:r>
        <w:rPr>
          <w:rFonts w:ascii="Arial" w:cs="Arial" w:eastAsia="Arial" w:hAnsi="Arial"/>
          <w:sz w:val="17"/>
          <w:szCs w:val="17"/>
          <w:color w:val="auto"/>
        </w:rPr>
        <w:t>The Trustee may appoint an Authenticating Agent or Agents with respect to one or more series of Securities which shall be authorized to act on behalf of the Trustee to authenticate Securities of such series issued upon original issue and upon exchange, registration of transfer or partial redemption thereof or pursuant to Section 306, and Securities so authenticated shall be entitled to the benefits of this Indenture and shall be valid and obligatory for all purposes as if authenticated by the Trustee hereunder. Wherever reference is made in this Indenture to the authentication and delivery of Securities by the Trustee or the Trustee’s certificate of authentication, such reference shall be deemed to include authentication and delivery on behalf of the Trustee by an Authenticating Agent and a certificate of authentication executed on behalf of the Trustee by an Authenticating Agent. Each Authenticating Agent shall be acceptable to the Company and shall at all times be a corporation organized and doing business under the laws of the United States of America, any state thereof or the District of Columbia, authorized under such laws to act as Authenticating Agent, having a combined capital and surplus of not less than $50,000,000 and subject to supervision or examination by federal or state authority. If such Authenticating Agent publishes reports of condition at least annually, pursuant to law or to the requirements of said supervising or examining authority, then for the purposes of this Section 614, the combined capital and surplus of such Authenticating Agent shall be deemed to be its combined capital and surplus as set forth in its most recent report of condition so published. If at any time an Authenticating Agent shall cease to be eligible in accordance with the provisions of this Section 614, such Authenticating Agent shall resign immediately in the manner and with the effect specified in this Section 614.</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274" w:right="239" w:bottom="1440" w:gutter="0" w:footer="0" w:header="0"/>
        </w:sectPr>
      </w:pPr>
    </w:p>
    <w:bookmarkStart w:id="89" w:name="page90"/>
    <w:bookmarkEnd w:id="89"/>
    <w:p>
      <w:pPr>
        <w:ind w:firstLine="456"/>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corporation into which an Authenticating Agent may be merged or converted or with which it may be consolidated, or any corporation resulting from any merger, conversion or consolidation to which such Authenticating Agent shall be a party, or any corporation succeeding to all or substantially all of the corporate agency or corporate trust business of an Authenticating Agent shall be the successor Authenticating Agent hereunder, provided such corporation shall be otherwise eligible under this Section 614, without the execution or filing of any paper or any further act on the part of the Trustee or the Authenticating Agent.</w:t>
      </w:r>
    </w:p>
    <w:p>
      <w:pPr>
        <w:spacing w:after="0" w:line="188"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An Authenticating Agent may resign at any time by giving written notice thereof to the Trustee and to the Company. The Trustee may at any time terminate the agency of an Authenticating Agent by giving written notice thereof to such Authenticating Agent and to the Company. Upon receiving such a notice of resignation or upon such a termination, or in case at any time such Authenticating Agent shall cease to be eligible in accordance with the provisions of this Section 614, the Trustee may appoint a successor Authenticating Agent which shall be acceptable to the Company and shall give notice of such appointment in the manner provided in Section 106 to all Holders of Securities of the series with respect to which such Authenticating Agent will serve. Any successor Authenticating Agent upon acceptance of its appointment hereunder shall become vested with all the rights, powers and duties of its predecessor hereunder, with like effect as if originally named as an Authenticating Agent. No successor Authenticating Agent shall be appointed unless eligible under the provisions of this Section 614.</w:t>
      </w:r>
    </w:p>
    <w:p>
      <w:pPr>
        <w:spacing w:after="0" w:line="192"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Company agrees to pay to each Authenticating Agent from time to time reasonable compensation for its services under this Section 614.</w:t>
      </w:r>
    </w:p>
    <w:p>
      <w:pPr>
        <w:spacing w:after="0" w:line="237"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If an appointment with respect to one or more series is made pursuant to this Section 614, the Securities of such series may have endorsed thereon, in addition to the Trustee’s certificate of authentication, an alternative certificate of authentication in the following form:</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ind w:left="20"/>
        <w:spacing w:after="0"/>
        <w:rPr>
          <w:sz w:val="20"/>
          <w:szCs w:val="20"/>
          <w:color w:val="auto"/>
        </w:rPr>
      </w:pPr>
      <w:r>
        <w:rPr>
          <w:rFonts w:ascii="Arial" w:cs="Arial" w:eastAsia="Arial" w:hAnsi="Arial"/>
          <w:sz w:val="18"/>
          <w:szCs w:val="18"/>
          <w:color w:val="auto"/>
        </w:rPr>
        <w:t>Dated: __________________</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232" w:lineRule="exact"/>
        <w:rPr>
          <w:sz w:val="20"/>
          <w:szCs w:val="20"/>
          <w:color w:val="auto"/>
        </w:rPr>
      </w:pPr>
    </w:p>
    <w:p>
      <w:pPr>
        <w:ind w:left="6860"/>
        <w:spacing w:after="0"/>
        <w:tabs>
          <w:tab w:leader="none" w:pos="708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Authenticating Agent</w:t>
      </w:r>
    </w:p>
    <w:p>
      <w:pPr>
        <w:spacing w:after="0" w:line="21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Authorized Officer</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274" w:right="259" w:bottom="1440" w:gutter="0" w:footer="0" w:header="0"/>
        </w:sectPr>
      </w:pPr>
    </w:p>
    <w:bookmarkStart w:id="90" w:name="page91"/>
    <w:bookmarkEnd w:id="90"/>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ARTICLE VII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HOLDERS’ LISTS AND REPORTS BY TRUSTEE</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AND COMPANY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Company to Furnish Trustee Names and Addresses of Holders</w:t>
      </w:r>
      <w:r>
        <w:rPr>
          <w:rFonts w:ascii="Arial" w:cs="Arial" w:eastAsia="Arial" w:hAnsi="Arial"/>
          <w:sz w:val="18"/>
          <w:szCs w:val="18"/>
          <w:color w:val="auto"/>
        </w:rPr>
        <w:t>.</w:t>
      </w:r>
    </w:p>
    <w:p>
      <w:pPr>
        <w:spacing w:after="0" w:line="117" w:lineRule="exact"/>
        <w:rPr>
          <w:sz w:val="20"/>
          <w:szCs w:val="20"/>
          <w:color w:val="auto"/>
        </w:rPr>
      </w:pPr>
    </w:p>
    <w:p>
      <w:pPr>
        <w:jc w:val="both"/>
        <w:ind w:right="240" w:firstLine="456"/>
        <w:spacing w:after="0" w:line="264" w:lineRule="auto"/>
        <w:rPr>
          <w:sz w:val="20"/>
          <w:szCs w:val="20"/>
          <w:color w:val="auto"/>
        </w:rPr>
      </w:pPr>
      <w:r>
        <w:rPr>
          <w:rFonts w:ascii="Arial" w:cs="Arial" w:eastAsia="Arial" w:hAnsi="Arial"/>
          <w:sz w:val="18"/>
          <w:szCs w:val="18"/>
          <w:color w:val="auto"/>
        </w:rPr>
        <w:t>If the Trustee is not the Security Registrar, the Company shall cause the Security Registrar to furnish to the Trustee, in writing at least five Business Days before each Interest Payment Date and at such other times as the Trustee may request in writing, a list in such form and as of such date as the Trustee may reasonably require of the names and addresses of Holders of Securities of each series.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u w:val="single" w:color="auto"/>
          <w:color w:val="auto"/>
        </w:rPr>
        <w:t>Preservation of Information; Communications to Holders</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86" w:lineRule="auto"/>
        <w:rPr>
          <w:sz w:val="20"/>
          <w:szCs w:val="20"/>
          <w:color w:val="auto"/>
        </w:rPr>
      </w:pPr>
      <w:r>
        <w:rPr>
          <w:rFonts w:ascii="Arial" w:cs="Arial" w:eastAsia="Arial" w:hAnsi="Arial"/>
          <w:sz w:val="17"/>
          <w:szCs w:val="17"/>
          <w:color w:val="auto"/>
        </w:rPr>
        <w:t>The Trustee shall preserve, in as current a form as is reasonably practicable, the names and addresses of Holders contained in the most recent list furnished to the Trustee as provided in Section 701 and the names and addresses of Holders received by the Trustee in its capacity as Security Registrar. The Trustee may destroy any list furnished to it as provided in Section 701 upon receipt of a new list so furnished.</w:t>
      </w:r>
    </w:p>
    <w:p>
      <w:pPr>
        <w:spacing w:after="0" w:line="166"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rights of Holders to communicate with other Holders with respect to their rights under this Indenture or under the Securities, and the corresponding rights and privileges of the Trustee, shall be as provided by the Trust Indenture Act.</w:t>
      </w:r>
    </w:p>
    <w:p>
      <w:pPr>
        <w:spacing w:after="0" w:line="170" w:lineRule="exact"/>
        <w:rPr>
          <w:sz w:val="20"/>
          <w:szCs w:val="20"/>
          <w:color w:val="auto"/>
        </w:rPr>
      </w:pPr>
    </w:p>
    <w:p>
      <w:pPr>
        <w:ind w:right="100" w:firstLine="456"/>
        <w:spacing w:after="0" w:line="264" w:lineRule="auto"/>
        <w:rPr>
          <w:sz w:val="20"/>
          <w:szCs w:val="20"/>
          <w:color w:val="auto"/>
        </w:rPr>
      </w:pPr>
      <w:r>
        <w:rPr>
          <w:rFonts w:ascii="Arial" w:cs="Arial" w:eastAsia="Arial" w:hAnsi="Arial"/>
          <w:sz w:val="18"/>
          <w:szCs w:val="18"/>
          <w:color w:val="auto"/>
        </w:rPr>
        <w:t>Every Holder of Securities, by receiving and holding the same, agrees with the Company and the Trustee that neither the Company nor the Trustee nor any agent of either of them shall be held accountable by reason of any disclosure of information as to names and addresses of Holders made pursuant to the Trust Indenture Act.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u w:val="single" w:color="auto"/>
          <w:color w:val="auto"/>
        </w:rPr>
        <w:t>Reports by Trustee</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264" w:lineRule="auto"/>
        <w:rPr>
          <w:sz w:val="20"/>
          <w:szCs w:val="20"/>
          <w:color w:val="auto"/>
        </w:rPr>
      </w:pPr>
      <w:r>
        <w:rPr>
          <w:rFonts w:ascii="Arial" w:cs="Arial" w:eastAsia="Arial" w:hAnsi="Arial"/>
          <w:sz w:val="18"/>
          <w:szCs w:val="18"/>
          <w:color w:val="auto"/>
        </w:rPr>
        <w:t>Within 60 days after each May 15 in each year in which any of the Securities are Outstanding, the Trustee shall transmit to Holders such reports concerning the Trustee and its actions under this Indenture as may be required pursuant to the Trust Indenture Act. The Trustee shall promptly deliver to the Company a copy of any report it delivers to Holders pursuant to this Section 703.</w:t>
      </w:r>
    </w:p>
    <w:p>
      <w:pPr>
        <w:spacing w:after="0" w:line="18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A copy of each such report shall, at the time of such transmission to Holders, be filed by the Trustee with each stock exchange and automated quotation system, if any, upon which any Securities are listed, with the Commission and with the Company. The Company will notify the Trustee when any Securities are listed on any stock exchange or automated quotation system or delisted therefrom.</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704. </w:t>
      </w:r>
      <w:r>
        <w:rPr>
          <w:rFonts w:ascii="Arial" w:cs="Arial" w:eastAsia="Arial" w:hAnsi="Arial"/>
          <w:sz w:val="18"/>
          <w:szCs w:val="18"/>
          <w:u w:val="single" w:color="auto"/>
          <w:color w:val="auto"/>
        </w:rPr>
        <w:t>Reports by Company</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76" w:lineRule="auto"/>
        <w:rPr>
          <w:sz w:val="20"/>
          <w:szCs w:val="20"/>
          <w:color w:val="auto"/>
        </w:rPr>
      </w:pPr>
      <w:r>
        <w:rPr>
          <w:rFonts w:ascii="Arial" w:cs="Arial" w:eastAsia="Arial" w:hAnsi="Arial"/>
          <w:sz w:val="17"/>
          <w:szCs w:val="17"/>
          <w:color w:val="auto"/>
        </w:rPr>
        <w:t>The Company shall file with the Trustee, and transmit to the Holders, such information, documents and other reports, and such summaries thereof, as may be required pursuant to the Trust Indenture Act. Delivery of such reports, information and documents to the Trustee is for informational purposes only and shall not constitute a representation or warranty as to the accuracy or completeness of the reports, information and documents. All required reports, information and documents referred to in this Section 704 shall be deemed filed with the Trustee and transmitted to the Holders at the time such reports, information or documents are publicly filed with the Commission via the Commission’s EDGAR</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270" w:right="259" w:bottom="1440" w:gutter="0" w:footer="0" w:header="0"/>
        </w:sectPr>
      </w:pPr>
    </w:p>
    <w:bookmarkStart w:id="91" w:name="page92"/>
    <w:bookmarkEnd w:id="91"/>
    <w:p>
      <w:pPr>
        <w:ind w:right="4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filing system (or any successor system). For purposes of clarification, the foregoing sentence does not impose on the Trustee any duty to search for or obtain any electronic or other filings that the Company makes with the Commission, regardless of whether such filings are periodic, supplemental or otherwise. The Trustee’s receipt of such shall not constitute constructive notice of any information contained therein or determinable from information contained therein, including the Company’s compliance with any of its covenants hereunder (as to which the Trustee is entitled to rely exclusively on Officer’s Certificates).</w:t>
      </w:r>
    </w:p>
    <w:p>
      <w:pPr>
        <w:spacing w:after="0" w:line="36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CONSOLIDATION, MERGER</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AND SALE OF ASSETS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801. </w:t>
      </w:r>
      <w:r>
        <w:rPr>
          <w:rFonts w:ascii="Arial" w:cs="Arial" w:eastAsia="Arial" w:hAnsi="Arial"/>
          <w:sz w:val="18"/>
          <w:szCs w:val="18"/>
          <w:u w:val="single" w:color="auto"/>
          <w:color w:val="auto"/>
        </w:rPr>
        <w:t>Company May Merge or Transfer Assets Only on Certain Terms</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The Company shall not consolidate with or merge with or into, or sell, transfer, lease or convey all or substantially all of its properties and assets to, in one transaction or a series of related transactions, any other Person, unless:</w:t>
      </w:r>
    </w:p>
    <w:p>
      <w:pPr>
        <w:spacing w:after="0" w:line="76" w:lineRule="exact"/>
        <w:rPr>
          <w:sz w:val="20"/>
          <w:szCs w:val="20"/>
          <w:color w:val="auto"/>
        </w:rPr>
      </w:pPr>
    </w:p>
    <w:p>
      <w:pPr>
        <w:ind w:left="900" w:hanging="446"/>
        <w:spacing w:after="0" w:line="291"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Company shall be the continuing entity, or the resulting, surviving or transferee Person (the “</w:t>
      </w:r>
      <w:r>
        <w:rPr>
          <w:rFonts w:ascii="Arial" w:cs="Arial" w:eastAsia="Arial" w:hAnsi="Arial"/>
          <w:sz w:val="16"/>
          <w:szCs w:val="16"/>
          <w:u w:val="single" w:color="auto"/>
          <w:color w:val="auto"/>
        </w:rPr>
        <w:t>Successor</w:t>
      </w:r>
      <w:r>
        <w:rPr>
          <w:rFonts w:ascii="Arial" w:cs="Arial" w:eastAsia="Arial" w:hAnsi="Arial"/>
          <w:sz w:val="16"/>
          <w:szCs w:val="16"/>
          <w:color w:val="auto"/>
        </w:rPr>
        <w:t>”) shall be a corporation, limited liability company or other entity (if such corporation, limited liability company or other entity is not the Company) organized and existing under the laws of the United States of America, any State thereof or the District of Columbia, Bermuda, the Cayman Islands, or any other country which is on the date of this Indenture a member of the Organization for Economic Co-operation and Development or the European Union and the Successor (if not the Company) shall expressly assume, by an indenture supplemental hereto, executed and delivered to the Trustee, in form reasonably satisfactory to the Trustee, all the obligations of the Company under the Securities and this Indenture and, for each Security that by its terms provides for conversion, shall have provided for the right to convert such Security in accordance with its terms;</w:t>
      </w:r>
    </w:p>
    <w:p>
      <w:pPr>
        <w:spacing w:after="0" w:line="72" w:lineRule="exact"/>
        <w:rPr>
          <w:rFonts w:ascii="Arial" w:cs="Arial" w:eastAsia="Arial" w:hAnsi="Arial"/>
          <w:sz w:val="16"/>
          <w:szCs w:val="16"/>
          <w:color w:val="auto"/>
        </w:rPr>
      </w:pPr>
    </w:p>
    <w:p>
      <w:pPr>
        <w:ind w:left="900" w:hanging="446"/>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immediately after giving effect to such transaction, no Default or Event of Default shall have occurred and be continuing; and</w:t>
      </w:r>
    </w:p>
    <w:p>
      <w:pPr>
        <w:spacing w:after="0" w:line="130" w:lineRule="exact"/>
        <w:rPr>
          <w:rFonts w:ascii="Arial" w:cs="Arial" w:eastAsia="Arial" w:hAnsi="Arial"/>
          <w:sz w:val="18"/>
          <w:szCs w:val="18"/>
          <w:color w:val="auto"/>
        </w:rPr>
      </w:pPr>
    </w:p>
    <w:p>
      <w:pPr>
        <w:ind w:left="900" w:right="160" w:hanging="446"/>
        <w:spacing w:after="0" w:line="342"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Company shall have delivered to the Trustee an Officer’s Certificate and an Opinion of Counsel, each stating that such transaction and such supplemental indenture, if any, complies with this Indenture (except that such Opinion of Counsel need not opine as to clause (2) above).</w:t>
      </w:r>
    </w:p>
    <w:p>
      <w:pPr>
        <w:spacing w:after="0" w:line="124"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Notwithstanding anything else herein, (A) the first paragraph of this Section 801 shall not apply to the conveyance, transfer or lease of properties or assets between or among the Company and its Subsidiaries and (B) clauses (2) and (3) of the first paragraph of this Section 801 shall not apply to (i) the Company consolidating with or merging into a Subsidiary of the Company for any purpose or (ii) any Subsidiary of the Company consolidating with or merging into the Company for any purpose.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u w:val="single" w:color="auto"/>
          <w:color w:val="auto"/>
        </w:rPr>
        <w:t>Successor Corporation Substituted</w:t>
      </w:r>
      <w:r>
        <w:rPr>
          <w:rFonts w:ascii="Arial" w:cs="Arial" w:eastAsia="Arial" w:hAnsi="Arial"/>
          <w:sz w:val="18"/>
          <w:szCs w:val="18"/>
          <w:color w:val="auto"/>
        </w:rPr>
        <w:t>.</w:t>
      </w:r>
    </w:p>
    <w:p>
      <w:pPr>
        <w:spacing w:after="0" w:line="117" w:lineRule="exact"/>
        <w:rPr>
          <w:sz w:val="20"/>
          <w:szCs w:val="20"/>
          <w:color w:val="auto"/>
        </w:rPr>
      </w:pPr>
    </w:p>
    <w:p>
      <w:pPr>
        <w:ind w:right="280" w:firstLine="456"/>
        <w:spacing w:after="0" w:line="264" w:lineRule="auto"/>
        <w:rPr>
          <w:sz w:val="20"/>
          <w:szCs w:val="20"/>
          <w:color w:val="auto"/>
        </w:rPr>
      </w:pPr>
      <w:r>
        <w:rPr>
          <w:rFonts w:ascii="Arial" w:cs="Arial" w:eastAsia="Arial" w:hAnsi="Arial"/>
          <w:sz w:val="18"/>
          <w:szCs w:val="18"/>
          <w:color w:val="auto"/>
        </w:rPr>
        <w:t>The Successor shall succeed to, and be substituted for, and may exercise every right and power of, the Company under the Indenture, with the same effect as if the Successor had been an original party to this Indenture, and the Company shall be released from all its liabilities and obligations under this Indenture and the Securities.</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80"/>
          </w:cols>
          <w:pgMar w:left="240" w:top="274" w:right="279" w:bottom="1440" w:gutter="0" w:footer="0" w:header="0"/>
        </w:sectPr>
      </w:pPr>
    </w:p>
    <w:bookmarkStart w:id="92" w:name="page93"/>
    <w:bookmarkEnd w:id="92"/>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IX</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SUPPLEMENTAL INDENTURES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Supplemental Indentures Without Consent of Holders</w:t>
      </w:r>
      <w:r>
        <w:rPr>
          <w:rFonts w:ascii="Arial" w:cs="Arial" w:eastAsia="Arial" w:hAnsi="Arial"/>
          <w:sz w:val="18"/>
          <w:szCs w:val="18"/>
          <w:color w:val="auto"/>
        </w:rPr>
        <w:t>.</w:t>
      </w:r>
    </w:p>
    <w:p>
      <w:pPr>
        <w:spacing w:after="0" w:line="117" w:lineRule="exact"/>
        <w:rPr>
          <w:sz w:val="20"/>
          <w:szCs w:val="20"/>
          <w:color w:val="auto"/>
        </w:rPr>
      </w:pPr>
    </w:p>
    <w:p>
      <w:pPr>
        <w:ind w:right="760" w:firstLine="456"/>
        <w:spacing w:after="0" w:line="277" w:lineRule="auto"/>
        <w:rPr>
          <w:sz w:val="20"/>
          <w:szCs w:val="20"/>
          <w:color w:val="auto"/>
        </w:rPr>
      </w:pPr>
      <w:r>
        <w:rPr>
          <w:rFonts w:ascii="Arial" w:cs="Arial" w:eastAsia="Arial" w:hAnsi="Arial"/>
          <w:sz w:val="18"/>
          <w:szCs w:val="18"/>
          <w:color w:val="auto"/>
        </w:rPr>
        <w:t>Without the consent of any Holders, the Company and the Trustee, at any time and from time to time, may enter into one or more indentures supplemental hereto, in form satisfactory to the Trustee, for any of the following purposes:</w:t>
      </w:r>
    </w:p>
    <w:p>
      <w:pPr>
        <w:spacing w:after="0" w:line="76" w:lineRule="exact"/>
        <w:rPr>
          <w:sz w:val="20"/>
          <w:szCs w:val="20"/>
          <w:color w:val="auto"/>
        </w:rPr>
      </w:pPr>
    </w:p>
    <w:p>
      <w:pPr>
        <w:jc w:val="both"/>
        <w:ind w:left="900" w:right="40" w:hanging="446"/>
        <w:spacing w:after="0" w:line="264" w:lineRule="auto"/>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add to the covenants for the benefit of the Holders of all or any series of Securities (and if such covenants are to be for the benefit of less than all series of Securities, stating that such covenants are expressly being included solely for the benefit of such series) or to surrender any right or power herein conferred upon the Company;</w:t>
      </w:r>
    </w:p>
    <w:p>
      <w:pPr>
        <w:spacing w:after="0" w:line="86" w:lineRule="exact"/>
        <w:rPr>
          <w:rFonts w:ascii="Arial" w:cs="Arial" w:eastAsia="Arial" w:hAnsi="Arial"/>
          <w:sz w:val="18"/>
          <w:szCs w:val="18"/>
          <w:color w:val="auto"/>
        </w:rPr>
      </w:pPr>
    </w:p>
    <w:p>
      <w:pPr>
        <w:ind w:left="900" w:right="80" w:hanging="446"/>
        <w:spacing w:after="0" w:line="277" w:lineRule="auto"/>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evidence the succession of another Person to the Company, or successive successions, and the assumption by the Successor of the covenants, agreements and obligations of the Company pursuant to Article VIII;</w:t>
      </w:r>
    </w:p>
    <w:p>
      <w:pPr>
        <w:spacing w:after="0" w:line="75" w:lineRule="exact"/>
        <w:rPr>
          <w:rFonts w:ascii="Arial" w:cs="Arial" w:eastAsia="Arial" w:hAnsi="Arial"/>
          <w:sz w:val="18"/>
          <w:szCs w:val="18"/>
          <w:color w:val="auto"/>
        </w:rPr>
      </w:pPr>
    </w:p>
    <w:p>
      <w:pPr>
        <w:ind w:left="900" w:right="80" w:hanging="446"/>
        <w:spacing w:after="0" w:line="264" w:lineRule="auto"/>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the Holders of all or any series of Securities (and if such additional Events of Default are to be for the benefit of less than all series of Securities, stating that such additional Events of Default are expressly being included solely for the benefit of such series);</w:t>
      </w:r>
    </w:p>
    <w:p>
      <w:pPr>
        <w:spacing w:after="0" w:line="86"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Securities;</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secure the Securities;</w:t>
      </w:r>
    </w:p>
    <w:p>
      <w:pPr>
        <w:spacing w:after="0" w:line="130" w:lineRule="exact"/>
        <w:rPr>
          <w:rFonts w:ascii="Arial" w:cs="Arial" w:eastAsia="Arial" w:hAnsi="Arial"/>
          <w:sz w:val="18"/>
          <w:szCs w:val="18"/>
          <w:color w:val="auto"/>
        </w:rPr>
      </w:pPr>
    </w:p>
    <w:p>
      <w:pPr>
        <w:ind w:left="900" w:right="80" w:hanging="446"/>
        <w:spacing w:after="0" w:line="264" w:lineRule="auto"/>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86"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subject to any limitations established pursuant to Section 301, to provide for the issuance of additional Securities of any series;</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establish the form or terms of Securities of any series as permitted by Section 201 and Section 301;</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comply with the rules of any applicable Depositary;</w:t>
      </w:r>
    </w:p>
    <w:p>
      <w:pPr>
        <w:spacing w:after="0" w:line="130" w:lineRule="exact"/>
        <w:rPr>
          <w:rFonts w:ascii="Arial" w:cs="Arial" w:eastAsia="Arial" w:hAnsi="Arial"/>
          <w:sz w:val="18"/>
          <w:szCs w:val="18"/>
          <w:color w:val="auto"/>
        </w:rPr>
      </w:pPr>
    </w:p>
    <w:p>
      <w:pPr>
        <w:ind w:left="900" w:right="40" w:hanging="446"/>
        <w:spacing w:after="0" w:line="277" w:lineRule="auto"/>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to add to or change any of the provisions of this Indenture to such extent as shall be necessary to permit or facilitate the issuance of Securities in uncertificated form;</w:t>
      </w:r>
    </w:p>
    <w:p>
      <w:pPr>
        <w:spacing w:after="0" w:line="75" w:lineRule="exact"/>
        <w:rPr>
          <w:rFonts w:ascii="Arial" w:cs="Arial" w:eastAsia="Arial" w:hAnsi="Arial"/>
          <w:sz w:val="18"/>
          <w:szCs w:val="18"/>
          <w:color w:val="auto"/>
        </w:rPr>
      </w:pPr>
    </w:p>
    <w:p>
      <w:pPr>
        <w:ind w:left="900" w:hanging="446"/>
        <w:spacing w:after="0" w:line="279" w:lineRule="auto"/>
        <w:tabs>
          <w:tab w:leader="none" w:pos="900" w:val="left"/>
        </w:tabs>
        <w:numPr>
          <w:ilvl w:val="0"/>
          <w:numId w:val="81"/>
        </w:numPr>
        <w:rPr>
          <w:rFonts w:ascii="Arial" w:cs="Arial" w:eastAsia="Arial" w:hAnsi="Arial"/>
          <w:sz w:val="17"/>
          <w:szCs w:val="17"/>
          <w:color w:val="auto"/>
        </w:rPr>
      </w:pPr>
      <w:r>
        <w:rPr>
          <w:rFonts w:ascii="Arial" w:cs="Arial" w:eastAsia="Arial" w:hAnsi="Arial"/>
          <w:sz w:val="17"/>
          <w:szCs w:val="17"/>
          <w:color w:val="auto"/>
        </w:rPr>
        <w:t xml:space="preserve">to add to, change or eliminate any of the provisions of this Indenture in respect of one or more series of Securities;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addition, change or elimination (A) shall neither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20"/>
          </w:cols>
          <w:pgMar w:left="240" w:top="270" w:right="339" w:bottom="1440" w:gutter="0" w:footer="0" w:header="0"/>
        </w:sectPr>
      </w:pPr>
    </w:p>
    <w:bookmarkStart w:id="93" w:name="page94"/>
    <w:bookmarkEnd w:id="93"/>
    <w:p>
      <w:pPr>
        <w:ind w:left="90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cure any ambiguity or to correct or supplement any provision of this Indenture which may be defective or inconsistent with any other provision herein;</w:t>
      </w:r>
    </w:p>
    <w:p>
      <w:pPr>
        <w:spacing w:after="0" w:line="75" w:lineRule="exact"/>
        <w:rPr>
          <w:rFonts w:ascii="Arial" w:cs="Arial" w:eastAsia="Arial" w:hAnsi="Arial"/>
          <w:sz w:val="18"/>
          <w:szCs w:val="18"/>
          <w:color w:val="auto"/>
        </w:rPr>
      </w:pPr>
    </w:p>
    <w:p>
      <w:pPr>
        <w:ind w:left="900" w:right="2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 xml:space="preserve">to change any other provision under this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action pursuant to this clause (13) shall not adversely affect the interests of the Holders of Securities of any series in any material respect, as determined by the Company in good faith;</w:t>
      </w:r>
    </w:p>
    <w:p>
      <w:pPr>
        <w:spacing w:after="0" w:line="75" w:lineRule="exact"/>
        <w:rPr>
          <w:rFonts w:ascii="Arial" w:cs="Arial" w:eastAsia="Arial" w:hAnsi="Arial"/>
          <w:sz w:val="18"/>
          <w:szCs w:val="18"/>
          <w:color w:val="auto"/>
        </w:rPr>
      </w:pPr>
    </w:p>
    <w:p>
      <w:pPr>
        <w:ind w:left="900" w:right="200" w:hanging="446"/>
        <w:spacing w:after="0" w:line="286" w:lineRule="auto"/>
        <w:tabs>
          <w:tab w:leader="none" w:pos="900" w:val="left"/>
        </w:tabs>
        <w:numPr>
          <w:ilvl w:val="0"/>
          <w:numId w:val="82"/>
        </w:numPr>
        <w:rPr>
          <w:rFonts w:ascii="Arial" w:cs="Arial" w:eastAsia="Arial" w:hAnsi="Arial"/>
          <w:sz w:val="17"/>
          <w:szCs w:val="17"/>
          <w:color w:val="auto"/>
        </w:rPr>
      </w:pPr>
      <w:r>
        <w:rPr>
          <w:rFonts w:ascii="Arial" w:cs="Arial" w:eastAsia="Arial" w:hAnsi="Arial"/>
          <w:sz w:val="17"/>
          <w:szCs w:val="17"/>
          <w:color w:val="auto"/>
        </w:rPr>
        <w:t xml:space="preserve">to supplement any of the provisions of this Indenture to such extent as shall be necessary to permit or facilitate the defeasance and discharge of any series of Securities pursuant to Section 401, Section 1302 and Section 1303;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action shall not adversely affect the interests of the Holders of Securities of such series or any other series of Securities in any material respect;</w:t>
      </w:r>
    </w:p>
    <w:p>
      <w:pPr>
        <w:spacing w:after="0" w:line="70" w:lineRule="exact"/>
        <w:rPr>
          <w:rFonts w:ascii="Arial" w:cs="Arial" w:eastAsia="Arial" w:hAnsi="Arial"/>
          <w:sz w:val="17"/>
          <w:szCs w:val="17"/>
          <w:color w:val="auto"/>
        </w:rPr>
      </w:pPr>
    </w:p>
    <w:p>
      <w:pPr>
        <w:ind w:left="900" w:right="80" w:hanging="446"/>
        <w:spacing w:after="0" w:line="277"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Securities may be listed or traded;</w:t>
      </w:r>
    </w:p>
    <w:p>
      <w:pPr>
        <w:spacing w:after="0" w:line="75" w:lineRule="exact"/>
        <w:rPr>
          <w:rFonts w:ascii="Arial" w:cs="Arial" w:eastAsia="Arial" w:hAnsi="Arial"/>
          <w:sz w:val="18"/>
          <w:szCs w:val="18"/>
          <w:color w:val="auto"/>
        </w:rPr>
      </w:pPr>
    </w:p>
    <w:p>
      <w:pPr>
        <w:ind w:left="900" w:right="40" w:hanging="446"/>
        <w:spacing w:after="0" w:line="279" w:lineRule="auto"/>
        <w:tabs>
          <w:tab w:leader="none" w:pos="900" w:val="left"/>
        </w:tabs>
        <w:numPr>
          <w:ilvl w:val="0"/>
          <w:numId w:val="82"/>
        </w:numPr>
        <w:rPr>
          <w:rFonts w:ascii="Arial" w:cs="Arial" w:eastAsia="Arial" w:hAnsi="Arial"/>
          <w:sz w:val="17"/>
          <w:szCs w:val="17"/>
          <w:color w:val="auto"/>
        </w:rPr>
      </w:pPr>
      <w:r>
        <w:rPr>
          <w:rFonts w:ascii="Arial" w:cs="Arial" w:eastAsia="Arial" w:hAnsi="Arial"/>
          <w:sz w:val="17"/>
          <w:szCs w:val="17"/>
          <w:color w:val="auto"/>
        </w:rPr>
        <w:t>to conform any provision of this Indenture, any supplemental indenture, one or more series of Securities or any related guarantees or security documents, if any, to the description of such Securities contained in the Company’s prospectus, prospectus supplement, offering memorandum or similar document with respect to the offering of the Securities of such series to the extent that such description was intended to be a substantially verbatim recitation of a provision in this Indenture, such Securities or any related security documents; and</w:t>
      </w:r>
    </w:p>
    <w:p>
      <w:pPr>
        <w:spacing w:after="0" w:line="76" w:lineRule="exact"/>
        <w:rPr>
          <w:rFonts w:ascii="Arial" w:cs="Arial" w:eastAsia="Arial" w:hAnsi="Arial"/>
          <w:sz w:val="17"/>
          <w:szCs w:val="17"/>
          <w:color w:val="auto"/>
        </w:rPr>
      </w:pPr>
    </w:p>
    <w:p>
      <w:pPr>
        <w:jc w:val="both"/>
        <w:ind w:left="900" w:right="20" w:hanging="446"/>
        <w:spacing w:after="0" w:line="342" w:lineRule="auto"/>
        <w:tabs>
          <w:tab w:leader="none" w:pos="900" w:val="left"/>
        </w:tabs>
        <w:numPr>
          <w:ilvl w:val="0"/>
          <w:numId w:val="82"/>
        </w:numPr>
        <w:rPr>
          <w:rFonts w:ascii="Arial" w:cs="Arial" w:eastAsia="Arial" w:hAnsi="Arial"/>
          <w:sz w:val="16"/>
          <w:szCs w:val="16"/>
          <w:color w:val="auto"/>
        </w:rPr>
      </w:pPr>
      <w:r>
        <w:rPr>
          <w:rFonts w:ascii="Arial" w:cs="Arial" w:eastAsia="Arial" w:hAnsi="Arial"/>
          <w:sz w:val="16"/>
          <w:szCs w:val="16"/>
          <w:color w:val="auto"/>
        </w:rPr>
        <w:t xml:space="preserve">to add to, change or eliminate any of the provisions of this Indenture as shall be necessary or desirable in accordance with any amendments to the Trust Indenture Act,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action does not adversely affect the rights or interests of any Holder of Securities in any material respect.</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902. </w:t>
      </w:r>
      <w:r>
        <w:rPr>
          <w:rFonts w:ascii="Arial" w:cs="Arial" w:eastAsia="Arial" w:hAnsi="Arial"/>
          <w:sz w:val="18"/>
          <w:szCs w:val="18"/>
          <w:u w:val="single" w:color="auto"/>
          <w:color w:val="auto"/>
        </w:rPr>
        <w:t>Supplemental Indentures With Consent of Holders</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 xml:space="preserve">With the consent of the Holders of not less than a majority in aggregate principal amount of the Outstanding Securities of each series affected by such supplemental indenture (including consents obtained in connection with a tender offer or exchange for Securities), by Act of said Holders delivered to the Company and the Trustee, the Company and the Trustee may enter into an indenture or indentures supplemental hereto for the purpose of adding any provisions to or changing in any manner or eliminating any of the provisions of this Indenture or of modifying in any manner the rights of the Holders of Securities of such series under this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no such supplemental indenture shall, without the consent of the Holder of each Outstanding Security of such series affected thereby:</w:t>
      </w:r>
    </w:p>
    <w:p>
      <w:pPr>
        <w:spacing w:after="0" w:line="99" w:lineRule="exact"/>
        <w:rPr>
          <w:sz w:val="20"/>
          <w:szCs w:val="20"/>
          <w:color w:val="auto"/>
        </w:rPr>
      </w:pPr>
    </w:p>
    <w:p>
      <w:pPr>
        <w:ind w:left="900" w:hanging="446"/>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any installment of principal of or interest on, any Security;</w:t>
      </w:r>
    </w:p>
    <w:p>
      <w:pPr>
        <w:spacing w:after="0" w:line="130" w:lineRule="exact"/>
        <w:rPr>
          <w:rFonts w:ascii="Arial" w:cs="Arial" w:eastAsia="Arial" w:hAnsi="Arial"/>
          <w:sz w:val="18"/>
          <w:szCs w:val="18"/>
          <w:color w:val="auto"/>
        </w:rPr>
      </w:pPr>
    </w:p>
    <w:p>
      <w:pPr>
        <w:ind w:left="900" w:right="140" w:hanging="446"/>
        <w:spacing w:after="0" w:line="259" w:lineRule="auto"/>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reduce the principal amount of any Security or reduce the amount of the principal of an Original Issue Discount Security or any other Security which would be due and payable upon a declaration of acceleration of the Maturity thereof pursuant to Section 502 or reduce the rate of interest on any debt security (except as part of any remarketing of the Securities of any series or any interest rate reset with respect to the Securities of any series, in each case in accordance with the terms of the Securities of such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274" w:right="259" w:bottom="1440" w:gutter="0" w:footer="0" w:header="0"/>
        </w:sectPr>
      </w:pPr>
    </w:p>
    <w:bookmarkStart w:id="94" w:name="page95"/>
    <w:bookmarkEnd w:id="94"/>
    <w:p>
      <w:pPr>
        <w:ind w:left="900" w:hanging="446"/>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reduce any premium payable upon the redemption of or change the date on which any Security may or must be redeemed;</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or premium, if any, or interest on any Security is payable;</w:t>
      </w:r>
    </w:p>
    <w:p>
      <w:pPr>
        <w:spacing w:after="0" w:line="130" w:lineRule="exact"/>
        <w:rPr>
          <w:rFonts w:ascii="Arial" w:cs="Arial" w:eastAsia="Arial" w:hAnsi="Arial"/>
          <w:sz w:val="18"/>
          <w:szCs w:val="18"/>
          <w:color w:val="auto"/>
        </w:rPr>
      </w:pPr>
    </w:p>
    <w:p>
      <w:pPr>
        <w:ind w:left="900" w:right="100" w:hanging="446"/>
        <w:spacing w:after="0" w:line="277"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such payment on or after the Stated Maturity thereof (or, in the case of redemption, on or after the Redemption Date);</w:t>
      </w:r>
    </w:p>
    <w:p>
      <w:pPr>
        <w:spacing w:after="0" w:line="75" w:lineRule="exact"/>
        <w:rPr>
          <w:rFonts w:ascii="Arial" w:cs="Arial" w:eastAsia="Arial" w:hAnsi="Arial"/>
          <w:sz w:val="18"/>
          <w:szCs w:val="18"/>
          <w:color w:val="auto"/>
        </w:rPr>
      </w:pPr>
    </w:p>
    <w:p>
      <w:pPr>
        <w:ind w:left="900" w:right="200" w:hanging="446"/>
        <w:spacing w:after="0" w:line="264"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Securities of any series, the consent of whose Holders is required for any such supplemental indenture, or the consent of whose Holders is required for any waiver (of compliance with certain provisions of this Indenture or certain defaults hereunder and their consequences) provided for in this Indenture;</w:t>
      </w:r>
    </w:p>
    <w:p>
      <w:pPr>
        <w:spacing w:after="0" w:line="86" w:lineRule="exact"/>
        <w:rPr>
          <w:rFonts w:ascii="Arial" w:cs="Arial" w:eastAsia="Arial" w:hAnsi="Arial"/>
          <w:sz w:val="18"/>
          <w:szCs w:val="18"/>
          <w:color w:val="auto"/>
        </w:rPr>
      </w:pPr>
    </w:p>
    <w:p>
      <w:pPr>
        <w:ind w:left="900" w:right="20" w:hanging="446"/>
        <w:spacing w:after="0" w:line="257" w:lineRule="auto"/>
        <w:tabs>
          <w:tab w:leader="none" w:pos="900" w:val="left"/>
        </w:tabs>
        <w:numPr>
          <w:ilvl w:val="0"/>
          <w:numId w:val="84"/>
        </w:numPr>
        <w:rPr>
          <w:rFonts w:ascii="Arial" w:cs="Arial" w:eastAsia="Arial" w:hAnsi="Arial"/>
          <w:sz w:val="18"/>
          <w:szCs w:val="18"/>
          <w:color w:val="auto"/>
        </w:rPr>
      </w:pPr>
      <w:r>
        <w:rPr>
          <w:rFonts w:ascii="Arial" w:cs="Arial" w:eastAsia="Arial" w:hAnsi="Arial"/>
          <w:sz w:val="18"/>
          <w:szCs w:val="18"/>
          <w:color w:val="auto"/>
        </w:rPr>
        <w:t xml:space="preserve">modify any of the provisions of this Section 902, Section 512 or Section 1009, except to increase any such percentage or to provide that certain other provisions of this Indenture cannot be modified or waived without the consent of the Holder of each Outstanding Security affected thereby;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this clause shall not be deemed to require the consent of any Holder with respect to changes in the references to “the Trustee” and concomitant changes in this Section 902 and Section 1008, or the deletion of this proviso, in accordance with the requirements of Section 611 and Section 901(6); or</w:t>
      </w:r>
    </w:p>
    <w:p>
      <w:pPr>
        <w:spacing w:after="0" w:line="93" w:lineRule="exact"/>
        <w:rPr>
          <w:rFonts w:ascii="Arial" w:cs="Arial" w:eastAsia="Arial" w:hAnsi="Arial"/>
          <w:sz w:val="18"/>
          <w:szCs w:val="18"/>
          <w:color w:val="auto"/>
        </w:rPr>
      </w:pPr>
    </w:p>
    <w:p>
      <w:pPr>
        <w:ind w:left="900" w:right="80" w:hanging="446"/>
        <w:spacing w:after="0" w:line="312" w:lineRule="auto"/>
        <w:tabs>
          <w:tab w:leader="none" w:pos="900" w:val="left"/>
        </w:tabs>
        <w:numPr>
          <w:ilvl w:val="0"/>
          <w:numId w:val="84"/>
        </w:numPr>
        <w:rPr>
          <w:rFonts w:ascii="Arial" w:cs="Arial" w:eastAsia="Arial" w:hAnsi="Arial"/>
          <w:sz w:val="16"/>
          <w:szCs w:val="16"/>
          <w:color w:val="auto"/>
        </w:rPr>
      </w:pPr>
      <w:r>
        <w:rPr>
          <w:rFonts w:ascii="Arial" w:cs="Arial" w:eastAsia="Arial" w:hAnsi="Arial"/>
          <w:sz w:val="16"/>
          <w:szCs w:val="16"/>
          <w:color w:val="auto"/>
        </w:rPr>
        <w:t>if the Securities of any series are convertible into or for any other securities or property of the Company, make any change that adversely affects in any material respect the right to convert any Security of such series (except as permitted by Section 901) or decrease the conversion rate or increase the conversion price of any such Security of such series, unless such decrease or increase is permitted by the terms of such Security.</w:t>
      </w:r>
    </w:p>
    <w:p>
      <w:pPr>
        <w:spacing w:after="0" w:line="147" w:lineRule="exact"/>
        <w:rPr>
          <w:sz w:val="20"/>
          <w:szCs w:val="20"/>
          <w:color w:val="auto"/>
        </w:rPr>
      </w:pPr>
    </w:p>
    <w:p>
      <w:pPr>
        <w:ind w:firstLine="456"/>
        <w:spacing w:after="0" w:line="286" w:lineRule="auto"/>
        <w:rPr>
          <w:sz w:val="20"/>
          <w:szCs w:val="20"/>
          <w:color w:val="auto"/>
        </w:rPr>
      </w:pPr>
      <w:r>
        <w:rPr>
          <w:rFonts w:ascii="Arial" w:cs="Arial" w:eastAsia="Arial" w:hAnsi="Arial"/>
          <w:sz w:val="17"/>
          <w:szCs w:val="17"/>
          <w:color w:val="auto"/>
        </w:rPr>
        <w:t>A supplemental indenture which changes or eliminates any covenant or other provision of this Indenture which has expressly been included solely for the benefit of one or more particular series of Securities, or which modifies the rights of the Holders of Securities of such series with respect to such covenant or other provision, shall be deemed not to affect the rights under this Indenture of the Holders of Securities of any other series.</w:t>
      </w:r>
    </w:p>
    <w:p>
      <w:pPr>
        <w:spacing w:after="0" w:line="166" w:lineRule="exact"/>
        <w:rPr>
          <w:sz w:val="20"/>
          <w:szCs w:val="20"/>
          <w:color w:val="auto"/>
        </w:rPr>
      </w:pPr>
    </w:p>
    <w:p>
      <w:pPr>
        <w:ind w:right="220" w:firstLine="456"/>
        <w:spacing w:after="0" w:line="277" w:lineRule="auto"/>
        <w:rPr>
          <w:sz w:val="20"/>
          <w:szCs w:val="20"/>
          <w:color w:val="auto"/>
        </w:rPr>
      </w:pPr>
      <w:r>
        <w:rPr>
          <w:rFonts w:ascii="Arial" w:cs="Arial" w:eastAsia="Arial" w:hAnsi="Arial"/>
          <w:sz w:val="18"/>
          <w:szCs w:val="18"/>
          <w:color w:val="auto"/>
        </w:rPr>
        <w:t>It shall not be necessary for any Act of Holders under this Section 902 to approve the particular form of any proposed supplemental indenture, but it shall be sufficient if such Act shall approve the substance thereof.</w:t>
      </w:r>
    </w:p>
    <w:p>
      <w:pPr>
        <w:spacing w:after="0" w:line="17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After a supplemental indenture under this Section 902 becomes effective, a notice briefly describing such supplemental indenture or a copy of such supplemental indenture shall be delivered to the Trustee and to the Holders of Securities affected thereby by the Company. Any failure of the Company to deliver such notice, or any defect therein, or any failure of the Company to deliver such supplemental indenture, shall not in any way impair or affect the validity of any such supplemental indenture.</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60"/>
          </w:cols>
          <w:pgMar w:left="240" w:top="274" w:right="299" w:bottom="1440" w:gutter="0" w:footer="0" w:header="0"/>
        </w:sectPr>
      </w:pPr>
    </w:p>
    <w:bookmarkStart w:id="95" w:name="page96"/>
    <w:bookmarkEnd w:id="9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903. </w:t>
      </w:r>
      <w:r>
        <w:rPr>
          <w:rFonts w:ascii="Arial" w:cs="Arial" w:eastAsia="Arial" w:hAnsi="Arial"/>
          <w:sz w:val="18"/>
          <w:szCs w:val="18"/>
          <w:u w:val="single" w:color="auto"/>
          <w:color w:val="auto"/>
        </w:rPr>
        <w:t>Execution of Supplemental Indentures</w:t>
      </w:r>
      <w:r>
        <w:rPr>
          <w:rFonts w:ascii="Arial" w:cs="Arial" w:eastAsia="Arial" w:hAnsi="Arial"/>
          <w:sz w:val="18"/>
          <w:szCs w:val="18"/>
          <w:color w:val="auto"/>
        </w:rPr>
        <w:t>.</w:t>
      </w:r>
    </w:p>
    <w:p>
      <w:pPr>
        <w:spacing w:after="0" w:line="117" w:lineRule="exact"/>
        <w:rPr>
          <w:sz w:val="20"/>
          <w:szCs w:val="20"/>
          <w:color w:val="auto"/>
        </w:rPr>
      </w:pPr>
    </w:p>
    <w:p>
      <w:pPr>
        <w:ind w:right="160" w:firstLine="456"/>
        <w:spacing w:after="0" w:line="297" w:lineRule="auto"/>
        <w:rPr>
          <w:sz w:val="20"/>
          <w:szCs w:val="20"/>
          <w:color w:val="auto"/>
        </w:rPr>
      </w:pPr>
      <w:r>
        <w:rPr>
          <w:rFonts w:ascii="Arial" w:cs="Arial" w:eastAsia="Arial" w:hAnsi="Arial"/>
          <w:sz w:val="16"/>
          <w:szCs w:val="16"/>
          <w:color w:val="auto"/>
        </w:rPr>
        <w:t>In executing, or accepting the additional trusts created by, any supplemental indenture permitted by this Article IX or the modifications thereby of the trusts created by this Indenture, the Trustee shall be entitled to receive, and, subject to Section 601, shall be fully protected in relying upon, an Officer’s Certificate and an Opinion of Counsel stating that the execution of such supplemental indenture is authorized or permitted by this Indenture and that all conditions precedent in this Indenture to the execution of such supplemental indenture, if any, have been complied with. The Trustee may, but shall not be obligated to, enter into any such supplemental indenture which affects the Trustee’s own rights, duties or immunities under this Indenture or otherwise.</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904. </w:t>
      </w:r>
      <w:r>
        <w:rPr>
          <w:rFonts w:ascii="Arial" w:cs="Arial" w:eastAsia="Arial" w:hAnsi="Arial"/>
          <w:sz w:val="18"/>
          <w:szCs w:val="18"/>
          <w:u w:val="single" w:color="auto"/>
          <w:color w:val="auto"/>
        </w:rPr>
        <w:t>Effect of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Upon the execution of any supplemental indenture under this Article IX, this Indenture shall be modified in accordance therewith, and such supplemental indenture shall form a part of this Indenture for all purposes; and every Holder of Securities theretofore or thereafter authenticated and delivered hereunder shall be bound thereby.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905. </w:t>
      </w:r>
      <w:r>
        <w:rPr>
          <w:rFonts w:ascii="Arial" w:cs="Arial" w:eastAsia="Arial" w:hAnsi="Arial"/>
          <w:sz w:val="18"/>
          <w:szCs w:val="18"/>
          <w:u w:val="single" w:color="auto"/>
          <w:color w:val="auto"/>
        </w:rPr>
        <w:t>Conformity with Trust Indenture Act</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Every supplemental indenture executed pursuant to this Article IX shall conform to the requirements of the Trust Indenture Act.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Reference in Securities to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Securities of any series authenticated and delivered after the execution of any supplemental indenture pursuant to this Article IX may, and shall if required by the Trustee or the Company, bear a notation in form approved by the Trustee as to any matter provided for in such supplemental indenture. If the Company shall so determine, new Securities of any series so modified as to conform, in the opinion of the Trustee and the Company, to any such supplemental indenture may be prepared and executed by the Company and authenticated and delivered by the Trustee in exchange for Outstanding Securities of such series.</w:t>
      </w: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1001. </w:t>
      </w:r>
      <w:r>
        <w:rPr>
          <w:rFonts w:ascii="Arial" w:cs="Arial" w:eastAsia="Arial" w:hAnsi="Arial"/>
          <w:sz w:val="18"/>
          <w:szCs w:val="18"/>
          <w:u w:val="single" w:color="auto"/>
          <w:color w:val="auto"/>
        </w:rPr>
        <w:t>Payment of Principal, Premium, if any, and Interest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The Company covenants and agrees for the benefit of each series of Securities that it will duly and punctually pay the principal of and premium, if any, and interest on the Securities of such series in accordance with the terms of the Securities and this Indenture. Principal and interest shall be considered paid on the date due if, on or before 11:00 a.m. (New York City time) on such date, the Trustee or the Paying Agent (or, if the Company or any of its Subsidiaries is the Paying Agent, the segregated account or separate trust fund maintained by the Company or such Subsidiary pursuant to Section 1004) holds in accordance with this Indenture money sufficient to pay all principal and interest then due.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274" w:right="259" w:bottom="1440" w:gutter="0" w:footer="0" w:header="0"/>
        </w:sectPr>
      </w:pPr>
    </w:p>
    <w:bookmarkStart w:id="96" w:name="page97"/>
    <w:bookmarkEnd w:id="96"/>
    <w:p>
      <w:pPr>
        <w:ind w:right="12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shall pay interest on overdue principal at the rate specified therefor in the Securities, and it shall pay interest on overdue installments of interest at the same rate to the extent lawful as provided in Section 307.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1002. </w:t>
      </w:r>
      <w:r>
        <w:rPr>
          <w:rFonts w:ascii="Arial" w:cs="Arial" w:eastAsia="Arial" w:hAnsi="Arial"/>
          <w:sz w:val="18"/>
          <w:szCs w:val="18"/>
          <w:u w:val="single" w:color="auto"/>
          <w:color w:val="auto"/>
        </w:rPr>
        <w:t>Corporate Existence</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The Company covenants and agrees, for the benefit of the Holders of Securities, that, subject to Article VIII, the Company will do or cause to be done all things necessary to preserve and keep in full force and effect its existence as a corporation or other legal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1003. </w:t>
      </w:r>
      <w:r>
        <w:rPr>
          <w:rFonts w:ascii="Arial" w:cs="Arial" w:eastAsia="Arial" w:hAnsi="Arial"/>
          <w:sz w:val="18"/>
          <w:szCs w:val="18"/>
          <w:u w:val="single" w:color="auto"/>
          <w:color w:val="auto"/>
        </w:rPr>
        <w:t>Maintenance of Office or Agency</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will maintain in each Place of Payment for any series of Securities an office or agency where Securities of such series may be presented or surrendered for payment, where Securities of such series may be surrendered for registration of transfer or exchange, where Securities may be surrendered for conversion, and where notices and demands to or upon the Company in respect of the Securities of such series and this Indenture may be served. The Company will give prompt written notice to the Trustee of the location, and any change in the location, of such office or agency. If at any time the Company shall fail to maintain any such required office or agency or shall fail to furnish the Trustee with the address thereof, such presentations, surrenders, notices and demands may be made or served at the Corporate Trust Office of the Trustee; and such required office or agency in the contiguous United States shall be at an office of the Trustee located at One California Street, Suite 1000, San Francisco, CA 94111, Attention: D. Jason (Marvell Technology Group). The Company hereby appoints the Trustee as its agent to receive all such presentations, surrenders, notices and demands; provided that the Trustee shall not be an agent of the Company for the purposes of service of legal process against the Company.</w:t>
      </w:r>
    </w:p>
    <w:p>
      <w:pPr>
        <w:spacing w:after="0" w:line="167" w:lineRule="exact"/>
        <w:rPr>
          <w:sz w:val="20"/>
          <w:szCs w:val="20"/>
          <w:color w:val="auto"/>
        </w:rPr>
      </w:pPr>
    </w:p>
    <w:p>
      <w:pPr>
        <w:ind w:right="100" w:firstLine="456"/>
        <w:spacing w:after="0" w:line="257" w:lineRule="auto"/>
        <w:rPr>
          <w:sz w:val="20"/>
          <w:szCs w:val="20"/>
          <w:color w:val="auto"/>
        </w:rPr>
      </w:pPr>
      <w:r>
        <w:rPr>
          <w:rFonts w:ascii="Arial" w:cs="Arial" w:eastAsia="Arial" w:hAnsi="Arial"/>
          <w:sz w:val="18"/>
          <w:szCs w:val="18"/>
          <w:color w:val="auto"/>
        </w:rPr>
        <w:t xml:space="preserve">The Company may also from time to time designate one or more other offices or agencies where the Securities of one or more series may be presented or surrendered for any or all such purposes and may from time to time rescind such designations;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such designation or rescission shall in any manner relieve the Company of its obligation to maintain an office or agency in each Place of Payment for Securities of any series for such purposes. The Company will give prompt written notice to the Trustee of any such designation or rescission and of any change in the location of any such other office or agency.</w:t>
      </w:r>
    </w:p>
    <w:p>
      <w:pPr>
        <w:spacing w:after="0" w:line="18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With respect to any Global Security, and except as otherwise may be specified for such Global Security as contemplated by Section 301, the Corporate Trust Office of the Trustee shall be the Place of Payment where such Global Security may be presented or surrendered for payment or for registration of transfer or exchange, or where successor Securities may be delivered in exchange therefor; and such Place of Payment with respect to a Global Security in the contiguous United States shall be at an office of the Trustee located at One California Street, Suite 1000, San Francisco, CA 94111, Attention: D. Jason (Marvell Technology Group);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any such payment, presentation, surrender or delivery effected pursuant to the Applicable Procedures of the Depositary for such Global Security shall be deemed to have been effected at the Place of Payment for such Global Security in accordance with the provisions of this Indenture.</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274" w:right="259" w:bottom="1440" w:gutter="0" w:footer="0" w:header="0"/>
        </w:sectPr>
      </w:pPr>
    </w:p>
    <w:bookmarkStart w:id="97" w:name="page98"/>
    <w:bookmarkEnd w:id="9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1004. </w:t>
      </w:r>
      <w:r>
        <w:rPr>
          <w:rFonts w:ascii="Arial" w:cs="Arial" w:eastAsia="Arial" w:hAnsi="Arial"/>
          <w:sz w:val="18"/>
          <w:szCs w:val="18"/>
          <w:u w:val="single" w:color="auto"/>
          <w:color w:val="auto"/>
        </w:rPr>
        <w:t>Money for Securities Payments to Be Held in Trust</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79" w:lineRule="auto"/>
        <w:rPr>
          <w:sz w:val="20"/>
          <w:szCs w:val="20"/>
          <w:color w:val="auto"/>
        </w:rPr>
      </w:pPr>
      <w:r>
        <w:rPr>
          <w:rFonts w:ascii="Arial" w:cs="Arial" w:eastAsia="Arial" w:hAnsi="Arial"/>
          <w:sz w:val="17"/>
          <w:szCs w:val="17"/>
          <w:color w:val="auto"/>
        </w:rPr>
        <w:t>If the Company shall at any time act as its own Paying Agent with respect to any series of Securities, it will, on or before each due date for the principal of or premium, if any, or interest on any of the Securities of such series, segregate and hold in trust for the benefit of the Trustee or the Holders of such Securities a sum sufficient to pay the principal and premium, if any, and interest so becoming due until such sums shall be paid to such Persons or otherwise disposed of as herein provided and will promptly notify the Trustee of its action or failure so to act.</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Whenever the Company shall have one or more Paying Agents for any series of Securities, it will, no later than 11:00 a.m. (New York City time) on each due date for the principal of or premium, if any, or interest on any Securities of such series, deposit with a Paying Agent a sum sufficient to pay such amount, such sum to be held in trust for the Persons entitled to the same, and (unless such Paying Agent is the Trustee) the Company will promptly notify the Trustee of its action or failure so to act.</w:t>
      </w:r>
    </w:p>
    <w:p>
      <w:pPr>
        <w:spacing w:after="0" w:line="18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 will cause each Paying Agent for any series of Securities other than the Trustee to execute and deliver to the Trustee an instrument in which such Paying Agent shall agree with the Trustee, subject to the provisions of this Section 1004, that such Paying Agent shall hold in trust for the benefit of Holders or the Trustee all money held by such Paying Agent for the payment of principal of or interest on the Securities and shall notify the Trustee in writing of any default by the Company in making any such payment.</w:t>
      </w:r>
    </w:p>
    <w:p>
      <w:pPr>
        <w:spacing w:after="0" w:line="187" w:lineRule="exact"/>
        <w:rPr>
          <w:sz w:val="20"/>
          <w:szCs w:val="20"/>
          <w:color w:val="auto"/>
        </w:rPr>
      </w:pPr>
    </w:p>
    <w:p>
      <w:pPr>
        <w:ind w:right="80" w:firstLine="456"/>
        <w:spacing w:after="0" w:line="279" w:lineRule="auto"/>
        <w:rPr>
          <w:sz w:val="20"/>
          <w:szCs w:val="20"/>
          <w:color w:val="auto"/>
        </w:rPr>
      </w:pPr>
      <w:r>
        <w:rPr>
          <w:rFonts w:ascii="Arial" w:cs="Arial" w:eastAsia="Arial" w:hAnsi="Arial"/>
          <w:sz w:val="17"/>
          <w:szCs w:val="17"/>
          <w:color w:val="auto"/>
        </w:rPr>
        <w:t>The Company may at any time, for the purpose of obtaining the satisfaction and discharge of this Indenture or for any other purpose, pay, or by Company Order direct any Paying Agent to pay, to the Trustee all sums held in trust by the Company or such Paying Agent, such sums to be held by the Trustee upon the same trusts as those upon which such sums were held by the Company or such Paying Agent; and, upon such payment by any Paying Agent to the Trustee, such Paying Agent shall be released from all further liability with respect to such money.</w:t>
      </w:r>
    </w:p>
    <w:p>
      <w:pPr>
        <w:spacing w:after="0" w:line="171" w:lineRule="exact"/>
        <w:rPr>
          <w:sz w:val="20"/>
          <w:szCs w:val="20"/>
          <w:color w:val="auto"/>
        </w:rPr>
      </w:pPr>
    </w:p>
    <w:p>
      <w:pPr>
        <w:ind w:right="240" w:firstLine="456"/>
        <w:spacing w:after="0" w:line="297" w:lineRule="auto"/>
        <w:rPr>
          <w:sz w:val="20"/>
          <w:szCs w:val="20"/>
          <w:color w:val="auto"/>
        </w:rPr>
      </w:pPr>
      <w:r>
        <w:rPr>
          <w:rFonts w:ascii="Arial" w:cs="Arial" w:eastAsia="Arial" w:hAnsi="Arial"/>
          <w:sz w:val="16"/>
          <w:szCs w:val="16"/>
          <w:color w:val="auto"/>
        </w:rPr>
        <w:t>Subject to any applicable abandoned property law, any money deposited with the Trustee or any Paying Agent, or then held by the Company, in trust for the payment of the principal of or premium, if any, or interest on any Security of any series and remaining unclaimed for two years after such principal, premium or interest has become due and payable shall be paid to the Company on Company Request, or (if then held by the Company) shall be discharged from such trust; and the Holder of such Security shall thereafter, as an unsecured general creditor, look only to the Company for payment thereof, and all liability of the Trustee or such Paying Agent with respect to such trust money, and all liability of the Company as trustee thereof, shall thereupon cease.</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1005. </w:t>
      </w:r>
      <w:r>
        <w:rPr>
          <w:rFonts w:ascii="Arial" w:cs="Arial" w:eastAsia="Arial" w:hAnsi="Arial"/>
          <w:sz w:val="18"/>
          <w:szCs w:val="18"/>
          <w:u w:val="single" w:color="auto"/>
          <w:color w:val="auto"/>
        </w:rPr>
        <w:t>Payment of Additional Amounts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The Company shall make all payments of principal of and premium, if any, interest and any other amounts on, or in respect of, the Securities without withholding or deduction at source for, or on account of, any present or future taxes, fees, duties, levies, imposts, assessments or governmental charges (including penalties, interest, additions and any other liability with respect thereto) of whatever nature (“</w:t>
      </w:r>
      <w:r>
        <w:rPr>
          <w:rFonts w:ascii="Arial" w:cs="Arial" w:eastAsia="Arial" w:hAnsi="Arial"/>
          <w:sz w:val="17"/>
          <w:szCs w:val="17"/>
          <w:u w:val="single" w:color="auto"/>
          <w:color w:val="auto"/>
        </w:rPr>
        <w:t>Taxes</w:t>
      </w:r>
      <w:r>
        <w:rPr>
          <w:rFonts w:ascii="Arial" w:cs="Arial" w:eastAsia="Arial" w:hAnsi="Arial"/>
          <w:sz w:val="17"/>
          <w:szCs w:val="17"/>
          <w:color w:val="auto"/>
        </w:rPr>
        <w:t>”) imposed or levied by or on behalf of Bermuda or any other jurisdiction in which the Company is organized or considered to be a resident for Tax purposes or any political subdivision or taxing authority thereof or therein or any jurisdiction from or through which payment on the Security is made (a “</w:t>
      </w:r>
      <w:r>
        <w:rPr>
          <w:rFonts w:ascii="Arial" w:cs="Arial" w:eastAsia="Arial" w:hAnsi="Arial"/>
          <w:sz w:val="17"/>
          <w:szCs w:val="17"/>
          <w:u w:val="single" w:color="auto"/>
          <w:color w:val="auto"/>
        </w:rPr>
        <w:t>Taxing Jurisdiction</w:t>
      </w:r>
      <w:r>
        <w:rPr>
          <w:rFonts w:ascii="Arial" w:cs="Arial" w:eastAsia="Arial" w:hAnsi="Arial"/>
          <w:sz w:val="17"/>
          <w:szCs w:val="17"/>
          <w:color w:val="auto"/>
        </w:rPr>
        <w:t>”),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the Company is so required to withhold or deduct any amount for or 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274" w:right="239" w:bottom="1440" w:gutter="0" w:footer="0" w:header="0"/>
        </w:sectPr>
      </w:pPr>
    </w:p>
    <w:bookmarkStart w:id="98" w:name="page99"/>
    <w:bookmarkEnd w:id="98"/>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account of Taxes, the Company shall, subject to certain limitations and exceptions described below, pay to the Holder of any Security such additional amounts (such additional amounts, “</w:t>
      </w:r>
      <w:r>
        <w:rPr>
          <w:rFonts w:ascii="Arial" w:cs="Arial" w:eastAsia="Arial" w:hAnsi="Arial"/>
          <w:sz w:val="18"/>
          <w:szCs w:val="18"/>
          <w:u w:val="single" w:color="auto"/>
          <w:color w:val="auto"/>
        </w:rPr>
        <w:t>Additional Amounts</w:t>
      </w:r>
      <w:r>
        <w:rPr>
          <w:rFonts w:ascii="Arial" w:cs="Arial" w:eastAsia="Arial" w:hAnsi="Arial"/>
          <w:sz w:val="18"/>
          <w:szCs w:val="18"/>
          <w:color w:val="auto"/>
        </w:rPr>
        <w:t>”) as may be necessary so that every net payment of principal, premium, if any, interest or any other amount made to such Holder, after the withholding or deduction (including any such withholding or deduction for such Additional Amounts), shall not be less than the amount provided for in such Security or in the Indenture to be then due and payable.</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shall not be required to pay any Additional Amounts for or on account of:</w:t>
      </w:r>
    </w:p>
    <w:p>
      <w:pPr>
        <w:spacing w:after="0" w:line="131" w:lineRule="exact"/>
        <w:rPr>
          <w:sz w:val="20"/>
          <w:szCs w:val="20"/>
          <w:color w:val="auto"/>
        </w:rPr>
      </w:pPr>
    </w:p>
    <w:p>
      <w:pPr>
        <w:ind w:left="900" w:right="60" w:hanging="446"/>
        <w:spacing w:after="0" w:line="290" w:lineRule="auto"/>
        <w:tabs>
          <w:tab w:leader="none" w:pos="900" w:val="left"/>
        </w:tabs>
        <w:numPr>
          <w:ilvl w:val="0"/>
          <w:numId w:val="85"/>
        </w:numPr>
        <w:rPr>
          <w:rFonts w:ascii="Arial" w:cs="Arial" w:eastAsia="Arial" w:hAnsi="Arial"/>
          <w:sz w:val="16"/>
          <w:szCs w:val="16"/>
          <w:color w:val="auto"/>
        </w:rPr>
      </w:pPr>
      <w:r>
        <w:rPr>
          <w:rFonts w:ascii="Arial" w:cs="Arial" w:eastAsia="Arial" w:hAnsi="Arial"/>
          <w:sz w:val="16"/>
          <w:szCs w:val="16"/>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Security, (b) presented, where presentation is required, such Security for payment in the relevant Taxing Jurisdiction or any political subdivision thereof, unless such Security could not have been presented for payment elsewhere, or (c) presented, where presentation is required, such Security for payment more than 30 days after the date on which the payment in respect of such Security became due and payable or provided for, whichever is later, except to the extent that the Holder would have been entitled to such Additional Amounts if it had presented such Security for payment on any day within that 30-day period;</w:t>
      </w:r>
    </w:p>
    <w:p>
      <w:pPr>
        <w:spacing w:after="0" w:line="71" w:lineRule="exact"/>
        <w:rPr>
          <w:rFonts w:ascii="Arial" w:cs="Arial" w:eastAsia="Arial" w:hAnsi="Arial"/>
          <w:sz w:val="16"/>
          <w:szCs w:val="16"/>
          <w:color w:val="auto"/>
        </w:rPr>
      </w:pPr>
    </w:p>
    <w:p>
      <w:pPr>
        <w:ind w:left="900" w:hanging="446"/>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900" w:right="40" w:hanging="446"/>
        <w:spacing w:after="0" w:line="276" w:lineRule="auto"/>
        <w:tabs>
          <w:tab w:leader="none" w:pos="900" w:val="left"/>
        </w:tabs>
        <w:numPr>
          <w:ilvl w:val="0"/>
          <w:numId w:val="85"/>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beneficial owner of such Security to comply with any reasonable request by the Company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77" w:lineRule="exact"/>
        <w:rPr>
          <w:rFonts w:ascii="Arial" w:cs="Arial" w:eastAsia="Arial" w:hAnsi="Arial"/>
          <w:sz w:val="17"/>
          <w:szCs w:val="17"/>
          <w:color w:val="auto"/>
        </w:rPr>
      </w:pPr>
    </w:p>
    <w:p>
      <w:pPr>
        <w:jc w:val="both"/>
        <w:ind w:left="900" w:right="60" w:hanging="446"/>
        <w:spacing w:after="0" w:line="264" w:lineRule="auto"/>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any withholding or deduction imposed on or in respect of any Security pursuant to Sections 1471 through 1474 of the Code, any current or future regulations or official interpretations thereof or intergovernmental agreements in connection therewith, and any agreements entered into pursuant to Section 1471(b)(1) of the Code;</w:t>
      </w:r>
    </w:p>
    <w:p>
      <w:pPr>
        <w:spacing w:after="0" w:line="86" w:lineRule="exact"/>
        <w:rPr>
          <w:rFonts w:ascii="Arial" w:cs="Arial" w:eastAsia="Arial" w:hAnsi="Arial"/>
          <w:sz w:val="18"/>
          <w:szCs w:val="18"/>
          <w:color w:val="auto"/>
        </w:rPr>
      </w:pPr>
    </w:p>
    <w:p>
      <w:pPr>
        <w:ind w:left="900" w:right="340" w:hanging="446"/>
        <w:spacing w:after="0" w:line="277" w:lineRule="auto"/>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274" w:right="239" w:bottom="1440" w:gutter="0" w:footer="0" w:header="0"/>
        </w:sectPr>
      </w:pPr>
    </w:p>
    <w:bookmarkStart w:id="99" w:name="page100"/>
    <w:bookmarkEnd w:id="99"/>
    <w:p>
      <w:pPr>
        <w:ind w:right="20" w:firstLine="456"/>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addition, the Company shall not pay Additional Amounts with respect to any payment of principal of, or premium, if any, interest or any other amounts on, any such Security to any Holder who is a fiduciary or partnership or other than the sole beneficial owner of such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Security.</w:t>
      </w:r>
    </w:p>
    <w:p>
      <w:pPr>
        <w:spacing w:after="0" w:line="15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order to comply with applicable tax laws (inclusive of rules, regulations and interpretations promulgated by competent authorities) related to this Indenture in effect from time to time (“</w:t>
      </w:r>
      <w:r>
        <w:rPr>
          <w:rFonts w:ascii="Arial" w:cs="Arial" w:eastAsia="Arial" w:hAnsi="Arial"/>
          <w:sz w:val="18"/>
          <w:szCs w:val="18"/>
          <w:u w:val="single" w:color="auto"/>
          <w:color w:val="auto"/>
        </w:rPr>
        <w:t>Applicable Tax Law</w:t>
      </w:r>
      <w:r>
        <w:rPr>
          <w:rFonts w:ascii="Arial" w:cs="Arial" w:eastAsia="Arial" w:hAnsi="Arial"/>
          <w:sz w:val="18"/>
          <w:szCs w:val="18"/>
          <w:color w:val="auto"/>
        </w:rPr>
        <w:t>”) that a foreign financial institution, issuer, trustee, paying agent or other party is or has agreed to be subject to, the Company agrees (i) to provide to the Trustee sufficient information about the parties and/or transactions (including any modification to the terms of such transactions) so the Trustee can determine whether it has Tax related obligations under Applicable Tax Law and (ii) that the Trustee shall be entitled to make any withholding or deduction from payments to the extent necessary to comply with Applicable Tax Law for which the Trustee shall not have any liability.</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Wherever in this Indenture or the Securities there are mentioned, in any context:</w:t>
      </w:r>
    </w:p>
    <w:p>
      <w:pPr>
        <w:spacing w:after="0" w:line="117" w:lineRule="exact"/>
        <w:rPr>
          <w:sz w:val="20"/>
          <w:szCs w:val="20"/>
          <w:color w:val="auto"/>
        </w:rPr>
      </w:pPr>
    </w:p>
    <w:p>
      <w:pPr>
        <w:ind w:left="720" w:hanging="256"/>
        <w:spacing w:after="0"/>
        <w:tabs>
          <w:tab w:leader="none" w:pos="720"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0"/>
          <w:numId w:val="86"/>
        </w:numPr>
        <w:rPr>
          <w:rFonts w:ascii="Arial" w:cs="Arial" w:eastAsia="Arial" w:hAnsi="Arial"/>
          <w:sz w:val="18"/>
          <w:szCs w:val="18"/>
          <w:color w:val="auto"/>
        </w:rPr>
      </w:pPr>
      <w:r>
        <w:rPr>
          <w:rFonts w:ascii="Arial" w:cs="Arial" w:eastAsia="Arial" w:hAnsi="Arial"/>
          <w:sz w:val="18"/>
          <w:szCs w:val="18"/>
          <w:color w:val="auto"/>
        </w:rPr>
        <w:t>purchase prices in connection with a purchase of Security,</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0"/>
          <w:numId w:val="86"/>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17" w:lineRule="exact"/>
        <w:rPr>
          <w:rFonts w:ascii="Arial" w:cs="Arial" w:eastAsia="Arial" w:hAnsi="Arial"/>
          <w:sz w:val="18"/>
          <w:szCs w:val="18"/>
          <w:color w:val="auto"/>
        </w:rPr>
      </w:pPr>
    </w:p>
    <w:p>
      <w:pPr>
        <w:ind w:left="720" w:hanging="256"/>
        <w:spacing w:after="0"/>
        <w:tabs>
          <w:tab w:leader="none" w:pos="720" w:val="left"/>
        </w:tabs>
        <w:numPr>
          <w:ilvl w:val="0"/>
          <w:numId w:val="86"/>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Securities,</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such reference shall be deemed to include payment of Additional Amounts as described under this section to the extent that, in such context, Additional Amounts are, were or would be payable in respect thereof.</w:t>
      </w:r>
    </w:p>
    <w:p>
      <w:pPr>
        <w:spacing w:after="0" w:line="170"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The Company shall pay any present or future stamp, court or documentary Taxes or other similar Taxes, charges or levies that arise in any Taxing Jurisdiction from the execution, delivery, enforcement or registration of the Securities, the Indenture, or any other document or instrument required in relation thereof, and the Company shall agree to indemnify the Holders for any such Taxes paid by such Holders. The obligations described in this Section 1005 shall survive any termination, defeasance or discharge of this Indenture and shall apply mutatis mutandis to any jurisdiction in which any successor Person to the Company is organized or any political subdivision or taxing authority or agency thereof or therein.</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1006.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1007. </w:t>
      </w:r>
      <w:r>
        <w:rPr>
          <w:rFonts w:ascii="Arial" w:cs="Arial" w:eastAsia="Arial" w:hAnsi="Arial"/>
          <w:sz w:val="18"/>
          <w:szCs w:val="18"/>
          <w:u w:val="single" w:color="auto"/>
          <w:color w:val="auto"/>
        </w:rPr>
        <w:t>Statement by Officers as to Default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The Company shall deliver to the Trustee within 120 days after the end of each fiscal year of the Company ending after the date hereof an Officer’s Certificate signed by its principal executive officer, principal financial officer or principal accounting officer, stating whether or not, to the best knowledge of such officer, the Company is in default in the performance and observance of any of the terms, provisions and conditions of this Indenture (without regard to any period of grace or requirement of notice provided hereunder) and, if the Company shall be in default, specifying all such defaults and the nature and status thereof of which they may have knowledge.</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80"/>
          </w:cols>
          <w:pgMar w:left="240" w:top="274" w:right="279" w:bottom="1440" w:gutter="0" w:footer="0" w:header="0"/>
        </w:sectPr>
      </w:pPr>
    </w:p>
    <w:bookmarkStart w:id="100" w:name="page101"/>
    <w:bookmarkEnd w:id="10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1008. </w:t>
      </w:r>
      <w:r>
        <w:rPr>
          <w:rFonts w:ascii="Arial" w:cs="Arial" w:eastAsia="Arial" w:hAnsi="Arial"/>
          <w:sz w:val="18"/>
          <w:szCs w:val="18"/>
          <w:u w:val="single" w:color="auto"/>
          <w:color w:val="auto"/>
        </w:rPr>
        <w:t>Provision of Financial Information</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For so long as any Securities are outstanding, if the Company is subject to Section 13(a) or 15(d) of the Exchange Act or any successor provision, the Company shall deliver to the Trustee and the Holders the annual reports, quarterly reports and other documents which it is required to file with the Commission pursuant to Section 13(a) or 15(d) or any successor provision, within 15 days after the date that it files the same with the Commission. If the Company is not subject to Section 13(a) or 15(d) of the Exchange Act or any successor provision, and for so long as any Securities are outstanding, the Company shall deliver to the Trustee and the Holders the quarterly and annual financial statements that would be required to be contained in annual reports on Form 10-K and quarterly reports on Form 10-Q required to be filed with the Commission if the Company was subject to Section 13(a) or 15(d) of the Exchange Act or any successor provision, within 15 days of the filing date that would be applicable to the Company at that time pursuant to applicable Commission rules and regulations.</w:t>
      </w:r>
    </w:p>
    <w:p>
      <w:pPr>
        <w:spacing w:after="0" w:line="192" w:lineRule="exact"/>
        <w:rPr>
          <w:sz w:val="20"/>
          <w:szCs w:val="20"/>
          <w:color w:val="auto"/>
        </w:rPr>
      </w:pPr>
    </w:p>
    <w:p>
      <w:pPr>
        <w:ind w:right="40" w:firstLine="456"/>
        <w:spacing w:after="0" w:line="272" w:lineRule="auto"/>
        <w:rPr>
          <w:sz w:val="20"/>
          <w:szCs w:val="20"/>
          <w:color w:val="auto"/>
        </w:rPr>
      </w:pPr>
      <w:r>
        <w:rPr>
          <w:rFonts w:ascii="Arial" w:cs="Arial" w:eastAsia="Arial" w:hAnsi="Arial"/>
          <w:sz w:val="17"/>
          <w:szCs w:val="17"/>
          <w:color w:val="auto"/>
        </w:rPr>
        <w:t xml:space="preserve">Reports and other documents filed by the Company with the Commission and publicly available via the EDGAR system or on the Company’s website will be deemed to be delivered to the Trustee and the Holders as of the time such filing is publicly available via EDGAR or on the Company’s website for purposes of this Section 1008;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Trustee shall have no obligation whatsoever to determine whether or not such information, documents or reports have been filed or are publicly available via EDGAR or on the Company’s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the Company’s compliance with any of its covenants under this Indenture (as to which the Trustee is entitled to rely exclusively on an Officer’s Certificate).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1009. </w:t>
      </w:r>
      <w:r>
        <w:rPr>
          <w:rFonts w:ascii="Arial" w:cs="Arial" w:eastAsia="Arial" w:hAnsi="Arial"/>
          <w:sz w:val="18"/>
          <w:szCs w:val="18"/>
          <w:u w:val="single" w:color="auto"/>
          <w:color w:val="auto"/>
        </w:rPr>
        <w:t>Waiver of Certain Covenants</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72" w:lineRule="auto"/>
        <w:rPr>
          <w:sz w:val="20"/>
          <w:szCs w:val="20"/>
          <w:color w:val="auto"/>
        </w:rPr>
      </w:pPr>
      <w:r>
        <w:rPr>
          <w:rFonts w:ascii="Arial" w:cs="Arial" w:eastAsia="Arial" w:hAnsi="Arial"/>
          <w:sz w:val="17"/>
          <w:szCs w:val="17"/>
          <w:color w:val="auto"/>
        </w:rPr>
        <w:t>Except as otherwise specified as contemplated by Section 301 for Securities of such series, the Company may, with respect to the Securities of any series, omit in any particular instance to comply with any term, provision or condition set forth in any covenant provided pursuant to Section 301(22), Section 901(1) or Section 901(8) for the benefit of the Holders of such series, if before the time for such compliance the Holders of at least a majority in aggregate principal amount of the Outstanding Securities of such series shall, by Act of such Holders, either waive such compliance in such instance or generally waive compliance with such term, provision or condition, but no such waiver shall extend to or affect such term, provision or condition except to the extent so expressly waived, and, until such waiver shall become effective, the obligations of the Company and the duties of the Trustee in respect of any such term, provision or condition shall remain in full force and effect.</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REDEMPTION OF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Securities of any series which are redeemable before their Stated Maturity shall be redeemable in accordance with their terms and (except as otherwise specified as contemplated by Section 301 for such Securities) in accordance with this Article XI.</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274" w:right="23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1102. </w:t>
      </w:r>
      <w:r>
        <w:rPr>
          <w:rFonts w:ascii="Arial" w:cs="Arial" w:eastAsia="Arial" w:hAnsi="Arial"/>
          <w:sz w:val="18"/>
          <w:szCs w:val="18"/>
          <w:u w:val="single" w:color="auto"/>
          <w:color w:val="auto"/>
        </w:rPr>
        <w:t>Election to Redeem; Notice to Trustee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The election of the Company to redeem any Securities shall be evidenced by a Board Resolution or an Officer’s Certificate or in another manner specified as contemplated by Section 301 for such Securities. In case of any redemption at the election of the Company of the Securities of any series (including any such redemption affecting only a single Security), the Company shall, at least 30 days prior to the Redemption Date fixed by the Company (unless a shorter notice shall be satisfactory to the Trustee), notify the Trustee of such Redemption Date, of the principal amount of Securities of such series to be redeemed and, if applicable, of the tenor of the Securities to be redeemed. In the case of any redemption of Securities (a) prior to the expiration of any restriction on such redemption provided in the terms of such Securities or elsewhere in this Indenture, or (b) pursuant to an election of the Company which is subject to a condition specified in the terms of such Securities or elsewhere in this Indenture, the Company shall furnish the Trustee with an Officer’s Certificate evidencing compliance with such restriction or condition.</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1103. </w:t>
      </w:r>
      <w:r>
        <w:rPr>
          <w:rFonts w:ascii="Arial" w:cs="Arial" w:eastAsia="Arial" w:hAnsi="Arial"/>
          <w:sz w:val="18"/>
          <w:szCs w:val="18"/>
          <w:u w:val="single" w:color="auto"/>
          <w:color w:val="auto"/>
        </w:rPr>
        <w:t>Selection by Trustee of Securities to Be Redeemed</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 xml:space="preserve">If less than all the Securities of any series are to be redeemed (unless all the Securities of such series and of a specified tenor are to be redeemed or unless such redemption affects only a single Security), the particular Securities to be redeemed shall be selected not more than 60 days prior to the Redemption Date, from the Outstanding Securities of such series not previously called for redemption, pro rata or by lot or by such other method as the Trustee shall deem fair and appropriate, or in the case of Global Securities, pursuant to applicable Depositary procedures;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unredeemed portion of the principal amount of any Security shall be in an authorized denomination (which shall not be less than the minimum authorized denomination) for such Security. If less than all the Securities of such series and of a specified tenor are to be redeemed (unless such redemption affects only a single Security), the particular Securities to be redeemed shall be selected not more than 60 days prior to the Redemption Date, from the Outstanding Securities of such series and specified tenor not previously called for redemption in accordance with the preceding sentence.</w:t>
      </w:r>
    </w:p>
    <w:p>
      <w:pPr>
        <w:spacing w:after="0" w:line="166"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If any Security selected for partial redemption is converted in part before termination of the conversion right with respect to the portion of the Security so selected, the converted portion of such Security shall be deemed (so far as may be) to be the portion selected for redemption. Securities which have been converted during a selection of securities to be redeemed shall be treated by the Trustee as Outstanding for the purpose of such selection.</w:t>
      </w:r>
    </w:p>
    <w:p>
      <w:pPr>
        <w:spacing w:after="0" w:line="147"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The Trustee shall promptly notify the Company in writing of the Securities selected for redemption as aforesaid and, in case of any Securities selected for partial redemption as aforesaid, the principal amount thereof to be redeemed.</w:t>
      </w:r>
    </w:p>
    <w:p>
      <w:pPr>
        <w:spacing w:after="0" w:line="170"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The provisions of the three preceding paragraphs shall not apply with respect to any redemption affecting only a single Security, whether such Security is to be redeemed in whole or in part. In the case of any such redemption in part, the unredeemed portion of the principal amount of the Security shall be in an authorized denomination (which shall not be less than the minimum authorized denomination) for such Security.</w:t>
      </w:r>
    </w:p>
    <w:p>
      <w:pPr>
        <w:spacing w:after="0" w:line="18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For all purposes of this Indenture, unless the context otherwise requires, all provisions relating to the redemption of Securities shall relate, in the case of any Securities redeemed or to be redeemed only in part, to the portion of the principal amount of such Securities which has been or is to be redeemed. If the Company shall so direct, Securities registered in the name of the Company, any Affiliate or any Subsidiary thereof shall not be included in the Securities selected for redemption.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274" w:right="239" w:bottom="1440" w:gutter="0" w:footer="0" w:header="0"/>
        </w:sectPr>
      </w:pPr>
    </w:p>
    <w:bookmarkStart w:id="102" w:name="page103"/>
    <w:bookmarkEnd w:id="10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1104. </w:t>
      </w:r>
      <w:r>
        <w:rPr>
          <w:rFonts w:ascii="Arial" w:cs="Arial" w:eastAsia="Arial" w:hAnsi="Arial"/>
          <w:sz w:val="18"/>
          <w:szCs w:val="18"/>
          <w:u w:val="single" w:color="auto"/>
          <w:color w:val="auto"/>
        </w:rPr>
        <w:t>Notice of Redemption</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Notice of redemption shall be given by first-class mail, overnight courier, hand delivery, facsimile transmission, email or other electronic transmission, or otherwise in accordance with the Applicable Procedures not less than 15 nor more than 60 days prior to the Redemption Date (or within such period as otherwise specified as contemplated by Section 301 for Securities of a series), to each Holder of Securities to be redeemed, at such Holder’s address appearing in the Security Register (with a copy to the Trustee).</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All notices of redemption shall identify the Securities to be redeemed and shall state:</w:t>
      </w:r>
    </w:p>
    <w:p>
      <w:pPr>
        <w:spacing w:after="0" w:line="131" w:lineRule="exact"/>
        <w:rPr>
          <w:sz w:val="20"/>
          <w:szCs w:val="20"/>
          <w:color w:val="auto"/>
        </w:rPr>
      </w:pPr>
    </w:p>
    <w:p>
      <w:pPr>
        <w:ind w:left="900" w:hanging="446"/>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Redemption Date;</w:t>
      </w:r>
    </w:p>
    <w:p>
      <w:pPr>
        <w:spacing w:after="0" w:line="130" w:lineRule="exact"/>
        <w:rPr>
          <w:rFonts w:ascii="Arial" w:cs="Arial" w:eastAsia="Arial" w:hAnsi="Arial"/>
          <w:sz w:val="18"/>
          <w:szCs w:val="18"/>
          <w:color w:val="auto"/>
        </w:rPr>
      </w:pPr>
    </w:p>
    <w:p>
      <w:pPr>
        <w:ind w:left="900" w:hanging="446"/>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Redemption Price (or the method of calculating such price);</w:t>
      </w:r>
    </w:p>
    <w:p>
      <w:pPr>
        <w:spacing w:after="0" w:line="130"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less than all the Outstanding Securities of any series consisting of more than a single Security are to be redeemed, the identification (and, in the case of partial redemption of any such Securities, the principal amounts) of the particular Securities to be redeemed and, if less than all the Outstanding Securities of any series consisting of a single Security are to be redeemed, the principal amount of the particular Security to be redeemed;</w:t>
      </w:r>
    </w:p>
    <w:p>
      <w:pPr>
        <w:spacing w:after="0" w:line="92"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that on the Redemption Date the Redemption Price will become due and payable upon each such Security to be redeemed and, if applicable, that interest thereon will cease to accrue on and after said date;</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place or places where each such Security is to be surrendered for payment of the Redemption Price;</w:t>
      </w:r>
    </w:p>
    <w:p>
      <w:pPr>
        <w:spacing w:after="0" w:line="130" w:lineRule="exact"/>
        <w:rPr>
          <w:rFonts w:ascii="Arial" w:cs="Arial" w:eastAsia="Arial" w:hAnsi="Arial"/>
          <w:sz w:val="18"/>
          <w:szCs w:val="18"/>
          <w:color w:val="auto"/>
        </w:rPr>
      </w:pPr>
    </w:p>
    <w:p>
      <w:pPr>
        <w:ind w:left="900" w:right="640" w:hanging="446"/>
        <w:spacing w:after="0" w:line="277"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for any Securities that by their terms may be converted, the terms of conversion, the date on which the right to convert the Security to be redeemed will terminate and the place or places where such Securities may be surrendered for conversion;</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that the redemption is for a sinking fund, if such is the case; and</w:t>
      </w:r>
    </w:p>
    <w:p>
      <w:pPr>
        <w:spacing w:after="0" w:line="130" w:lineRule="exact"/>
        <w:rPr>
          <w:rFonts w:ascii="Arial" w:cs="Arial" w:eastAsia="Arial" w:hAnsi="Arial"/>
          <w:sz w:val="18"/>
          <w:szCs w:val="18"/>
          <w:color w:val="auto"/>
        </w:rPr>
      </w:pPr>
    </w:p>
    <w:p>
      <w:pPr>
        <w:ind w:left="900" w:right="60" w:hanging="446"/>
        <w:spacing w:after="0" w:line="277" w:lineRule="auto"/>
        <w:tabs>
          <w:tab w:leader="none" w:pos="9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 xml:space="preserve">if applicable, the CUSIP numbers of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representation will be made as to the correctness or accuracy of the CUSIP number, or any similar number, if any, listed in such notice or printed on the Securities.</w:t>
      </w:r>
    </w:p>
    <w:p>
      <w:pPr>
        <w:spacing w:after="0" w:line="170"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color w:val="auto"/>
        </w:rPr>
        <w:t>Notice of redemption of Securities to be redeemed at the election of the Company shall be given by the Company, or at the Company’s request with five (5) Business Days’ prior written notice to the Trustee, or such shorter period as the Trustee may agree (which notice may be rescinded or revoked at any time prior to the time at which the Trustee shall have given such notice to the Holders), by the Trustee in the name and at the expense of the Company. The notice, if sent in the manner herein provided, shall be conclusively presumed to have been given, whether or not the Holder receives such notice. In any case, failure to give such notice by mail or otherwise in accordance with the Applicable Procedures or any defect in the notice to the Holder of any Security designated for redemption as a whole or in part shall not affect the validity of the proceedings for the redemption of any other Securities.</w:t>
      </w:r>
    </w:p>
    <w:p>
      <w:pPr>
        <w:spacing w:after="0" w:line="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80"/>
          </w:cols>
          <w:pgMar w:left="240" w:top="274" w:right="279" w:bottom="1440" w:gutter="0" w:footer="0" w:header="0"/>
        </w:sectPr>
      </w:pPr>
    </w:p>
    <w:bookmarkStart w:id="103" w:name="page104"/>
    <w:bookmarkEnd w:id="10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1105. </w:t>
      </w:r>
      <w:r>
        <w:rPr>
          <w:rFonts w:ascii="Arial" w:cs="Arial" w:eastAsia="Arial" w:hAnsi="Arial"/>
          <w:sz w:val="18"/>
          <w:szCs w:val="18"/>
          <w:u w:val="single" w:color="auto"/>
          <w:color w:val="auto"/>
        </w:rPr>
        <w:t>Deposit of Redemption Price</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By no later than 11:00 a.m. (New York City time) on any Redemption Date, the Company shall deposit with the Trustee or with a Paying Agent (or, if the Company is acting as its own Paying Agent, segregate and hold in trust as provided in Section 1004) an amount of money sufficient to pay the Redemption Price of, and (except if the Redemption Date shall be an Interest Payment Date or the Securities of the series provide otherwise) accrued interest on, all the Securities which are to be redeemed on that date, other than Securities or portions of Securities called for redemption which are owned by the Company or a Subsidiary and have been delivered by the Company or such Subsidiary to the Trustee for cancellation. All money, if any, earned on funds held by the Paying Agent shall be remitted to the Company. In addition, the Paying Agent shall promptly return to the Company any money deposited with the Paying Agent by the Company in excess of the amounts necessary to pay the Redemption Price of, and accrued interest, if any, on, all Securities to be redeemed.</w:t>
      </w:r>
    </w:p>
    <w:p>
      <w:pPr>
        <w:spacing w:after="0" w:line="192"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If any Security called for redemption is converted, any money deposited with the Trustee or with any Paying Agent or so segregated and held in trust for the redemption of such Security shall (subject to any right of the Holder of such Security or any Predecessor Security to receive interest as provided in the last paragraph of Section 307 or in the terms of such Security) be paid to the Company upon Company Request or, if then held by the Company, shall be discharged from such trust.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1106. </w:t>
      </w:r>
      <w:r>
        <w:rPr>
          <w:rFonts w:ascii="Arial" w:cs="Arial" w:eastAsia="Arial" w:hAnsi="Arial"/>
          <w:sz w:val="18"/>
          <w:szCs w:val="18"/>
          <w:u w:val="single" w:color="auto"/>
          <w:color w:val="auto"/>
        </w:rPr>
        <w:t>Securities Payable on Redemption Date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0" w:lineRule="auto"/>
        <w:rPr>
          <w:sz w:val="20"/>
          <w:szCs w:val="20"/>
          <w:color w:val="auto"/>
        </w:rPr>
      </w:pPr>
      <w:r>
        <w:rPr>
          <w:rFonts w:ascii="Arial" w:cs="Arial" w:eastAsia="Arial" w:hAnsi="Arial"/>
          <w:sz w:val="17"/>
          <w:szCs w:val="17"/>
          <w:color w:val="auto"/>
        </w:rPr>
        <w:t xml:space="preserve">Notice of redemption having been given as aforesaid, the Securities so to be redeemed shall, on the Redemption Date, become due and payable at the Redemption Price therein specified, and from and after such date (unless the Company shall default in the payment of the Redemption Price and accrued interest) such Securities shall cease to bear interest. Upon surrender of any such Security for redemption in accordance with said notice, such Security shall be paid by the Company at the Redemption Price, together, if applicable, with accrued interest to the Redemption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xml:space="preserve">, that, unless otherwise specified as contemplated by Section 301, installments of interest whose Stated Maturity is on or prior to the Redemption Date will be payable to the Holders of such Securities, or one or more Predecessor Securities, registered as such at the close of business on the relevant Regular Record Date according to their terms and the provisions of Section 307;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unless otherwise specified as contemplated by Section 301, if the Redemption Date is after a Regular Record Date and on or prior to the Interest Payment Date, the accrued and unpaid interest shall be payable to the Holder of the redeemed Securities registered on the relevant Regular Record Date.</w:t>
      </w:r>
    </w:p>
    <w:p>
      <w:pPr>
        <w:spacing w:after="0" w:line="182" w:lineRule="exact"/>
        <w:rPr>
          <w:sz w:val="20"/>
          <w:szCs w:val="20"/>
          <w:color w:val="auto"/>
        </w:rPr>
      </w:pPr>
    </w:p>
    <w:p>
      <w:pPr>
        <w:ind w:right="300" w:firstLine="456"/>
        <w:spacing w:after="0" w:line="277" w:lineRule="auto"/>
        <w:rPr>
          <w:sz w:val="20"/>
          <w:szCs w:val="20"/>
          <w:color w:val="auto"/>
        </w:rPr>
      </w:pPr>
      <w:r>
        <w:rPr>
          <w:rFonts w:ascii="Arial" w:cs="Arial" w:eastAsia="Arial" w:hAnsi="Arial"/>
          <w:sz w:val="18"/>
          <w:szCs w:val="18"/>
          <w:color w:val="auto"/>
        </w:rPr>
        <w:t>If any Security called for redemption shall not be so paid upon surrender thereof for redemption, the principal and premium, if any, shall, until paid, bear interest from the Redemption Date at the rate prescribed therefor in the Security.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1107. </w:t>
      </w:r>
      <w:r>
        <w:rPr>
          <w:rFonts w:ascii="Arial" w:cs="Arial" w:eastAsia="Arial" w:hAnsi="Arial"/>
          <w:sz w:val="18"/>
          <w:szCs w:val="18"/>
          <w:u w:val="single" w:color="auto"/>
          <w:color w:val="auto"/>
        </w:rPr>
        <w:t>Securities Redeemed in Part</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Any Security which is to be redeemed only in part shall be surrendered at a Place of Payment therefor (with, if the Company or the Trustee so requires, due endorsement by, or a written instrument of transfer in form satisfactory to the Company and the Trustee duly executed by, the Holder thereof or such Holder’s attorney duly authorized in writing), and the Company shall execute, and the Trustee shall</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274" w:right="259" w:bottom="1440" w:gutter="0" w:footer="0" w:header="0"/>
        </w:sectPr>
      </w:pPr>
    </w:p>
    <w:bookmarkStart w:id="104" w:name="page105"/>
    <w:bookmarkEnd w:id="104"/>
    <w:p>
      <w:pPr>
        <w:jc w:val="both"/>
        <w:ind w:right="5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authenticate and deliver to the Holder of such Security without service charge, a new Security or Securities of the same series and of like tenor, of any authorized denomination as requested by such Holder, in principal amount equal to and in exchange for the unredeemed portion of the principal of the Security so surrendered.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1108. </w:t>
      </w:r>
      <w:r>
        <w:rPr>
          <w:rFonts w:ascii="Arial" w:cs="Arial" w:eastAsia="Arial" w:hAnsi="Arial"/>
          <w:sz w:val="18"/>
          <w:szCs w:val="18"/>
          <w:u w:val="single" w:color="auto"/>
          <w:color w:val="auto"/>
        </w:rPr>
        <w:t>Redemption for Tax Purposes</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Company may redeem the Securities at its option, in whole but not in part, at a redemption price equal to 100% of the principal amount, together with accrued and unpaid interest to the Redemption Date, at any time the Company receives an Opinion of Counsel that as a result of (1) any change in or amendment to the laws or treaties (or any regulations or rulings promulgated under these laws or treaties) of Bermuda or any Taxing Jurisdiction (or of any political subdivision or taxing authority thereof or therein affecting taxation) or any change in the application or official interpretation of such laws, regulations or rulings, or (2) any action taken by a taxing authority of Bermuda or any Taxing Jurisdiction (or any political subdivision or taxing authority thereof or therein) affecting taxation, which action is applied generally or is taken with respect to the Company, or (3) a decision rendered by a court of competent jurisdiction in Bermuda or any Taxing Jurisdiction (or any political subdivision thereof) whether or not such decision was rendered with respect to the Company, the Company will be required as of the next Interest Payment Date to pay Additional Amounts with respect to the Securities as provided in Section 1005 and such requirement cannot be avoided by the use of reasonable measures (consistent with practices and interpretations generally followed or in effect at the time such measures could be taken) then available. If the Company elects to redeem the Securities under this provision, the Company will give written notice of such election at least 15 days but no more than 60 days before the Redemption Date to the Trustee and the Holders. Interest on the Securities will cease to accrue on the Redemption Date unless the Company defaults in the payment of the Redemption Price set forth in this Section 1108.</w:t>
      </w:r>
    </w:p>
    <w:p>
      <w:pPr>
        <w:spacing w:after="0" w:line="38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ARTICLE XII</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SINKING FUNDS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The provisions of this Article XII shall be applicable to any sinking fund for the retirement of Securities of any series except as otherwise specified as contemplated by Section 301 for such Securities.</w:t>
      </w:r>
    </w:p>
    <w:p>
      <w:pPr>
        <w:spacing w:after="0" w:line="170"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minimum amount of any sinking fund payment provided for by the terms of any series of Securities is herein referred to as a “mandatory sinking fund payment,” and any payment in excess of such minimum amount provided for by the terms of such Securities is herein referred to as an “optional sinking fund payment.” If provided for by the terms of any series of Securities, the cash amount of any sinking fund payment may be subject to reduction as provided in Section 1202. Each sinking fund payment shall be applied to the redemption of Securities of the series as provided for by the terms of such Securities.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1202. </w:t>
      </w:r>
      <w:r>
        <w:rPr>
          <w:rFonts w:ascii="Arial" w:cs="Arial" w:eastAsia="Arial" w:hAnsi="Arial"/>
          <w:sz w:val="18"/>
          <w:szCs w:val="18"/>
          <w:u w:val="single" w:color="auto"/>
          <w:color w:val="auto"/>
        </w:rPr>
        <w:t>Satisfaction of Sinking Fund Payments with Securities</w:t>
      </w:r>
      <w:r>
        <w:rPr>
          <w:rFonts w:ascii="Arial" w:cs="Arial" w:eastAsia="Arial" w:hAnsi="Arial"/>
          <w:sz w:val="18"/>
          <w:szCs w:val="18"/>
          <w:color w:val="auto"/>
        </w:rPr>
        <w:t>.</w:t>
      </w:r>
    </w:p>
    <w:p>
      <w:pPr>
        <w:spacing w:after="0" w:line="117" w:lineRule="exact"/>
        <w:rPr>
          <w:sz w:val="20"/>
          <w:szCs w:val="20"/>
          <w:color w:val="auto"/>
        </w:rPr>
      </w:pPr>
    </w:p>
    <w:p>
      <w:pPr>
        <w:ind w:right="180" w:firstLine="456"/>
        <w:spacing w:after="0" w:line="342" w:lineRule="auto"/>
        <w:rPr>
          <w:sz w:val="20"/>
          <w:szCs w:val="20"/>
          <w:color w:val="auto"/>
        </w:rPr>
      </w:pPr>
      <w:r>
        <w:rPr>
          <w:rFonts w:ascii="Arial" w:cs="Arial" w:eastAsia="Arial" w:hAnsi="Arial"/>
          <w:sz w:val="16"/>
          <w:szCs w:val="16"/>
          <w:color w:val="auto"/>
        </w:rPr>
        <w:t>The Company (1) may deliver Outstanding Securities of a series (other than any previously called for redemption) and (2) may apply as a credit Securities of a series which have been redeemed either at the election of the Company pursuant to the terms of such Securities or through the application of</w:t>
      </w:r>
    </w:p>
    <w:p>
      <w:pPr>
        <w:spacing w:after="0" w:line="5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274" w:right="279" w:bottom="1440" w:gutter="0" w:footer="0" w:header="0"/>
        </w:sectPr>
      </w:pPr>
    </w:p>
    <w:bookmarkStart w:id="105" w:name="page106"/>
    <w:bookmarkEnd w:id="105"/>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permitted optional sinking fund payments pursuant to the terms of such Securities, in each case in satisfaction of all or any part of any sinking fund payment with respect to any Securities of such series required to be made pursuant to the terms of such Securities as and to the extent provided for by the terms of such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Securities to be so credited have not been previously so credited. The Securities to be so credited shall be received and credited for such purpose by the Trustee at the Redemption Price, as specified in the Securities so to be redeemed, for redemption through operation of the sinking fund and the amount of such sinking fund payment shall be reduced accordingly.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1203. </w:t>
      </w:r>
      <w:r>
        <w:rPr>
          <w:rFonts w:ascii="Arial" w:cs="Arial" w:eastAsia="Arial" w:hAnsi="Arial"/>
          <w:sz w:val="18"/>
          <w:szCs w:val="18"/>
          <w:u w:val="single" w:color="auto"/>
          <w:color w:val="auto"/>
        </w:rPr>
        <w:t>Redemption of Securities for Sinking Fund</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271" w:lineRule="auto"/>
        <w:rPr>
          <w:sz w:val="20"/>
          <w:szCs w:val="20"/>
          <w:color w:val="auto"/>
        </w:rPr>
      </w:pPr>
      <w:r>
        <w:rPr>
          <w:rFonts w:ascii="Arial" w:cs="Arial" w:eastAsia="Arial" w:hAnsi="Arial"/>
          <w:sz w:val="17"/>
          <w:szCs w:val="17"/>
          <w:color w:val="auto"/>
        </w:rPr>
        <w:t>Not less than 45 days (or such shorter period as shall be satisfactory to the Trustee) prior to each sinking fund payment date for any Securities, the Company will deliver to the Trustee an Officer’s Certificate specifying the amount of the next ensuing sinking fund payment for such Securities pursuant to the terms of such Securities, the portion thereof, if any, which is to be satisfied by payment of cash and the portion thereof, if any, which is to be satisfied by delivering and crediting Securities pursuant to Section 1202 and will also deliver to the Trustee any Securities to be so delivered. Not less than 30 days prior to each such sinking fund payment date, the Securities to be redeemed upon such sinking fund payment date shall be selected in the manner specified in Section 1103 and the Company shall cause notice of the redemption thereof to be given in the name of and at the expense of the Company in the manner provided in Section 1104. Such notice having been duly given, the redemption of such Securities shall be made upon the terms and in the manner stated in Section 1106 and Section 1107.</w:t>
      </w:r>
    </w:p>
    <w:p>
      <w:pPr>
        <w:spacing w:after="0" w:line="39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ARTICLE XIII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DEFEASANCE AND COVENANT DEFEASANCE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1301. </w:t>
      </w:r>
      <w:r>
        <w:rPr>
          <w:rFonts w:ascii="Arial" w:cs="Arial" w:eastAsia="Arial" w:hAnsi="Arial"/>
          <w:sz w:val="18"/>
          <w:szCs w:val="18"/>
          <w:u w:val="single" w:color="auto"/>
          <w:color w:val="auto"/>
        </w:rPr>
        <w:t>Company’s Option to Effect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Unless otherwise provided as contemplated by Section 301, Section 1302 and Section 1303 shall apply to all Securities or each series of Securities, as the case may be, in either case, denominated in U.S. dollars and bearing interest at a fixed rate, in accordance with any applicable requirements provided pursuant to Section 301 and upon compliance with the conditions set forth below in this Article XIII; and the Company may elect, at its option at any time, to have Section 1302 and Section 1303 applied to any Securities or any series of Securities, as the case may be, pursuant to such Section 1302 or Section 1303, in accordance with any applicable requirements provided pursuant to Section 301 and upon compliance with the conditions set forth below in this Article XIII. Any such election to have or not to have Section 1302 and Section 1303 apply, as the case may be, shall be evidenced by a Board Resolution, Officer’s Certificate or in another manner specified as contemplated by Section 301 for such Securities.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1302. </w:t>
      </w:r>
      <w:r>
        <w:rPr>
          <w:rFonts w:ascii="Arial" w:cs="Arial" w:eastAsia="Arial" w:hAnsi="Arial"/>
          <w:sz w:val="18"/>
          <w:szCs w:val="18"/>
          <w:u w:val="single" w:color="auto"/>
          <w:color w:val="auto"/>
        </w:rPr>
        <w:t>Defeasance and Discharge</w:t>
      </w:r>
      <w:r>
        <w:rPr>
          <w:rFonts w:ascii="Arial" w:cs="Arial" w:eastAsia="Arial" w:hAnsi="Arial"/>
          <w:sz w:val="18"/>
          <w:szCs w:val="18"/>
          <w:color w:val="auto"/>
        </w:rPr>
        <w:t>.</w:t>
      </w:r>
    </w:p>
    <w:p>
      <w:pPr>
        <w:spacing w:after="0" w:line="117"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color w:val="auto"/>
        </w:rPr>
        <w:t>Upon the Company’s exercise of its option, if any, to have this Section 1302 applied to any Securities or any series of Securities, as the case may be, or if this Section 1302 shall otherwise apply to any Securities or any series of Securities, as the case may be, the Company shall be deemed to have been discharged from its obligations with respect to such Securities as provided in this Section 1302 on and after the date the conditions set forth in Section 1304 are satisfied (hereinafter called “</w:t>
      </w:r>
      <w:r>
        <w:rPr>
          <w:rFonts w:ascii="Arial" w:cs="Arial" w:eastAsia="Arial" w:hAnsi="Arial"/>
          <w:sz w:val="16"/>
          <w:szCs w:val="16"/>
          <w:u w:val="single" w:color="auto"/>
          <w:color w:val="auto"/>
        </w:rPr>
        <w:t>Defeasance</w:t>
      </w:r>
      <w:r>
        <w:rPr>
          <w:rFonts w:ascii="Arial" w:cs="Arial" w:eastAsia="Arial" w:hAnsi="Arial"/>
          <w:sz w:val="16"/>
          <w:szCs w:val="16"/>
          <w:color w:val="auto"/>
        </w:rPr>
        <w:t>”). For this purpose, such Defeasance means that the Company shall be deemed to have paid and discharged the entire indebtedness represented by such Securities and to have satisfied all its other obligations under such Securities and this Indenture insofar as such Securities are concerned (and the Trustee, at the expense of the Company, shall execute such instruments reasonably requested by the Company</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274" w:right="259" w:bottom="1440" w:gutter="0" w:footer="0" w:header="0"/>
        </w:sectPr>
      </w:pPr>
    </w:p>
    <w:bookmarkStart w:id="106" w:name="page107"/>
    <w:bookmarkEnd w:id="106"/>
    <w:p>
      <w:pPr>
        <w:ind w:right="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acknowledging the same), subject to the following which shall survive until otherwise terminated or discharged hereunder: (1) the rights of Holders of such Securities to receive, solely from the trust fund described in Section 1304 and as more fully set forth in such Section 1305, payments in respect of the principal of and premium, if any, and interest on such Securities when payments are due, (2) the Company’s obligations with respect to such Securities under Section 304, Section 305, Section 306, Section 1003, Section 1004, Section 1005 and the Company’s obligations to the Trustee under Section 607, (3) the rights, powers, trusts, duties and immunities of the Trustee hereunder and (4) this Article XIII. Subject to compliance with this Article XIII, the Company may exercise its option, if any, to have this Section 1302 applied to the Securities of any series notwithstanding the prior exercise of its option, if any, to have Section 1303 applied to such Securities.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1303. </w:t>
      </w:r>
      <w:r>
        <w:rPr>
          <w:rFonts w:ascii="Arial" w:cs="Arial" w:eastAsia="Arial" w:hAnsi="Arial"/>
          <w:sz w:val="18"/>
          <w:szCs w:val="18"/>
          <w:u w:val="single" w:color="auto"/>
          <w:color w:val="auto"/>
        </w:rPr>
        <w:t>Covenant Defeasance</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70" w:lineRule="auto"/>
        <w:rPr>
          <w:sz w:val="20"/>
          <w:szCs w:val="20"/>
          <w:color w:val="auto"/>
        </w:rPr>
      </w:pPr>
      <w:r>
        <w:rPr>
          <w:rFonts w:ascii="Arial" w:cs="Arial" w:eastAsia="Arial" w:hAnsi="Arial"/>
          <w:sz w:val="17"/>
          <w:szCs w:val="17"/>
          <w:color w:val="auto"/>
        </w:rPr>
        <w:t>Upon the Company’s exercise of its option, if any, to have this Section 1303 applied to any Securities or any series of Securities, as the case may be, or if this Section 1303 shall otherwise apply to any Securities or any series of Securities, as the case may be, (1) the Company shall be released from its obligations under any covenants provided pursuant to Section 301(22), Section 901(1) or Section 901(8) for the benefit of the Holders of such Securities and the covenants set forth in Section 704, Section 1002, Section 1007 and Section 801, and (2) the occurrence of any event specified in Section 501(3) and Section 501(6) shall be deemed not to be or result in an Event of Default, in each case with respect to such Securities as provided in this Section 1303 on and after the date the conditions set forth in Section 1304 are satisfied (hereinafter called “</w:t>
      </w:r>
      <w:r>
        <w:rPr>
          <w:rFonts w:ascii="Arial" w:cs="Arial" w:eastAsia="Arial" w:hAnsi="Arial"/>
          <w:sz w:val="17"/>
          <w:szCs w:val="17"/>
          <w:u w:val="single" w:color="auto"/>
          <w:color w:val="auto"/>
        </w:rPr>
        <w:t>Covenant Defeasance</w:t>
      </w:r>
      <w:r>
        <w:rPr>
          <w:rFonts w:ascii="Arial" w:cs="Arial" w:eastAsia="Arial" w:hAnsi="Arial"/>
          <w:sz w:val="17"/>
          <w:szCs w:val="17"/>
          <w:color w:val="auto"/>
        </w:rPr>
        <w:t>”). For this purpose, such Covenant Defeasance means that, with respect to such Securities, the Company may omit to comply with and shall have no liability in respect of any term, condition or limitation set forth in any such specified Section, whether directly or indirectly by reason of any reference elsewhere herein to any such Section or by reason of any reference in any such Section to any other provision herein or in any other document, but the remainder of this Indenture and such Securities shall be unaffected thereby.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1304. </w:t>
      </w:r>
      <w:r>
        <w:rPr>
          <w:rFonts w:ascii="Arial" w:cs="Arial" w:eastAsia="Arial" w:hAnsi="Arial"/>
          <w:sz w:val="18"/>
          <w:szCs w:val="18"/>
          <w:u w:val="single" w:color="auto"/>
          <w:color w:val="auto"/>
        </w:rPr>
        <w:t>Conditions to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shall be the conditions to the application of Section 1302 or Section 1303 to any Securities or any series of Securities, as the case may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be:</w:t>
      </w:r>
    </w:p>
    <w:p>
      <w:pPr>
        <w:spacing w:after="0" w:line="116" w:lineRule="exact"/>
        <w:rPr>
          <w:sz w:val="20"/>
          <w:szCs w:val="20"/>
          <w:color w:val="auto"/>
        </w:rPr>
      </w:pPr>
    </w:p>
    <w:p>
      <w:pPr>
        <w:ind w:left="900" w:hanging="446"/>
        <w:spacing w:after="0" w:line="288" w:lineRule="auto"/>
        <w:tabs>
          <w:tab w:leader="none" w:pos="900" w:val="left"/>
        </w:tabs>
        <w:numPr>
          <w:ilvl w:val="0"/>
          <w:numId w:val="88"/>
        </w:numPr>
        <w:rPr>
          <w:rFonts w:ascii="Arial" w:cs="Arial" w:eastAsia="Arial" w:hAnsi="Arial"/>
          <w:sz w:val="16"/>
          <w:szCs w:val="16"/>
          <w:color w:val="auto"/>
        </w:rPr>
      </w:pPr>
      <w:r>
        <w:rPr>
          <w:rFonts w:ascii="Arial" w:cs="Arial" w:eastAsia="Arial" w:hAnsi="Arial"/>
          <w:sz w:val="16"/>
          <w:szCs w:val="16"/>
          <w:color w:val="auto"/>
        </w:rPr>
        <w:t>The Company shall irrevocably have deposited or caused to be deposited with the Trustee (or another trustee which satisfies the requirements contemplated by Section 609 and agrees to comply with the provisions of this Article XIII applicable to it) as trust funds in trust for the purpose of making the following payments, specifically pledged as security for, and dedicated solely to, the benefits of the Holders of such Securities, (A) money in an amount, or (B) (i) in the case of any Securities denominated in U.S. Dollars, cash in U.S. Dollars and/or U.S. Government Obligations, and (ii) in the case of any Securities denominated in a Foreign Currency (other than composite currency), money and/or Foreign Government Obligations, in each case which through the scheduled payment of principal and interest in respect thereof in accordance with their terms will provide money in an amount, or (C) a combination thereof, in each case sufficient, in the opinion of a nationally recognized firm of independent public accountants expressed in a written certification thereof delivered to the Trustee, to pay and discharge, and which shall be applied by the Trustee (or any such other qualifying trustee) to pay and discharge, the principal of and premium, if any, and interest on such Securities on the respective Stated Maturities, in accordance with the terms of this Indenture and such Securities. As used</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274" w:right="279" w:bottom="1440" w:gutter="0" w:footer="0" w:header="0"/>
        </w:sectPr>
      </w:pPr>
    </w:p>
    <w:bookmarkStart w:id="107" w:name="page108"/>
    <w:bookmarkEnd w:id="107"/>
    <w:p>
      <w:pPr>
        <w:ind w:left="466" w:right="10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herein, “</w:t>
      </w:r>
      <w:r>
        <w:rPr>
          <w:rFonts w:ascii="Arial" w:cs="Arial" w:eastAsia="Arial" w:hAnsi="Arial"/>
          <w:sz w:val="16"/>
          <w:szCs w:val="16"/>
          <w:u w:val="single" w:color="auto"/>
          <w:color w:val="auto"/>
        </w:rPr>
        <w:t>U.S. Government Obligation</w:t>
      </w:r>
      <w:r>
        <w:rPr>
          <w:rFonts w:ascii="Arial" w:cs="Arial" w:eastAsia="Arial" w:hAnsi="Arial"/>
          <w:sz w:val="16"/>
          <w:szCs w:val="16"/>
          <w:color w:val="auto"/>
        </w:rPr>
        <w:t>” means (x) any security which is (i) a direct obligation of the United States of America for the payment of which the full faith and credit of the United States of America is pledged or (ii) an obligation of a Person controlled or supervised by and acting as an agency or instrumentality of the United States of America the payment of which is unconditionally guaranteed as a full faith and credit obligation by the United States of America, which, in either case (i) or (ii), is not callable or redeemable at the option of the issuer thereof, and</w:t>
      </w:r>
    </w:p>
    <w:p>
      <w:pPr>
        <w:spacing w:after="0" w:line="2" w:lineRule="exact"/>
        <w:rPr>
          <w:sz w:val="20"/>
          <w:szCs w:val="20"/>
          <w:color w:val="auto"/>
        </w:rPr>
      </w:pPr>
    </w:p>
    <w:p>
      <w:pPr>
        <w:ind w:left="466" w:right="40" w:hanging="7"/>
        <w:spacing w:after="0" w:line="252" w:lineRule="auto"/>
        <w:tabs>
          <w:tab w:leader="none" w:pos="721" w:val="left"/>
        </w:tabs>
        <w:numPr>
          <w:ilvl w:val="1"/>
          <w:numId w:val="89"/>
        </w:numPr>
        <w:rPr>
          <w:rFonts w:ascii="Arial" w:cs="Arial" w:eastAsia="Arial" w:hAnsi="Arial"/>
          <w:sz w:val="18"/>
          <w:szCs w:val="18"/>
          <w:color w:val="auto"/>
        </w:rPr>
      </w:pPr>
      <w:r>
        <w:rPr>
          <w:rFonts w:ascii="Arial" w:cs="Arial" w:eastAsia="Arial" w:hAnsi="Arial"/>
          <w:sz w:val="18"/>
          <w:szCs w:val="18"/>
          <w:color w:val="auto"/>
        </w:rPr>
        <w:t xml:space="preserve">any depositary receipt issued by a bank (as defined in Section 3(a)(2) of the Securities Act) as custodian with respect to any U.S. Government Obligation which is specified in clause (x) above and held by such bank for the account of the holder of such depositary receipt, or with respect to any specific payment of principal of or interest on any U.S. Government Obligation which is so specified and held;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(except as required by law) such custodian is not authorized to make any deduction from the amount payable to the holder of such depositary receipt from any amount received by the custodian in respect of the U.S. Government Obligation or the specific payment of principal or interest evidenced by such depositary receipt.</w:t>
      </w:r>
    </w:p>
    <w:p>
      <w:pPr>
        <w:spacing w:after="0" w:line="99" w:lineRule="exact"/>
        <w:rPr>
          <w:rFonts w:ascii="Arial" w:cs="Arial" w:eastAsia="Arial" w:hAnsi="Arial"/>
          <w:sz w:val="18"/>
          <w:szCs w:val="18"/>
          <w:color w:val="auto"/>
        </w:rPr>
      </w:pPr>
    </w:p>
    <w:p>
      <w:pPr>
        <w:ind w:left="446" w:right="100" w:hanging="446"/>
        <w:spacing w:after="0" w:line="288" w:lineRule="auto"/>
        <w:tabs>
          <w:tab w:leader="none" w:pos="446" w:val="left"/>
        </w:tabs>
        <w:numPr>
          <w:ilvl w:val="0"/>
          <w:numId w:val="90"/>
        </w:numPr>
        <w:rPr>
          <w:rFonts w:ascii="Arial" w:cs="Arial" w:eastAsia="Arial" w:hAnsi="Arial"/>
          <w:sz w:val="16"/>
          <w:szCs w:val="16"/>
          <w:color w:val="auto"/>
        </w:rPr>
      </w:pPr>
      <w:r>
        <w:rPr>
          <w:rFonts w:ascii="Arial" w:cs="Arial" w:eastAsia="Arial" w:hAnsi="Arial"/>
          <w:sz w:val="16"/>
          <w:szCs w:val="16"/>
          <w:color w:val="auto"/>
        </w:rPr>
        <w:t>In the event of an election to have Section 1302 apply to any Securities or any series of Securities, as the case may be, the Company shall have delivered to the Trustee an Opinion of Counsel stating that (A) the Company has received from, or there has been published by, the U.S. Internal Revenue Service a ruling or (B) since the date of this Indenture, there has been a change in the applicable Federal income tax law, in either case</w:t>
      </w:r>
    </w:p>
    <w:p>
      <w:pPr>
        <w:ind w:left="446" w:right="20"/>
        <w:spacing w:after="0" w:line="254" w:lineRule="auto"/>
        <w:rPr>
          <w:rFonts w:ascii="Arial" w:cs="Arial" w:eastAsia="Arial" w:hAnsi="Arial"/>
          <w:sz w:val="16"/>
          <w:szCs w:val="16"/>
          <w:color w:val="auto"/>
        </w:rPr>
      </w:pPr>
      <w:r>
        <w:rPr>
          <w:rFonts w:ascii="Arial" w:cs="Arial" w:eastAsia="Arial" w:hAnsi="Arial"/>
          <w:sz w:val="18"/>
          <w:szCs w:val="18"/>
          <w:color w:val="auto"/>
        </w:rPr>
        <w:t>(A) or (B) to the effect that, and based thereon such opinion shall confirm that, the Holders of such Securities will not recognize income, gain or loss for Federal income tax purposes as a result of the deposit, Defeasance and discharge to be effected with respect to such Securities and will be subject to Federal income tax on the same amount, in the same manner and at the same times as would be the case if such deposit, Defeasance and discharge were not to occur.</w:t>
      </w:r>
    </w:p>
    <w:p>
      <w:pPr>
        <w:spacing w:after="0" w:line="95" w:lineRule="exact"/>
        <w:rPr>
          <w:rFonts w:ascii="Arial" w:cs="Arial" w:eastAsia="Arial" w:hAnsi="Arial"/>
          <w:sz w:val="16"/>
          <w:szCs w:val="16"/>
          <w:color w:val="auto"/>
        </w:rPr>
      </w:pPr>
    </w:p>
    <w:p>
      <w:pPr>
        <w:ind w:left="446" w:hanging="446"/>
        <w:spacing w:after="0" w:line="257" w:lineRule="auto"/>
        <w:tabs>
          <w:tab w:leader="none" w:pos="446" w:val="left"/>
        </w:tabs>
        <w:numPr>
          <w:ilvl w:val="0"/>
          <w:numId w:val="90"/>
        </w:numPr>
        <w:rPr>
          <w:rFonts w:ascii="Arial" w:cs="Arial" w:eastAsia="Arial" w:hAnsi="Arial"/>
          <w:sz w:val="18"/>
          <w:szCs w:val="18"/>
          <w:color w:val="auto"/>
        </w:rPr>
      </w:pPr>
      <w:r>
        <w:rPr>
          <w:rFonts w:ascii="Arial" w:cs="Arial" w:eastAsia="Arial" w:hAnsi="Arial"/>
          <w:sz w:val="18"/>
          <w:szCs w:val="18"/>
          <w:color w:val="auto"/>
        </w:rPr>
        <w:t>In the event of an election to have Section 1303 apply to any Securities or any series of Securities, as the case may be, the Company shall have delivered to the Trustee an Opinion of Counsel to the effect that the Holders of such Securities will not recognize income,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w:t>
      </w:r>
    </w:p>
    <w:p>
      <w:pPr>
        <w:spacing w:after="0" w:line="93" w:lineRule="exact"/>
        <w:rPr>
          <w:rFonts w:ascii="Arial" w:cs="Arial" w:eastAsia="Arial" w:hAnsi="Arial"/>
          <w:sz w:val="18"/>
          <w:szCs w:val="18"/>
          <w:color w:val="auto"/>
        </w:rPr>
      </w:pPr>
    </w:p>
    <w:p>
      <w:pPr>
        <w:ind w:left="446" w:right="140" w:hanging="446"/>
        <w:spacing w:after="0" w:line="277" w:lineRule="auto"/>
        <w:tabs>
          <w:tab w:leader="none" w:pos="446"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to the effect that neither such Securities nor any other Securities of the same series, if then listed on any securities exchange, will be delisted as a result of such deposit.</w:t>
      </w:r>
    </w:p>
    <w:p>
      <w:pPr>
        <w:spacing w:after="0" w:line="75" w:lineRule="exact"/>
        <w:rPr>
          <w:rFonts w:ascii="Arial" w:cs="Arial" w:eastAsia="Arial" w:hAnsi="Arial"/>
          <w:sz w:val="18"/>
          <w:szCs w:val="18"/>
          <w:color w:val="auto"/>
        </w:rPr>
      </w:pPr>
    </w:p>
    <w:p>
      <w:pPr>
        <w:ind w:left="446" w:right="200" w:hanging="446"/>
        <w:spacing w:after="0" w:line="264" w:lineRule="auto"/>
        <w:tabs>
          <w:tab w:leader="none" w:pos="446" w:val="left"/>
        </w:tabs>
        <w:numPr>
          <w:ilvl w:val="0"/>
          <w:numId w:val="90"/>
        </w:numPr>
        <w:rPr>
          <w:rFonts w:ascii="Arial" w:cs="Arial" w:eastAsia="Arial" w:hAnsi="Arial"/>
          <w:sz w:val="18"/>
          <w:szCs w:val="18"/>
          <w:color w:val="auto"/>
        </w:rPr>
      </w:pPr>
      <w:r>
        <w:rPr>
          <w:rFonts w:ascii="Arial" w:cs="Arial" w:eastAsia="Arial" w:hAnsi="Arial"/>
          <w:sz w:val="18"/>
          <w:szCs w:val="18"/>
          <w:color w:val="auto"/>
        </w:rPr>
        <w:t>No Default or Event of Default with respect to such Securities or any other Securities shall have occurred and be continuing at the time of such deposit or, insofar as Section 501(4) or Section 501(5) are concerned, at any time on or prior to the 90th day after the date of such deposit (it being understood that this condition shall not be deemed satisfied until after such 90th day).</w:t>
      </w:r>
    </w:p>
    <w:p>
      <w:pPr>
        <w:spacing w:after="0" w:line="114"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0946"/>
          </w:cols>
          <w:pgMar w:left="694" w:top="274" w:right="259" w:bottom="1440" w:gutter="0" w:footer="0" w:header="0"/>
        </w:sectPr>
      </w:pPr>
    </w:p>
    <w:bookmarkStart w:id="108" w:name="page109"/>
    <w:bookmarkEnd w:id="108"/>
    <w:p>
      <w:pPr>
        <w:ind w:left="900" w:right="180" w:hanging="446"/>
        <w:spacing w:after="0" w:line="277" w:lineRule="auto"/>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Such Defeasance or Covenant Defeasance shall not result in a breach or violation of, or constitute a default under, any other material agreement or instrument to which the Company is a party or by which it is bound.</w:t>
      </w:r>
    </w:p>
    <w:p>
      <w:pPr>
        <w:spacing w:after="0" w:line="75" w:lineRule="exact"/>
        <w:rPr>
          <w:rFonts w:ascii="Arial" w:cs="Arial" w:eastAsia="Arial" w:hAnsi="Arial"/>
          <w:sz w:val="18"/>
          <w:szCs w:val="18"/>
          <w:color w:val="auto"/>
        </w:rPr>
      </w:pPr>
    </w:p>
    <w:p>
      <w:pPr>
        <w:jc w:val="both"/>
        <w:ind w:left="900" w:right="260" w:hanging="446"/>
        <w:spacing w:after="0" w:line="264" w:lineRule="auto"/>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and an Opinion of Counsel, each stating that all conditions precedent with respect to such Defeasance or Covenant Defeasance have been complied with (in each case, subject to the satisfaction of the condition in clause (5)).</w:t>
      </w:r>
    </w:p>
    <w:p>
      <w:pPr>
        <w:spacing w:after="0" w:line="181" w:lineRule="exact"/>
        <w:rPr>
          <w:sz w:val="20"/>
          <w:szCs w:val="20"/>
          <w:color w:val="auto"/>
        </w:rPr>
      </w:pPr>
    </w:p>
    <w:p>
      <w:pPr>
        <w:ind w:right="800" w:firstLine="456"/>
        <w:spacing w:after="0" w:line="277" w:lineRule="auto"/>
        <w:rPr>
          <w:sz w:val="20"/>
          <w:szCs w:val="20"/>
          <w:color w:val="auto"/>
        </w:rPr>
      </w:pPr>
      <w:r>
        <w:rPr>
          <w:rFonts w:ascii="Arial" w:cs="Arial" w:eastAsia="Arial" w:hAnsi="Arial"/>
          <w:sz w:val="18"/>
          <w:szCs w:val="18"/>
          <w:color w:val="auto"/>
        </w:rPr>
        <w:t>Before or after a deposit, the Company may make arrangements satisfactory to the Trustee for the redemption of Securities at a future date in accordance with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1305. </w:t>
      </w:r>
      <w:r>
        <w:rPr>
          <w:rFonts w:ascii="Arial" w:cs="Arial" w:eastAsia="Arial" w:hAnsi="Arial"/>
          <w:sz w:val="18"/>
          <w:szCs w:val="18"/>
          <w:u w:val="single" w:color="auto"/>
          <w:color w:val="auto"/>
        </w:rPr>
        <w:t>Deposited Money and U.S. Government Obligations to Be Held in Trust; Miscellaneous Provisions</w:t>
      </w:r>
      <w:r>
        <w:rPr>
          <w:rFonts w:ascii="Arial" w:cs="Arial" w:eastAsia="Arial" w:hAnsi="Arial"/>
          <w:sz w:val="18"/>
          <w:szCs w:val="18"/>
          <w:color w:val="auto"/>
        </w:rPr>
        <w:t>.</w:t>
      </w:r>
    </w:p>
    <w:p>
      <w:pPr>
        <w:spacing w:after="0" w:line="117" w:lineRule="exact"/>
        <w:rPr>
          <w:sz w:val="20"/>
          <w:szCs w:val="20"/>
          <w:color w:val="auto"/>
        </w:rPr>
      </w:pPr>
    </w:p>
    <w:p>
      <w:pPr>
        <w:ind w:right="80" w:firstLine="456"/>
        <w:spacing w:after="0" w:line="293" w:lineRule="auto"/>
        <w:rPr>
          <w:sz w:val="20"/>
          <w:szCs w:val="20"/>
          <w:color w:val="auto"/>
        </w:rPr>
      </w:pPr>
      <w:r>
        <w:rPr>
          <w:rFonts w:ascii="Arial" w:cs="Arial" w:eastAsia="Arial" w:hAnsi="Arial"/>
          <w:sz w:val="16"/>
          <w:szCs w:val="16"/>
          <w:color w:val="auto"/>
        </w:rPr>
        <w:t>Subject to the provisions of the last paragraph of Section 1003, all money and U.S. Government Obligations (including the proceeds thereof) deposited with the Trustee or other qualifying trustee (solely for purposes of this Section 1305 and Section 1306, the Trustee and any such other trustee are referred to collectively as the “</w:t>
      </w:r>
      <w:r>
        <w:rPr>
          <w:rFonts w:ascii="Arial" w:cs="Arial" w:eastAsia="Arial" w:hAnsi="Arial"/>
          <w:sz w:val="16"/>
          <w:szCs w:val="16"/>
          <w:u w:val="single" w:color="auto"/>
          <w:color w:val="auto"/>
        </w:rPr>
        <w:t>Trustee</w:t>
      </w:r>
      <w:r>
        <w:rPr>
          <w:rFonts w:ascii="Arial" w:cs="Arial" w:eastAsia="Arial" w:hAnsi="Arial"/>
          <w:sz w:val="16"/>
          <w:szCs w:val="16"/>
          <w:color w:val="auto"/>
        </w:rPr>
        <w:t>”) pursuant to Section 1304 in respect of any Securities shall be held in trust and applied by the Trustee, in accordance with the provisions of such Securities and this Indenture, to the payment, either directly or through any such Paying Agent (including the Company acting as its own Paying Agent) as the Trustee may determine, to the Holders of such Securities, of all sums due and to become due thereon in respect of principal and premium, if any, and interest, but money so held in trust need not be segregated from other funds except to the extent required by law.</w:t>
      </w:r>
    </w:p>
    <w:p>
      <w:pPr>
        <w:spacing w:after="0" w:line="165"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 xml:space="preserve">The Company shall pay and indemnify the Trustee against any tax, fee or other charge imposed on or assessed against the U.S. Government Obligations deposited pursuant to Section 1304 or the principal and interest received in respect thereof other than any such tax, fee or other charge which by law is for the account of the Holders of Outstanding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Trustee shall be entitled to charge any such tax, fee or other charge to such Holder’s account.</w:t>
      </w:r>
    </w:p>
    <w:p>
      <w:pPr>
        <w:spacing w:after="0" w:line="187"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Anything in this Article XIII to the contrary notwithstanding, the Trustee shall deliver or pay to the Company from time to time upon Company Request any money or U.S. Government Obligations or Foreign Currency or Foreign Government Obligations held by it as provided in Section 1304 with respect to any Securities which are in excess of the amount thereof which would then be required to be deposited to effect the Defeasance or Covenant Defeasance, as the case may be, with respect to such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1306. </w:t>
      </w:r>
      <w:r>
        <w:rPr>
          <w:rFonts w:ascii="Arial" w:cs="Arial" w:eastAsia="Arial" w:hAnsi="Arial"/>
          <w:sz w:val="18"/>
          <w:szCs w:val="18"/>
          <w:u w:val="single" w:color="auto"/>
          <w:color w:val="auto"/>
        </w:rPr>
        <w:t>Reinstatement</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 xml:space="preserve">If the Trustee or the Paying Agent is unable to apply any money in accordance with this Article XIII with respect to any Securities by reason of any order or judgment of any court or governmental authority enjoining, restraining or otherwise prohibiting such application, then the obligations under this Indenture and such Securities from which the Company has been discharged or released pursuant to Section 1302 or Section 1303 shall be revived and reinstated as though no deposit had occurred pursuant to this Article XIII with respect to such Securities, until such time as the Trustee or Paying Agent is permitted to apply all money held in trust pursuant to Section 1305 with respect to such Securities in accordance with this Article XIII;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 if the Company makes any payment of principal of or premium, if any, or interest on any such Security following such reinstatement of its obligations, the Company shall be subrogated to the rights, if any, of the Holders of such Securities to</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274" w:right="239" w:bottom="1440" w:gutter="0" w:footer="0" w:header="0"/>
        </w:sectPr>
      </w:pPr>
    </w:p>
    <w:bookmarkStart w:id="109" w:name="page110"/>
    <w:bookmarkEnd w:id="109"/>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receive such payment from the money so held in trust and (b) unless otherwise required by any legal proceeding or any order or judgment of any court or governmental authority, the Trustee or Paying Agent shall return all such money and U.S. Government Obligations to the Company promptly after receiving a written request therefor at any time, if such reinstatement of the Company’s obligations has occurred and continues to be in effect.</w:t>
      </w:r>
    </w:p>
    <w:p>
      <w:pPr>
        <w:spacing w:after="0" w:line="37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XIV</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REPAYMENT AT THE OPTION OF HOLDERS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40" w:firstLine="456"/>
        <w:spacing w:after="0" w:line="308" w:lineRule="auto"/>
        <w:rPr>
          <w:sz w:val="20"/>
          <w:szCs w:val="20"/>
          <w:color w:val="auto"/>
        </w:rPr>
      </w:pPr>
      <w:r>
        <w:rPr>
          <w:rFonts w:ascii="Arial" w:cs="Arial" w:eastAsia="Arial" w:hAnsi="Arial"/>
          <w:sz w:val="17"/>
          <w:szCs w:val="17"/>
          <w:color w:val="auto"/>
        </w:rPr>
        <w:t>Repayment of Securities of any series before their Stated Maturity at the option of Holders thereof shall be made in accordance with the terms of such Securities and (except as otherwise specified as contemplated by Section 301 for Securities of any series) in accordance with this Article XIV.</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1402. </w:t>
      </w:r>
      <w:r>
        <w:rPr>
          <w:rFonts w:ascii="Arial" w:cs="Arial" w:eastAsia="Arial" w:hAnsi="Arial"/>
          <w:sz w:val="18"/>
          <w:szCs w:val="18"/>
          <w:u w:val="single" w:color="auto"/>
          <w:color w:val="auto"/>
        </w:rPr>
        <w:t>Repayment of Securities</w:t>
      </w:r>
      <w:r>
        <w:rPr>
          <w:rFonts w:ascii="Arial" w:cs="Arial" w:eastAsia="Arial" w:hAnsi="Arial"/>
          <w:sz w:val="18"/>
          <w:szCs w:val="18"/>
          <w:color w:val="auto"/>
        </w:rPr>
        <w:t>.</w:t>
      </w:r>
    </w:p>
    <w:p>
      <w:pPr>
        <w:spacing w:after="0" w:line="11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Securities of any series subject to repayment in whole or in part at the option of the Holders thereof will, unless otherwise provided in the terms of such Securities, be repaid at a price equal to the principal amount thereof and premium, if any, thereon, together with interest thereon accrued to the Repayment Date specified in or pursuant to the terms of such Securities. The Company covenants that on or before the Repayment Date it will deposit with the Trustee or with a Paying Agent (or, if the Company is acting as its own Paying Agent, segregate and hold in trust as provided in Section 1004) an amount of money sufficient to pay the principal (or, if so provided by the terms of the Securities of any series, a percentage of the principal) of, the premium, if any, and (except if the Repayment Date shall be an Interest Payment Date) accrued interest on, all the Securities or portions thereof, as the case may be, to be repaid on such date.</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1403. </w:t>
      </w:r>
      <w:r>
        <w:rPr>
          <w:rFonts w:ascii="Arial" w:cs="Arial" w:eastAsia="Arial" w:hAnsi="Arial"/>
          <w:sz w:val="18"/>
          <w:szCs w:val="18"/>
          <w:u w:val="single" w:color="auto"/>
          <w:color w:val="auto"/>
        </w:rPr>
        <w:t>Exercise of Option</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69" w:lineRule="auto"/>
        <w:rPr>
          <w:sz w:val="20"/>
          <w:szCs w:val="20"/>
          <w:color w:val="auto"/>
        </w:rPr>
      </w:pPr>
      <w:r>
        <w:rPr>
          <w:rFonts w:ascii="Arial" w:cs="Arial" w:eastAsia="Arial" w:hAnsi="Arial"/>
          <w:sz w:val="17"/>
          <w:szCs w:val="17"/>
          <w:color w:val="auto"/>
        </w:rPr>
        <w:t>Securities of any series subject to repayment at the option of the Holders thereof will contain an “Option to Elect Repayment” form on the reverse of such Securities. To be repaid at the option of the Holder, any Security so providing for such repayment, with the “Option to Elect Repayment” form on the reverse of such Security duly completed by the Holder (or by the Holder’s attorney duly authorized in writing), must be received by the Company at the Place of Payment therefor specified in the terms of such Security (or at such other place or places of which the Company shall from time to time notify the Holders of such Securities) not earlier than 45 days nor later than 30 days prior to the Repayment Date. If less than the entire principal amount of such Security is to be repaid in accordance with the terms of such Security, the principal amount of such Security to be repaid, in increments of the minimum denomination for Securities of such series, and the denomination or denominations of the Security or Securities to be issued to the Holder for the portion of the principal amount of such Security surrendered that is not to be repaid, must be specified. The principal amount of any Security providing for repayment at the option of the Holder thereof may not be repaid in part if, following such repayment, the unpaid principal amount of such Security would be less than the minimum authorized denomination of Securities of the series of which such Security to be repaid is a part. Except as otherwise may be provided by the terms of any Security providing for repayment at the option of the Holder thereof, exercise of the repayment option by the Holder shall be irrevocable unless waived by the Company.</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00"/>
          </w:cols>
          <w:pgMar w:left="240" w:top="274" w:right="259" w:bottom="1440" w:gutter="0" w:footer="0" w:header="0"/>
        </w:sectPr>
      </w:pPr>
    </w:p>
    <w:bookmarkStart w:id="110" w:name="page111"/>
    <w:bookmarkEnd w:id="11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1404. </w:t>
      </w:r>
      <w:r>
        <w:rPr>
          <w:rFonts w:ascii="Arial" w:cs="Arial" w:eastAsia="Arial" w:hAnsi="Arial"/>
          <w:sz w:val="18"/>
          <w:szCs w:val="18"/>
          <w:u w:val="single" w:color="auto"/>
          <w:color w:val="auto"/>
        </w:rPr>
        <w:t>When Securities Presented for Repayment Become Due and Payable</w:t>
      </w:r>
      <w:r>
        <w:rPr>
          <w:rFonts w:ascii="Arial" w:cs="Arial" w:eastAsia="Arial" w:hAnsi="Arial"/>
          <w:sz w:val="18"/>
          <w:szCs w:val="18"/>
          <w:color w:val="auto"/>
        </w:rPr>
        <w:t>.</w:t>
      </w:r>
    </w:p>
    <w:p>
      <w:pPr>
        <w:spacing w:after="0" w:line="11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 xml:space="preserve">If Securities of any series providing for repayment at the option of the Holders thereof shall have been surrendered as provided in this Article XIV and as provided by or pursuant to the terms of such Securities, such Securities or the portions thereof, as the case may be, to be repaid shall become due and payable and shall be paid by the Company on the Repayment Date therein specified, and on and after such Repayment Date (unless the Company shall default in the payment of such Securities on such Repayment Date) such Securities shall, if the same were interest-bearing, cease to bear interest. Upon surrender of any such Security for repayment in accordance with such provisions, the principal amount of such Security so to be repaid shall be paid by the Company, together with accrued interest and/or premium, if any, to (but excluding) the Repayment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unless otherwise specified as contemplated by Section 301, installments of interest, if any, whose Stated Maturity is on or prior to the Repayment Date shall be payable (but without interest thereon, unless the Company shall default in the payment thereof) to the Holders of such Securities, or one or more Predecessor Securities, registered as such at the close of business on the relevant Regular Record Date according to their terms and the provisions of Section 307.</w:t>
      </w:r>
    </w:p>
    <w:p>
      <w:pPr>
        <w:spacing w:after="0" w:line="167" w:lineRule="exact"/>
        <w:rPr>
          <w:sz w:val="20"/>
          <w:szCs w:val="20"/>
          <w:color w:val="auto"/>
        </w:rPr>
      </w:pPr>
    </w:p>
    <w:p>
      <w:pPr>
        <w:jc w:val="both"/>
        <w:ind w:right="200" w:firstLine="456"/>
        <w:spacing w:after="0" w:line="264" w:lineRule="auto"/>
        <w:rPr>
          <w:sz w:val="20"/>
          <w:szCs w:val="20"/>
          <w:color w:val="auto"/>
        </w:rPr>
      </w:pPr>
      <w:r>
        <w:rPr>
          <w:rFonts w:ascii="Arial" w:cs="Arial" w:eastAsia="Arial" w:hAnsi="Arial"/>
          <w:sz w:val="18"/>
          <w:szCs w:val="18"/>
          <w:color w:val="auto"/>
        </w:rPr>
        <w:t>If the principal amount of any Security surrendered for repayment shall not be so repaid upon surrender thereof, such principal amount (together with interest, if any, thereon accrued to such Repayment Date) and any premium shall, until paid, bear interest from the Repayment Date at the rate of interest or yield to maturity (in the case of Original Issue Discount Securities) set forth in such Security.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1405. </w:t>
      </w:r>
      <w:r>
        <w:rPr>
          <w:rFonts w:ascii="Arial" w:cs="Arial" w:eastAsia="Arial" w:hAnsi="Arial"/>
          <w:sz w:val="18"/>
          <w:szCs w:val="18"/>
          <w:u w:val="single" w:color="auto"/>
          <w:color w:val="auto"/>
        </w:rPr>
        <w:t>Securities Repaid in Part</w:t>
      </w:r>
      <w:r>
        <w:rPr>
          <w:rFonts w:ascii="Arial" w:cs="Arial" w:eastAsia="Arial" w:hAnsi="Arial"/>
          <w:sz w:val="18"/>
          <w:szCs w:val="18"/>
          <w:color w:val="auto"/>
        </w:rPr>
        <w:t>.</w:t>
      </w:r>
    </w:p>
    <w:p>
      <w:pPr>
        <w:spacing w:after="0" w:line="117"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Upon surrender of any Security which is to be repaid in part only, the Company shall execute and the Trustee shall authenticate and deliver to the Holder of such Security, without service charge and at the expense of the Company, a new Security or Securities of the same series, of any authorized denomination specified by the Holder, in a principal amount equal to and in exchange for the portion of the principal of such Security so surrendered which is not to be repaid.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w:t>
      </w:r>
    </w:p>
    <w:p>
      <w:pPr>
        <w:spacing w:after="0" w:line="23" w:lineRule="exact"/>
        <w:rPr>
          <w:sz w:val="20"/>
          <w:szCs w:val="20"/>
          <w:color w:val="auto"/>
        </w:rPr>
      </w:pPr>
    </w:p>
    <w:p>
      <w:pPr>
        <w:ind w:right="160" w:firstLine="456"/>
        <w:spacing w:after="0" w:line="261" w:lineRule="auto"/>
        <w:rPr>
          <w:sz w:val="20"/>
          <w:szCs w:val="20"/>
          <w:color w:val="auto"/>
        </w:rPr>
      </w:pPr>
      <w:r>
        <w:rPr>
          <w:rFonts w:ascii="Arial" w:cs="Arial" w:eastAsia="Arial" w:hAnsi="Arial"/>
          <w:sz w:val="18"/>
          <w:szCs w:val="18"/>
          <w:color w:val="auto"/>
        </w:rPr>
        <w:t>This Indenture may be executed in any number of counterparts, each of which so executed shall be deemed to be an original, but all such counterparts shall together constitute but one and the same instrument.</w:t>
      </w:r>
    </w:p>
    <w:p>
      <w:pPr>
        <w:spacing w:after="0" w:line="184"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[Signature page follows]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274" w:right="239" w:bottom="1440" w:gutter="0" w:footer="0" w:header="0"/>
        </w:sectPr>
      </w:pPr>
    </w:p>
    <w:bookmarkStart w:id="111" w:name="page112"/>
    <w:bookmarkEnd w:id="111"/>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parties hereto have caused this Indenture to be duly executed, all as of the day and year first above written.</w:t>
      </w:r>
    </w:p>
    <w:p>
      <w:pPr>
        <w:spacing w:after="0" w:line="275" w:lineRule="exact"/>
        <w:rPr>
          <w:sz w:val="20"/>
          <w:szCs w:val="20"/>
          <w:color w:val="auto"/>
        </w:rPr>
      </w:pPr>
    </w:p>
    <w:p>
      <w:pPr>
        <w:ind w:left="6860"/>
        <w:spacing w:after="0"/>
        <w:rPr>
          <w:sz w:val="20"/>
          <w:szCs w:val="20"/>
          <w:color w:val="auto"/>
        </w:rPr>
      </w:pPr>
      <w:r>
        <w:rPr>
          <w:rFonts w:ascii="Arial" w:cs="Arial" w:eastAsia="Arial" w:hAnsi="Arial"/>
          <w:sz w:val="17"/>
          <w:szCs w:val="17"/>
          <w:color w:val="auto"/>
        </w:rPr>
        <w:t>MARVELL TECHNOLOGY GROUP LTD.</w:t>
      </w:r>
    </w:p>
    <w:p>
      <w:pPr>
        <w:spacing w:after="0" w:line="237"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860"/>
        <w:spacing w:after="0"/>
        <w:tabs>
          <w:tab w:leader="none" w:pos="7420" w:val="left"/>
        </w:tabs>
        <w:rPr>
          <w:sz w:val="20"/>
          <w:szCs w:val="20"/>
          <w:color w:val="auto"/>
        </w:rPr>
      </w:pPr>
      <w:r>
        <w:rPr>
          <w:rFonts w:ascii="Arial" w:cs="Arial" w:eastAsia="Arial" w:hAnsi="Arial"/>
          <w:sz w:val="18"/>
          <w:szCs w:val="18"/>
          <w:color w:val="auto"/>
        </w:rPr>
        <w:t>Title:</w:t>
        <w:tab/>
        <w:t>Chief Financial Officer</w:t>
      </w:r>
    </w:p>
    <w:p>
      <w:pPr>
        <w:spacing w:after="0" w:line="211" w:lineRule="exact"/>
        <w:rPr>
          <w:sz w:val="20"/>
          <w:szCs w:val="20"/>
          <w:color w:val="auto"/>
        </w:rPr>
      </w:pPr>
    </w:p>
    <w:p>
      <w:pPr>
        <w:ind w:left="4660"/>
        <w:spacing w:after="0"/>
        <w:rPr>
          <w:sz w:val="20"/>
          <w:szCs w:val="20"/>
          <w:color w:val="auto"/>
        </w:rPr>
      </w:pPr>
      <w:r>
        <w:rPr>
          <w:rFonts w:ascii="Arial" w:cs="Arial" w:eastAsia="Arial" w:hAnsi="Arial"/>
          <w:sz w:val="18"/>
          <w:szCs w:val="18"/>
          <w:color w:val="auto"/>
        </w:rPr>
        <w:t>[Signature Page to Indenture]</w:t>
      </w:r>
    </w:p>
    <w:p>
      <w:pPr>
        <w:sectPr>
          <w:pgSz w:w="11900" w:h="16838" w:orient="portrait"/>
          <w:cols w:equalWidth="0" w:num="1">
            <w:col w:w="10219"/>
          </w:cols>
          <w:pgMar w:left="240" w:top="274" w:right="1440" w:bottom="1440" w:gutter="0" w:footer="0" w:header="0"/>
        </w:sectPr>
      </w:pPr>
    </w:p>
    <w:bookmarkStart w:id="112" w:name="page113"/>
    <w:bookmarkEnd w:id="112"/>
    <w:p>
      <w:pPr>
        <w:ind w:left="566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U.S. BANK NATIONAL ASSOCIATION,</w:t>
      </w:r>
    </w:p>
    <w:p>
      <w:pPr>
        <w:spacing w:after="0" w:line="35"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60"/>
        <w:spacing w:after="0"/>
        <w:tabs>
          <w:tab w:leader="none" w:pos="60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Andrew Fung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3856990</wp:posOffset>
            </wp:positionH>
            <wp:positionV relativeFrom="paragraph">
              <wp:posOffset>14605</wp:posOffset>
            </wp:positionV>
            <wp:extent cx="263271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5660"/>
        <w:spacing w:after="0"/>
        <w:tabs>
          <w:tab w:leader="none" w:pos="6320" w:val="left"/>
        </w:tabs>
        <w:rPr>
          <w:sz w:val="20"/>
          <w:szCs w:val="20"/>
          <w:color w:val="auto"/>
        </w:rPr>
      </w:pPr>
      <w:r>
        <w:rPr>
          <w:rFonts w:ascii="Arial" w:cs="Arial" w:eastAsia="Arial" w:hAnsi="Arial"/>
          <w:sz w:val="18"/>
          <w:szCs w:val="18"/>
          <w:color w:val="auto"/>
        </w:rPr>
        <w:t>Name:</w:t>
        <w:tab/>
        <w:t>Andrew Fung</w:t>
      </w:r>
    </w:p>
    <w:p>
      <w:pPr>
        <w:spacing w:after="0" w:line="23" w:lineRule="exact"/>
        <w:rPr>
          <w:sz w:val="20"/>
          <w:szCs w:val="20"/>
          <w:color w:val="auto"/>
        </w:rPr>
      </w:pPr>
    </w:p>
    <w:p>
      <w:pPr>
        <w:ind w:left="5660"/>
        <w:spacing w:after="0"/>
        <w:tabs>
          <w:tab w:leader="none" w:pos="632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color w:val="auto"/>
        </w:rPr>
        <w:t>Vice President</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[Signature Page to Indenture]</w:t>
      </w:r>
    </w:p>
    <w:p>
      <w:pPr>
        <w:sectPr>
          <w:pgSz w:w="11900" w:h="16838" w:orient="portrait"/>
          <w:cols w:equalWidth="0" w:num="1">
            <w:col w:w="9019"/>
          </w:cols>
          <w:pgMar w:left="1440" w:top="274" w:right="1440" w:bottom="1440" w:gutter="0" w:footer="0" w:header="0"/>
        </w:sectPr>
      </w:pPr>
    </w:p>
    <w:bookmarkStart w:id="113" w:name="page114"/>
    <w:bookmarkEnd w:id="113"/>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as Issuer</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and</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228600</wp:posOffset>
            </wp:positionV>
            <wp:extent cx="151765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52"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4.200% Senior Notes due 2023</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and</w:t>
      </w:r>
    </w:p>
    <w:p>
      <w:pPr>
        <w:spacing w:after="0" w:line="225"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248920</wp:posOffset>
            </wp:positionV>
            <wp:extent cx="151765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83"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First Supplemental Indenture</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Dated as of June 22, 2018</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to</w:t>
      </w:r>
    </w:p>
    <w:p>
      <w:pPr>
        <w:spacing w:after="0" w:line="225" w:lineRule="exact"/>
        <w:rPr>
          <w:sz w:val="20"/>
          <w:szCs w:val="20"/>
          <w:color w:val="auto"/>
        </w:rPr>
      </w:pPr>
    </w:p>
    <w:p>
      <w:pPr>
        <w:ind w:left="3140"/>
        <w:spacing w:after="0"/>
        <w:rPr>
          <w:sz w:val="20"/>
          <w:szCs w:val="20"/>
          <w:color w:val="auto"/>
        </w:rPr>
      </w:pPr>
      <w:r>
        <w:rPr>
          <w:rFonts w:ascii="Arial" w:cs="Arial" w:eastAsia="Arial" w:hAnsi="Arial"/>
          <w:sz w:val="18"/>
          <w:szCs w:val="18"/>
          <w:b w:val="1"/>
          <w:bCs w:val="1"/>
          <w:color w:val="auto"/>
        </w:rPr>
        <w:t>Indenture dated as of June 22, 2018</w:t>
      </w:r>
    </w:p>
    <w:p>
      <w:pPr>
        <w:sectPr>
          <w:pgSz w:w="11900" w:h="16838" w:orient="portrait"/>
          <w:cols w:equalWidth="0" w:num="1">
            <w:col w:w="10220"/>
          </w:cols>
          <w:pgMar w:left="1440" w:top="121" w:right="239" w:bottom="1440" w:gutter="0" w:footer="0" w:header="0"/>
        </w:sectPr>
      </w:pPr>
    </w:p>
    <w:bookmarkStart w:id="114" w:name="page115"/>
    <w:bookmarkEnd w:id="114"/>
    <w:p>
      <w:pPr>
        <w:jc w:val="center"/>
        <w:ind w:right="-1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TABLE OF CONTENTS</w:t>
      </w: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1200" w:type="dxa"/>
            <w:vAlign w:val="bottom"/>
          </w:tcPr>
          <w:p>
            <w:pPr>
              <w:spacing w:after="0"/>
              <w:rPr>
                <w:sz w:val="14"/>
                <w:szCs w:val="14"/>
                <w:color w:val="auto"/>
              </w:rPr>
            </w:pPr>
          </w:p>
        </w:tc>
        <w:tc>
          <w:tcPr>
            <w:tcW w:w="9660" w:type="dxa"/>
            <w:vAlign w:val="bottom"/>
            <w:vMerge w:val="restart"/>
          </w:tcPr>
          <w:p>
            <w:pPr>
              <w:jc w:val="center"/>
              <w:ind w:right="730"/>
              <w:spacing w:after="0"/>
              <w:rPr>
                <w:sz w:val="20"/>
                <w:szCs w:val="20"/>
                <w:color w:val="auto"/>
              </w:rPr>
            </w:pPr>
            <w:r>
              <w:rPr>
                <w:rFonts w:ascii="Arial" w:cs="Arial" w:eastAsia="Arial" w:hAnsi="Arial"/>
                <w:sz w:val="18"/>
                <w:szCs w:val="18"/>
                <w:b w:val="1"/>
                <w:bCs w:val="1"/>
                <w:color w:val="auto"/>
              </w:rPr>
              <w:t>ARTICLE I</w:t>
            </w: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92"/>
              </w:rPr>
              <w:t>PAGE</w:t>
            </w:r>
          </w:p>
        </w:tc>
        <w:tc>
          <w:tcPr>
            <w:tcW w:w="0" w:type="dxa"/>
            <w:vAlign w:val="bottom"/>
          </w:tcPr>
          <w:p>
            <w:pPr>
              <w:spacing w:after="0"/>
              <w:rPr>
                <w:sz w:val="1"/>
                <w:szCs w:val="1"/>
                <w:color w:val="auto"/>
              </w:rPr>
            </w:pPr>
          </w:p>
        </w:tc>
      </w:tr>
      <w:tr>
        <w:trPr>
          <w:trHeight w:val="182"/>
        </w:trPr>
        <w:tc>
          <w:tcPr>
            <w:tcW w:w="1200" w:type="dxa"/>
            <w:vAlign w:val="bottom"/>
          </w:tcPr>
          <w:p>
            <w:pPr>
              <w:spacing w:after="0"/>
              <w:rPr>
                <w:sz w:val="15"/>
                <w:szCs w:val="15"/>
                <w:color w:val="auto"/>
              </w:rPr>
            </w:pPr>
          </w:p>
        </w:tc>
        <w:tc>
          <w:tcPr>
            <w:tcW w:w="9660" w:type="dxa"/>
            <w:vAlign w:val="bottom"/>
            <w:vMerge w:val="continue"/>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0860" w:type="dxa"/>
            <w:vAlign w:val="bottom"/>
            <w:gridSpan w:val="2"/>
          </w:tcPr>
          <w:p>
            <w:pPr>
              <w:spacing w:after="0"/>
              <w:rPr>
                <w:sz w:val="20"/>
                <w:szCs w:val="20"/>
                <w:color w:val="auto"/>
              </w:rPr>
            </w:pPr>
            <w:r>
              <w:rPr>
                <w:rFonts w:ascii="Arial" w:cs="Arial" w:eastAsia="Arial" w:hAnsi="Arial"/>
                <w:sz w:val="18"/>
                <w:szCs w:val="18"/>
                <w:color w:val="auto"/>
              </w:rPr>
              <w:t>DEFINITIONS AND OTHER PROVISIONS OF GENERAL APPLICATION</w:t>
            </w:r>
          </w:p>
        </w:tc>
        <w:tc>
          <w:tcPr>
            <w:tcW w:w="3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418"/>
        </w:trPr>
        <w:tc>
          <w:tcPr>
            <w:tcW w:w="1200" w:type="dxa"/>
            <w:vAlign w:val="bottom"/>
          </w:tcPr>
          <w:p>
            <w:pPr>
              <w:spacing w:after="0"/>
              <w:rPr>
                <w:sz w:val="20"/>
                <w:szCs w:val="20"/>
                <w:color w:val="auto"/>
              </w:rPr>
            </w:pPr>
            <w:r>
              <w:rPr>
                <w:rFonts w:ascii="Arial" w:cs="Arial" w:eastAsia="Arial" w:hAnsi="Arial"/>
                <w:sz w:val="18"/>
                <w:szCs w:val="18"/>
                <w:color w:val="auto"/>
              </w:rPr>
              <w:t>Section 101.</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Definitions</w:t>
            </w:r>
          </w:p>
        </w:tc>
        <w:tc>
          <w:tcPr>
            <w:tcW w:w="3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30"/>
        </w:trPr>
        <w:tc>
          <w:tcPr>
            <w:tcW w:w="10860" w:type="dxa"/>
            <w:vAlign w:val="bottom"/>
            <w:gridSpan w:val="2"/>
          </w:tcPr>
          <w:p>
            <w:pPr>
              <w:spacing w:after="0"/>
              <w:rPr>
                <w:sz w:val="20"/>
                <w:szCs w:val="20"/>
                <w:color w:val="auto"/>
              </w:rPr>
            </w:pPr>
            <w:r>
              <w:rPr>
                <w:rFonts w:ascii="Arial" w:cs="Arial" w:eastAsia="Arial" w:hAnsi="Arial"/>
                <w:sz w:val="18"/>
                <w:szCs w:val="18"/>
                <w:color w:val="auto"/>
                <w:w w:val="91"/>
              </w:rPr>
              <w:t>Section 102.</w:t>
            </w:r>
            <w:r>
              <w:rPr>
                <w:rFonts w:ascii="Arial" w:cs="Arial" w:eastAsia="Arial" w:hAnsi="Arial"/>
                <w:sz w:val="18"/>
                <w:szCs w:val="18"/>
                <w:i w:val="1"/>
                <w:iCs w:val="1"/>
                <w:color w:val="auto"/>
                <w:w w:val="91"/>
              </w:rPr>
              <w:t>Relationship with Base Indenture</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4"/>
                <w:szCs w:val="24"/>
                <w:color w:val="auto"/>
              </w:rPr>
            </w:pPr>
          </w:p>
        </w:tc>
        <w:tc>
          <w:tcPr>
            <w:tcW w:w="9660" w:type="dxa"/>
            <w:vAlign w:val="bottom"/>
          </w:tcPr>
          <w:p>
            <w:pPr>
              <w:jc w:val="center"/>
              <w:ind w:right="730"/>
              <w:spacing w:after="0"/>
              <w:rPr>
                <w:sz w:val="20"/>
                <w:szCs w:val="20"/>
                <w:color w:val="auto"/>
              </w:rPr>
            </w:pPr>
            <w:r>
              <w:rPr>
                <w:rFonts w:ascii="Arial" w:cs="Arial" w:eastAsia="Arial" w:hAnsi="Arial"/>
                <w:sz w:val="18"/>
                <w:szCs w:val="18"/>
                <w:b w:val="1"/>
                <w:bCs w:val="1"/>
                <w:color w:val="auto"/>
              </w:rPr>
              <w:t>ARTICLE II</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0860" w:type="dxa"/>
            <w:vAlign w:val="bottom"/>
            <w:gridSpan w:val="2"/>
          </w:tcPr>
          <w:p>
            <w:pPr>
              <w:spacing w:after="0"/>
              <w:rPr>
                <w:sz w:val="20"/>
                <w:szCs w:val="20"/>
                <w:color w:val="auto"/>
              </w:rPr>
            </w:pPr>
            <w:r>
              <w:rPr>
                <w:rFonts w:ascii="Arial" w:cs="Arial" w:eastAsia="Arial" w:hAnsi="Arial"/>
                <w:sz w:val="18"/>
                <w:szCs w:val="18"/>
                <w:color w:val="auto"/>
              </w:rPr>
              <w:t>FORM OF NOTES</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0"/>
                <w:szCs w:val="20"/>
                <w:color w:val="auto"/>
              </w:rPr>
            </w:pPr>
            <w:r>
              <w:rPr>
                <w:rFonts w:ascii="Arial" w:cs="Arial" w:eastAsia="Arial" w:hAnsi="Arial"/>
                <w:sz w:val="18"/>
                <w:szCs w:val="18"/>
                <w:color w:val="auto"/>
              </w:rPr>
              <w:t>Section 201.</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Form of Notes</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4"/>
                <w:szCs w:val="24"/>
                <w:color w:val="auto"/>
              </w:rPr>
            </w:pPr>
          </w:p>
        </w:tc>
        <w:tc>
          <w:tcPr>
            <w:tcW w:w="9660" w:type="dxa"/>
            <w:vAlign w:val="bottom"/>
          </w:tcPr>
          <w:p>
            <w:pPr>
              <w:jc w:val="center"/>
              <w:ind w:right="730"/>
              <w:spacing w:after="0"/>
              <w:rPr>
                <w:sz w:val="20"/>
                <w:szCs w:val="20"/>
                <w:color w:val="auto"/>
              </w:rPr>
            </w:pPr>
            <w:r>
              <w:rPr>
                <w:rFonts w:ascii="Arial" w:cs="Arial" w:eastAsia="Arial" w:hAnsi="Arial"/>
                <w:sz w:val="18"/>
                <w:szCs w:val="18"/>
                <w:b w:val="1"/>
                <w:bCs w:val="1"/>
                <w:color w:val="auto"/>
              </w:rPr>
              <w:t>ARTICLE III</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0"/>
                <w:szCs w:val="20"/>
                <w:color w:val="auto"/>
              </w:rPr>
            </w:pPr>
            <w:r>
              <w:rPr>
                <w:rFonts w:ascii="Arial" w:cs="Arial" w:eastAsia="Arial" w:hAnsi="Arial"/>
                <w:sz w:val="18"/>
                <w:szCs w:val="18"/>
                <w:color w:val="auto"/>
              </w:rPr>
              <w:t>THE NOTES</w:t>
            </w:r>
          </w:p>
        </w:tc>
        <w:tc>
          <w:tcPr>
            <w:tcW w:w="9660" w:type="dxa"/>
            <w:vAlign w:val="bottom"/>
          </w:tcPr>
          <w:p>
            <w:pPr>
              <w:spacing w:after="0"/>
              <w:rPr>
                <w:sz w:val="24"/>
                <w:szCs w:val="24"/>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418"/>
        </w:trPr>
        <w:tc>
          <w:tcPr>
            <w:tcW w:w="10860" w:type="dxa"/>
            <w:vAlign w:val="bottom"/>
            <w:gridSpan w:val="2"/>
          </w:tcPr>
          <w:p>
            <w:pPr>
              <w:spacing w:after="0"/>
              <w:rPr>
                <w:sz w:val="20"/>
                <w:szCs w:val="20"/>
                <w:color w:val="auto"/>
              </w:rPr>
            </w:pPr>
            <w:r>
              <w:rPr>
                <w:rFonts w:ascii="Arial" w:cs="Arial" w:eastAsia="Arial" w:hAnsi="Arial"/>
                <w:sz w:val="18"/>
                <w:szCs w:val="18"/>
                <w:color w:val="auto"/>
                <w:w w:val="89"/>
              </w:rPr>
              <w:t>Section 301.</w:t>
            </w:r>
            <w:r>
              <w:rPr>
                <w:rFonts w:ascii="Arial" w:cs="Arial" w:eastAsia="Arial" w:hAnsi="Arial"/>
                <w:sz w:val="18"/>
                <w:szCs w:val="18"/>
                <w:i w:val="1"/>
                <w:iCs w:val="1"/>
                <w:color w:val="auto"/>
                <w:w w:val="89"/>
              </w:rPr>
              <w:t>Amount; Series; Terms</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Arial" w:cs="Arial" w:eastAsia="Arial" w:hAnsi="Arial"/>
                <w:sz w:val="18"/>
                <w:szCs w:val="18"/>
                <w:color w:val="auto"/>
              </w:rPr>
              <w:t>Section 302.</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Denominations</w:t>
            </w:r>
          </w:p>
        </w:tc>
        <w:tc>
          <w:tcPr>
            <w:tcW w:w="3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Arial" w:cs="Arial" w:eastAsia="Arial" w:hAnsi="Arial"/>
                <w:sz w:val="18"/>
                <w:szCs w:val="18"/>
                <w:color w:val="auto"/>
              </w:rPr>
              <w:t>Section 303.</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Global Securities</w:t>
            </w:r>
          </w:p>
        </w:tc>
        <w:tc>
          <w:tcPr>
            <w:tcW w:w="3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10860" w:type="dxa"/>
            <w:vAlign w:val="bottom"/>
            <w:gridSpan w:val="2"/>
          </w:tcPr>
          <w:p>
            <w:pPr>
              <w:spacing w:after="0"/>
              <w:rPr>
                <w:sz w:val="20"/>
                <w:szCs w:val="20"/>
                <w:color w:val="auto"/>
              </w:rPr>
            </w:pPr>
            <w:r>
              <w:rPr>
                <w:rFonts w:ascii="Arial" w:cs="Arial" w:eastAsia="Arial" w:hAnsi="Arial"/>
                <w:sz w:val="18"/>
                <w:szCs w:val="18"/>
                <w:color w:val="auto"/>
                <w:w w:val="90"/>
              </w:rPr>
              <w:t>Section 304.</w:t>
            </w:r>
            <w:r>
              <w:rPr>
                <w:rFonts w:ascii="Arial" w:cs="Arial" w:eastAsia="Arial" w:hAnsi="Arial"/>
                <w:sz w:val="18"/>
                <w:szCs w:val="18"/>
                <w:i w:val="1"/>
                <w:iCs w:val="1"/>
                <w:color w:val="auto"/>
                <w:w w:val="90"/>
              </w:rPr>
              <w:t>Additional Notes; Repurchases</w:t>
            </w:r>
          </w:p>
        </w:tc>
        <w:tc>
          <w:tcPr>
            <w:tcW w:w="3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Arial" w:cs="Arial" w:eastAsia="Arial" w:hAnsi="Arial"/>
                <w:sz w:val="18"/>
                <w:szCs w:val="18"/>
                <w:color w:val="auto"/>
              </w:rPr>
              <w:t>Section 305.</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No Sinking Fund</w:t>
            </w:r>
          </w:p>
        </w:tc>
        <w:tc>
          <w:tcPr>
            <w:tcW w:w="38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6"/>
        </w:trPr>
        <w:tc>
          <w:tcPr>
            <w:tcW w:w="10860" w:type="dxa"/>
            <w:vAlign w:val="bottom"/>
            <w:gridSpan w:val="2"/>
          </w:tcPr>
          <w:p>
            <w:pPr>
              <w:spacing w:after="0"/>
              <w:rPr>
                <w:sz w:val="20"/>
                <w:szCs w:val="20"/>
                <w:color w:val="auto"/>
              </w:rPr>
            </w:pPr>
            <w:r>
              <w:rPr>
                <w:rFonts w:ascii="Arial" w:cs="Arial" w:eastAsia="Arial" w:hAnsi="Arial"/>
                <w:sz w:val="18"/>
                <w:szCs w:val="18"/>
                <w:color w:val="auto"/>
                <w:w w:val="91"/>
              </w:rPr>
              <w:t>Section 306.</w:t>
            </w:r>
            <w:r>
              <w:rPr>
                <w:rFonts w:ascii="Arial" w:cs="Arial" w:eastAsia="Arial" w:hAnsi="Arial"/>
                <w:sz w:val="18"/>
                <w:szCs w:val="18"/>
                <w:i w:val="1"/>
                <w:iCs w:val="1"/>
                <w:color w:val="auto"/>
                <w:w w:val="91"/>
              </w:rPr>
              <w:t>Satisfaction and Discharge</w:t>
            </w:r>
          </w:p>
        </w:tc>
        <w:tc>
          <w:tcPr>
            <w:tcW w:w="38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2"/>
        </w:trPr>
        <w:tc>
          <w:tcPr>
            <w:tcW w:w="1200" w:type="dxa"/>
            <w:vAlign w:val="bottom"/>
          </w:tcPr>
          <w:p>
            <w:pPr>
              <w:spacing w:after="0"/>
              <w:rPr>
                <w:sz w:val="20"/>
                <w:szCs w:val="20"/>
                <w:color w:val="auto"/>
              </w:rPr>
            </w:pPr>
            <w:r>
              <w:rPr>
                <w:rFonts w:ascii="Arial" w:cs="Arial" w:eastAsia="Arial" w:hAnsi="Arial"/>
                <w:sz w:val="18"/>
                <w:szCs w:val="18"/>
                <w:color w:val="auto"/>
              </w:rPr>
              <w:t>Section 307.</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Additional Amounts</w:t>
            </w:r>
          </w:p>
        </w:tc>
        <w:tc>
          <w:tcPr>
            <w:tcW w:w="38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34"/>
        </w:trPr>
        <w:tc>
          <w:tcPr>
            <w:tcW w:w="1200" w:type="dxa"/>
            <w:vAlign w:val="bottom"/>
          </w:tcPr>
          <w:p>
            <w:pPr>
              <w:spacing w:after="0"/>
              <w:rPr>
                <w:sz w:val="20"/>
                <w:szCs w:val="20"/>
                <w:color w:val="auto"/>
              </w:rPr>
            </w:pPr>
          </w:p>
        </w:tc>
        <w:tc>
          <w:tcPr>
            <w:tcW w:w="9660" w:type="dxa"/>
            <w:vAlign w:val="bottom"/>
          </w:tcPr>
          <w:p>
            <w:pPr>
              <w:jc w:val="center"/>
              <w:ind w:right="730"/>
              <w:spacing w:after="0"/>
              <w:rPr>
                <w:sz w:val="20"/>
                <w:szCs w:val="20"/>
                <w:color w:val="auto"/>
              </w:rPr>
            </w:pPr>
            <w:r>
              <w:rPr>
                <w:rFonts w:ascii="Arial" w:cs="Arial" w:eastAsia="Arial" w:hAnsi="Arial"/>
                <w:sz w:val="18"/>
                <w:szCs w:val="18"/>
                <w:b w:val="1"/>
                <w:bCs w:val="1"/>
                <w:color w:val="auto"/>
              </w:rPr>
              <w:t>ARTICLE IV</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0860" w:type="dxa"/>
            <w:vAlign w:val="bottom"/>
            <w:gridSpan w:val="2"/>
          </w:tcPr>
          <w:p>
            <w:pPr>
              <w:spacing w:after="0"/>
              <w:rPr>
                <w:sz w:val="20"/>
                <w:szCs w:val="20"/>
                <w:color w:val="auto"/>
              </w:rPr>
            </w:pPr>
            <w:r>
              <w:rPr>
                <w:rFonts w:ascii="Arial" w:cs="Arial" w:eastAsia="Arial" w:hAnsi="Arial"/>
                <w:sz w:val="18"/>
                <w:szCs w:val="18"/>
                <w:color w:val="auto"/>
              </w:rPr>
              <w:t>REDEMPTION OF SECURITIES</w:t>
            </w:r>
          </w:p>
        </w:tc>
        <w:tc>
          <w:tcPr>
            <w:tcW w:w="38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418"/>
        </w:trPr>
        <w:tc>
          <w:tcPr>
            <w:tcW w:w="10860" w:type="dxa"/>
            <w:vAlign w:val="bottom"/>
            <w:gridSpan w:val="2"/>
          </w:tcPr>
          <w:p>
            <w:pPr>
              <w:spacing w:after="0"/>
              <w:rPr>
                <w:sz w:val="20"/>
                <w:szCs w:val="20"/>
                <w:color w:val="auto"/>
              </w:rPr>
            </w:pPr>
            <w:r>
              <w:rPr>
                <w:rFonts w:ascii="Arial" w:cs="Arial" w:eastAsia="Arial" w:hAnsi="Arial"/>
                <w:sz w:val="18"/>
                <w:szCs w:val="18"/>
                <w:color w:val="auto"/>
                <w:w w:val="90"/>
              </w:rPr>
              <w:t>Section 401.</w:t>
            </w:r>
            <w:r>
              <w:rPr>
                <w:rFonts w:ascii="Arial" w:cs="Arial" w:eastAsia="Arial" w:hAnsi="Arial"/>
                <w:sz w:val="18"/>
                <w:szCs w:val="18"/>
                <w:i w:val="1"/>
                <w:iCs w:val="1"/>
                <w:color w:val="auto"/>
                <w:w w:val="90"/>
              </w:rPr>
              <w:t>Special Mandatory Redemption</w:t>
            </w:r>
          </w:p>
        </w:tc>
        <w:tc>
          <w:tcPr>
            <w:tcW w:w="380" w:type="dxa"/>
            <w:vAlign w:val="bottom"/>
          </w:tcPr>
          <w:p>
            <w:pPr>
              <w:jc w:val="right"/>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Arial" w:cs="Arial" w:eastAsia="Arial" w:hAnsi="Arial"/>
                <w:sz w:val="18"/>
                <w:szCs w:val="18"/>
                <w:color w:val="auto"/>
              </w:rPr>
              <w:t>Section 402.</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Optional Redemption</w:t>
            </w:r>
          </w:p>
        </w:tc>
        <w:tc>
          <w:tcPr>
            <w:tcW w:w="38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30"/>
        </w:trPr>
        <w:tc>
          <w:tcPr>
            <w:tcW w:w="10860" w:type="dxa"/>
            <w:vAlign w:val="bottom"/>
            <w:gridSpan w:val="2"/>
          </w:tcPr>
          <w:p>
            <w:pPr>
              <w:spacing w:after="0"/>
              <w:rPr>
                <w:sz w:val="20"/>
                <w:szCs w:val="20"/>
                <w:color w:val="auto"/>
              </w:rPr>
            </w:pPr>
            <w:r>
              <w:rPr>
                <w:rFonts w:ascii="Arial" w:cs="Arial" w:eastAsia="Arial" w:hAnsi="Arial"/>
                <w:sz w:val="18"/>
                <w:szCs w:val="18"/>
                <w:color w:val="auto"/>
                <w:w w:val="89"/>
              </w:rPr>
              <w:t>Section 403.</w:t>
            </w:r>
            <w:r>
              <w:rPr>
                <w:rFonts w:ascii="Arial" w:cs="Arial" w:eastAsia="Arial" w:hAnsi="Arial"/>
                <w:sz w:val="18"/>
                <w:szCs w:val="18"/>
                <w:i w:val="1"/>
                <w:iCs w:val="1"/>
                <w:color w:val="auto"/>
                <w:w w:val="89"/>
              </w:rPr>
              <w:t>Purchase of Notes upon a Change of Control Repurchase Event</w:t>
            </w:r>
          </w:p>
        </w:tc>
        <w:tc>
          <w:tcPr>
            <w:tcW w:w="380" w:type="dxa"/>
            <w:vAlign w:val="bottom"/>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4"/>
                <w:szCs w:val="24"/>
                <w:color w:val="auto"/>
              </w:rPr>
            </w:pPr>
          </w:p>
        </w:tc>
        <w:tc>
          <w:tcPr>
            <w:tcW w:w="9660" w:type="dxa"/>
            <w:vAlign w:val="bottom"/>
          </w:tcPr>
          <w:p>
            <w:pPr>
              <w:jc w:val="center"/>
              <w:ind w:right="730"/>
              <w:spacing w:after="0"/>
              <w:rPr>
                <w:sz w:val="20"/>
                <w:szCs w:val="20"/>
                <w:color w:val="auto"/>
              </w:rPr>
            </w:pPr>
            <w:r>
              <w:rPr>
                <w:rFonts w:ascii="Arial" w:cs="Arial" w:eastAsia="Arial" w:hAnsi="Arial"/>
                <w:sz w:val="18"/>
                <w:szCs w:val="18"/>
                <w:b w:val="1"/>
                <w:bCs w:val="1"/>
                <w:color w:val="auto"/>
              </w:rPr>
              <w:t>ARTICLE V</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0860" w:type="dxa"/>
            <w:vAlign w:val="bottom"/>
            <w:gridSpan w:val="2"/>
          </w:tcPr>
          <w:p>
            <w:pPr>
              <w:spacing w:after="0"/>
              <w:rPr>
                <w:sz w:val="20"/>
                <w:szCs w:val="20"/>
                <w:color w:val="auto"/>
              </w:rPr>
            </w:pPr>
            <w:r>
              <w:rPr>
                <w:rFonts w:ascii="Arial" w:cs="Arial" w:eastAsia="Arial" w:hAnsi="Arial"/>
                <w:sz w:val="18"/>
                <w:szCs w:val="18"/>
                <w:color w:val="auto"/>
              </w:rPr>
              <w:t>COVENANTS AND REMEDIES</w:t>
            </w:r>
          </w:p>
        </w:tc>
        <w:tc>
          <w:tcPr>
            <w:tcW w:w="38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418"/>
        </w:trPr>
        <w:tc>
          <w:tcPr>
            <w:tcW w:w="10860" w:type="dxa"/>
            <w:vAlign w:val="bottom"/>
            <w:gridSpan w:val="2"/>
          </w:tcPr>
          <w:p>
            <w:pPr>
              <w:spacing w:after="0"/>
              <w:rPr>
                <w:sz w:val="20"/>
                <w:szCs w:val="20"/>
                <w:color w:val="auto"/>
              </w:rPr>
            </w:pPr>
            <w:r>
              <w:rPr>
                <w:rFonts w:ascii="Arial" w:cs="Arial" w:eastAsia="Arial" w:hAnsi="Arial"/>
                <w:sz w:val="18"/>
                <w:szCs w:val="18"/>
                <w:color w:val="auto"/>
                <w:w w:val="93"/>
              </w:rPr>
              <w:t>Section 501.</w:t>
            </w:r>
            <w:r>
              <w:rPr>
                <w:rFonts w:ascii="Arial" w:cs="Arial" w:eastAsia="Arial" w:hAnsi="Arial"/>
                <w:sz w:val="18"/>
                <w:szCs w:val="18"/>
                <w:i w:val="1"/>
                <w:iCs w:val="1"/>
                <w:color w:val="auto"/>
                <w:w w:val="93"/>
              </w:rPr>
              <w:t>Limitation on Liens</w:t>
            </w:r>
          </w:p>
        </w:tc>
        <w:tc>
          <w:tcPr>
            <w:tcW w:w="380" w:type="dxa"/>
            <w:vAlign w:val="bottom"/>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10860" w:type="dxa"/>
            <w:vAlign w:val="bottom"/>
            <w:gridSpan w:val="2"/>
          </w:tcPr>
          <w:p>
            <w:pPr>
              <w:spacing w:after="0"/>
              <w:rPr>
                <w:sz w:val="20"/>
                <w:szCs w:val="20"/>
                <w:color w:val="auto"/>
              </w:rPr>
            </w:pPr>
            <w:r>
              <w:rPr>
                <w:rFonts w:ascii="Arial" w:cs="Arial" w:eastAsia="Arial" w:hAnsi="Arial"/>
                <w:sz w:val="18"/>
                <w:szCs w:val="18"/>
                <w:color w:val="auto"/>
                <w:w w:val="90"/>
              </w:rPr>
              <w:t>Section 502.</w:t>
            </w:r>
            <w:r>
              <w:rPr>
                <w:rFonts w:ascii="Arial" w:cs="Arial" w:eastAsia="Arial" w:hAnsi="Arial"/>
                <w:sz w:val="18"/>
                <w:szCs w:val="18"/>
                <w:i w:val="1"/>
                <w:iCs w:val="1"/>
                <w:color w:val="auto"/>
                <w:w w:val="90"/>
              </w:rPr>
              <w:t>Limitation on Sale and Leaseback Transactions</w:t>
            </w:r>
          </w:p>
        </w:tc>
        <w:tc>
          <w:tcPr>
            <w:tcW w:w="380" w:type="dxa"/>
            <w:vAlign w:val="bottom"/>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10860" w:type="dxa"/>
            <w:vAlign w:val="bottom"/>
            <w:gridSpan w:val="2"/>
          </w:tcPr>
          <w:p>
            <w:pPr>
              <w:spacing w:after="0"/>
              <w:rPr>
                <w:sz w:val="20"/>
                <w:szCs w:val="20"/>
                <w:color w:val="auto"/>
              </w:rPr>
            </w:pPr>
            <w:r>
              <w:rPr>
                <w:rFonts w:ascii="Arial" w:cs="Arial" w:eastAsia="Arial" w:hAnsi="Arial"/>
                <w:sz w:val="18"/>
                <w:szCs w:val="18"/>
                <w:color w:val="auto"/>
                <w:w w:val="90"/>
              </w:rPr>
              <w:t>Section 503.</w:t>
            </w:r>
            <w:r>
              <w:rPr>
                <w:rFonts w:ascii="Arial" w:cs="Arial" w:eastAsia="Arial" w:hAnsi="Arial"/>
                <w:sz w:val="18"/>
                <w:szCs w:val="18"/>
                <w:i w:val="1"/>
                <w:iCs w:val="1"/>
                <w:color w:val="auto"/>
                <w:w w:val="90"/>
              </w:rPr>
              <w:t>Events of Default</w:t>
            </w:r>
          </w:p>
        </w:tc>
        <w:tc>
          <w:tcPr>
            <w:tcW w:w="380" w:type="dxa"/>
            <w:vAlign w:val="bottom"/>
          </w:tcPr>
          <w:p>
            <w:pPr>
              <w:jc w:val="right"/>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2"/>
        </w:trPr>
        <w:tc>
          <w:tcPr>
            <w:tcW w:w="10860" w:type="dxa"/>
            <w:vAlign w:val="bottom"/>
            <w:gridSpan w:val="2"/>
          </w:tcPr>
          <w:p>
            <w:pPr>
              <w:spacing w:after="0"/>
              <w:rPr>
                <w:sz w:val="20"/>
                <w:szCs w:val="20"/>
                <w:color w:val="auto"/>
              </w:rPr>
            </w:pPr>
            <w:r>
              <w:rPr>
                <w:rFonts w:ascii="Arial" w:cs="Arial" w:eastAsia="Arial" w:hAnsi="Arial"/>
                <w:sz w:val="18"/>
                <w:szCs w:val="18"/>
                <w:color w:val="auto"/>
                <w:w w:val="88"/>
              </w:rPr>
              <w:t>Section 504.</w:t>
            </w:r>
            <w:r>
              <w:rPr>
                <w:rFonts w:ascii="Arial" w:cs="Arial" w:eastAsia="Arial" w:hAnsi="Arial"/>
                <w:sz w:val="18"/>
                <w:szCs w:val="18"/>
                <w:i w:val="1"/>
                <w:iCs w:val="1"/>
                <w:color w:val="auto"/>
                <w:w w:val="88"/>
              </w:rPr>
              <w:t>References in Base Indenture</w:t>
            </w:r>
          </w:p>
        </w:tc>
        <w:tc>
          <w:tcPr>
            <w:tcW w:w="38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34"/>
        </w:trPr>
        <w:tc>
          <w:tcPr>
            <w:tcW w:w="1200" w:type="dxa"/>
            <w:vAlign w:val="bottom"/>
            <w:vMerge w:val="restart"/>
          </w:tcPr>
          <w:p>
            <w:pPr>
              <w:spacing w:after="0"/>
              <w:rPr>
                <w:sz w:val="20"/>
                <w:szCs w:val="20"/>
                <w:color w:val="auto"/>
              </w:rPr>
            </w:pPr>
            <w:r>
              <w:rPr>
                <w:rFonts w:ascii="Arial" w:cs="Arial" w:eastAsia="Arial" w:hAnsi="Arial"/>
                <w:sz w:val="18"/>
                <w:szCs w:val="18"/>
                <w:color w:val="auto"/>
                <w:w w:val="96"/>
              </w:rPr>
              <w:t>DEFEASANCE</w:t>
            </w:r>
          </w:p>
        </w:tc>
        <w:tc>
          <w:tcPr>
            <w:tcW w:w="9660" w:type="dxa"/>
            <w:vAlign w:val="bottom"/>
          </w:tcPr>
          <w:p>
            <w:pPr>
              <w:jc w:val="center"/>
              <w:ind w:right="730"/>
              <w:spacing w:after="0"/>
              <w:rPr>
                <w:sz w:val="20"/>
                <w:szCs w:val="20"/>
                <w:color w:val="auto"/>
              </w:rPr>
            </w:pPr>
            <w:r>
              <w:rPr>
                <w:rFonts w:ascii="Arial" w:cs="Arial" w:eastAsia="Arial" w:hAnsi="Arial"/>
                <w:sz w:val="18"/>
                <w:szCs w:val="18"/>
                <w:b w:val="1"/>
                <w:bCs w:val="1"/>
                <w:color w:val="auto"/>
              </w:rPr>
              <w:t>ARTICLE VI</w:t>
            </w:r>
          </w:p>
        </w:tc>
        <w:tc>
          <w:tcPr>
            <w:tcW w:w="380" w:type="dxa"/>
            <w:vAlign w:val="bottom"/>
            <w:vMerge w:val="restart"/>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1200" w:type="dxa"/>
            <w:vAlign w:val="bottom"/>
            <w:vMerge w:val="continue"/>
          </w:tcPr>
          <w:p>
            <w:pPr>
              <w:spacing w:after="0"/>
              <w:rPr>
                <w:sz w:val="18"/>
                <w:szCs w:val="18"/>
                <w:color w:val="auto"/>
              </w:rPr>
            </w:pPr>
          </w:p>
        </w:tc>
        <w:tc>
          <w:tcPr>
            <w:tcW w:w="9660" w:type="dxa"/>
            <w:vAlign w:val="bottom"/>
          </w:tcPr>
          <w:p>
            <w:pPr>
              <w:spacing w:after="0"/>
              <w:rPr>
                <w:sz w:val="18"/>
                <w:szCs w:val="18"/>
                <w:color w:val="auto"/>
              </w:rPr>
            </w:pPr>
          </w:p>
        </w:tc>
        <w:tc>
          <w:tcPr>
            <w:tcW w:w="3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1200" w:type="dxa"/>
            <w:vAlign w:val="bottom"/>
          </w:tcPr>
          <w:p>
            <w:pPr>
              <w:spacing w:after="0"/>
              <w:rPr>
                <w:sz w:val="20"/>
                <w:szCs w:val="20"/>
                <w:color w:val="auto"/>
              </w:rPr>
            </w:pPr>
            <w:r>
              <w:rPr>
                <w:rFonts w:ascii="Arial" w:cs="Arial" w:eastAsia="Arial" w:hAnsi="Arial"/>
                <w:sz w:val="18"/>
                <w:szCs w:val="18"/>
                <w:color w:val="auto"/>
              </w:rPr>
              <w:t>Section 601.</w:t>
            </w:r>
          </w:p>
        </w:tc>
        <w:tc>
          <w:tcPr>
            <w:tcW w:w="9660" w:type="dxa"/>
            <w:vAlign w:val="bottom"/>
          </w:tcPr>
          <w:p>
            <w:pPr>
              <w:ind w:left="40"/>
              <w:spacing w:after="0"/>
              <w:rPr>
                <w:sz w:val="20"/>
                <w:szCs w:val="20"/>
                <w:color w:val="auto"/>
              </w:rPr>
            </w:pPr>
            <w:r>
              <w:rPr>
                <w:rFonts w:ascii="Arial" w:cs="Arial" w:eastAsia="Arial" w:hAnsi="Arial"/>
                <w:sz w:val="18"/>
                <w:szCs w:val="18"/>
                <w:i w:val="1"/>
                <w:iCs w:val="1"/>
                <w:color w:val="auto"/>
              </w:rPr>
              <w:t>Covenant Defeasance</w:t>
            </w:r>
          </w:p>
        </w:tc>
        <w:tc>
          <w:tcPr>
            <w:tcW w:w="38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bl>
    <w:p>
      <w:pPr>
        <w:sectPr>
          <w:pgSz w:w="11900" w:h="16838" w:orient="portrait"/>
          <w:cols w:equalWidth="0" w:num="1">
            <w:col w:w="11240"/>
          </w:cols>
          <w:pgMar w:left="240" w:top="270" w:right="419" w:bottom="1440" w:gutter="0" w:footer="0" w:header="0"/>
        </w:sectPr>
      </w:pPr>
    </w:p>
    <w:bookmarkStart w:id="115" w:name="page116"/>
    <w:bookmarkEnd w:id="11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1020" w:type="dxa"/>
            <w:vAlign w:val="bottom"/>
          </w:tcPr>
          <w:p>
            <w:pPr>
              <w:spacing w:after="0"/>
              <w:rPr>
                <w:sz w:val="20"/>
                <w:szCs w:val="20"/>
                <w:color w:val="auto"/>
              </w:rPr>
            </w:pPr>
          </w:p>
        </w:tc>
        <w:tc>
          <w:tcPr>
            <w:tcW w:w="2960" w:type="dxa"/>
            <w:vAlign w:val="bottom"/>
          </w:tcPr>
          <w:p>
            <w:pPr>
              <w:spacing w:after="0"/>
              <w:rPr>
                <w:sz w:val="20"/>
                <w:szCs w:val="20"/>
                <w:color w:val="auto"/>
              </w:rPr>
            </w:pPr>
          </w:p>
        </w:tc>
        <w:tc>
          <w:tcPr>
            <w:tcW w:w="7260" w:type="dxa"/>
            <w:vAlign w:val="bottom"/>
          </w:tcPr>
          <w:p>
            <w:pPr>
              <w:jc w:val="right"/>
              <w:ind w:right="4970"/>
              <w:spacing w:after="0"/>
              <w:rPr>
                <w:sz w:val="20"/>
                <w:szCs w:val="20"/>
                <w:color w:val="auto"/>
              </w:rPr>
            </w:pPr>
            <w:r>
              <w:rPr>
                <w:rFonts w:ascii="Arial" w:cs="Arial" w:eastAsia="Arial" w:hAnsi="Arial"/>
                <w:sz w:val="18"/>
                <w:szCs w:val="18"/>
                <w:b w:val="1"/>
                <w:bCs w:val="1"/>
                <w:color w:val="auto"/>
              </w:rPr>
              <w:t>ARTICLE VII</w:t>
            </w:r>
          </w:p>
        </w:tc>
      </w:tr>
      <w:tr>
        <w:trPr>
          <w:trHeight w:val="432"/>
        </w:trPr>
        <w:tc>
          <w:tcPr>
            <w:tcW w:w="3980" w:type="dxa"/>
            <w:vAlign w:val="bottom"/>
            <w:gridSpan w:val="2"/>
          </w:tcPr>
          <w:p>
            <w:pPr>
              <w:spacing w:after="0"/>
              <w:rPr>
                <w:sz w:val="20"/>
                <w:szCs w:val="20"/>
                <w:color w:val="auto"/>
              </w:rPr>
            </w:pPr>
            <w:r>
              <w:rPr>
                <w:rFonts w:ascii="Arial" w:cs="Arial" w:eastAsia="Arial" w:hAnsi="Arial"/>
                <w:sz w:val="18"/>
                <w:szCs w:val="18"/>
                <w:color w:val="auto"/>
              </w:rPr>
              <w:t>MISCELLANEOUS</w:t>
            </w:r>
          </w:p>
        </w:tc>
        <w:tc>
          <w:tcPr>
            <w:tcW w:w="726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418"/>
        </w:trPr>
        <w:tc>
          <w:tcPr>
            <w:tcW w:w="1020" w:type="dxa"/>
            <w:vAlign w:val="bottom"/>
          </w:tcPr>
          <w:p>
            <w:pPr>
              <w:spacing w:after="0"/>
              <w:rPr>
                <w:sz w:val="20"/>
                <w:szCs w:val="20"/>
                <w:color w:val="auto"/>
              </w:rPr>
            </w:pPr>
            <w:r>
              <w:rPr>
                <w:rFonts w:ascii="Arial" w:cs="Arial" w:eastAsia="Arial" w:hAnsi="Arial"/>
                <w:sz w:val="18"/>
                <w:szCs w:val="18"/>
                <w:color w:val="auto"/>
                <w:w w:val="99"/>
              </w:rPr>
              <w:t>Section 701.</w:t>
            </w:r>
          </w:p>
        </w:tc>
        <w:tc>
          <w:tcPr>
            <w:tcW w:w="2960" w:type="dxa"/>
            <w:vAlign w:val="bottom"/>
          </w:tcPr>
          <w:p>
            <w:pPr>
              <w:ind w:left="100"/>
              <w:spacing w:after="0"/>
              <w:rPr>
                <w:sz w:val="20"/>
                <w:szCs w:val="20"/>
                <w:color w:val="auto"/>
              </w:rPr>
            </w:pPr>
            <w:r>
              <w:rPr>
                <w:rFonts w:ascii="Arial" w:cs="Arial" w:eastAsia="Arial" w:hAnsi="Arial"/>
                <w:sz w:val="18"/>
                <w:szCs w:val="18"/>
                <w:i w:val="1"/>
                <w:iCs w:val="1"/>
                <w:color w:val="auto"/>
              </w:rPr>
              <w:t>Counterparts</w:t>
            </w:r>
          </w:p>
        </w:tc>
        <w:tc>
          <w:tcPr>
            <w:tcW w:w="726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702.</w:t>
            </w:r>
          </w:p>
        </w:tc>
        <w:tc>
          <w:tcPr>
            <w:tcW w:w="2960" w:type="dxa"/>
            <w:vAlign w:val="bottom"/>
          </w:tcPr>
          <w:p>
            <w:pPr>
              <w:ind w:left="100"/>
              <w:spacing w:after="0"/>
              <w:rPr>
                <w:sz w:val="20"/>
                <w:szCs w:val="20"/>
                <w:color w:val="auto"/>
              </w:rPr>
            </w:pPr>
            <w:r>
              <w:rPr>
                <w:rFonts w:ascii="Arial" w:cs="Arial" w:eastAsia="Arial" w:hAnsi="Arial"/>
                <w:sz w:val="18"/>
                <w:szCs w:val="18"/>
                <w:i w:val="1"/>
                <w:iCs w:val="1"/>
                <w:color w:val="auto"/>
              </w:rPr>
              <w:t>Governing Law</w:t>
            </w:r>
          </w:p>
        </w:tc>
        <w:tc>
          <w:tcPr>
            <w:tcW w:w="726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3980" w:type="dxa"/>
            <w:vAlign w:val="bottom"/>
            <w:gridSpan w:val="2"/>
          </w:tcPr>
          <w:p>
            <w:pPr>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Recitals by the Company</w:t>
            </w:r>
          </w:p>
        </w:tc>
        <w:tc>
          <w:tcPr>
            <w:tcW w:w="726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rPr>
              <w:t>Exhibit A</w:t>
            </w:r>
          </w:p>
        </w:tc>
        <w:tc>
          <w:tcPr>
            <w:tcW w:w="2960" w:type="dxa"/>
            <w:vAlign w:val="bottom"/>
          </w:tcPr>
          <w:p>
            <w:pPr>
              <w:spacing w:after="0"/>
              <w:rPr>
                <w:sz w:val="18"/>
                <w:szCs w:val="18"/>
                <w:color w:val="auto"/>
              </w:rPr>
            </w:pPr>
          </w:p>
        </w:tc>
        <w:tc>
          <w:tcPr>
            <w:tcW w:w="7260" w:type="dxa"/>
            <w:vAlign w:val="bottom"/>
          </w:tcPr>
          <w:p>
            <w:pPr>
              <w:jc w:val="right"/>
              <w:spacing w:after="0"/>
              <w:rPr>
                <w:sz w:val="20"/>
                <w:szCs w:val="20"/>
                <w:color w:val="auto"/>
              </w:rPr>
            </w:pPr>
            <w:r>
              <w:rPr>
                <w:rFonts w:ascii="Arial" w:cs="Arial" w:eastAsia="Arial" w:hAnsi="Arial"/>
                <w:sz w:val="18"/>
                <w:szCs w:val="18"/>
                <w:color w:val="auto"/>
              </w:rPr>
              <w:t>A-</w:t>
            </w:r>
          </w:p>
        </w:tc>
      </w:tr>
      <w:tr>
        <w:trPr>
          <w:trHeight w:val="216"/>
        </w:trPr>
        <w:tc>
          <w:tcPr>
            <w:tcW w:w="1020" w:type="dxa"/>
            <w:vAlign w:val="bottom"/>
          </w:tcPr>
          <w:p>
            <w:pPr>
              <w:spacing w:after="0"/>
              <w:rPr>
                <w:sz w:val="18"/>
                <w:szCs w:val="18"/>
                <w:color w:val="auto"/>
              </w:rPr>
            </w:pPr>
          </w:p>
        </w:tc>
        <w:tc>
          <w:tcPr>
            <w:tcW w:w="2960" w:type="dxa"/>
            <w:vAlign w:val="bottom"/>
          </w:tcPr>
          <w:p>
            <w:pPr>
              <w:ind w:left="100"/>
              <w:spacing w:after="0"/>
              <w:rPr>
                <w:sz w:val="20"/>
                <w:szCs w:val="20"/>
                <w:color w:val="auto"/>
              </w:rPr>
            </w:pPr>
            <w:r>
              <w:rPr>
                <w:rFonts w:ascii="Arial" w:cs="Arial" w:eastAsia="Arial" w:hAnsi="Arial"/>
                <w:sz w:val="18"/>
                <w:szCs w:val="18"/>
                <w:i w:val="1"/>
                <w:iCs w:val="1"/>
                <w:color w:val="auto"/>
              </w:rPr>
              <w:t>Form of 2023 Note</w:t>
            </w:r>
          </w:p>
        </w:tc>
        <w:tc>
          <w:tcPr>
            <w:tcW w:w="726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rPr>
              <w:t>Exhibit B</w:t>
            </w:r>
          </w:p>
        </w:tc>
        <w:tc>
          <w:tcPr>
            <w:tcW w:w="2960" w:type="dxa"/>
            <w:vAlign w:val="bottom"/>
          </w:tcPr>
          <w:p>
            <w:pPr>
              <w:spacing w:after="0"/>
              <w:rPr>
                <w:sz w:val="18"/>
                <w:szCs w:val="18"/>
                <w:color w:val="auto"/>
              </w:rPr>
            </w:pPr>
          </w:p>
        </w:tc>
        <w:tc>
          <w:tcPr>
            <w:tcW w:w="7260" w:type="dxa"/>
            <w:vAlign w:val="bottom"/>
          </w:tcPr>
          <w:p>
            <w:pPr>
              <w:jc w:val="right"/>
              <w:spacing w:after="0"/>
              <w:rPr>
                <w:sz w:val="20"/>
                <w:szCs w:val="20"/>
                <w:color w:val="auto"/>
              </w:rPr>
            </w:pPr>
            <w:r>
              <w:rPr>
                <w:rFonts w:ascii="Arial" w:cs="Arial" w:eastAsia="Arial" w:hAnsi="Arial"/>
                <w:sz w:val="18"/>
                <w:szCs w:val="18"/>
                <w:color w:val="auto"/>
              </w:rPr>
              <w:t>B-</w:t>
            </w:r>
          </w:p>
        </w:tc>
      </w:tr>
      <w:tr>
        <w:trPr>
          <w:trHeight w:val="230"/>
        </w:trPr>
        <w:tc>
          <w:tcPr>
            <w:tcW w:w="1020" w:type="dxa"/>
            <w:vAlign w:val="bottom"/>
          </w:tcPr>
          <w:p>
            <w:pPr>
              <w:spacing w:after="0"/>
              <w:rPr>
                <w:sz w:val="20"/>
                <w:szCs w:val="20"/>
                <w:color w:val="auto"/>
              </w:rPr>
            </w:pPr>
          </w:p>
        </w:tc>
        <w:tc>
          <w:tcPr>
            <w:tcW w:w="2960" w:type="dxa"/>
            <w:vAlign w:val="bottom"/>
          </w:tcPr>
          <w:p>
            <w:pPr>
              <w:ind w:left="100"/>
              <w:spacing w:after="0"/>
              <w:rPr>
                <w:sz w:val="20"/>
                <w:szCs w:val="20"/>
                <w:color w:val="auto"/>
              </w:rPr>
            </w:pPr>
            <w:r>
              <w:rPr>
                <w:rFonts w:ascii="Arial" w:cs="Arial" w:eastAsia="Arial" w:hAnsi="Arial"/>
                <w:sz w:val="18"/>
                <w:szCs w:val="18"/>
                <w:i w:val="1"/>
                <w:iCs w:val="1"/>
                <w:color w:val="auto"/>
              </w:rPr>
              <w:t>Form of 2028 Note</w:t>
            </w:r>
          </w:p>
        </w:tc>
        <w:tc>
          <w:tcPr>
            <w:tcW w:w="7260" w:type="dxa"/>
            <w:vAlign w:val="bottom"/>
          </w:tcPr>
          <w:p>
            <w:pPr>
              <w:jc w:val="right"/>
              <w:spacing w:after="0"/>
              <w:rPr>
                <w:sz w:val="20"/>
                <w:szCs w:val="20"/>
                <w:color w:val="auto"/>
              </w:rPr>
            </w:pPr>
            <w:r>
              <w:rPr>
                <w:rFonts w:ascii="Arial" w:cs="Arial" w:eastAsia="Arial" w:hAnsi="Arial"/>
                <w:sz w:val="18"/>
                <w:szCs w:val="18"/>
                <w:color w:val="auto"/>
              </w:rPr>
              <w:t>1</w:t>
            </w:r>
          </w:p>
        </w:tc>
      </w:tr>
    </w:tbl>
    <w:p>
      <w:pPr>
        <w:sectPr>
          <w:pgSz w:w="11900" w:h="16838" w:orient="portrait"/>
          <w:cols w:equalWidth="0" w:num="1">
            <w:col w:w="11240"/>
          </w:cols>
          <w:pgMar w:left="240" w:top="486" w:right="419" w:bottom="1440" w:gutter="0" w:footer="0" w:header="0"/>
        </w:sectPr>
      </w:pPr>
    </w:p>
    <w:bookmarkStart w:id="116" w:name="page117"/>
    <w:bookmarkEnd w:id="116"/>
    <w:p>
      <w:pPr>
        <w:ind w:right="220" w:firstLine="456"/>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FIRST SUPPLEMENTAL INDENTURE, dated as of June 22, 2018 (“</w:t>
      </w:r>
      <w:r>
        <w:rPr>
          <w:rFonts w:ascii="Arial" w:cs="Arial" w:eastAsia="Arial" w:hAnsi="Arial"/>
          <w:sz w:val="16"/>
          <w:szCs w:val="16"/>
          <w:u w:val="single" w:color="auto"/>
          <w:color w:val="auto"/>
        </w:rPr>
        <w:t>First Supplemental Indenture</w:t>
      </w:r>
      <w:r>
        <w:rPr>
          <w:rFonts w:ascii="Arial" w:cs="Arial" w:eastAsia="Arial" w:hAnsi="Arial"/>
          <w:sz w:val="16"/>
          <w:szCs w:val="16"/>
          <w:color w:val="auto"/>
        </w:rPr>
        <w:t>”), to the Indenture dated as of June 22, 2018 (as amended, modified or supplemented from time to time in accordance therewith, other than with respect to a particular series of debt securities, the “</w:t>
      </w:r>
      <w:r>
        <w:rPr>
          <w:rFonts w:ascii="Arial" w:cs="Arial" w:eastAsia="Arial" w:hAnsi="Arial"/>
          <w:sz w:val="16"/>
          <w:szCs w:val="16"/>
          <w:u w:val="single" w:color="auto"/>
          <w:color w:val="auto"/>
        </w:rPr>
        <w:t>Base</w:t>
      </w:r>
      <w:r>
        <w:rPr>
          <w:rFonts w:ascii="Arial" w:cs="Arial" w:eastAsia="Arial" w:hAnsi="Arial"/>
          <w:sz w:val="16"/>
          <w:szCs w:val="16"/>
          <w:color w:val="auto"/>
        </w:rPr>
        <w:t xml:space="preserve"> </w:t>
      </w:r>
      <w:r>
        <w:rPr>
          <w:rFonts w:ascii="Arial" w:cs="Arial" w:eastAsia="Arial" w:hAnsi="Arial"/>
          <w:sz w:val="16"/>
          <w:szCs w:val="16"/>
          <w:u w:val="single" w:color="auto"/>
          <w:color w:val="auto"/>
        </w:rPr>
        <w:t>Indenture</w:t>
      </w:r>
      <w:r>
        <w:rPr>
          <w:rFonts w:ascii="Arial" w:cs="Arial" w:eastAsia="Arial" w:hAnsi="Arial"/>
          <w:sz w:val="16"/>
          <w:szCs w:val="16"/>
          <w:color w:val="auto"/>
        </w:rPr>
        <w:t>” and, as amended, modified and supplemented by this First Supplemental Indenture, the “</w:t>
      </w:r>
      <w:r>
        <w:rPr>
          <w:rFonts w:ascii="Arial" w:cs="Arial" w:eastAsia="Arial" w:hAnsi="Arial"/>
          <w:sz w:val="16"/>
          <w:szCs w:val="16"/>
          <w:u w:val="single" w:color="auto"/>
          <w:color w:val="auto"/>
        </w:rPr>
        <w:t>Indenture</w:t>
      </w:r>
      <w:r>
        <w:rPr>
          <w:rFonts w:ascii="Arial" w:cs="Arial" w:eastAsia="Arial" w:hAnsi="Arial"/>
          <w:sz w:val="16"/>
          <w:szCs w:val="16"/>
          <w:color w:val="auto"/>
        </w:rPr>
        <w:t>”), by and among Marvell Technology Group Ltd., a Bermuda exempted company (the “</w:t>
      </w:r>
      <w:r>
        <w:rPr>
          <w:rFonts w:ascii="Arial" w:cs="Arial" w:eastAsia="Arial" w:hAnsi="Arial"/>
          <w:sz w:val="16"/>
          <w:szCs w:val="16"/>
          <w:u w:val="single" w:color="auto"/>
          <w:color w:val="auto"/>
        </w:rPr>
        <w:t>Company</w:t>
      </w:r>
      <w:r>
        <w:rPr>
          <w:rFonts w:ascii="Arial" w:cs="Arial" w:eastAsia="Arial" w:hAnsi="Arial"/>
          <w:sz w:val="16"/>
          <w:szCs w:val="16"/>
          <w:color w:val="auto"/>
        </w:rPr>
        <w:t>”), and U.S. Bank National Association, a national banking association, as trustee (the “</w:t>
      </w:r>
      <w:r>
        <w:rPr>
          <w:rFonts w:ascii="Arial" w:cs="Arial" w:eastAsia="Arial" w:hAnsi="Arial"/>
          <w:sz w:val="16"/>
          <w:szCs w:val="16"/>
          <w:u w:val="single" w:color="auto"/>
          <w:color w:val="auto"/>
        </w:rPr>
        <w:t>Trustee</w:t>
      </w:r>
      <w:r>
        <w:rPr>
          <w:rFonts w:ascii="Arial" w:cs="Arial" w:eastAsia="Arial" w:hAnsi="Arial"/>
          <w:sz w:val="16"/>
          <w:szCs w:val="16"/>
          <w:color w:val="auto"/>
        </w:rPr>
        <w:t>”).</w:t>
      </w:r>
    </w:p>
    <w:p>
      <w:pPr>
        <w:spacing w:after="0" w:line="15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party agrees as follows for the benefit of the other party and for the equal and ratable benefit of the Holders of the Notes:</w:t>
      </w:r>
    </w:p>
    <w:p>
      <w:pPr>
        <w:spacing w:after="0" w:line="225" w:lineRule="exact"/>
        <w:rPr>
          <w:sz w:val="20"/>
          <w:szCs w:val="20"/>
          <w:color w:val="auto"/>
        </w:rPr>
      </w:pPr>
    </w:p>
    <w:p>
      <w:pPr>
        <w:ind w:right="60" w:firstLine="456"/>
        <w:spacing w:after="0" w:line="277" w:lineRule="auto"/>
        <w:rPr>
          <w:sz w:val="20"/>
          <w:szCs w:val="20"/>
          <w:color w:val="auto"/>
        </w:rPr>
      </w:pPr>
      <w:r>
        <w:rPr>
          <w:rFonts w:ascii="Arial" w:cs="Arial" w:eastAsia="Arial" w:hAnsi="Arial"/>
          <w:sz w:val="18"/>
          <w:szCs w:val="18"/>
          <w:color w:val="auto"/>
        </w:rPr>
        <w:t>WHEREAS, the Company has duly authorized the execution and delivery of the Base Indenture to provide for the issuance from time to time of senior debt securities to be issued in one or more series as provided in the Base Indenture;</w:t>
      </w:r>
    </w:p>
    <w:p>
      <w:pPr>
        <w:spacing w:after="0" w:line="17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WHEREAS, the Company has duly authorized the execution and delivery, and desires and has requested the Trustee to join it in the execution and delivery, of this First Supplemental Indenture in order to establish and provide for the issuance by the Company of Securities designated as its 4.200% Senior Notes due 2023 (the “</w:t>
      </w:r>
      <w:r>
        <w:rPr>
          <w:rFonts w:ascii="Arial" w:cs="Arial" w:eastAsia="Arial" w:hAnsi="Arial"/>
          <w:sz w:val="18"/>
          <w:szCs w:val="18"/>
          <w:u w:val="single" w:color="auto"/>
          <w:color w:val="auto"/>
        </w:rPr>
        <w:t>2023 Notes</w:t>
      </w:r>
      <w:r>
        <w:rPr>
          <w:rFonts w:ascii="Arial" w:cs="Arial" w:eastAsia="Arial" w:hAnsi="Arial"/>
          <w:sz w:val="18"/>
          <w:szCs w:val="18"/>
          <w:color w:val="auto"/>
        </w:rPr>
        <w:t>”) and its 4.875% Senior Notes due 2028 (the “</w:t>
      </w:r>
      <w:r>
        <w:rPr>
          <w:rFonts w:ascii="Arial" w:cs="Arial" w:eastAsia="Arial" w:hAnsi="Arial"/>
          <w:sz w:val="18"/>
          <w:szCs w:val="18"/>
          <w:u w:val="single" w:color="auto"/>
          <w:color w:val="auto"/>
        </w:rPr>
        <w:t>2028 Notes</w:t>
      </w:r>
      <w:r>
        <w:rPr>
          <w:rFonts w:ascii="Arial" w:cs="Arial" w:eastAsia="Arial" w:hAnsi="Arial"/>
          <w:sz w:val="18"/>
          <w:szCs w:val="18"/>
          <w:color w:val="auto"/>
        </w:rPr>
        <w:t>” and, together with the 2023 Notes, the “</w:t>
      </w:r>
      <w:r>
        <w:rPr>
          <w:rFonts w:ascii="Arial" w:cs="Arial" w:eastAsia="Arial" w:hAnsi="Arial"/>
          <w:sz w:val="18"/>
          <w:szCs w:val="18"/>
          <w:u w:val="single" w:color="auto"/>
          <w:color w:val="auto"/>
        </w:rPr>
        <w:t>Notes</w:t>
      </w:r>
      <w:r>
        <w:rPr>
          <w:rFonts w:ascii="Arial" w:cs="Arial" w:eastAsia="Arial" w:hAnsi="Arial"/>
          <w:sz w:val="18"/>
          <w:szCs w:val="18"/>
          <w:color w:val="auto"/>
        </w:rPr>
        <w:t>”) on the terms set forth herein;</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WHEREAS, the Notes are to be issued in a transaction registered under the Securities Act;</w:t>
      </w:r>
    </w:p>
    <w:p>
      <w:pPr>
        <w:spacing w:after="0" w:line="225" w:lineRule="exact"/>
        <w:rPr>
          <w:sz w:val="20"/>
          <w:szCs w:val="20"/>
          <w:color w:val="auto"/>
        </w:rPr>
      </w:pPr>
    </w:p>
    <w:p>
      <w:pPr>
        <w:ind w:right="360" w:firstLine="456"/>
        <w:spacing w:after="0" w:line="277" w:lineRule="auto"/>
        <w:rPr>
          <w:sz w:val="20"/>
          <w:szCs w:val="20"/>
          <w:color w:val="auto"/>
        </w:rPr>
      </w:pPr>
      <w:r>
        <w:rPr>
          <w:rFonts w:ascii="Arial" w:cs="Arial" w:eastAsia="Arial" w:hAnsi="Arial"/>
          <w:sz w:val="18"/>
          <w:szCs w:val="18"/>
          <w:color w:val="auto"/>
        </w:rPr>
        <w:t xml:space="preserve">WHEREAS, Section 901 of the Base Indenture provides that a supplemental indenture may be entered into by the parties for such purpose without notice to or the consent of any 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certain conditions are met;</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7"/>
          <w:szCs w:val="17"/>
          <w:color w:val="auto"/>
        </w:rPr>
        <w:t>WHEREAS, the conditions set forth in the Base Indenture for the execution and delivery of this First Supplemental Indenture have been met; and</w:t>
      </w:r>
    </w:p>
    <w:p>
      <w:pPr>
        <w:spacing w:after="0" w:line="237"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WHEREAS, all things necessary to make this First Supplemental Indenture a valid and binding agreement of the parties, in accordance with its terms, and a valid amendment of, and supplement to, the Base Indenture with respect to the Notes have been done.</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NOW, THEREFORE:</w:t>
      </w:r>
    </w:p>
    <w:p>
      <w:pPr>
        <w:spacing w:after="0" w:line="200" w:lineRule="exact"/>
        <w:rPr>
          <w:sz w:val="20"/>
          <w:szCs w:val="20"/>
          <w:color w:val="auto"/>
        </w:rPr>
      </w:pPr>
    </w:p>
    <w:p>
      <w:pPr>
        <w:spacing w:after="0" w:line="23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u w:val="single" w:color="auto"/>
          <w:color w:val="auto"/>
        </w:rPr>
        <w:t>ARTICLE I</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DEFINITIONS AND OTHER PROVISIONS OF GENERAL APPLICATION</w:t>
      </w:r>
    </w:p>
    <w:p>
      <w:pPr>
        <w:spacing w:after="0" w:line="21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i w:val="1"/>
          <w:iCs w:val="1"/>
          <w:color w:val="auto"/>
        </w:rPr>
        <w:t>Definitions.</w:t>
      </w:r>
      <w:r>
        <w:rPr>
          <w:rFonts w:ascii="Arial" w:cs="Arial" w:eastAsia="Arial" w:hAnsi="Arial"/>
          <w:sz w:val="18"/>
          <w:szCs w:val="18"/>
          <w:color w:val="auto"/>
        </w:rPr>
        <w:t xml:space="preserve"> Capitalized terms used herein and not otherwise defined herein have the meanings assigned to them in the Base Indenture. To the extent terms are defined in both this First Supplemental Indenture and the Base Indenture, the applicable definition in this First Supplemental Indenture shall control. The words “herein,” “hereof” and “hereby” and other words of similar import used in this First Supplemental Indenture refer to this First Supplemental Indenture as a whole and not to any particular section hereof.</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80"/>
          </w:cols>
          <w:pgMar w:left="240" w:top="274" w:right="279" w:bottom="1440" w:gutter="0" w:footer="0" w:header="0"/>
        </w:sectPr>
      </w:pPr>
    </w:p>
    <w:bookmarkStart w:id="117" w:name="page118"/>
    <w:bookmarkEnd w:id="117"/>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As used herein, the following terms have the specified meanings: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2023 Additional Notes</w:t>
      </w:r>
      <w:r>
        <w:rPr>
          <w:rFonts w:ascii="Arial" w:cs="Arial" w:eastAsia="Arial" w:hAnsi="Arial"/>
          <w:sz w:val="18"/>
          <w:szCs w:val="18"/>
          <w:color w:val="auto"/>
        </w:rPr>
        <w:t>” has the meaning specified in Section 304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has the meaning specified in Section 304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2023 Par Call Date</w:t>
      </w:r>
      <w:r>
        <w:rPr>
          <w:rFonts w:ascii="Arial" w:cs="Arial" w:eastAsia="Arial" w:hAnsi="Arial"/>
          <w:sz w:val="18"/>
          <w:szCs w:val="18"/>
          <w:color w:val="auto"/>
        </w:rPr>
        <w:t>” means May 22, 2023 (the date that is one month prior to the maturity of the 2023 Notes).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Par Call Date</w:t>
      </w:r>
      <w:r>
        <w:rPr>
          <w:rFonts w:ascii="Arial" w:cs="Arial" w:eastAsia="Arial" w:hAnsi="Arial"/>
          <w:sz w:val="18"/>
          <w:szCs w:val="18"/>
          <w:color w:val="auto"/>
        </w:rPr>
        <w:t>” means March 22, 2028 (the date that is three months prior to the maturity of the 2028 Notes).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Notes</w:t>
      </w:r>
      <w:r>
        <w:rPr>
          <w:rFonts w:ascii="Arial" w:cs="Arial" w:eastAsia="Arial" w:hAnsi="Arial"/>
          <w:sz w:val="18"/>
          <w:szCs w:val="18"/>
          <w:color w:val="auto"/>
        </w:rPr>
        <w:t>” has the meaning specified in Section 304 of this First Supplemental Indenture.</w:t>
      </w:r>
    </w:p>
    <w:p>
      <w:pPr>
        <w:spacing w:after="0" w:line="225"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 and leaseback transaction, at the time of determination, the lesser of (1) the fair market value of the Property (as determined in good faith by the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Base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w:t>
      </w:r>
      <w:r>
        <w:rPr>
          <w:rFonts w:ascii="Arial" w:cs="Arial" w:eastAsia="Arial" w:hAnsi="Arial"/>
          <w:sz w:val="18"/>
          <w:szCs w:val="18"/>
          <w:color w:val="auto"/>
        </w:rPr>
        <w:t>” means the acquisition by the Company, through Kauai Acquisition Corp., a Delaware corporation, of all the outstanding equity interests of Cavium, Inc., a Delaware corporation, pursuant to the Merger Agreement.</w:t>
      </w:r>
    </w:p>
    <w:p>
      <w:pPr>
        <w:spacing w:after="0" w:line="170"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Change of Control</w:t>
      </w:r>
      <w:r>
        <w:rPr>
          <w:rFonts w:ascii="Arial" w:cs="Arial" w:eastAsia="Arial" w:hAnsi="Arial"/>
          <w:sz w:val="16"/>
          <w:szCs w:val="16"/>
          <w:color w:val="auto"/>
        </w:rPr>
        <w:t>” means the occurrence of any of the following: (1) the direct or indirect sale, transfer, conveyance or other disposition (other than by way of merger or consolidation), in one or a series of related transactions, of all or substantially all of the assets of the Company and its Subsidiaries taken as a whole to any “person” (as that term is used in Section 13(d)(3) of the Exchange Act) other than to the Company or one of its Subsidiaries; (2) the adoption of a plan by the Board of Directors relating to the Company’s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the Company’s Voting Shares or other Voting</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118" w:name="page119"/>
    <w:bookmarkEnd w:id="118"/>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Shares into which the Company’s Voting Shares are reclassified, consolidated, exchanged or changed, measured by voting power rather than number of shares;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(x) a person shall not be deemed beneficial owner of, or to own beneficially, (A) any securities tendered pursuant to a tender or exchange offer made by or on behalf of such person or any Affiliates of such person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the Company becomes a direct or indirect wholly-owned Subsidiary of a holding company and (B)(i) the direct or indirect holders of the Voting Shares of such holding company immediately following that transaction are substantially the same as the holders of the Company’s Voting Shares immediately prior to that transaction and each holder holds substantially the same percentage of Voting Shares of such holding company as such holder held of the Company’s shares immediately prior to that transaction or (ii) the Company’s Voting Shares outstanding immediately prior to such transaction are converted into or exchanged for, a majority of the voting stock of such holding company immediately after giving effect to such transaction; or (4) the Company consolidates with, or merges with or into, any person, or any person consolidates with, or merges with or into, the Company, in any such event pursuant to a transaction in which any of the outstanding Voting Shares of the Company or such other person is converted into or exchanged for cash, securities or other property, other than any such transaction where the Company’s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merger of the Company with any of its Subsidiaries solely for the purpose of reincorporating the Company in another jurisdiction within the United States shall not constitute a “Change of Control”.</w:t>
      </w:r>
    </w:p>
    <w:p>
      <w:pPr>
        <w:spacing w:after="0" w:line="17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Change of Control Repurchase Event</w:t>
      </w:r>
      <w:r>
        <w:rPr>
          <w:rFonts w:ascii="Arial" w:cs="Arial" w:eastAsia="Arial" w:hAnsi="Arial"/>
          <w:sz w:val="16"/>
          <w:szCs w:val="16"/>
          <w:color w:val="auto"/>
        </w:rPr>
        <w:t>” means, with respect to either series of Notes, the occurrence of both a Change of Control and a Ratings Event.</w:t>
      </w:r>
    </w:p>
    <w:p>
      <w:pPr>
        <w:spacing w:after="0" w:line="248" w:lineRule="exact"/>
        <w:rPr>
          <w:sz w:val="20"/>
          <w:szCs w:val="20"/>
          <w:color w:val="auto"/>
        </w:rPr>
      </w:pPr>
    </w:p>
    <w:p>
      <w:pPr>
        <w:ind w:right="26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the party named as such in the recitals of this First Supplemental Indenture until a successor replaces it pursuant to the terms and conditions of the Indenture and thereafter means the successor.</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119" w:name="page120"/>
    <w:bookmarkEnd w:id="119"/>
    <w:p>
      <w:pPr>
        <w:ind w:firstLine="456"/>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Comparable Treasury Issue</w:t>
      </w:r>
      <w:r>
        <w:rPr>
          <w:rFonts w:ascii="Arial" w:cs="Arial" w:eastAsia="Arial" w:hAnsi="Arial"/>
          <w:sz w:val="16"/>
          <w:szCs w:val="16"/>
          <w:color w:val="auto"/>
        </w:rPr>
        <w:t>” means, with respect to any Notes to be redeemed, the United States Treasury security selected by an Independent Investment Banker as having an actual or interpolated maturity comparable to the remaining term of the Notes to be redeemed pursuant to Section 402 of this First Supplemental Indenture (assuming the 2023 Notes matured on the 2023 Par Call Date, in the case of the 2023 Notes, and the 2028 Notes matured on the 2028 Par Call Date, in the case of the 2028 Notes) that would be utilized, at the time of selection and in accordance with customary financial practice, in pricing new issues of corporate debt securities of comparable maturity to the remaining term of the Notes (assuming the 2023 Notes matured on the 2023 Par Call Date, in the case of the 2023 Notes, and the 2028 Notes matured on the 2028 Par Call Date, in the case of the 2028 Notes).</w:t>
      </w:r>
    </w:p>
    <w:p>
      <w:pPr>
        <w:spacing w:after="0" w:line="165" w:lineRule="exact"/>
        <w:rPr>
          <w:sz w:val="20"/>
          <w:szCs w:val="20"/>
          <w:color w:val="auto"/>
        </w:rPr>
      </w:pPr>
    </w:p>
    <w:p>
      <w:pPr>
        <w:ind w:right="20" w:firstLine="456"/>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Comparable Treasury Price</w:t>
      </w:r>
      <w:r>
        <w:rPr>
          <w:rFonts w:ascii="Arial" w:cs="Arial" w:eastAsia="Arial" w:hAnsi="Arial"/>
          <w:sz w:val="17"/>
          <w:szCs w:val="17"/>
          <w:color w:val="auto"/>
        </w:rPr>
        <w:t>” means, with respect to any redemption date pursuant to Section 402 of this First Supplemental Indenture, (1) if the Company obtains four or more applicable Reference Treasury Dealer Quotations, the arithmetic average of the applicable Reference Treasury Dealer Quotations for such redemption date after excluding the highest and lowest such Reference Treasury Dealer Quotations, (2) if the Company obtains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73"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the Company’s most recent consolidated balance sheet (including, without duplication, the notes related thereto) prepared in accordance with GAAP.</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means any receiver, trustee, assignee, liquidator or similar official under any Bankruptcy Law.</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503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right="40" w:firstLine="456"/>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xml:space="preserve">”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the term “</w:t>
      </w:r>
      <w:r>
        <w:rPr>
          <w:rFonts w:ascii="Arial" w:cs="Arial" w:eastAsia="Arial" w:hAnsi="Arial"/>
          <w:sz w:val="17"/>
          <w:szCs w:val="17"/>
          <w:u w:val="single" w:color="auto"/>
          <w:color w:val="auto"/>
        </w:rPr>
        <w:t>guarantee</w:t>
      </w:r>
      <w:r>
        <w:rPr>
          <w:rFonts w:ascii="Arial" w:cs="Arial" w:eastAsia="Arial" w:hAnsi="Arial"/>
          <w:sz w:val="17"/>
          <w:szCs w:val="17"/>
          <w:color w:val="auto"/>
        </w:rPr>
        <w:t>” shall not include endorsements for collection or deposit in the ordinary course of business. The term “</w:t>
      </w:r>
      <w:r>
        <w:rPr>
          <w:rFonts w:ascii="Arial" w:cs="Arial" w:eastAsia="Arial" w:hAnsi="Arial"/>
          <w:sz w:val="17"/>
          <w:szCs w:val="17"/>
          <w:u w:val="single" w:color="auto"/>
          <w:color w:val="auto"/>
        </w:rPr>
        <w:t>guarantee</w:t>
      </w:r>
      <w:r>
        <w:rPr>
          <w:rFonts w:ascii="Arial" w:cs="Arial" w:eastAsia="Arial" w:hAnsi="Arial"/>
          <w:sz w:val="17"/>
          <w:szCs w:val="17"/>
          <w:color w:val="auto"/>
        </w:rPr>
        <w:t>,” when</w:t>
      </w:r>
      <w:r>
        <w:rPr>
          <w:rFonts w:ascii="Arial" w:cs="Arial" w:eastAsia="Arial" w:hAnsi="Arial"/>
          <w:sz w:val="17"/>
          <w:szCs w:val="17"/>
          <w:i w:val="1"/>
          <w:iCs w:val="1"/>
          <w:color w:val="auto"/>
        </w:rPr>
        <w:t xml:space="preserve"> </w:t>
      </w:r>
      <w:r>
        <w:rPr>
          <w:rFonts w:ascii="Arial" w:cs="Arial" w:eastAsia="Arial" w:hAnsi="Arial"/>
          <w:sz w:val="17"/>
          <w:szCs w:val="17"/>
          <w:color w:val="auto"/>
        </w:rPr>
        <w:t>used as a verb, has a correlative meaning.</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60"/>
          </w:cols>
          <w:pgMar w:left="240" w:top="274" w:right="299" w:bottom="1440" w:gutter="0" w:footer="0" w:header="0"/>
        </w:sectPr>
      </w:pPr>
    </w:p>
    <w:bookmarkStart w:id="120" w:name="page121"/>
    <w:bookmarkEnd w:id="120"/>
    <w:p>
      <w:pPr>
        <w:ind w:right="18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Hedging Obligations</w:t>
      </w:r>
      <w:r>
        <w:rPr>
          <w:rFonts w:ascii="Arial" w:cs="Arial" w:eastAsia="Arial" w:hAnsi="Arial"/>
          <w:sz w:val="18"/>
          <w:szCs w:val="18"/>
          <w:color w:val="auto"/>
        </w:rPr>
        <w:t>” means, with respect to any specified Person, the obligations of such Person under: (1) interest rate swap agreements (whether from fixed to floating or from floating to fixed), interest rate cap agreements and interest rate collar agreements; (2) other agreements or arrangements designed to manage interest rates or interest rate risk; and (3) other agreements or arrangements designed to protect such Person against fluctuations in currency exchange rates or commodity prices.</w:t>
      </w:r>
    </w:p>
    <w:p>
      <w:pPr>
        <w:spacing w:after="0" w:line="187"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right="260" w:firstLine="456"/>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Independent Investment Banker</w:t>
      </w:r>
      <w:r>
        <w:rPr>
          <w:rFonts w:ascii="Arial" w:cs="Arial" w:eastAsia="Arial" w:hAnsi="Arial"/>
          <w:sz w:val="16"/>
          <w:szCs w:val="16"/>
          <w:color w:val="auto"/>
        </w:rPr>
        <w:t xml:space="preserve">” means one of the Reference Treasury Dealers, as may be appointed from time to time by the Company;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if any Reference Treasury Dealer ceases to be a Primary Treasury Dealer, the Company shall substitute another Primary Treasury Dealer.</w:t>
      </w:r>
    </w:p>
    <w:p>
      <w:pPr>
        <w:spacing w:after="0" w:line="12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Notes</w:t>
      </w:r>
      <w:r>
        <w:rPr>
          <w:rFonts w:ascii="Arial" w:cs="Arial" w:eastAsia="Arial" w:hAnsi="Arial"/>
          <w:sz w:val="18"/>
          <w:szCs w:val="18"/>
          <w:color w:val="auto"/>
        </w:rPr>
        <w:t>” has the meaning set forth in Section 301(b) of this First Supplemental Indenture.</w:t>
      </w:r>
    </w:p>
    <w:p>
      <w:pPr>
        <w:spacing w:after="0" w:line="225"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Substitute Rating Agency appointed in accordance with the proviso to the definition of “Rating Agency”.</w:t>
      </w:r>
    </w:p>
    <w:p>
      <w:pPr>
        <w:spacing w:after="0" w:line="187"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Agreement</w:t>
      </w:r>
      <w:r>
        <w:rPr>
          <w:rFonts w:ascii="Arial" w:cs="Arial" w:eastAsia="Arial" w:hAnsi="Arial"/>
          <w:sz w:val="18"/>
          <w:szCs w:val="18"/>
          <w:color w:val="auto"/>
        </w:rPr>
        <w:t>” means the Agreement and Plan of Merger, dated as of November 19, 2017, by and among the Company, Kauai Acquisition Corp., a Delaware corporation, and Cavium, Inc., a Delaware corporation, as such agreement may be amended, supplemented or otherwise modified from time to time.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Non-recourse Obligation</w:t>
      </w:r>
      <w:r>
        <w:rPr>
          <w:rFonts w:ascii="Arial" w:cs="Arial" w:eastAsia="Arial" w:hAnsi="Arial"/>
          <w:sz w:val="18"/>
          <w:szCs w:val="18"/>
          <w:color w:val="auto"/>
        </w:rPr>
        <w:t>” means Indebtedness or other obligations substantially related to (1) the acquisition of assets not previously owned by the Company or any direct or indirect Subsidiaries of the Company or (2) the financing of a project involving the development or</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274" w:right="279" w:bottom="1440" w:gutter="0" w:footer="0" w:header="0"/>
        </w:sectPr>
      </w:pPr>
    </w:p>
    <w:bookmarkStart w:id="121" w:name="page122"/>
    <w:bookmarkEnd w:id="121"/>
    <w:p>
      <w:pPr>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expansion of the properties of the Company or any direct or indirect Subsidiaries of the Company, as to which the obligee with respect to such Indebtedness or obligation has no recourse to the Company or any direct or indirect Subsidiary of the Company or such Subsidiary’s assets other than the assets which were acquired with the proceeds of such transaction or the project financed with the proceeds of such transaction (and the proceeds thereof).</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Notes</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Primary Treasury Dealer</w:t>
      </w:r>
      <w:r>
        <w:rPr>
          <w:rFonts w:ascii="Arial" w:cs="Arial" w:eastAsia="Arial" w:hAnsi="Arial"/>
          <w:sz w:val="18"/>
          <w:szCs w:val="18"/>
          <w:color w:val="auto"/>
        </w:rPr>
        <w:t>” means a primary U.S. Government securities dealer in the United States of America.</w:t>
      </w:r>
    </w:p>
    <w:p>
      <w:pPr>
        <w:spacing w:after="0" w:line="225" w:lineRule="exact"/>
        <w:rPr>
          <w:sz w:val="20"/>
          <w:szCs w:val="20"/>
          <w:color w:val="auto"/>
        </w:rPr>
      </w:pPr>
    </w:p>
    <w:p>
      <w:pPr>
        <w:ind w:right="140" w:firstLine="456"/>
        <w:spacing w:after="0" w:line="29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Property</w:t>
      </w:r>
      <w:r>
        <w:rPr>
          <w:rFonts w:ascii="Arial" w:cs="Arial" w:eastAsia="Arial" w:hAnsi="Arial"/>
          <w:sz w:val="16"/>
          <w:szCs w:val="16"/>
          <w:color w:val="auto"/>
        </w:rPr>
        <w:t>” means (i) any real property or any permanent improvement thereon owned by the Company or any of its Restricted Subsidiaries located in the United States, except such as the Company’s management determines in good faith (taking into account, among other things, the importance of such property to the business, financial condition and earnings of the Company and its Subsidiaries taken as a whole) not to be of material importance to the business of the Company and its Subsidiaries, taken as a whole, and (ii) the capital stock of any United States Subsidiary that is owned by the Company or any of its Restricted Subsidiaries, in the case of each of clause (i) and (ii), whether now owned or hereafter acquired.</w:t>
      </w:r>
    </w:p>
    <w:p>
      <w:pPr>
        <w:spacing w:after="0" w:line="158" w:lineRule="exact"/>
        <w:rPr>
          <w:sz w:val="20"/>
          <w:szCs w:val="20"/>
          <w:color w:val="auto"/>
        </w:rPr>
      </w:pPr>
    </w:p>
    <w:p>
      <w:pPr>
        <w:jc w:val="both"/>
        <w:ind w:right="280" w:firstLine="456"/>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 Agency</w:t>
      </w:r>
      <w:r>
        <w:rPr>
          <w:rFonts w:ascii="Arial" w:cs="Arial" w:eastAsia="Arial" w:hAnsi="Arial"/>
          <w:sz w:val="16"/>
          <w:szCs w:val="16"/>
          <w:color w:val="auto"/>
        </w:rPr>
        <w:t xml:space="preserve">” means each of Fitch, Moody’s and S&amp;P;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any of Fitch, Moody’s or S&amp;P ceases to rate the Notes or fails to make a rating of the Notes publicly available, “Rating Agency” shall include a substitute rating agency appointed by the Company that is a “nationally recognized statistical rating organization” as defined in Section 3(a)(62) of the Exchange Act for such rating agency (a “</w:t>
      </w:r>
      <w:r>
        <w:rPr>
          <w:rFonts w:ascii="Arial" w:cs="Arial" w:eastAsia="Arial" w:hAnsi="Arial"/>
          <w:sz w:val="16"/>
          <w:szCs w:val="16"/>
          <w:u w:val="single" w:color="auto"/>
          <w:color w:val="auto"/>
        </w:rPr>
        <w:t>Substitute Rating Agency</w:t>
      </w:r>
      <w:r>
        <w:rPr>
          <w:rFonts w:ascii="Arial" w:cs="Arial" w:eastAsia="Arial" w:hAnsi="Arial"/>
          <w:sz w:val="16"/>
          <w:szCs w:val="16"/>
          <w:color w:val="auto"/>
        </w:rPr>
        <w:t>”).</w:t>
      </w:r>
    </w:p>
    <w:p>
      <w:pPr>
        <w:spacing w:after="0" w:line="147" w:lineRule="exact"/>
        <w:rPr>
          <w:sz w:val="20"/>
          <w:szCs w:val="20"/>
          <w:color w:val="auto"/>
        </w:rPr>
      </w:pPr>
    </w:p>
    <w:p>
      <w:pPr>
        <w:ind w:right="220" w:firstLine="456"/>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Trigger Period. If any of the Rating Agencies is not providing a rating of the Notes of the applicable series on any day during the Trigger Period for any reason (subject, for the avoidance of doubt, to the Company’s right to engage a Substitute Rating Agency as provided herein), the rating of such Rating Agency for the Notes of such series shall be deemed to have ceased to be Investment Grade during the Trigger Period.</w:t>
      </w:r>
    </w:p>
    <w:p>
      <w:pPr>
        <w:spacing w:after="0" w:line="15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Record Date</w:t>
      </w:r>
      <w:r>
        <w:rPr>
          <w:rFonts w:ascii="Arial" w:cs="Arial" w:eastAsia="Arial" w:hAnsi="Arial"/>
          <w:sz w:val="18"/>
          <w:szCs w:val="18"/>
          <w:color w:val="auto"/>
        </w:rPr>
        <w:t>” has the meaning specified in Section 301(d) of this First Supplemental Indenture.</w:t>
      </w:r>
    </w:p>
    <w:p>
      <w:pPr>
        <w:spacing w:after="0" w:line="225" w:lineRule="exact"/>
        <w:rPr>
          <w:sz w:val="20"/>
          <w:szCs w:val="20"/>
          <w:color w:val="auto"/>
        </w:rPr>
      </w:pPr>
    </w:p>
    <w:p>
      <w:pPr>
        <w:ind w:right="62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w:t>
      </w:r>
      <w:r>
        <w:rPr>
          <w:rFonts w:ascii="Arial" w:cs="Arial" w:eastAsia="Arial" w:hAnsi="Arial"/>
          <w:sz w:val="18"/>
          <w:szCs w:val="18"/>
          <w:color w:val="auto"/>
        </w:rPr>
        <w:t>” means each of Goldman Sachs &amp; Co. LLC and Merrill Lynch, Pierce, Fenner &amp; Smith Incorporated, each of their respective successors, and any other Primary Treasury Dealers selected by the Company.</w:t>
      </w:r>
    </w:p>
    <w:p>
      <w:pPr>
        <w:spacing w:after="0" w:line="17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22" w:name="page123"/>
    <w:bookmarkEnd w:id="122"/>
    <w:p>
      <w:pPr>
        <w:ind w:right="40" w:firstLine="456"/>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u w:val="single" w:color="auto"/>
          <w:color w:val="auto"/>
        </w:rPr>
        <w:t>Remaining Scheduled Payments</w:t>
      </w:r>
      <w:r>
        <w:rPr>
          <w:rFonts w:ascii="Arial" w:cs="Arial" w:eastAsia="Arial" w:hAnsi="Arial"/>
          <w:sz w:val="17"/>
          <w:szCs w:val="17"/>
          <w:color w:val="auto"/>
        </w:rPr>
        <w:t xml:space="preserve">” means, with respect to any Note to be redeemed pursuant to Section 402 of this First Supplemental Indenture, the remaining scheduled payments of the principal thereof and interest thereon that would be due after the related redemption date but for such redemption calculated as if the Stated Maturity of such Note was the 2023 Par Call Date, in the case of the 2023 Notes, or the 2028 Par Call Date, in the case of the 2028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such redemption date is not an interest payment date with respect to such Note, the amount of the next scheduled interest payment thereon shall be reduced by the amount of interest accrued thereon to such redemption date.</w:t>
      </w:r>
    </w:p>
    <w:p>
      <w:pPr>
        <w:spacing w:after="0" w:line="173"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Subsidiary</w:t>
      </w:r>
      <w:r>
        <w:rPr>
          <w:rFonts w:ascii="Arial" w:cs="Arial" w:eastAsia="Arial" w:hAnsi="Arial"/>
          <w:sz w:val="18"/>
          <w:szCs w:val="18"/>
          <w:color w:val="auto"/>
        </w:rPr>
        <w:t>” means a Subsidiary of the Company of which substantially all of its property is located, or substantially all of its business is conducted, in the United States.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Date</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Event</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has the meaning set forth in the definition of “Rating Agency”.</w:t>
      </w:r>
    </w:p>
    <w:p>
      <w:pPr>
        <w:spacing w:after="0" w:line="225" w:lineRule="exact"/>
        <w:rPr>
          <w:sz w:val="20"/>
          <w:szCs w:val="20"/>
          <w:color w:val="auto"/>
        </w:rPr>
      </w:pPr>
    </w:p>
    <w:p>
      <w:pPr>
        <w:ind w:right="120" w:firstLine="456"/>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Treasury Rate</w:t>
      </w:r>
      <w:r>
        <w:rPr>
          <w:rFonts w:ascii="Arial" w:cs="Arial" w:eastAsia="Arial" w:hAnsi="Arial"/>
          <w:sz w:val="16"/>
          <w:szCs w:val="16"/>
          <w:color w:val="auto"/>
        </w:rPr>
        <w:t>” means, with respect to any redemption date pursuant to Section 402 of this First Supplemental Indenture, the rate per annum equal to the semi-annual equivalent yield to maturity (computed as of the third Business Day immediately preceding that redemption date ) of the applicable Comparable Treasury Issue. In determining this rate, the Independent Investment Banker shall assume a price for the applicable Comparable Treasury Issue (expressed as a percentage of its principal amount) equal to the applicable Comparable Treasury Price for such redemption date.</w:t>
      </w:r>
    </w:p>
    <w:p>
      <w:pPr>
        <w:spacing w:after="0" w:line="15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Trigger Period</w:t>
      </w:r>
      <w:r>
        <w:rPr>
          <w:rFonts w:ascii="Arial" w:cs="Arial" w:eastAsia="Arial" w:hAnsi="Arial"/>
          <w:sz w:val="18"/>
          <w:szCs w:val="18"/>
          <w:color w:val="auto"/>
        </w:rPr>
        <w:t>” means the period commencing on the earlier of (a) the first public notice of the occurrence of a Change of Control or (b) the public announcement by the Company of its intention to effect a Change of Control, and ending 60 days following consummation of such Change of Control (which period shall be extended so long as the rating of the Notes of the applicable series is under publicly announced consideration for a possible rating downgrade by any of the Rating Agencies, such extension to last with respect to each such Rating Agency until the date on which such Rating Agency considering such possible rating downgrade either (x) rates the applicable series of Notes below Investment Grade or (y) publicly announces that it is no longer considering such series of Notes for a possible downgrade).</w:t>
      </w:r>
    </w:p>
    <w:p>
      <w:pPr>
        <w:spacing w:after="0" w:line="12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60"/>
          </w:cols>
          <w:pgMar w:left="240" w:top="274" w:right="299" w:bottom="1440" w:gutter="0" w:footer="0" w:header="0"/>
        </w:sectPr>
      </w:pPr>
    </w:p>
    <w:bookmarkStart w:id="123" w:name="page124"/>
    <w:bookmarkEnd w:id="123"/>
    <w:p>
      <w:pPr>
        <w:ind w:right="400" w:firstLine="456"/>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18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 xml:space="preserve">Section 102. </w:t>
      </w:r>
      <w:r>
        <w:rPr>
          <w:rFonts w:ascii="Arial" w:cs="Arial" w:eastAsia="Arial" w:hAnsi="Arial"/>
          <w:sz w:val="16"/>
          <w:szCs w:val="16"/>
          <w:i w:val="1"/>
          <w:iCs w:val="1"/>
          <w:color w:val="auto"/>
        </w:rPr>
        <w:t>Relationship with Base Indenture.</w:t>
      </w:r>
      <w:r>
        <w:rPr>
          <w:rFonts w:ascii="Arial" w:cs="Arial" w:eastAsia="Arial" w:hAnsi="Arial"/>
          <w:sz w:val="16"/>
          <w:szCs w:val="16"/>
          <w:color w:val="auto"/>
        </w:rPr>
        <w:t xml:space="preserve"> The terms and provisions contained in this First Supplemental Indenture will constitute, and are hereby expressly made, a part of the Base Indenture and the Company and the Trustee, by their execution and delivery of this First Supplemental Indenture, expressly agree to such terms and provisions and to be bound thereby;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provisions of this First Supplemental Indenture shall apply solely with respect to the 2023 Notes and the 2028 Notes and that, except as expressly supplemented hereby with respect to the 2023 Notes and the 2028 Notes, the Base Indenture shall continue in full force and effect and is in all respects confirmed, ratified and preserved. The Base Indenture and this First Supplemental Indenture shall be read, taken and construed as one and the same instrument. In the event that any provision of this First Supplemental Indenture expressly limits, qualifies or conflicts with a provision of the Base Indenture, such provision of this First Supplemental Indenture shall control.</w:t>
      </w:r>
    </w:p>
    <w:p>
      <w:pPr>
        <w:spacing w:after="0" w:line="379"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 NOTES</w:t>
      </w:r>
    </w:p>
    <w:p>
      <w:pPr>
        <w:spacing w:after="0" w:line="211"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r>
        <w:rPr>
          <w:rFonts w:ascii="Arial" w:cs="Arial" w:eastAsia="Arial" w:hAnsi="Arial"/>
          <w:sz w:val="18"/>
          <w:szCs w:val="18"/>
          <w:color w:val="auto"/>
        </w:rPr>
        <w:t xml:space="preserve"> The 2023 Notes shall be substantially in the form of Exhibit A hereto, which is hereby incorporated in and expressly made a part of the Indenture. The 2028 Notes shall be substantially in the form of Exhibit B hereto, which is hereby incorporated in and expressly made a part of the Indenture.</w:t>
      </w:r>
    </w:p>
    <w:p>
      <w:pPr>
        <w:spacing w:after="0" w:line="393" w:lineRule="exact"/>
        <w:rPr>
          <w:sz w:val="20"/>
          <w:szCs w:val="20"/>
          <w:color w:val="auto"/>
        </w:rPr>
      </w:pPr>
    </w:p>
    <w:p>
      <w:pPr>
        <w:ind w:left="5180"/>
        <w:spacing w:after="0"/>
        <w:rPr>
          <w:sz w:val="20"/>
          <w:szCs w:val="20"/>
          <w:color w:val="auto"/>
        </w:rPr>
      </w:pPr>
      <w:r>
        <w:rPr>
          <w:rFonts w:ascii="Arial" w:cs="Arial" w:eastAsia="Arial" w:hAnsi="Arial"/>
          <w:sz w:val="18"/>
          <w:szCs w:val="18"/>
          <w:b w:val="1"/>
          <w:bCs w:val="1"/>
          <w:u w:val="single" w:color="auto"/>
          <w:color w:val="auto"/>
        </w:rPr>
        <w:t>ARTICLE III</w:t>
      </w:r>
    </w:p>
    <w:p>
      <w:pPr>
        <w:spacing w:after="0" w:line="27" w:lineRule="exact"/>
        <w:rPr>
          <w:sz w:val="20"/>
          <w:szCs w:val="20"/>
          <w:color w:val="auto"/>
        </w:rPr>
      </w:pPr>
    </w:p>
    <w:p>
      <w:pPr>
        <w:ind w:left="5220"/>
        <w:spacing w:after="0"/>
        <w:rPr>
          <w:sz w:val="20"/>
          <w:szCs w:val="20"/>
          <w:color w:val="auto"/>
        </w:rPr>
      </w:pPr>
      <w:r>
        <w:rPr>
          <w:rFonts w:ascii="Arial" w:cs="Arial" w:eastAsia="Arial" w:hAnsi="Arial"/>
          <w:sz w:val="18"/>
          <w:szCs w:val="18"/>
          <w:color w:val="auto"/>
        </w:rPr>
        <w:t>THE NOTES</w:t>
      </w:r>
    </w:p>
    <w:p>
      <w:pPr>
        <w:spacing w:after="0" w:line="211"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 xml:space="preserve">Section 301. </w:t>
      </w:r>
      <w:r>
        <w:rPr>
          <w:rFonts w:ascii="Arial" w:cs="Arial" w:eastAsia="Arial" w:hAnsi="Arial"/>
          <w:sz w:val="17"/>
          <w:szCs w:val="17"/>
          <w:i w:val="1"/>
          <w:iCs w:val="1"/>
          <w:color w:val="auto"/>
        </w:rPr>
        <w:t>Amount; Series; Terms.</w:t>
      </w:r>
      <w:r>
        <w:rPr>
          <w:rFonts w:ascii="Arial" w:cs="Arial" w:eastAsia="Arial" w:hAnsi="Arial"/>
          <w:sz w:val="17"/>
          <w:szCs w:val="17"/>
          <w:color w:val="auto"/>
        </w:rPr>
        <w:t xml:space="preserve"> (a) There is hereby created and designated two separate series of Securities under the Base Indenture: (1) the “4.200% Senior Notes due 2023” and (2) the “4.875% Senior Notes due 2028”. The changes, modifications and supplements to the Base Indenture effected by this First Supplemental Indenture shall be applicable only with respect to, and govern the terms of, each series of Notes, as applicable, and shall not apply to any other series of Securities that may be issued under the Base Indenture unless a supplemental indenture with respect to such other series of Securities specifically incorporates such changes, modifications and supplements.</w:t>
      </w:r>
    </w:p>
    <w:p>
      <w:pPr>
        <w:spacing w:after="0" w:line="64" w:lineRule="exact"/>
        <w:rPr>
          <w:sz w:val="20"/>
          <w:szCs w:val="20"/>
          <w:color w:val="auto"/>
        </w:rPr>
      </w:pPr>
    </w:p>
    <w:p>
      <w:pPr>
        <w:ind w:right="40" w:firstLine="464"/>
        <w:spacing w:after="0" w:line="257" w:lineRule="auto"/>
        <w:tabs>
          <w:tab w:leader="none" w:pos="711" w:val="left"/>
        </w:tabs>
        <w:numPr>
          <w:ilvl w:val="0"/>
          <w:numId w:val="92"/>
        </w:numPr>
        <w:rPr>
          <w:rFonts w:ascii="Arial" w:cs="Arial" w:eastAsia="Arial" w:hAnsi="Arial"/>
          <w:sz w:val="18"/>
          <w:szCs w:val="18"/>
          <w:color w:val="auto"/>
        </w:rPr>
      </w:pPr>
      <w:r>
        <w:rPr>
          <w:rFonts w:ascii="Arial" w:cs="Arial" w:eastAsia="Arial" w:hAnsi="Arial"/>
          <w:sz w:val="18"/>
          <w:szCs w:val="18"/>
          <w:color w:val="auto"/>
        </w:rPr>
        <w:t>The aggregate principal amount of 2023 Notes that initially may be authenticated and delivered under this First Supplemental Indenture (the “</w:t>
      </w:r>
      <w:r>
        <w:rPr>
          <w:rFonts w:ascii="Arial" w:cs="Arial" w:eastAsia="Arial" w:hAnsi="Arial"/>
          <w:sz w:val="18"/>
          <w:szCs w:val="18"/>
          <w:u w:val="single" w:color="auto"/>
          <w:color w:val="auto"/>
        </w:rPr>
        <w:t>Initial</w:t>
      </w:r>
      <w:r>
        <w:rPr>
          <w:rFonts w:ascii="Arial" w:cs="Arial" w:eastAsia="Arial" w:hAnsi="Arial"/>
          <w:sz w:val="18"/>
          <w:szCs w:val="18"/>
          <w:color w:val="auto"/>
        </w:rPr>
        <w:t xml:space="preserve"> </w:t>
      </w:r>
      <w:r>
        <w:rPr>
          <w:rFonts w:ascii="Arial" w:cs="Arial" w:eastAsia="Arial" w:hAnsi="Arial"/>
          <w:sz w:val="18"/>
          <w:szCs w:val="18"/>
          <w:u w:val="single" w:color="auto"/>
          <w:color w:val="auto"/>
        </w:rPr>
        <w:t>2023 Notes</w:t>
      </w:r>
      <w:r>
        <w:rPr>
          <w:rFonts w:ascii="Arial" w:cs="Arial" w:eastAsia="Arial" w:hAnsi="Arial"/>
          <w:sz w:val="18"/>
          <w:szCs w:val="18"/>
          <w:color w:val="auto"/>
        </w:rPr>
        <w:t>”) shall be limited to $500,000,000, subject to increase as set forth in Section 304 of this First Supplemental Indenture. The aggregate principal amount of 2028 Notes that initially may be authenticated and delivered under this First Supplemental Indenture (the “</w:t>
      </w:r>
      <w:r>
        <w:rPr>
          <w:rFonts w:ascii="Arial" w:cs="Arial" w:eastAsia="Arial" w:hAnsi="Arial"/>
          <w:sz w:val="18"/>
          <w:szCs w:val="18"/>
          <w:u w:val="single" w:color="auto"/>
          <w:color w:val="auto"/>
        </w:rPr>
        <w:t>Initial 2028 Notes</w:t>
      </w:r>
      <w:r>
        <w:rPr>
          <w:rFonts w:ascii="Arial" w:cs="Arial" w:eastAsia="Arial" w:hAnsi="Arial"/>
          <w:sz w:val="18"/>
          <w:szCs w:val="18"/>
          <w:color w:val="auto"/>
        </w:rPr>
        <w:t>” and, together with the Initial 2028 Notes, the “</w:t>
      </w:r>
      <w:r>
        <w:rPr>
          <w:rFonts w:ascii="Arial" w:cs="Arial" w:eastAsia="Arial" w:hAnsi="Arial"/>
          <w:sz w:val="18"/>
          <w:szCs w:val="18"/>
          <w:u w:val="single" w:color="auto"/>
          <w:color w:val="auto"/>
        </w:rPr>
        <w:t>Initial Notes</w:t>
      </w:r>
      <w:r>
        <w:rPr>
          <w:rFonts w:ascii="Arial" w:cs="Arial" w:eastAsia="Arial" w:hAnsi="Arial"/>
          <w:sz w:val="18"/>
          <w:szCs w:val="18"/>
          <w:color w:val="auto"/>
        </w:rPr>
        <w:t>”) shall be limited to $500,000,000, subject to increase as set forth in Section 304 of this First Supplemental Indenture.</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124" w:name="page125"/>
    <w:bookmarkEnd w:id="124"/>
    <w:p>
      <w:pPr>
        <w:ind w:left="-40" w:right="60" w:firstLine="464"/>
        <w:spacing w:after="0" w:line="312" w:lineRule="auto"/>
        <w:tabs>
          <w:tab w:leader="none" w:pos="661" w:val="left"/>
        </w:tabs>
        <w:numPr>
          <w:ilvl w:val="0"/>
          <w:numId w:val="9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Stated Maturity of the 2023 Notes shall be June 22, 2023. The Stated Maturity of the 2028 Notes shall be June 22, 2028. The Notes shall be payable and may be presented for payment, purchase, redemption, registration of transfer and exchange, without service charge (subject to Section 305 of the Base Indenture), at the office or agency of the Company maintained for such purpose, which shall initially be the Corporate Trust Office.</w:t>
      </w:r>
    </w:p>
    <w:p>
      <w:pPr>
        <w:spacing w:after="0" w:line="38" w:lineRule="exact"/>
        <w:rPr>
          <w:rFonts w:ascii="Arial" w:cs="Arial" w:eastAsia="Arial" w:hAnsi="Arial"/>
          <w:sz w:val="16"/>
          <w:szCs w:val="16"/>
          <w:color w:val="auto"/>
        </w:rPr>
      </w:pPr>
    </w:p>
    <w:p>
      <w:pPr>
        <w:ind w:left="-40" w:firstLine="464"/>
        <w:spacing w:after="0" w:line="286" w:lineRule="auto"/>
        <w:tabs>
          <w:tab w:leader="none" w:pos="671" w:val="left"/>
        </w:tabs>
        <w:numPr>
          <w:ilvl w:val="0"/>
          <w:numId w:val="93"/>
        </w:numPr>
        <w:rPr>
          <w:rFonts w:ascii="Arial" w:cs="Arial" w:eastAsia="Arial" w:hAnsi="Arial"/>
          <w:sz w:val="16"/>
          <w:szCs w:val="16"/>
          <w:color w:val="auto"/>
        </w:rPr>
      </w:pPr>
      <w:r>
        <w:rPr>
          <w:rFonts w:ascii="Arial" w:cs="Arial" w:eastAsia="Arial" w:hAnsi="Arial"/>
          <w:sz w:val="16"/>
          <w:szCs w:val="16"/>
          <w:color w:val="auto"/>
        </w:rPr>
        <w:t>The 2023 Notes shall bear interest at the rate of 4.200% per annum beginning on June 22, 2018 or from the most recent interest payment date to or for which interest has been paid or duly provided for, as further provided in the form of 2023 Note annexed hereto as Exhibit A. The 2028 Notes shall bear interest at the rate of 4.875% per annum beginning on June 22, 2018 or from the most recent interest payment date to or for which interest has been paid or duly provided for, as further provided in the form of 2028 Note annexed hereto as Exhibit B. Interest for each series of Notes shall be computed on the basis of a 360-day year consisting of twelve 30-day months. The interest payment dates for each series of Notes shall be June 22 and December 22 of each year, beginning on December 22, 2018, and the “</w:t>
      </w:r>
      <w:r>
        <w:rPr>
          <w:rFonts w:ascii="Arial" w:cs="Arial" w:eastAsia="Arial" w:hAnsi="Arial"/>
          <w:sz w:val="16"/>
          <w:szCs w:val="16"/>
          <w:u w:val="single" w:color="auto"/>
          <w:color w:val="auto"/>
        </w:rPr>
        <w:t>Record Date</w:t>
      </w:r>
      <w:r>
        <w:rPr>
          <w:rFonts w:ascii="Arial" w:cs="Arial" w:eastAsia="Arial" w:hAnsi="Arial"/>
          <w:sz w:val="16"/>
          <w:szCs w:val="16"/>
          <w:color w:val="auto"/>
        </w:rPr>
        <w:t xml:space="preserve">” for any interest payable on each such interest payment date shall be the immediately preceding June 7 and December 7, respectively;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upon the Stated Maturity of a series of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further</w:t>
      </w:r>
      <w:r>
        <w:rPr>
          <w:rFonts w:ascii="Arial" w:cs="Arial" w:eastAsia="Arial" w:hAnsi="Arial"/>
          <w:sz w:val="16"/>
          <w:szCs w:val="16"/>
          <w:color w:val="auto"/>
        </w:rPr>
        <w:t>, that the “</w:t>
      </w:r>
      <w:r>
        <w:rPr>
          <w:rFonts w:ascii="Arial" w:cs="Arial" w:eastAsia="Arial" w:hAnsi="Arial"/>
          <w:sz w:val="16"/>
          <w:szCs w:val="16"/>
          <w:u w:val="single" w:color="auto"/>
          <w:color w:val="auto"/>
        </w:rPr>
        <w:t>Record Date</w:t>
      </w:r>
      <w:r>
        <w:rPr>
          <w:rFonts w:ascii="Arial" w:cs="Arial" w:eastAsia="Arial" w:hAnsi="Arial"/>
          <w:sz w:val="16"/>
          <w:szCs w:val="16"/>
          <w:color w:val="auto"/>
        </w:rPr>
        <w:t>” for any interest, principal, or premium, if any, payable on the Stated Maturity of a series of Notes shall be the immediately</w:t>
      </w:r>
      <w:r>
        <w:rPr>
          <w:rFonts w:ascii="Arial" w:cs="Arial" w:eastAsia="Arial" w:hAnsi="Arial"/>
          <w:sz w:val="16"/>
          <w:szCs w:val="16"/>
          <w:i w:val="1"/>
          <w:iCs w:val="1"/>
          <w:color w:val="auto"/>
        </w:rPr>
        <w:t xml:space="preserve"> </w:t>
      </w:r>
      <w:r>
        <w:rPr>
          <w:rFonts w:ascii="Arial" w:cs="Arial" w:eastAsia="Arial" w:hAnsi="Arial"/>
          <w:sz w:val="16"/>
          <w:szCs w:val="16"/>
          <w:color w:val="auto"/>
        </w:rPr>
        <w:t>preceding June 7. If any interest payment date, Stated Maturity or other payment date with respect to a series of Notes is not a Business Day, the required payment of principal, premium, if any, or interest with respect to such series of Notes shall be due on the next succeeding Business Day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66" w:lineRule="exact"/>
        <w:rPr>
          <w:rFonts w:ascii="Arial" w:cs="Arial" w:eastAsia="Arial" w:hAnsi="Arial"/>
          <w:sz w:val="16"/>
          <w:szCs w:val="16"/>
          <w:color w:val="auto"/>
        </w:rPr>
      </w:pPr>
    </w:p>
    <w:p>
      <w:pPr>
        <w:ind w:left="-40" w:right="40" w:firstLine="464"/>
        <w:spacing w:after="0" w:line="264" w:lineRule="auto"/>
        <w:tabs>
          <w:tab w:leader="none" w:pos="661" w:val="left"/>
        </w:tabs>
        <w:numPr>
          <w:ilvl w:val="0"/>
          <w:numId w:val="93"/>
        </w:numPr>
        <w:rPr>
          <w:rFonts w:ascii="Arial" w:cs="Arial" w:eastAsia="Arial" w:hAnsi="Arial"/>
          <w:sz w:val="18"/>
          <w:szCs w:val="18"/>
          <w:color w:val="auto"/>
        </w:rPr>
      </w:pPr>
      <w:r>
        <w:rPr>
          <w:rFonts w:ascii="Arial" w:cs="Arial" w:eastAsia="Arial" w:hAnsi="Arial"/>
          <w:sz w:val="18"/>
          <w:szCs w:val="18"/>
          <w:color w:val="auto"/>
        </w:rPr>
        <w:t>Each of the 2023 Notes and the 2028 Notes shall be issued in the form of one or more Global Securities, deposited with the Trustee as custodian for the Depositary or its nominee, duly executed by the Company and authenticated by the Trustee as provided in Section 303 of this First Supplemental Indenture and the Base Indenture.</w:t>
      </w:r>
    </w:p>
    <w:p>
      <w:pPr>
        <w:spacing w:after="0" w:line="73" w:lineRule="exact"/>
        <w:rPr>
          <w:rFonts w:ascii="Arial" w:cs="Arial" w:eastAsia="Arial" w:hAnsi="Arial"/>
          <w:sz w:val="18"/>
          <w:szCs w:val="18"/>
          <w:color w:val="auto"/>
        </w:rPr>
      </w:pPr>
    </w:p>
    <w:p>
      <w:pPr>
        <w:jc w:val="both"/>
        <w:ind w:left="-40" w:firstLine="464"/>
        <w:spacing w:after="0" w:line="273" w:lineRule="auto"/>
        <w:tabs>
          <w:tab w:leader="none" w:pos="641" w:val="left"/>
        </w:tabs>
        <w:numPr>
          <w:ilvl w:val="0"/>
          <w:numId w:val="93"/>
        </w:numPr>
        <w:rPr>
          <w:rFonts w:ascii="Arial" w:cs="Arial" w:eastAsia="Arial" w:hAnsi="Arial"/>
          <w:sz w:val="17"/>
          <w:szCs w:val="17"/>
          <w:color w:val="auto"/>
        </w:rPr>
      </w:pPr>
      <w:r>
        <w:rPr>
          <w:rFonts w:ascii="Arial" w:cs="Arial" w:eastAsia="Arial" w:hAnsi="Arial"/>
          <w:sz w:val="17"/>
          <w:szCs w:val="17"/>
          <w:color w:val="auto"/>
        </w:rPr>
        <w:t>Payment of principal of and premium, if any, and interest on a Global Security registered in the name of or held by the Depositary or its nominee shall be made in immediately available funds to the Depositary or its nominee, as the case may be, as the registered Holder of such Global Security. If the applicable series of Notes are no longer represented by a Global Security, payment of principal, premium, if any, and interest on certificated Securities may, at the Company’s option, be made by (i) check mailed directly to Holders of such series of Notes at their registered addresses or (ii) upon written request of any Holder of at least $5,000,000 principal amount of such series of Notes, wire transfer to an account located in the United States of America maintained by the payee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request contains the requisite information to make such wire transfer).</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60"/>
          </w:cols>
          <w:pgMar w:left="280" w:top="274" w:right="259" w:bottom="1440" w:gutter="0" w:footer="0" w:header="0"/>
        </w:sectPr>
      </w:pPr>
    </w:p>
    <w:bookmarkStart w:id="125" w:name="page126"/>
    <w:bookmarkEnd w:id="125"/>
    <w:p>
      <w:pPr>
        <w:ind w:right="120" w:firstLine="464"/>
        <w:spacing w:after="0" w:line="264" w:lineRule="auto"/>
        <w:tabs>
          <w:tab w:leader="none" w:pos="711" w:val="left"/>
        </w:tabs>
        <w:numPr>
          <w:ilvl w:val="0"/>
          <w:numId w:val="9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purchase price at which the 2023 Notes were sold to the public on the date hereof was 99.795% of the aggregate principal amount of the 2023 Notes. The purchase price at which the 2028 Notes were sold to the public on the date hereof was 99.976% of the aggregate principal amount of the 2028 Notes.</w:t>
      </w:r>
    </w:p>
    <w:p>
      <w:pPr>
        <w:spacing w:after="0" w:line="181" w:lineRule="exact"/>
        <w:rPr>
          <w:sz w:val="20"/>
          <w:szCs w:val="20"/>
          <w:color w:val="auto"/>
        </w:rPr>
      </w:pPr>
    </w:p>
    <w:p>
      <w:pPr>
        <w:ind w:right="560" w:firstLine="456"/>
        <w:spacing w:after="0" w:line="277" w:lineRule="auto"/>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i w:val="1"/>
          <w:iCs w:val="1"/>
          <w:color w:val="auto"/>
        </w:rPr>
        <w:t>Denominations.</w:t>
      </w:r>
      <w:r>
        <w:rPr>
          <w:rFonts w:ascii="Arial" w:cs="Arial" w:eastAsia="Arial" w:hAnsi="Arial"/>
          <w:sz w:val="18"/>
          <w:szCs w:val="18"/>
          <w:color w:val="auto"/>
        </w:rPr>
        <w:t xml:space="preserve"> The Notes shall be issuable only in registered form without coupons and only in denominations of $2,000 and any multiple of $1,000 in excess thereof.</w:t>
      </w:r>
    </w:p>
    <w:p>
      <w:pPr>
        <w:spacing w:after="0" w:line="17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Global Securities.</w:t>
      </w:r>
      <w:r>
        <w:rPr>
          <w:rFonts w:ascii="Arial" w:cs="Arial" w:eastAsia="Arial" w:hAnsi="Arial"/>
          <w:sz w:val="18"/>
          <w:szCs w:val="18"/>
          <w:color w:val="auto"/>
        </w:rPr>
        <w:t xml:space="preserve"> The Notes of each series shall be issued in the form of one or more notes in registered, global form without interest coupons and bearing the legend set forth in Section 202 of the Base Indenture, which shall be deposited on behalf of the purchasers of the Notes represented thereby with the Trustee as Custodian for the Depositary, and registered in the name of a nominee of the Depositary, duly executed by the Company and authenticated by the Trustee, in each case as provided in the Base Indenture.</w:t>
      </w:r>
    </w:p>
    <w:p>
      <w:pPr>
        <w:spacing w:after="0" w:line="187"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 xml:space="preserve">Section 304. </w:t>
      </w:r>
      <w:r>
        <w:rPr>
          <w:rFonts w:ascii="Arial" w:cs="Arial" w:eastAsia="Arial" w:hAnsi="Arial"/>
          <w:sz w:val="17"/>
          <w:szCs w:val="17"/>
          <w:i w:val="1"/>
          <w:iCs w:val="1"/>
          <w:color w:val="auto"/>
        </w:rPr>
        <w:t>Additional Notes; Repurchases.</w:t>
      </w:r>
      <w:r>
        <w:rPr>
          <w:rFonts w:ascii="Arial" w:cs="Arial" w:eastAsia="Arial" w:hAnsi="Arial"/>
          <w:sz w:val="17"/>
          <w:szCs w:val="17"/>
          <w:color w:val="auto"/>
        </w:rPr>
        <w:t xml:space="preserve"> The Company may, from time to time, subject to compliance with any other applicable provisions of the Indenture, without notice to or the consent of the Holders of the Notes of the applicable series, create and issue pursuant to the Indenture additional Notes of such series (in the case of the 2023 Notes, the “</w:t>
      </w:r>
      <w:r>
        <w:rPr>
          <w:rFonts w:ascii="Arial" w:cs="Arial" w:eastAsia="Arial" w:hAnsi="Arial"/>
          <w:sz w:val="17"/>
          <w:szCs w:val="17"/>
          <w:u w:val="single" w:color="auto"/>
          <w:color w:val="auto"/>
        </w:rPr>
        <w:t>2023 Additional Notes</w:t>
      </w:r>
      <w:r>
        <w:rPr>
          <w:rFonts w:ascii="Arial" w:cs="Arial" w:eastAsia="Arial" w:hAnsi="Arial"/>
          <w:sz w:val="17"/>
          <w:szCs w:val="17"/>
          <w:color w:val="auto"/>
        </w:rPr>
        <w:t>”, in the case of the 2028 Notes, the “</w:t>
      </w:r>
      <w:r>
        <w:rPr>
          <w:rFonts w:ascii="Arial" w:cs="Arial" w:eastAsia="Arial" w:hAnsi="Arial"/>
          <w:sz w:val="17"/>
          <w:szCs w:val="17"/>
          <w:u w:val="single" w:color="auto"/>
          <w:color w:val="auto"/>
        </w:rPr>
        <w:t>2028 Additional Notes</w:t>
      </w:r>
      <w:r>
        <w:rPr>
          <w:rFonts w:ascii="Arial" w:cs="Arial" w:eastAsia="Arial" w:hAnsi="Arial"/>
          <w:sz w:val="17"/>
          <w:szCs w:val="17"/>
          <w:color w:val="auto"/>
        </w:rPr>
        <w:t>” and, together with the 2028 Additional Notes, the “</w:t>
      </w:r>
      <w:r>
        <w:rPr>
          <w:rFonts w:ascii="Arial" w:cs="Arial" w:eastAsia="Arial" w:hAnsi="Arial"/>
          <w:sz w:val="17"/>
          <w:szCs w:val="17"/>
          <w:u w:val="single" w:color="auto"/>
          <w:color w:val="auto"/>
        </w:rPr>
        <w:t>Additional Notes</w:t>
      </w:r>
      <w:r>
        <w:rPr>
          <w:rFonts w:ascii="Arial" w:cs="Arial" w:eastAsia="Arial" w:hAnsi="Arial"/>
          <w:sz w:val="17"/>
          <w:szCs w:val="17"/>
          <w:color w:val="auto"/>
        </w:rPr>
        <w:t>”) having terms and conditions identical to those of the Initial Notes of the applicable series and ranking equally and ratably with the Initial Notes of the applicable series, except that Additional Notes:</w:t>
      </w:r>
    </w:p>
    <w:p>
      <w:pPr>
        <w:spacing w:after="0" w:line="64" w:lineRule="exact"/>
        <w:rPr>
          <w:sz w:val="20"/>
          <w:szCs w:val="20"/>
          <w:color w:val="auto"/>
        </w:rPr>
      </w:pPr>
    </w:p>
    <w:p>
      <w:pPr>
        <w:ind w:left="900"/>
        <w:spacing w:after="0"/>
        <w:rPr>
          <w:sz w:val="20"/>
          <w:szCs w:val="20"/>
          <w:color w:val="auto"/>
        </w:rPr>
      </w:pPr>
      <w:r>
        <w:rPr>
          <w:rFonts w:ascii="Arial" w:cs="Arial" w:eastAsia="Arial" w:hAnsi="Arial"/>
          <w:sz w:val="18"/>
          <w:szCs w:val="18"/>
          <w:color w:val="auto"/>
        </w:rPr>
        <w:t>may have a different issue date from the Notes of the applicable series; and</w:t>
      </w:r>
    </w:p>
    <w:p>
      <w:pPr>
        <w:spacing w:after="0" w:line="117" w:lineRule="exact"/>
        <w:rPr>
          <w:sz w:val="20"/>
          <w:szCs w:val="20"/>
          <w:color w:val="auto"/>
        </w:rPr>
      </w:pPr>
    </w:p>
    <w:p>
      <w:pPr>
        <w:ind w:left="460" w:right="80" w:firstLine="443"/>
        <w:spacing w:after="0" w:line="272" w:lineRule="auto"/>
        <w:tabs>
          <w:tab w:leader="none" w:pos="1113" w:val="left"/>
        </w:tabs>
        <w:numPr>
          <w:ilvl w:val="0"/>
          <w:numId w:val="95"/>
        </w:numPr>
        <w:rPr>
          <w:rFonts w:ascii="Arial" w:cs="Arial" w:eastAsia="Arial" w:hAnsi="Arial"/>
          <w:sz w:val="17"/>
          <w:szCs w:val="17"/>
          <w:color w:val="auto"/>
        </w:rPr>
      </w:pPr>
      <w:r>
        <w:rPr>
          <w:rFonts w:ascii="Arial" w:cs="Arial" w:eastAsia="Arial" w:hAnsi="Arial"/>
          <w:sz w:val="17"/>
          <w:szCs w:val="17"/>
          <w:color w:val="auto"/>
        </w:rPr>
        <w:t>may have a different amount of interest payable on the first interest payment date after issuance than is payable on the Initial Notes of the applicable series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 separate CUSIP number may be assigned for any Additional Notes with a different amount of interest payable on the first interest payment date after issuance than is payable on the Initial Notes of the applicable series, if required by DTC);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such Additional Notes are not fungible with the outstanding Notes of the applicable series for U.S. federal income tax purposes, such Additional Notes shall have one or more separate CUSIP numbers. Such Additional Notes may be consolidated and form a single series with, and shall have the same terms as to ranking, redemption, waivers, amendments or otherwise, as the Initial Notes of the applicable series and shall vote together as one class on all matters with respect to the Notes of such series.</w:t>
      </w:r>
    </w:p>
    <w:p>
      <w:pPr>
        <w:spacing w:after="0" w:line="178"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Company may, to the extent permitted by law, and directly or indirectly (regardless of whether such Notes are surrendered to the Company), purchase Notes in the open market, negotiated transactions or otherwise, whether by the Company or one or more of its Subsidiaries or through a private or public tender or exchange offer or through counterparties to private agreements, including by cash-settled swaps or other derivatives. The Company shall cause any Notes so purchased (other than Notes purchased pursuant to cash-settled swaps or other derivatives) to be surrendered to the Trustee for cancellation, together with a Company Order to cancel such Notes, and such Notes shall no longer be considered outstanding under the Indenture upon their purchase.</w:t>
      </w:r>
    </w:p>
    <w:p>
      <w:pPr>
        <w:spacing w:after="0" w:line="1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4" w:right="279" w:bottom="1440" w:gutter="0" w:footer="0" w:header="0"/>
        </w:sectPr>
      </w:pPr>
    </w:p>
    <w:bookmarkStart w:id="126" w:name="page127"/>
    <w:bookmarkEnd w:id="126"/>
    <w:p>
      <w:pPr>
        <w:ind w:left="4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305. </w:t>
      </w:r>
      <w:r>
        <w:rPr>
          <w:rFonts w:ascii="Arial" w:cs="Arial" w:eastAsia="Arial" w:hAnsi="Arial"/>
          <w:sz w:val="18"/>
          <w:szCs w:val="18"/>
          <w:i w:val="1"/>
          <w:iCs w:val="1"/>
          <w:color w:val="auto"/>
        </w:rPr>
        <w:t>No Sinking Fund.</w:t>
      </w:r>
      <w:r>
        <w:rPr>
          <w:rFonts w:ascii="Arial" w:cs="Arial" w:eastAsia="Arial" w:hAnsi="Arial"/>
          <w:sz w:val="18"/>
          <w:szCs w:val="18"/>
          <w:color w:val="auto"/>
        </w:rPr>
        <w:t xml:space="preserve"> The Notes shall not be subject to any sinking fund.</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Satisfaction and Discharge</w:t>
      </w:r>
      <w:r>
        <w:rPr>
          <w:rFonts w:ascii="Arial" w:cs="Arial" w:eastAsia="Arial" w:hAnsi="Arial"/>
          <w:sz w:val="18"/>
          <w:szCs w:val="18"/>
          <w:color w:val="auto"/>
        </w:rPr>
        <w:t>. The provisions of Section 401 of the Base Indenture shall apply to the Notes.</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i w:val="1"/>
          <w:iCs w:val="1"/>
          <w:color w:val="auto"/>
        </w:rPr>
        <w:t>Additional Amounts.</w:t>
      </w:r>
      <w:r>
        <w:rPr>
          <w:rFonts w:ascii="Arial" w:cs="Arial" w:eastAsia="Arial" w:hAnsi="Arial"/>
          <w:sz w:val="18"/>
          <w:szCs w:val="18"/>
          <w:color w:val="auto"/>
        </w:rPr>
        <w:t xml:space="preserve"> The provisions of Section 1005 and 1108 of the Base Indenture shall apply to the Notes.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REDEMPTION OF SECURITIES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Special Mandatory Redemption.</w:t>
      </w:r>
    </w:p>
    <w:p>
      <w:pPr>
        <w:spacing w:after="0" w:line="117" w:lineRule="exact"/>
        <w:rPr>
          <w:sz w:val="20"/>
          <w:szCs w:val="20"/>
          <w:color w:val="auto"/>
        </w:rPr>
      </w:pPr>
    </w:p>
    <w:p>
      <w:pPr>
        <w:ind w:left="-40" w:firstLine="464"/>
        <w:spacing w:after="0" w:line="271" w:lineRule="auto"/>
        <w:tabs>
          <w:tab w:leader="none" w:pos="661" w:val="left"/>
        </w:tabs>
        <w:numPr>
          <w:ilvl w:val="0"/>
          <w:numId w:val="96"/>
        </w:numPr>
        <w:rPr>
          <w:rFonts w:ascii="Arial" w:cs="Arial" w:eastAsia="Arial" w:hAnsi="Arial"/>
          <w:sz w:val="17"/>
          <w:szCs w:val="17"/>
          <w:color w:val="auto"/>
        </w:rPr>
      </w:pPr>
      <w:r>
        <w:rPr>
          <w:rFonts w:ascii="Arial" w:cs="Arial" w:eastAsia="Arial" w:hAnsi="Arial"/>
          <w:sz w:val="17"/>
          <w:szCs w:val="17"/>
          <w:color w:val="auto"/>
        </w:rPr>
        <w:t>In the event the proposed Cavium Acquisition is not consummated on or prior to March 31, 2019, or if the Merger Agreement is terminated any time prior to such date (any of the foregoing, a “</w:t>
      </w:r>
      <w:r>
        <w:rPr>
          <w:rFonts w:ascii="Arial" w:cs="Arial" w:eastAsia="Arial" w:hAnsi="Arial"/>
          <w:sz w:val="17"/>
          <w:szCs w:val="17"/>
          <w:u w:val="single" w:color="auto"/>
          <w:color w:val="auto"/>
        </w:rPr>
        <w:t>Special Mandatory Redemption Event</w:t>
      </w:r>
      <w:r>
        <w:rPr>
          <w:rFonts w:ascii="Arial" w:cs="Arial" w:eastAsia="Arial" w:hAnsi="Arial"/>
          <w:sz w:val="17"/>
          <w:szCs w:val="17"/>
          <w:color w:val="auto"/>
        </w:rPr>
        <w:t>”), then the Company shall be required to redeem each series of the Notes on the Special Mandatory Redemption Date (such redemption, a “</w:t>
      </w:r>
      <w:r>
        <w:rPr>
          <w:rFonts w:ascii="Arial" w:cs="Arial" w:eastAsia="Arial" w:hAnsi="Arial"/>
          <w:sz w:val="17"/>
          <w:szCs w:val="17"/>
          <w:u w:val="single" w:color="auto"/>
          <w:color w:val="auto"/>
        </w:rPr>
        <w:t>Special Mandatory Redemption</w:t>
      </w:r>
      <w:r>
        <w:rPr>
          <w:rFonts w:ascii="Arial" w:cs="Arial" w:eastAsia="Arial" w:hAnsi="Arial"/>
          <w:sz w:val="17"/>
          <w:szCs w:val="17"/>
          <w:color w:val="auto"/>
        </w:rPr>
        <w:t>”) at a redemption price equal to 101% of the principal amount of the Notes plus accrued and unpaid interest thereon to, but not including, the Special Mandatory Redemption Date. The “</w:t>
      </w:r>
      <w:r>
        <w:rPr>
          <w:rFonts w:ascii="Arial" w:cs="Arial" w:eastAsia="Arial" w:hAnsi="Arial"/>
          <w:sz w:val="17"/>
          <w:szCs w:val="17"/>
          <w:u w:val="single" w:color="auto"/>
          <w:color w:val="auto"/>
        </w:rPr>
        <w:t>Special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Mandatory Redemption Date</w:t>
      </w:r>
      <w:r>
        <w:rPr>
          <w:rFonts w:ascii="Arial" w:cs="Arial" w:eastAsia="Arial" w:hAnsi="Arial"/>
          <w:sz w:val="17"/>
          <w:szCs w:val="17"/>
          <w:color w:val="auto"/>
        </w:rPr>
        <w:t>” shall be a date selected by the Company that is no later than 30 days following any Special Mandatory Redemption Event. Notwithstanding the foregoing, installments of interest on Notes that are due and payable on interest payment dates falling on or prior to the Special Mandatory Redemption Date will be payable on such interest payment dates to the registered Holders of such Notes as of the close of business on the relevant Record Dates in accordance with the terms of the Notes of such series and the Indenture.</w:t>
      </w:r>
    </w:p>
    <w:p>
      <w:pPr>
        <w:spacing w:after="0" w:line="70" w:lineRule="exact"/>
        <w:rPr>
          <w:rFonts w:ascii="Arial" w:cs="Arial" w:eastAsia="Arial" w:hAnsi="Arial"/>
          <w:sz w:val="17"/>
          <w:szCs w:val="17"/>
          <w:color w:val="auto"/>
        </w:rPr>
      </w:pPr>
    </w:p>
    <w:p>
      <w:pPr>
        <w:ind w:left="-40" w:right="240" w:firstLine="464"/>
        <w:spacing w:after="0" w:line="277" w:lineRule="auto"/>
        <w:tabs>
          <w:tab w:leader="none" w:pos="671"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Company shall cause the notice of Special Mandatory Redemption to be sent, with a copy to the Trustee, within five Business Days after the occurrence of a Special Mandatory Redemption Event to each Holder.</w:t>
      </w:r>
    </w:p>
    <w:p>
      <w:pPr>
        <w:spacing w:after="0" w:line="62" w:lineRule="exact"/>
        <w:rPr>
          <w:rFonts w:ascii="Arial" w:cs="Arial" w:eastAsia="Arial" w:hAnsi="Arial"/>
          <w:sz w:val="18"/>
          <w:szCs w:val="18"/>
          <w:color w:val="auto"/>
        </w:rPr>
      </w:pPr>
    </w:p>
    <w:p>
      <w:pPr>
        <w:ind w:left="-40" w:right="180" w:firstLine="464"/>
        <w:spacing w:after="0" w:line="277" w:lineRule="auto"/>
        <w:tabs>
          <w:tab w:leader="none" w:pos="661"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notice of Special Mandatory Redemption shall identify the Notes to be redeemed and shall state: (1) the Special Mandatory Redemption Date and (2) the Redemption Price.</w:t>
      </w:r>
    </w:p>
    <w:p>
      <w:pPr>
        <w:spacing w:after="0" w:line="62" w:lineRule="exact"/>
        <w:rPr>
          <w:rFonts w:ascii="Arial" w:cs="Arial" w:eastAsia="Arial" w:hAnsi="Arial"/>
          <w:sz w:val="18"/>
          <w:szCs w:val="18"/>
          <w:color w:val="auto"/>
        </w:rPr>
      </w:pPr>
    </w:p>
    <w:p>
      <w:pPr>
        <w:ind w:left="-40" w:right="40" w:firstLine="464"/>
        <w:spacing w:after="0" w:line="264" w:lineRule="auto"/>
        <w:tabs>
          <w:tab w:leader="none" w:pos="671" w:val="left"/>
        </w:tabs>
        <w:numPr>
          <w:ilvl w:val="0"/>
          <w:numId w:val="96"/>
        </w:numPr>
        <w:rPr>
          <w:rFonts w:ascii="Arial" w:cs="Arial" w:eastAsia="Arial" w:hAnsi="Arial"/>
          <w:sz w:val="18"/>
          <w:szCs w:val="18"/>
          <w:color w:val="auto"/>
        </w:rPr>
      </w:pPr>
      <w:r>
        <w:rPr>
          <w:rFonts w:ascii="Arial" w:cs="Arial" w:eastAsia="Arial" w:hAnsi="Arial"/>
          <w:sz w:val="18"/>
          <w:szCs w:val="18"/>
          <w:color w:val="auto"/>
        </w:rPr>
        <w:t>If funds sufficient to pay the Special Mandatory Redemption price of the Notes to be redeemed on the Special Mandatory Redemption Date are deposited with the Trustee or a Paying Agent on or before such Special Mandatory Redemption Date, on and after such Special Mandatory Redemption Date, such Notes will cease to bear interest.</w:t>
      </w:r>
    </w:p>
    <w:p>
      <w:pPr>
        <w:spacing w:after="0" w:line="73" w:lineRule="exact"/>
        <w:rPr>
          <w:rFonts w:ascii="Arial" w:cs="Arial" w:eastAsia="Arial" w:hAnsi="Arial"/>
          <w:sz w:val="18"/>
          <w:szCs w:val="18"/>
          <w:color w:val="auto"/>
        </w:rPr>
      </w:pPr>
    </w:p>
    <w:p>
      <w:pPr>
        <w:ind w:left="-40" w:right="180" w:firstLine="464"/>
        <w:spacing w:after="0" w:line="277" w:lineRule="auto"/>
        <w:tabs>
          <w:tab w:leader="none" w:pos="661"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provisions of Section 1104 of the Base Indenture shall not apply to Special Mandatory Redemptions of the Notes pursuant to this Section 401 of this First Supplemental Indenture.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60"/>
          </w:cols>
          <w:pgMar w:left="280" w:top="274" w:right="259" w:bottom="1440" w:gutter="0" w:footer="0" w:header="0"/>
        </w:sectPr>
      </w:pPr>
    </w:p>
    <w:bookmarkStart w:id="127" w:name="page128"/>
    <w:bookmarkEnd w:id="127"/>
    <w:p>
      <w:pPr>
        <w:ind w:right="52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402. </w:t>
      </w:r>
      <w:r>
        <w:rPr>
          <w:rFonts w:ascii="Arial" w:cs="Arial" w:eastAsia="Arial" w:hAnsi="Arial"/>
          <w:sz w:val="18"/>
          <w:szCs w:val="18"/>
          <w:i w:val="1"/>
          <w:iCs w:val="1"/>
          <w:color w:val="auto"/>
        </w:rPr>
        <w:t>Optional Redemption.</w:t>
      </w:r>
      <w:r>
        <w:rPr>
          <w:rFonts w:ascii="Arial" w:cs="Arial" w:eastAsia="Arial" w:hAnsi="Arial"/>
          <w:sz w:val="18"/>
          <w:szCs w:val="18"/>
          <w:color w:val="auto"/>
        </w:rPr>
        <w:t xml:space="preserve"> (a) Subject to Section 102 hereof, the provisions of Article XI of the Base Indenture, as supplemented by the provisions of this First Supplemental Indenture, shall apply to the Notes.</w:t>
      </w:r>
    </w:p>
    <w:p>
      <w:pPr>
        <w:spacing w:after="0" w:line="62" w:lineRule="exact"/>
        <w:rPr>
          <w:sz w:val="20"/>
          <w:szCs w:val="20"/>
          <w:color w:val="auto"/>
        </w:rPr>
      </w:pPr>
    </w:p>
    <w:p>
      <w:pPr>
        <w:ind w:left="720" w:hanging="256"/>
        <w:spacing w:after="0"/>
        <w:tabs>
          <w:tab w:leader="none" w:pos="720" w:val="left"/>
        </w:tabs>
        <w:numPr>
          <w:ilvl w:val="1"/>
          <w:numId w:val="97"/>
        </w:numPr>
        <w:rPr>
          <w:rFonts w:ascii="Arial" w:cs="Arial" w:eastAsia="Arial" w:hAnsi="Arial"/>
          <w:sz w:val="17"/>
          <w:szCs w:val="17"/>
          <w:color w:val="auto"/>
        </w:rPr>
      </w:pPr>
      <w:r>
        <w:rPr>
          <w:rFonts w:ascii="Arial" w:cs="Arial" w:eastAsia="Arial" w:hAnsi="Arial"/>
          <w:sz w:val="17"/>
          <w:szCs w:val="17"/>
          <w:color w:val="auto"/>
        </w:rPr>
        <w:t>At any time before the 2023 Par Call Date, the 2023 Notes shall be redeemable, as a whole at any time or from time to time in part, at the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6"/>
          <w:szCs w:val="16"/>
          <w:color w:val="auto"/>
        </w:rPr>
        <w:t>Company’s option, at a redemption price equal to the greater of (i) 100% of the aggregate principal amount of the applicable 2023 Notes to be redeemed and</w:t>
      </w:r>
    </w:p>
    <w:p>
      <w:pPr>
        <w:spacing w:after="0" w:line="32" w:lineRule="exact"/>
        <w:rPr>
          <w:rFonts w:ascii="Arial" w:cs="Arial" w:eastAsia="Arial" w:hAnsi="Arial"/>
          <w:sz w:val="17"/>
          <w:szCs w:val="17"/>
          <w:color w:val="auto"/>
        </w:rPr>
      </w:pPr>
    </w:p>
    <w:p>
      <w:pPr>
        <w:ind w:firstLine="8"/>
        <w:spacing w:after="0" w:line="290" w:lineRule="auto"/>
        <w:tabs>
          <w:tab w:leader="none" w:pos="265" w:val="left"/>
        </w:tabs>
        <w:numPr>
          <w:ilvl w:val="0"/>
          <w:numId w:val="98"/>
        </w:numPr>
        <w:rPr>
          <w:rFonts w:ascii="Arial" w:cs="Arial" w:eastAsia="Arial" w:hAnsi="Arial"/>
          <w:sz w:val="16"/>
          <w:szCs w:val="16"/>
          <w:color w:val="auto"/>
        </w:rPr>
      </w:pPr>
      <w:r>
        <w:rPr>
          <w:rFonts w:ascii="Arial" w:cs="Arial" w:eastAsia="Arial" w:hAnsi="Arial"/>
          <w:sz w:val="16"/>
          <w:szCs w:val="16"/>
          <w:color w:val="auto"/>
        </w:rPr>
        <w:t>the sum of the present values of the Remaining Scheduled Payments of such 2023 Notes, discounted to the redemption date on a semi-annual basis (assuming a 360-day year consisting of twelve 30-day months) using a discount rate equal to the Treasury Rate plus 25 basis points, plus accrued and unpaid interest thereon to, but excluding, the redemption date for such 2023 Notes. The redemption price shall be determined by the Company and the Trustee shall have no duty to verify any such determination made by the Company. On or after the 2023 Par Call Date, the 2023 Notes shall be redeemable, as a whole at any time or from time to time in part, at the Company’s option, at a redemption price equal to 100% of the aggregate principal amount of the applicable Notes to be redeemed, plus in each case, accrued and unpaid interest thereon to, but excluding, the redemption date for such Notes.</w:t>
      </w:r>
    </w:p>
    <w:p>
      <w:pPr>
        <w:spacing w:after="0" w:line="56" w:lineRule="exact"/>
        <w:rPr>
          <w:rFonts w:ascii="Arial" w:cs="Arial" w:eastAsia="Arial" w:hAnsi="Arial"/>
          <w:sz w:val="16"/>
          <w:szCs w:val="16"/>
          <w:color w:val="auto"/>
        </w:rPr>
      </w:pPr>
    </w:p>
    <w:p>
      <w:pPr>
        <w:ind w:left="700" w:hanging="236"/>
        <w:spacing w:after="0"/>
        <w:tabs>
          <w:tab w:leader="none" w:pos="700" w:val="left"/>
        </w:tabs>
        <w:numPr>
          <w:ilvl w:val="1"/>
          <w:numId w:val="98"/>
        </w:numPr>
        <w:rPr>
          <w:rFonts w:ascii="Arial" w:cs="Arial" w:eastAsia="Arial" w:hAnsi="Arial"/>
          <w:sz w:val="17"/>
          <w:szCs w:val="17"/>
          <w:color w:val="auto"/>
        </w:rPr>
      </w:pPr>
      <w:r>
        <w:rPr>
          <w:rFonts w:ascii="Arial" w:cs="Arial" w:eastAsia="Arial" w:hAnsi="Arial"/>
          <w:sz w:val="17"/>
          <w:szCs w:val="17"/>
          <w:color w:val="auto"/>
        </w:rPr>
        <w:t>At any time before the 2028 Par Call Date, the 2028 Notes shall be redeemable, as a whole at any time or from time to time in part, at the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6"/>
          <w:szCs w:val="16"/>
          <w:color w:val="auto"/>
        </w:rPr>
        <w:t>Company’s option, at a redemption price equal to the greater of (i) 100% of the aggregate principal amount of the applicable 2028 Notes to be redeemed and</w:t>
      </w:r>
    </w:p>
    <w:p>
      <w:pPr>
        <w:spacing w:after="0" w:line="32" w:lineRule="exact"/>
        <w:rPr>
          <w:rFonts w:ascii="Arial" w:cs="Arial" w:eastAsia="Arial" w:hAnsi="Arial"/>
          <w:sz w:val="17"/>
          <w:szCs w:val="17"/>
          <w:color w:val="auto"/>
        </w:rPr>
      </w:pPr>
    </w:p>
    <w:p>
      <w:pPr>
        <w:ind w:firstLine="8"/>
        <w:spacing w:after="0" w:line="290" w:lineRule="auto"/>
        <w:tabs>
          <w:tab w:leader="none" w:pos="265" w:val="left"/>
        </w:tabs>
        <w:numPr>
          <w:ilvl w:val="0"/>
          <w:numId w:val="99"/>
        </w:numPr>
        <w:rPr>
          <w:rFonts w:ascii="Arial" w:cs="Arial" w:eastAsia="Arial" w:hAnsi="Arial"/>
          <w:sz w:val="16"/>
          <w:szCs w:val="16"/>
          <w:color w:val="auto"/>
        </w:rPr>
      </w:pPr>
      <w:r>
        <w:rPr>
          <w:rFonts w:ascii="Arial" w:cs="Arial" w:eastAsia="Arial" w:hAnsi="Arial"/>
          <w:sz w:val="16"/>
          <w:szCs w:val="16"/>
          <w:color w:val="auto"/>
        </w:rPr>
        <w:t>the sum of the present values of the Remaining Scheduled Payments of such 2028 Notes, discounted to the redemption date on a semi-annual basis (assuming a 360-day year consisting of twelve 30-day months) using a discount rate equal to the Treasury Rate plus 30 basis points, plus accrued and unpaid interest thereon to, but excluding, the redemption date for such 2028 Notes. The redemption price shall be determined by the Company and the Trustee shall have no duty to verify any such determination made by the Company. On or after the 2028 Par Call Date, the 2028 Notes shall be redeemable, as a whole at any time or from time to time in part, at the Company’s option, at a redemption price equal to 100% of the aggregate principal amount of the applicable Notes to be redeemed, plus in each case, accrued and unpaid interest thereon to, but excluding, the redemption date for such Notes.</w:t>
      </w:r>
    </w:p>
    <w:p>
      <w:pPr>
        <w:spacing w:after="0" w:line="56" w:lineRule="exact"/>
        <w:rPr>
          <w:rFonts w:ascii="Arial" w:cs="Arial" w:eastAsia="Arial" w:hAnsi="Arial"/>
          <w:sz w:val="16"/>
          <w:szCs w:val="16"/>
          <w:color w:val="auto"/>
        </w:rPr>
      </w:pPr>
    </w:p>
    <w:p>
      <w:pPr>
        <w:jc w:val="both"/>
        <w:ind w:right="20" w:firstLine="464"/>
        <w:spacing w:after="0" w:line="264" w:lineRule="auto"/>
        <w:tabs>
          <w:tab w:leader="none" w:pos="711" w:val="left"/>
        </w:tabs>
        <w:numPr>
          <w:ilvl w:val="1"/>
          <w:numId w:val="99"/>
        </w:numPr>
        <w:rPr>
          <w:rFonts w:ascii="Arial" w:cs="Arial" w:eastAsia="Arial" w:hAnsi="Arial"/>
          <w:sz w:val="18"/>
          <w:szCs w:val="18"/>
          <w:color w:val="auto"/>
        </w:rPr>
      </w:pPr>
      <w:r>
        <w:rPr>
          <w:rFonts w:ascii="Arial" w:cs="Arial" w:eastAsia="Arial" w:hAnsi="Arial"/>
          <w:sz w:val="18"/>
          <w:szCs w:val="18"/>
          <w:color w:val="auto"/>
        </w:rPr>
        <w:t>Notwithstanding Section 402(b) and Section 402(c) above, installments of interest on a series of Notes that are due and payable on interest payment dates falling on or prior to a redemption date shall be payable on the interest payment date to the registered Holders as of the close of business on the relevant Record Date in accordance with the provisions of such Notes of the applicable series and the Indenture.</w:t>
      </w:r>
    </w:p>
    <w:p>
      <w:pPr>
        <w:spacing w:after="0" w:line="73" w:lineRule="exact"/>
        <w:rPr>
          <w:rFonts w:ascii="Arial" w:cs="Arial" w:eastAsia="Arial" w:hAnsi="Arial"/>
          <w:sz w:val="18"/>
          <w:szCs w:val="18"/>
          <w:color w:val="auto"/>
        </w:rPr>
      </w:pPr>
    </w:p>
    <w:p>
      <w:pPr>
        <w:jc w:val="both"/>
        <w:ind w:right="60" w:firstLine="464"/>
        <w:spacing w:after="0" w:line="276" w:lineRule="auto"/>
        <w:tabs>
          <w:tab w:leader="none" w:pos="701" w:val="left"/>
        </w:tabs>
        <w:numPr>
          <w:ilvl w:val="1"/>
          <w:numId w:val="99"/>
        </w:numPr>
        <w:rPr>
          <w:rFonts w:ascii="Arial" w:cs="Arial" w:eastAsia="Arial" w:hAnsi="Arial"/>
          <w:sz w:val="17"/>
          <w:szCs w:val="17"/>
          <w:color w:val="auto"/>
        </w:rPr>
      </w:pPr>
      <w:r>
        <w:rPr>
          <w:rFonts w:ascii="Arial" w:cs="Arial" w:eastAsia="Arial" w:hAnsi="Arial"/>
          <w:sz w:val="17"/>
          <w:szCs w:val="17"/>
          <w:color w:val="auto"/>
        </w:rPr>
        <w:t xml:space="preserve">On and after the redemption date for the Notes of the applicable series, interest shall cease to accrue on such Notes or any portion thereof called for redemption, unless the Company defaults in the payment of the redemption price and accrued interest, if any. If less than all of the Notes of a series are to be redeemed, the Notes of such series to be redeemed shall be selected pro rata or by lot or by such other method as the Trustee shall deem fair and appropriate (including, in the case of Notes represented by a Global Security, in accordance with the procedures of the Depositary);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Notes of a principal amount of $2,000 or less be redeemed in part.</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274" w:right="279" w:bottom="1440" w:gutter="0" w:footer="0" w:header="0"/>
        </w:sectPr>
      </w:pPr>
    </w:p>
    <w:bookmarkStart w:id="128" w:name="page129"/>
    <w:bookmarkEnd w:id="128"/>
    <w:p>
      <w:pPr>
        <w:ind w:left="-40" w:firstLine="464"/>
        <w:spacing w:after="0" w:line="270" w:lineRule="auto"/>
        <w:tabs>
          <w:tab w:leader="none" w:pos="641" w:val="left"/>
        </w:tabs>
        <w:numPr>
          <w:ilvl w:val="0"/>
          <w:numId w:val="10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Notice of any redemption shall be delivered at least 15 days but not more than 60 days before the redemption date to each Holder of the Notes of the applicable series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described above in Section 402(b) or Section 402(c), as applicable,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 A notice of redemption may, at the Company’s option and discretion, be subject to one or more conditions precedent.</w:t>
      </w:r>
    </w:p>
    <w:p>
      <w:pPr>
        <w:spacing w:after="0" w:line="17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403. </w:t>
      </w:r>
      <w:r>
        <w:rPr>
          <w:rFonts w:ascii="Arial" w:cs="Arial" w:eastAsia="Arial" w:hAnsi="Arial"/>
          <w:sz w:val="18"/>
          <w:szCs w:val="18"/>
          <w:i w:val="1"/>
          <w:iCs w:val="1"/>
          <w:color w:val="auto"/>
        </w:rPr>
        <w:t>Purchase of Notes upon a Change of Control Repurchase Event.</w:t>
      </w:r>
    </w:p>
    <w:p>
      <w:pPr>
        <w:spacing w:after="0" w:line="117" w:lineRule="exact"/>
        <w:rPr>
          <w:sz w:val="20"/>
          <w:szCs w:val="20"/>
          <w:color w:val="auto"/>
        </w:rPr>
      </w:pPr>
    </w:p>
    <w:p>
      <w:pPr>
        <w:ind w:left="-40" w:right="20" w:firstLine="921"/>
        <w:spacing w:after="0" w:line="287" w:lineRule="auto"/>
        <w:tabs>
          <w:tab w:leader="none" w:pos="1118" w:val="left"/>
        </w:tabs>
        <w:numPr>
          <w:ilvl w:val="2"/>
          <w:numId w:val="101"/>
        </w:numPr>
        <w:rPr>
          <w:rFonts w:ascii="Arial" w:cs="Arial" w:eastAsia="Arial" w:hAnsi="Arial"/>
          <w:sz w:val="16"/>
          <w:szCs w:val="16"/>
          <w:color w:val="auto"/>
        </w:rPr>
      </w:pPr>
      <w:r>
        <w:rPr>
          <w:rFonts w:ascii="Arial" w:cs="Arial" w:eastAsia="Arial" w:hAnsi="Arial"/>
          <w:sz w:val="16"/>
          <w:szCs w:val="16"/>
          <w:color w:val="auto"/>
        </w:rPr>
        <w:t>If a Change of Control Repurchase Event occurs with respect to a series of Notes, unless the Company shall have exercised its option to redeem the Notes of such series pursuant to Section 402 of this First Supplemental Indenture, each Holder of the Notes of such series shall have the right to require the Company to repurchase all or any part (equal to $2,000 and multiples of $1,000 in excess thereof) of that Holder’s Notes of such series at a repurchase price in cash equal to 101% of the aggregate principal amount of the Notes to be repurchased plus any accrued and unpaid interest on the Notes of such series to, but excluding, the repurchase date. Within 30 days following any Change of Control Repurchase Event with respect to a series of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6"/>
          <w:szCs w:val="16"/>
          <w:u w:val="single" w:color="auto"/>
          <w:color w:val="auto"/>
        </w:rPr>
        <w:t>Change of Control Notice</w:t>
      </w:r>
      <w:r>
        <w:rPr>
          <w:rFonts w:ascii="Arial" w:cs="Arial" w:eastAsia="Arial" w:hAnsi="Arial"/>
          <w:sz w:val="16"/>
          <w:szCs w:val="16"/>
          <w:color w:val="auto"/>
        </w:rPr>
        <w:t>”) to each Holder of such series of Notes, with a copy to the Trustee, describing the transaction or transactions that constitute or may constitute the Change of Control Repurchase Event and offering (the “</w:t>
      </w:r>
      <w:r>
        <w:rPr>
          <w:rFonts w:ascii="Arial" w:cs="Arial" w:eastAsia="Arial" w:hAnsi="Arial"/>
          <w:sz w:val="16"/>
          <w:szCs w:val="16"/>
          <w:u w:val="single" w:color="auto"/>
          <w:color w:val="auto"/>
        </w:rPr>
        <w:t>Change of Control</w:t>
      </w:r>
      <w:r>
        <w:rPr>
          <w:rFonts w:ascii="Arial" w:cs="Arial" w:eastAsia="Arial" w:hAnsi="Arial"/>
          <w:sz w:val="16"/>
          <w:szCs w:val="16"/>
          <w:color w:val="auto"/>
        </w:rPr>
        <w:t xml:space="preserve"> </w:t>
      </w:r>
      <w:r>
        <w:rPr>
          <w:rFonts w:ascii="Arial" w:cs="Arial" w:eastAsia="Arial" w:hAnsi="Arial"/>
          <w:sz w:val="16"/>
          <w:szCs w:val="16"/>
          <w:u w:val="single" w:color="auto"/>
          <w:color w:val="auto"/>
        </w:rPr>
        <w:t>Offer</w:t>
      </w:r>
      <w:r>
        <w:rPr>
          <w:rFonts w:ascii="Arial" w:cs="Arial" w:eastAsia="Arial" w:hAnsi="Arial"/>
          <w:sz w:val="16"/>
          <w:szCs w:val="16"/>
          <w:color w:val="auto"/>
        </w:rPr>
        <w:t>”) to repurchase the Notes of such series on the repurchase date specified in the notice at the option of the Holders of such series of Notes, which date (the “</w:t>
      </w:r>
      <w:r>
        <w:rPr>
          <w:rFonts w:ascii="Arial" w:cs="Arial" w:eastAsia="Arial" w:hAnsi="Arial"/>
          <w:sz w:val="16"/>
          <w:szCs w:val="16"/>
          <w:u w:val="single" w:color="auto"/>
          <w:color w:val="auto"/>
        </w:rPr>
        <w:t>Change of Control Payment Date</w:t>
      </w:r>
      <w:r>
        <w:rPr>
          <w:rFonts w:ascii="Arial" w:cs="Arial" w:eastAsia="Arial" w:hAnsi="Arial"/>
          <w:sz w:val="16"/>
          <w:szCs w:val="16"/>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Notes of the applicable series is conditioned on a Change of Control Repurchase Event occurring on or prior to the Change of Control Payment Date.</w:t>
      </w:r>
    </w:p>
    <w:p>
      <w:pPr>
        <w:spacing w:after="0" w:line="60" w:lineRule="exact"/>
        <w:rPr>
          <w:rFonts w:ascii="Arial" w:cs="Arial" w:eastAsia="Arial" w:hAnsi="Arial"/>
          <w:sz w:val="16"/>
          <w:szCs w:val="16"/>
          <w:color w:val="auto"/>
        </w:rPr>
      </w:pPr>
    </w:p>
    <w:p>
      <w:pPr>
        <w:ind w:left="680" w:hanging="256"/>
        <w:spacing w:after="0"/>
        <w:tabs>
          <w:tab w:leader="none" w:pos="68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On the Change of Control Payment Date, the Company shall, to the extent lawful:</w:t>
      </w:r>
    </w:p>
    <w:p>
      <w:pPr>
        <w:spacing w:after="0" w:line="117" w:lineRule="exact"/>
        <w:rPr>
          <w:rFonts w:ascii="Arial" w:cs="Arial" w:eastAsia="Arial" w:hAnsi="Arial"/>
          <w:sz w:val="18"/>
          <w:szCs w:val="18"/>
          <w:color w:val="auto"/>
        </w:rPr>
      </w:pPr>
    </w:p>
    <w:p>
      <w:pPr>
        <w:ind w:left="1080" w:hanging="217"/>
        <w:spacing w:after="0"/>
        <w:tabs>
          <w:tab w:leader="none" w:pos="1080" w:val="left"/>
        </w:tabs>
        <w:numPr>
          <w:ilvl w:val="1"/>
          <w:numId w:val="102"/>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20" w:right="100" w:firstLine="443"/>
        <w:spacing w:after="0" w:line="277" w:lineRule="auto"/>
        <w:tabs>
          <w:tab w:leader="none" w:pos="1123" w:val="left"/>
        </w:tabs>
        <w:numPr>
          <w:ilvl w:val="1"/>
          <w:numId w:val="102"/>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40"/>
          </w:cols>
          <w:pgMar w:left="280" w:top="274" w:right="279" w:bottom="1440" w:gutter="0" w:footer="0" w:header="0"/>
        </w:sectPr>
      </w:pPr>
    </w:p>
    <w:bookmarkStart w:id="129" w:name="page130"/>
    <w:bookmarkEnd w:id="129"/>
    <w:p>
      <w:pPr>
        <w:ind w:left="460" w:right="540" w:firstLine="443"/>
        <w:spacing w:after="0" w:line="277" w:lineRule="auto"/>
        <w:tabs>
          <w:tab w:leader="none" w:pos="1213" w:val="left"/>
        </w:tabs>
        <w:numPr>
          <w:ilvl w:val="1"/>
          <w:numId w:val="10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deliver or cause to be delivered to the Trustee the Notes properly accepted, together with an Officer’s Certificate stating the aggregate principal amount of Notes being repurchased by the Company.</w:t>
      </w:r>
    </w:p>
    <w:p>
      <w:pPr>
        <w:spacing w:after="0" w:line="62" w:lineRule="exact"/>
        <w:rPr>
          <w:rFonts w:ascii="Arial" w:cs="Arial" w:eastAsia="Arial" w:hAnsi="Arial"/>
          <w:sz w:val="18"/>
          <w:szCs w:val="18"/>
          <w:color w:val="auto"/>
        </w:rPr>
      </w:pPr>
    </w:p>
    <w:p>
      <w:pPr>
        <w:ind w:right="420" w:firstLine="464"/>
        <w:spacing w:after="0" w:line="264" w:lineRule="auto"/>
        <w:tabs>
          <w:tab w:leader="none" w:pos="701"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Paying Agent or tender agent shall promptly deliver to each Holder of Notes properly tendered the repurchase price for the Notes, and the Trustee shall promptly authenticate and mail (or cause to be transferred by book-entry) to each Holder a new Note equal in principal amount to any unpurchased portion of any Notes surrendered.</w:t>
      </w:r>
    </w:p>
    <w:p>
      <w:pPr>
        <w:spacing w:after="0" w:line="73" w:lineRule="exact"/>
        <w:rPr>
          <w:rFonts w:ascii="Arial" w:cs="Arial" w:eastAsia="Arial" w:hAnsi="Arial"/>
          <w:sz w:val="18"/>
          <w:szCs w:val="18"/>
          <w:color w:val="auto"/>
        </w:rPr>
      </w:pPr>
    </w:p>
    <w:p>
      <w:pPr>
        <w:ind w:right="100" w:firstLine="464"/>
        <w:spacing w:after="0" w:line="259" w:lineRule="auto"/>
        <w:tabs>
          <w:tab w:leader="none" w:pos="711" w:val="left"/>
        </w:tabs>
        <w:numPr>
          <w:ilvl w:val="0"/>
          <w:numId w:val="104"/>
        </w:numPr>
        <w:rPr>
          <w:rFonts w:ascii="Arial" w:cs="Arial" w:eastAsia="Arial" w:hAnsi="Arial"/>
          <w:sz w:val="18"/>
          <w:szCs w:val="18"/>
          <w:color w:val="auto"/>
        </w:rPr>
      </w:pPr>
      <w:r>
        <w:rPr>
          <w:rFonts w:ascii="Arial" w:cs="Arial" w:eastAsia="Arial" w:hAnsi="Arial"/>
          <w:sz w:val="18"/>
          <w:szCs w:val="18"/>
          <w:color w:val="auto"/>
        </w:rPr>
        <w:t>Notwithstanding the foregoing in this Section 403, the Company shall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for such a Change of Control Offer made by the Company, and such third party purchases all Notes properly tendered and not withdrawn under its offer.</w:t>
      </w:r>
    </w:p>
    <w:p>
      <w:pPr>
        <w:spacing w:after="0" w:line="78" w:lineRule="exact"/>
        <w:rPr>
          <w:rFonts w:ascii="Arial" w:cs="Arial" w:eastAsia="Arial" w:hAnsi="Arial"/>
          <w:sz w:val="18"/>
          <w:szCs w:val="18"/>
          <w:color w:val="auto"/>
        </w:rPr>
      </w:pPr>
    </w:p>
    <w:p>
      <w:pPr>
        <w:ind w:firstLine="464"/>
        <w:spacing w:after="0" w:line="291" w:lineRule="auto"/>
        <w:tabs>
          <w:tab w:leader="none" w:pos="701" w:val="left"/>
        </w:tabs>
        <w:numPr>
          <w:ilvl w:val="0"/>
          <w:numId w:val="104"/>
        </w:numPr>
        <w:rPr>
          <w:rFonts w:ascii="Arial" w:cs="Arial" w:eastAsia="Arial" w:hAnsi="Arial"/>
          <w:sz w:val="16"/>
          <w:szCs w:val="16"/>
          <w:color w:val="auto"/>
        </w:rPr>
      </w:pPr>
      <w:r>
        <w:rPr>
          <w:rFonts w:ascii="Arial" w:cs="Arial" w:eastAsia="Arial" w:hAnsi="Arial"/>
          <w:sz w:val="16"/>
          <w:szCs w:val="16"/>
          <w:color w:val="auto"/>
        </w:rPr>
        <w:t>If Holders of not less than 95% in aggregate principal amount of a series of Notes then outstanding validly tender and do not withdraw such Notes in a Change of Control Offer and the Company, or any third party making a Change of Control Offer in lieu of the Company pursuant to Section 403(d) above, purchases all of the Notes validly tendered and not withdrawn by such Holders, the Company shall have the right, upon not less than 30 days nor more than 60 days’ prior written notice to the Holders of such series of Notes (with a copy to the Trustee), given not more than 30 days following such purchase pursuant to the Change of Control Offer described in Section 403(b) above, to redeem all Notes of such series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59" w:lineRule="exact"/>
        <w:rPr>
          <w:rFonts w:ascii="Arial" w:cs="Arial" w:eastAsia="Arial" w:hAnsi="Arial"/>
          <w:sz w:val="16"/>
          <w:szCs w:val="16"/>
          <w:color w:val="auto"/>
        </w:rPr>
      </w:pPr>
    </w:p>
    <w:p>
      <w:pPr>
        <w:ind w:firstLine="464"/>
        <w:spacing w:after="0" w:line="255" w:lineRule="auto"/>
        <w:tabs>
          <w:tab w:leader="none" w:pos="681" w:val="left"/>
        </w:tabs>
        <w:numPr>
          <w:ilvl w:val="0"/>
          <w:numId w:val="104"/>
        </w:numPr>
        <w:rPr>
          <w:rFonts w:ascii="Arial" w:cs="Arial" w:eastAsia="Arial" w:hAnsi="Arial"/>
          <w:sz w:val="18"/>
          <w:szCs w:val="18"/>
          <w:color w:val="auto"/>
        </w:rPr>
      </w:pPr>
      <w:r>
        <w:rPr>
          <w:rFonts w:ascii="Arial" w:cs="Arial" w:eastAsia="Arial" w:hAnsi="Arial"/>
          <w:sz w:val="18"/>
          <w:szCs w:val="18"/>
          <w:color w:val="auto"/>
        </w:rPr>
        <w:t xml:space="preserve">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403, the Company shall comply with those securities laws and regulations and shall not be deemed to have breached its obligations under this Section 403 by virtue thereof;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Company otherwise uses commercially reasonable efforts to permit Holders to exercise their rights and to fulfill its obligations in the time and in the manner specified in this Section 403 to the extent permitted by such securities laws or regulations.</w:t>
      </w:r>
    </w:p>
    <w:p>
      <w:pPr>
        <w:spacing w:after="0" w:line="200" w:lineRule="exact"/>
        <w:rPr>
          <w:sz w:val="20"/>
          <w:szCs w:val="20"/>
          <w:color w:val="auto"/>
        </w:rPr>
      </w:pPr>
    </w:p>
    <w:p>
      <w:pPr>
        <w:spacing w:after="0" w:line="20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ARTICLE V</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COVENANTS AND REMEDIES</w:t>
      </w:r>
    </w:p>
    <w:p>
      <w:pPr>
        <w:spacing w:after="0" w:line="211" w:lineRule="exact"/>
        <w:rPr>
          <w:sz w:val="20"/>
          <w:szCs w:val="20"/>
          <w:color w:val="auto"/>
        </w:rPr>
      </w:pPr>
    </w:p>
    <w:p>
      <w:pPr>
        <w:jc w:val="both"/>
        <w:ind w:right="200" w:firstLine="456"/>
        <w:spacing w:after="0" w:line="312" w:lineRule="auto"/>
        <w:rPr>
          <w:sz w:val="20"/>
          <w:szCs w:val="20"/>
          <w:color w:val="auto"/>
        </w:rPr>
      </w:pPr>
      <w:r>
        <w:rPr>
          <w:rFonts w:ascii="Arial" w:cs="Arial" w:eastAsia="Arial" w:hAnsi="Arial"/>
          <w:sz w:val="16"/>
          <w:szCs w:val="16"/>
          <w:color w:val="auto"/>
        </w:rPr>
        <w:t xml:space="preserve">Section 501. </w:t>
      </w:r>
      <w:r>
        <w:rPr>
          <w:rFonts w:ascii="Arial" w:cs="Arial" w:eastAsia="Arial" w:hAnsi="Arial"/>
          <w:sz w:val="16"/>
          <w:szCs w:val="16"/>
          <w:i w:val="1"/>
          <w:iCs w:val="1"/>
          <w:color w:val="auto"/>
        </w:rPr>
        <w:t>Limitation on Liens.</w:t>
      </w:r>
      <w:r>
        <w:rPr>
          <w:rFonts w:ascii="Arial" w:cs="Arial" w:eastAsia="Arial" w:hAnsi="Arial"/>
          <w:sz w:val="16"/>
          <w:szCs w:val="16"/>
          <w:color w:val="auto"/>
        </w:rPr>
        <w:t xml:space="preserve"> (a) The Company shall not, and shall not permit any of its Restricted Subsidiaries to, create or incur any Lien upon any Property of the Company or any of its Restricted Subsidiaries (whether now existing or owned or hereafter created or acquired), in order to secure any Indebtedness or guarantees of the Company or any of its Subsidiaries unless prior to or at the same time, the Notes (together with, at the Company’s</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274" w:right="279" w:bottom="1440" w:gutter="0" w:footer="0" w:header="0"/>
        </w:sectPr>
      </w:pPr>
    </w:p>
    <w:bookmarkStart w:id="130" w:name="page131"/>
    <w:bookmarkEnd w:id="130"/>
    <w:p>
      <w:pPr>
        <w:ind w:right="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option, any other Indebtedness or guarantees of the Company or any of its Subsidiaries ranking equally in right of payment with the Notes) are equally and ratably secured with or, at the Company’s option, prior to, such secured Indebtedness or guarantees, until such time as such Indebtedness or guarantees are no longer secured by such Lien or such Property is no longer owned by the Company or any of its Restricted Subsidiaries.</w:t>
      </w:r>
    </w:p>
    <w:p>
      <w:pPr>
        <w:spacing w:after="0" w:line="166" w:lineRule="exact"/>
        <w:rPr>
          <w:sz w:val="20"/>
          <w:szCs w:val="20"/>
          <w:color w:val="auto"/>
        </w:rPr>
      </w:pPr>
    </w:p>
    <w:p>
      <w:pPr>
        <w:ind w:left="720" w:hanging="256"/>
        <w:spacing w:after="0"/>
        <w:tabs>
          <w:tab w:leader="none" w:pos="72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The foregoing restriction in Section 501(a) above shall not apply to:</w:t>
      </w:r>
    </w:p>
    <w:p>
      <w:pPr>
        <w:spacing w:after="0" w:line="117" w:lineRule="exact"/>
        <w:rPr>
          <w:rFonts w:ascii="Arial" w:cs="Arial" w:eastAsia="Arial" w:hAnsi="Arial"/>
          <w:sz w:val="18"/>
          <w:szCs w:val="18"/>
          <w:color w:val="auto"/>
        </w:rPr>
      </w:pPr>
    </w:p>
    <w:p>
      <w:pPr>
        <w:ind w:left="460" w:right="80" w:firstLine="443"/>
        <w:spacing w:after="0" w:line="277" w:lineRule="auto"/>
        <w:tabs>
          <w:tab w:leader="none" w:pos="1153" w:val="left"/>
        </w:tabs>
        <w:numPr>
          <w:ilvl w:val="1"/>
          <w:numId w:val="105"/>
        </w:numPr>
        <w:rPr>
          <w:rFonts w:ascii="Arial" w:cs="Arial" w:eastAsia="Arial" w:hAnsi="Arial"/>
          <w:sz w:val="18"/>
          <w:szCs w:val="18"/>
          <w:color w:val="auto"/>
        </w:rPr>
      </w:pPr>
      <w:r>
        <w:rPr>
          <w:rFonts w:ascii="Arial" w:cs="Arial" w:eastAsia="Arial" w:hAnsi="Arial"/>
          <w:sz w:val="18"/>
          <w:szCs w:val="18"/>
          <w:color w:val="auto"/>
        </w:rPr>
        <w:t xml:space="preserve">Liens existing with respect to any Person at the time such Person becomes a direct or indirect Subsidiary of the Company,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Lien was not incurred in anticipation of such Person becoming a Subsidiary;</w:t>
      </w:r>
    </w:p>
    <w:p>
      <w:pPr>
        <w:spacing w:after="0" w:line="62" w:lineRule="exact"/>
        <w:rPr>
          <w:rFonts w:ascii="Arial" w:cs="Arial" w:eastAsia="Arial" w:hAnsi="Arial"/>
          <w:sz w:val="18"/>
          <w:szCs w:val="18"/>
          <w:color w:val="auto"/>
        </w:rPr>
      </w:pPr>
    </w:p>
    <w:p>
      <w:pPr>
        <w:ind w:left="460" w:right="320" w:firstLine="443"/>
        <w:spacing w:after="0" w:line="277" w:lineRule="auto"/>
        <w:tabs>
          <w:tab w:leader="none" w:pos="1153" w:val="left"/>
        </w:tabs>
        <w:numPr>
          <w:ilvl w:val="1"/>
          <w:numId w:val="105"/>
        </w:numPr>
        <w:rPr>
          <w:rFonts w:ascii="Arial" w:cs="Arial" w:eastAsia="Arial" w:hAnsi="Arial"/>
          <w:sz w:val="18"/>
          <w:szCs w:val="18"/>
          <w:color w:val="auto"/>
        </w:rPr>
      </w:pPr>
      <w:r>
        <w:rPr>
          <w:rFonts w:ascii="Arial" w:cs="Arial" w:eastAsia="Arial" w:hAnsi="Arial"/>
          <w:sz w:val="18"/>
          <w:szCs w:val="18"/>
          <w:color w:val="auto"/>
        </w:rPr>
        <w:t>Liens existing on Property at the time of acquisition thereof or at the time of acquisition by the Company or any of its Subsidiaries of any Person then owning such Property, provided that such Lien was not incurred in anticipation of such acquisition;</w:t>
      </w:r>
    </w:p>
    <w:p>
      <w:pPr>
        <w:spacing w:after="0" w:line="62" w:lineRule="exact"/>
        <w:rPr>
          <w:rFonts w:ascii="Arial" w:cs="Arial" w:eastAsia="Arial" w:hAnsi="Arial"/>
          <w:sz w:val="18"/>
          <w:szCs w:val="18"/>
          <w:color w:val="auto"/>
        </w:rPr>
      </w:pPr>
    </w:p>
    <w:p>
      <w:pPr>
        <w:ind w:left="1160" w:hanging="257"/>
        <w:spacing w:after="0"/>
        <w:tabs>
          <w:tab w:leader="none" w:pos="1160" w:val="left"/>
        </w:tabs>
        <w:numPr>
          <w:ilvl w:val="1"/>
          <w:numId w:val="105"/>
        </w:numPr>
        <w:rPr>
          <w:rFonts w:ascii="Arial" w:cs="Arial" w:eastAsia="Arial" w:hAnsi="Arial"/>
          <w:sz w:val="18"/>
          <w:szCs w:val="18"/>
          <w:color w:val="auto"/>
        </w:rPr>
      </w:pPr>
      <w:r>
        <w:rPr>
          <w:rFonts w:ascii="Arial" w:cs="Arial" w:eastAsia="Arial" w:hAnsi="Arial"/>
          <w:sz w:val="18"/>
          <w:szCs w:val="18"/>
          <w:color w:val="auto"/>
        </w:rPr>
        <w:t>Liens securing Indebtedness of the Company or any of its Subsidiaries owing to the Company or any of its Subsidiaries;</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1"/>
          <w:numId w:val="105"/>
        </w:numPr>
        <w:rPr>
          <w:rFonts w:ascii="Arial" w:cs="Arial" w:eastAsia="Arial" w:hAnsi="Arial"/>
          <w:sz w:val="18"/>
          <w:szCs w:val="18"/>
          <w:color w:val="auto"/>
        </w:rPr>
      </w:pPr>
      <w:r>
        <w:rPr>
          <w:rFonts w:ascii="Arial" w:cs="Arial" w:eastAsia="Arial" w:hAnsi="Arial"/>
          <w:sz w:val="18"/>
          <w:szCs w:val="18"/>
          <w:color w:val="auto"/>
        </w:rPr>
        <w:t>Liens existing on the date of issuance of the Initial Notes (excluding any Additional Notes);</w:t>
      </w:r>
    </w:p>
    <w:p>
      <w:pPr>
        <w:spacing w:after="0" w:line="117" w:lineRule="exact"/>
        <w:rPr>
          <w:rFonts w:ascii="Arial" w:cs="Arial" w:eastAsia="Arial" w:hAnsi="Arial"/>
          <w:sz w:val="18"/>
          <w:szCs w:val="18"/>
          <w:color w:val="auto"/>
        </w:rPr>
      </w:pPr>
    </w:p>
    <w:p>
      <w:pPr>
        <w:ind w:left="460" w:firstLine="443"/>
        <w:spacing w:after="0" w:line="259" w:lineRule="auto"/>
        <w:tabs>
          <w:tab w:leader="none" w:pos="1153" w:val="left"/>
        </w:tabs>
        <w:numPr>
          <w:ilvl w:val="1"/>
          <w:numId w:val="105"/>
        </w:numPr>
        <w:rPr>
          <w:rFonts w:ascii="Arial" w:cs="Arial" w:eastAsia="Arial" w:hAnsi="Arial"/>
          <w:sz w:val="18"/>
          <w:szCs w:val="18"/>
          <w:color w:val="auto"/>
        </w:rPr>
      </w:pPr>
      <w:r>
        <w:rPr>
          <w:rFonts w:ascii="Arial" w:cs="Arial" w:eastAsia="Arial" w:hAnsi="Arial"/>
          <w:sz w:val="18"/>
          <w:szCs w:val="18"/>
          <w:color w:val="auto"/>
        </w:rPr>
        <w:t xml:space="preserve">Liens on Property of a Person existing at the time such Person is merged into or consolidated with the Company or any of its Subsidiaries, at the time such Person becomes a Subsidiary of the Company, or at the time of a sale, lease or other disposition of all or substantially all of the Properties of a Person to the Company or any of its Subsidiaries,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Lien was not incurred in anticipation of the merger, consolidation, or sale, lease, other disposition or other such transaction;</w:t>
      </w:r>
    </w:p>
    <w:p>
      <w:pPr>
        <w:spacing w:after="0" w:line="78" w:lineRule="exact"/>
        <w:rPr>
          <w:rFonts w:ascii="Arial" w:cs="Arial" w:eastAsia="Arial" w:hAnsi="Arial"/>
          <w:sz w:val="18"/>
          <w:szCs w:val="18"/>
          <w:color w:val="auto"/>
        </w:rPr>
      </w:pPr>
    </w:p>
    <w:p>
      <w:pPr>
        <w:ind w:left="1160" w:hanging="257"/>
        <w:spacing w:after="0"/>
        <w:tabs>
          <w:tab w:leader="none" w:pos="1160" w:val="left"/>
        </w:tabs>
        <w:numPr>
          <w:ilvl w:val="1"/>
          <w:numId w:val="105"/>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1"/>
          <w:numId w:val="105"/>
        </w:numPr>
        <w:rPr>
          <w:rFonts w:ascii="Arial" w:cs="Arial" w:eastAsia="Arial" w:hAnsi="Arial"/>
          <w:sz w:val="18"/>
          <w:szCs w:val="18"/>
          <w:color w:val="auto"/>
        </w:rPr>
      </w:pPr>
      <w:r>
        <w:rPr>
          <w:rFonts w:ascii="Arial" w:cs="Arial" w:eastAsia="Arial" w:hAnsi="Arial"/>
          <w:sz w:val="18"/>
          <w:szCs w:val="18"/>
          <w:color w:val="auto"/>
        </w:rPr>
        <w:t>Liens created to secure both series of the Notes;</w:t>
      </w:r>
    </w:p>
    <w:p>
      <w:pPr>
        <w:spacing w:after="0" w:line="117" w:lineRule="exact"/>
        <w:rPr>
          <w:rFonts w:ascii="Arial" w:cs="Arial" w:eastAsia="Arial" w:hAnsi="Arial"/>
          <w:sz w:val="18"/>
          <w:szCs w:val="18"/>
          <w:color w:val="auto"/>
        </w:rPr>
      </w:pPr>
    </w:p>
    <w:p>
      <w:pPr>
        <w:ind w:left="460" w:right="200" w:firstLine="443"/>
        <w:spacing w:after="0" w:line="297" w:lineRule="auto"/>
        <w:tabs>
          <w:tab w:leader="none" w:pos="1153" w:val="left"/>
        </w:tabs>
        <w:numPr>
          <w:ilvl w:val="1"/>
          <w:numId w:val="105"/>
        </w:numPr>
        <w:rPr>
          <w:rFonts w:ascii="Arial" w:cs="Arial" w:eastAsia="Arial" w:hAnsi="Arial"/>
          <w:sz w:val="16"/>
          <w:szCs w:val="16"/>
          <w:color w:val="auto"/>
        </w:rPr>
      </w:pPr>
      <w:r>
        <w:rPr>
          <w:rFonts w:ascii="Arial" w:cs="Arial" w:eastAsia="Arial" w:hAnsi="Arial"/>
          <w:sz w:val="16"/>
          <w:szCs w:val="16"/>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50" w:lineRule="exact"/>
        <w:rPr>
          <w:rFonts w:ascii="Arial" w:cs="Arial" w:eastAsia="Arial" w:hAnsi="Arial"/>
          <w:sz w:val="16"/>
          <w:szCs w:val="16"/>
          <w:color w:val="auto"/>
        </w:rPr>
      </w:pPr>
    </w:p>
    <w:p>
      <w:pPr>
        <w:ind w:left="1160" w:hanging="257"/>
        <w:spacing w:after="0"/>
        <w:tabs>
          <w:tab w:leader="none" w:pos="1160" w:val="left"/>
        </w:tabs>
        <w:numPr>
          <w:ilvl w:val="1"/>
          <w:numId w:val="105"/>
        </w:numPr>
        <w:rPr>
          <w:rFonts w:ascii="Arial" w:cs="Arial" w:eastAsia="Arial" w:hAnsi="Arial"/>
          <w:sz w:val="17"/>
          <w:szCs w:val="17"/>
          <w:color w:val="auto"/>
        </w:rPr>
      </w:pPr>
      <w:r>
        <w:rPr>
          <w:rFonts w:ascii="Arial" w:cs="Arial" w:eastAsia="Arial" w:hAnsi="Arial"/>
          <w:sz w:val="17"/>
          <w:szCs w:val="17"/>
          <w:color w:val="auto"/>
        </w:rPr>
        <w:t>Liens for taxes, assessments or other governmental charges or levies on Property not yet due or payable or subject to penalties for</w:t>
      </w:r>
    </w:p>
    <w:p>
      <w:pPr>
        <w:spacing w:after="0" w:line="3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non-payment or which are being contested in good faith by appropriate proceedings;</w:t>
      </w:r>
    </w:p>
    <w:p>
      <w:pPr>
        <w:spacing w:after="0" w:line="14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80"/>
          </w:cols>
          <w:pgMar w:left="240" w:top="274" w:right="279" w:bottom="1440" w:gutter="0" w:footer="0" w:header="0"/>
        </w:sectPr>
      </w:pPr>
    </w:p>
    <w:bookmarkStart w:id="131" w:name="page132"/>
    <w:bookmarkEnd w:id="131"/>
    <w:p>
      <w:pPr>
        <w:ind w:right="300" w:firstLine="443"/>
        <w:spacing w:after="0" w:line="277" w:lineRule="auto"/>
        <w:tabs>
          <w:tab w:leader="none" w:pos="783" w:val="left"/>
        </w:tabs>
        <w:numPr>
          <w:ilvl w:val="0"/>
          <w:numId w:val="10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62" w:lineRule="exact"/>
        <w:rPr>
          <w:rFonts w:ascii="Arial" w:cs="Arial" w:eastAsia="Arial" w:hAnsi="Arial"/>
          <w:sz w:val="18"/>
          <w:szCs w:val="18"/>
          <w:color w:val="auto"/>
        </w:rPr>
      </w:pPr>
    </w:p>
    <w:p>
      <w:pPr>
        <w:ind w:firstLine="443"/>
        <w:spacing w:after="0" w:line="276" w:lineRule="auto"/>
        <w:tabs>
          <w:tab w:leader="none" w:pos="776" w:val="left"/>
        </w:tabs>
        <w:numPr>
          <w:ilvl w:val="0"/>
          <w:numId w:val="106"/>
        </w:numPr>
        <w:rPr>
          <w:rFonts w:ascii="Arial" w:cs="Arial" w:eastAsia="Arial" w:hAnsi="Arial"/>
          <w:sz w:val="17"/>
          <w:szCs w:val="17"/>
          <w:color w:val="auto"/>
        </w:rPr>
      </w:pPr>
      <w:r>
        <w:rPr>
          <w:rFonts w:ascii="Arial" w:cs="Arial" w:eastAsia="Arial" w:hAnsi="Arial"/>
          <w:sz w:val="17"/>
          <w:szCs w:val="17"/>
          <w:color w:val="auto"/>
        </w:rPr>
        <w:t>pledges or deposits under workmen’s compensation, unemployment insurance, or similar legislation and Liens of judgment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of America to secure surety, appeal or customs bonds, or deposits in litigation or other proceedings such as, but not limited to, interpleader proceedings;</w:t>
      </w:r>
    </w:p>
    <w:p>
      <w:pPr>
        <w:spacing w:after="0" w:line="64" w:lineRule="exact"/>
        <w:rPr>
          <w:rFonts w:ascii="Arial" w:cs="Arial" w:eastAsia="Arial" w:hAnsi="Arial"/>
          <w:sz w:val="17"/>
          <w:szCs w:val="17"/>
          <w:color w:val="auto"/>
        </w:rPr>
      </w:pPr>
    </w:p>
    <w:p>
      <w:pPr>
        <w:ind w:right="100" w:firstLine="443"/>
        <w:spacing w:after="0" w:line="286" w:lineRule="auto"/>
        <w:tabs>
          <w:tab w:leader="none" w:pos="783" w:val="left"/>
        </w:tabs>
        <w:numPr>
          <w:ilvl w:val="0"/>
          <w:numId w:val="106"/>
        </w:numPr>
        <w:rPr>
          <w:rFonts w:ascii="Arial" w:cs="Arial" w:eastAsia="Arial" w:hAnsi="Arial"/>
          <w:sz w:val="17"/>
          <w:szCs w:val="17"/>
          <w:color w:val="auto"/>
        </w:rPr>
      </w:pPr>
      <w:r>
        <w:rPr>
          <w:rFonts w:ascii="Arial" w:cs="Arial" w:eastAsia="Arial" w:hAnsi="Arial"/>
          <w:sz w:val="17"/>
          <w:szCs w:val="17"/>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the Company’s opinion, materially detract from the value of such Properties;</w:t>
      </w:r>
    </w:p>
    <w:p>
      <w:pPr>
        <w:spacing w:after="0" w:line="57" w:lineRule="exact"/>
        <w:rPr>
          <w:rFonts w:ascii="Arial" w:cs="Arial" w:eastAsia="Arial" w:hAnsi="Arial"/>
          <w:sz w:val="17"/>
          <w:szCs w:val="17"/>
          <w:color w:val="auto"/>
        </w:rPr>
      </w:pPr>
    </w:p>
    <w:p>
      <w:pPr>
        <w:ind w:right="160" w:firstLine="443"/>
        <w:spacing w:after="0" w:line="302" w:lineRule="auto"/>
        <w:tabs>
          <w:tab w:leader="none" w:pos="783" w:val="left"/>
        </w:tabs>
        <w:numPr>
          <w:ilvl w:val="0"/>
          <w:numId w:val="106"/>
        </w:numPr>
        <w:rPr>
          <w:rFonts w:ascii="Arial" w:cs="Arial" w:eastAsia="Arial" w:hAnsi="Arial"/>
          <w:sz w:val="16"/>
          <w:szCs w:val="16"/>
          <w:color w:val="auto"/>
        </w:rPr>
      </w:pPr>
      <w:r>
        <w:rPr>
          <w:rFonts w:ascii="Arial" w:cs="Arial" w:eastAsia="Arial" w:hAnsi="Arial"/>
          <w:sz w:val="16"/>
          <w:szCs w:val="16"/>
          <w:color w:val="auto"/>
        </w:rPr>
        <w:t>Liens in favor of the United States of America or any state, territory or possession thereof (or the District of Columbia), or any department, agency, instrumentality or political subdivision of the United States of America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46" w:lineRule="exact"/>
        <w:rPr>
          <w:rFonts w:ascii="Arial" w:cs="Arial" w:eastAsia="Arial" w:hAnsi="Arial"/>
          <w:sz w:val="16"/>
          <w:szCs w:val="16"/>
          <w:color w:val="auto"/>
        </w:rPr>
      </w:pPr>
    </w:p>
    <w:p>
      <w:pPr>
        <w:ind w:right="40" w:firstLine="443"/>
        <w:spacing w:after="0" w:line="271" w:lineRule="auto"/>
        <w:tabs>
          <w:tab w:leader="none" w:pos="783" w:val="left"/>
        </w:tabs>
        <w:numPr>
          <w:ilvl w:val="0"/>
          <w:numId w:val="106"/>
        </w:numPr>
        <w:rPr>
          <w:rFonts w:ascii="Arial" w:cs="Arial" w:eastAsia="Arial" w:hAnsi="Arial"/>
          <w:sz w:val="17"/>
          <w:szCs w:val="17"/>
          <w:color w:val="auto"/>
        </w:rPr>
      </w:pPr>
      <w:r>
        <w:rPr>
          <w:rFonts w:ascii="Arial" w:cs="Arial" w:eastAsia="Arial" w:hAnsi="Arial"/>
          <w:sz w:val="17"/>
          <w:szCs w:val="17"/>
          <w:color w:val="auto"/>
        </w:rPr>
        <w:t xml:space="preserve">Liens securing Indebtedness incurred to finance the construction, acquisition (including acquisition through merger or consolidation), purchase or lease of, or repairs, improvements or additions to, Property (including shares of capital stock), plant or equipment of the Company or its Restricted Subsidiaries;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Lien shall not extend to any other Property owned by the Company or any of its Restricted Subsidiaries at the time the Lien is incurred (other than Property affixed or appurtenant thereto), and the Indebtedness (other than any interest thereon) secured by the Lien shall not be incurred more than 18 months after the later of the acquisition, completion of construction, repair, improvement, addition or commencement of full operation of the Property subject to the Lien; </w:t>
      </w:r>
      <w:r>
        <w:rPr>
          <w:rFonts w:ascii="Arial" w:cs="Arial" w:eastAsia="Arial" w:hAnsi="Arial"/>
          <w:sz w:val="17"/>
          <w:szCs w:val="17"/>
          <w:i w:val="1"/>
          <w:iCs w:val="1"/>
          <w:color w:val="auto"/>
        </w:rPr>
        <w:t>provided further, however</w:t>
      </w:r>
      <w:r>
        <w:rPr>
          <w:rFonts w:ascii="Arial" w:cs="Arial" w:eastAsia="Arial" w:hAnsi="Arial"/>
          <w:sz w:val="17"/>
          <w:szCs w:val="17"/>
          <w:color w:val="auto"/>
        </w:rPr>
        <w:t>,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70" w:lineRule="exact"/>
        <w:rPr>
          <w:rFonts w:ascii="Arial" w:cs="Arial" w:eastAsia="Arial" w:hAnsi="Arial"/>
          <w:sz w:val="17"/>
          <w:szCs w:val="17"/>
          <w:color w:val="auto"/>
        </w:rPr>
      </w:pPr>
    </w:p>
    <w:p>
      <w:pPr>
        <w:ind w:right="40" w:firstLine="443"/>
        <w:spacing w:after="0" w:line="277" w:lineRule="auto"/>
        <w:tabs>
          <w:tab w:leader="none" w:pos="783" w:val="left"/>
        </w:tabs>
        <w:numPr>
          <w:ilvl w:val="0"/>
          <w:numId w:val="106"/>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103"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60"/>
          </w:cols>
          <w:pgMar w:left="700" w:top="274" w:right="239" w:bottom="1440" w:gutter="0" w:footer="0" w:header="0"/>
        </w:sectPr>
      </w:pPr>
    </w:p>
    <w:bookmarkStart w:id="132" w:name="page133"/>
    <w:bookmarkEnd w:id="132"/>
    <w:p>
      <w:pPr>
        <w:ind w:left="460" w:right="120" w:firstLine="443"/>
        <w:spacing w:after="0" w:line="277" w:lineRule="auto"/>
        <w:tabs>
          <w:tab w:leader="none" w:pos="1243" w:val="left"/>
        </w:tabs>
        <w:numPr>
          <w:ilvl w:val="2"/>
          <w:numId w:val="10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Liens securing Hedging Obligations designed to protect the Company from fluctuations in interest rates, currencies, equities or the price of commodities and not for speculative purposes;</w:t>
      </w:r>
    </w:p>
    <w:p>
      <w:pPr>
        <w:spacing w:after="0" w:line="62" w:lineRule="exact"/>
        <w:rPr>
          <w:rFonts w:ascii="Arial" w:cs="Arial" w:eastAsia="Arial" w:hAnsi="Arial"/>
          <w:sz w:val="18"/>
          <w:szCs w:val="18"/>
          <w:color w:val="auto"/>
        </w:rPr>
      </w:pPr>
    </w:p>
    <w:p>
      <w:pPr>
        <w:ind w:left="460" w:firstLine="443"/>
        <w:spacing w:after="0" w:line="277" w:lineRule="auto"/>
        <w:tabs>
          <w:tab w:leader="none" w:pos="1243" w:val="left"/>
        </w:tabs>
        <w:numPr>
          <w:ilvl w:val="2"/>
          <w:numId w:val="107"/>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62" w:lineRule="exact"/>
        <w:rPr>
          <w:rFonts w:ascii="Arial" w:cs="Arial" w:eastAsia="Arial" w:hAnsi="Arial"/>
          <w:sz w:val="18"/>
          <w:szCs w:val="18"/>
          <w:color w:val="auto"/>
        </w:rPr>
      </w:pPr>
    </w:p>
    <w:p>
      <w:pPr>
        <w:ind w:left="460" w:firstLine="443"/>
        <w:spacing w:after="0" w:line="342" w:lineRule="auto"/>
        <w:tabs>
          <w:tab w:leader="none" w:pos="1243" w:val="left"/>
        </w:tabs>
        <w:numPr>
          <w:ilvl w:val="2"/>
          <w:numId w:val="107"/>
        </w:numPr>
        <w:rPr>
          <w:rFonts w:ascii="Arial" w:cs="Arial" w:eastAsia="Arial" w:hAnsi="Arial"/>
          <w:sz w:val="16"/>
          <w:szCs w:val="16"/>
          <w:color w:val="auto"/>
        </w:rPr>
      </w:pPr>
      <w:r>
        <w:rPr>
          <w:rFonts w:ascii="Arial" w:cs="Arial" w:eastAsia="Arial" w:hAnsi="Arial"/>
          <w:sz w:val="16"/>
          <w:szCs w:val="16"/>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15" w:lineRule="exact"/>
        <w:rPr>
          <w:rFonts w:ascii="Arial" w:cs="Arial" w:eastAsia="Arial" w:hAnsi="Arial"/>
          <w:sz w:val="16"/>
          <w:szCs w:val="16"/>
          <w:color w:val="auto"/>
        </w:rPr>
      </w:pPr>
    </w:p>
    <w:p>
      <w:pPr>
        <w:ind w:left="1240" w:hanging="337"/>
        <w:spacing w:after="0"/>
        <w:tabs>
          <w:tab w:leader="none" w:pos="1240" w:val="left"/>
        </w:tabs>
        <w:numPr>
          <w:ilvl w:val="2"/>
          <w:numId w:val="107"/>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Section 502 below; or</w:t>
      </w:r>
    </w:p>
    <w:p>
      <w:pPr>
        <w:spacing w:after="0" w:line="117" w:lineRule="exact"/>
        <w:rPr>
          <w:rFonts w:ascii="Arial" w:cs="Arial" w:eastAsia="Arial" w:hAnsi="Arial"/>
          <w:sz w:val="18"/>
          <w:szCs w:val="18"/>
          <w:color w:val="auto"/>
        </w:rPr>
      </w:pPr>
    </w:p>
    <w:p>
      <w:pPr>
        <w:jc w:val="both"/>
        <w:ind w:left="460" w:right="280" w:firstLine="443"/>
        <w:spacing w:after="0" w:line="302" w:lineRule="auto"/>
        <w:tabs>
          <w:tab w:leader="none" w:pos="1243" w:val="left"/>
        </w:tabs>
        <w:numPr>
          <w:ilvl w:val="2"/>
          <w:numId w:val="107"/>
        </w:numPr>
        <w:rPr>
          <w:rFonts w:ascii="Arial" w:cs="Arial" w:eastAsia="Arial" w:hAnsi="Arial"/>
          <w:sz w:val="16"/>
          <w:szCs w:val="16"/>
          <w:color w:val="auto"/>
        </w:rPr>
      </w:pPr>
      <w:r>
        <w:rPr>
          <w:rFonts w:ascii="Arial" w:cs="Arial" w:eastAsia="Arial" w:hAnsi="Arial"/>
          <w:sz w:val="16"/>
          <w:szCs w:val="16"/>
          <w:color w:val="auto"/>
        </w:rPr>
        <w:t xml:space="preserve">any extensions, renewals, refinancing or replacements of any Lien referred to in clauses (1) through (19) above without increase of the principal of the Indebtedness secured by such Lien (except to the extent of any fees or other costs associated with any such extension, renewal or replacement);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any Liens permitted by any of clauses (1) through (19) above shall not extend to or cover any Property of the Company or any of its Subsidiaries, as the case may be, other than the Property specified in such clauses and improvements to such Property.</w:t>
      </w:r>
    </w:p>
    <w:p>
      <w:pPr>
        <w:spacing w:after="0" w:line="46" w:lineRule="exact"/>
        <w:rPr>
          <w:rFonts w:ascii="Arial" w:cs="Arial" w:eastAsia="Arial" w:hAnsi="Arial"/>
          <w:sz w:val="16"/>
          <w:szCs w:val="16"/>
          <w:color w:val="auto"/>
        </w:rPr>
      </w:pPr>
    </w:p>
    <w:p>
      <w:pPr>
        <w:ind w:left="700" w:hanging="236"/>
        <w:spacing w:after="0"/>
        <w:tabs>
          <w:tab w:leader="none" w:pos="700" w:val="left"/>
        </w:tabs>
        <w:numPr>
          <w:ilvl w:val="1"/>
          <w:numId w:val="108"/>
        </w:numPr>
        <w:rPr>
          <w:rFonts w:ascii="Arial" w:cs="Arial" w:eastAsia="Arial" w:hAnsi="Arial"/>
          <w:sz w:val="17"/>
          <w:szCs w:val="17"/>
          <w:color w:val="auto"/>
        </w:rPr>
      </w:pPr>
      <w:r>
        <w:rPr>
          <w:rFonts w:ascii="Arial" w:cs="Arial" w:eastAsia="Arial" w:hAnsi="Arial"/>
          <w:sz w:val="17"/>
          <w:szCs w:val="17"/>
          <w:color w:val="auto"/>
        </w:rPr>
        <w:t>Notwithstanding the restrictions set forth in Section 501(a) above, the Company and its Restricted Subsidiaries shall be permitted to incur</w:t>
      </w:r>
    </w:p>
    <w:p>
      <w:pPr>
        <w:spacing w:after="0" w:line="34" w:lineRule="exact"/>
        <w:rPr>
          <w:rFonts w:ascii="Arial" w:cs="Arial" w:eastAsia="Arial" w:hAnsi="Arial"/>
          <w:sz w:val="17"/>
          <w:szCs w:val="17"/>
          <w:color w:val="auto"/>
        </w:rPr>
      </w:pPr>
    </w:p>
    <w:p>
      <w:pPr>
        <w:ind w:right="20"/>
        <w:spacing w:after="0" w:line="281" w:lineRule="auto"/>
        <w:rPr>
          <w:rFonts w:ascii="Arial" w:cs="Arial" w:eastAsia="Arial" w:hAnsi="Arial"/>
          <w:sz w:val="17"/>
          <w:szCs w:val="17"/>
          <w:color w:val="auto"/>
        </w:rPr>
      </w:pPr>
      <w:r>
        <w:rPr>
          <w:rFonts w:ascii="Arial" w:cs="Arial" w:eastAsia="Arial" w:hAnsi="Arial"/>
          <w:sz w:val="16"/>
          <w:szCs w:val="16"/>
          <w:color w:val="auto"/>
        </w:rPr>
        <w:t xml:space="preserve">Indebtedness secured by Liens which would otherwise be subject to the restrictions set forth in Section 501(a) above without equally and ratably securing the Notes;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after giving effect to such Indebtedness and the retirement of any Indebtedness secured by Liens (other than Liens described in clauses</w:t>
      </w:r>
    </w:p>
    <w:p>
      <w:pPr>
        <w:spacing w:after="0" w:line="1" w:lineRule="exact"/>
        <w:rPr>
          <w:rFonts w:ascii="Arial" w:cs="Arial" w:eastAsia="Arial" w:hAnsi="Arial"/>
          <w:sz w:val="17"/>
          <w:szCs w:val="17"/>
          <w:color w:val="auto"/>
        </w:rPr>
      </w:pPr>
    </w:p>
    <w:p>
      <w:pPr>
        <w:ind w:right="200" w:firstLine="8"/>
        <w:spacing w:after="0" w:line="292" w:lineRule="auto"/>
        <w:tabs>
          <w:tab w:leader="none" w:pos="255" w:val="left"/>
        </w:tabs>
        <w:numPr>
          <w:ilvl w:val="0"/>
          <w:numId w:val="109"/>
        </w:numPr>
        <w:rPr>
          <w:rFonts w:ascii="Arial" w:cs="Arial" w:eastAsia="Arial" w:hAnsi="Arial"/>
          <w:sz w:val="16"/>
          <w:szCs w:val="16"/>
          <w:color w:val="auto"/>
        </w:rPr>
      </w:pPr>
      <w:r>
        <w:rPr>
          <w:rFonts w:ascii="Arial" w:cs="Arial" w:eastAsia="Arial" w:hAnsi="Arial"/>
          <w:sz w:val="16"/>
          <w:szCs w:val="16"/>
          <w:color w:val="auto"/>
        </w:rPr>
        <w:t>through (20) of Section 501(b) above) that is being retired substantially concurrently with such incurrence, the aggregate amount of all Indebtedness secured by Liens (not including Liens permitted under clauses (1) through (20) of Section 501(b) above), together with all Attributable Debt outstanding pursuant to Section 502(b) below, does not exceed 15% of the Company’s Consolidated Net Tangible Assets. The Company and its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163" w:lineRule="exact"/>
        <w:rPr>
          <w:sz w:val="20"/>
          <w:szCs w:val="20"/>
          <w:color w:val="auto"/>
        </w:rPr>
      </w:pPr>
    </w:p>
    <w:p>
      <w:pPr>
        <w:ind w:right="340" w:firstLine="456"/>
        <w:spacing w:after="0" w:line="342" w:lineRule="auto"/>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i w:val="1"/>
          <w:iCs w:val="1"/>
          <w:color w:val="auto"/>
        </w:rPr>
        <w:t>Limitation on Sale and Leaseback Transactions.</w:t>
      </w:r>
      <w:r>
        <w:rPr>
          <w:rFonts w:ascii="Arial" w:cs="Arial" w:eastAsia="Arial" w:hAnsi="Arial"/>
          <w:sz w:val="16"/>
          <w:szCs w:val="16"/>
          <w:color w:val="auto"/>
        </w:rPr>
        <w:t xml:space="preserve"> (a) The Company shall not, and shall not permit any of its Restricted Subsidiaries to, enter into any sale and leaseback transaction for the sale and leasing back of any Property, whether now owned or hereafter acquired, unless:</w:t>
      </w:r>
    </w:p>
    <w:p>
      <w:pPr>
        <w:spacing w:after="0" w:line="16" w:lineRule="exact"/>
        <w:rPr>
          <w:sz w:val="20"/>
          <w:szCs w:val="20"/>
          <w:color w:val="auto"/>
        </w:rPr>
      </w:pPr>
    </w:p>
    <w:p>
      <w:pPr>
        <w:ind w:left="1160" w:hanging="257"/>
        <w:spacing w:after="0"/>
        <w:tabs>
          <w:tab w:leader="none" w:pos="11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issuance of the Initial Notes of each series;</w:t>
      </w:r>
    </w:p>
    <w:p>
      <w:pPr>
        <w:spacing w:after="0" w:line="117" w:lineRule="exact"/>
        <w:rPr>
          <w:rFonts w:ascii="Arial" w:cs="Arial" w:eastAsia="Arial" w:hAnsi="Arial"/>
          <w:sz w:val="18"/>
          <w:szCs w:val="18"/>
          <w:color w:val="auto"/>
        </w:rPr>
      </w:pPr>
    </w:p>
    <w:p>
      <w:pPr>
        <w:ind w:left="460" w:right="100" w:firstLine="443"/>
        <w:spacing w:after="0" w:line="277" w:lineRule="auto"/>
        <w:tabs>
          <w:tab w:leader="none" w:pos="1153" w:val="left"/>
        </w:tabs>
        <w:numPr>
          <w:ilvl w:val="0"/>
          <w:numId w:val="110"/>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the Company or any of its wholly-owned Subsidiaries of any Property by the Company or a Restricted Subsidiary;</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60"/>
          </w:cols>
          <w:pgMar w:left="240" w:top="274" w:right="299" w:bottom="1440" w:gutter="0" w:footer="0" w:header="0"/>
        </w:sectPr>
      </w:pPr>
    </w:p>
    <w:bookmarkStart w:id="133" w:name="page134"/>
    <w:bookmarkEnd w:id="133"/>
    <w:p>
      <w:pPr>
        <w:ind w:left="460" w:right="20" w:firstLine="443"/>
        <w:spacing w:after="0" w:line="277" w:lineRule="auto"/>
        <w:tabs>
          <w:tab w:leader="none" w:pos="1153" w:val="left"/>
        </w:tabs>
        <w:numPr>
          <w:ilvl w:val="0"/>
          <w:numId w:val="1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such transaction involves a lease for not more than five years (or which may be terminated by the Company or its Subsidiaries within a period of not more than five years);</w:t>
      </w:r>
    </w:p>
    <w:p>
      <w:pPr>
        <w:spacing w:after="0" w:line="62" w:lineRule="exact"/>
        <w:rPr>
          <w:rFonts w:ascii="Arial" w:cs="Arial" w:eastAsia="Arial" w:hAnsi="Arial"/>
          <w:sz w:val="18"/>
          <w:szCs w:val="18"/>
          <w:color w:val="auto"/>
        </w:rPr>
      </w:pPr>
    </w:p>
    <w:p>
      <w:pPr>
        <w:ind w:left="1160" w:hanging="257"/>
        <w:spacing w:after="0"/>
        <w:tabs>
          <w:tab w:leader="none" w:pos="11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the Company’s property listed below:</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Santa Clara United States Headquarters</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Santa Clara, CA 95054</w:t>
      </w:r>
    </w:p>
    <w:p>
      <w:pPr>
        <w:spacing w:after="0" w:line="103" w:lineRule="exact"/>
        <w:rPr>
          <w:sz w:val="20"/>
          <w:szCs w:val="20"/>
          <w:color w:val="auto"/>
        </w:rPr>
      </w:pPr>
    </w:p>
    <w:p>
      <w:pPr>
        <w:ind w:left="460" w:right="220" w:firstLine="443"/>
        <w:spacing w:after="0" w:line="264" w:lineRule="auto"/>
        <w:tabs>
          <w:tab w:leader="none" w:pos="1153"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Company would be entitled to incur Indebtedness secured by a Lien with respect to such sale and leaseback transaction without equally and ratably securing the Notes pursuant to Section 501(b) of this First Supplemental Indenture (except with respect to a Lien permitted by Section 501(b)(19) of this First Supplemental Indenture); or</w:t>
      </w:r>
    </w:p>
    <w:p>
      <w:pPr>
        <w:spacing w:after="0" w:line="73" w:lineRule="exact"/>
        <w:rPr>
          <w:rFonts w:ascii="Arial" w:cs="Arial" w:eastAsia="Arial" w:hAnsi="Arial"/>
          <w:sz w:val="18"/>
          <w:szCs w:val="18"/>
          <w:color w:val="auto"/>
        </w:rPr>
      </w:pPr>
    </w:p>
    <w:p>
      <w:pPr>
        <w:ind w:left="460" w:firstLine="443"/>
        <w:spacing w:after="0" w:line="273" w:lineRule="auto"/>
        <w:tabs>
          <w:tab w:leader="none" w:pos="1153" w:val="left"/>
        </w:tabs>
        <w:numPr>
          <w:ilvl w:val="1"/>
          <w:numId w:val="112"/>
        </w:numPr>
        <w:rPr>
          <w:rFonts w:ascii="Arial" w:cs="Arial" w:eastAsia="Arial" w:hAnsi="Arial"/>
          <w:sz w:val="17"/>
          <w:szCs w:val="17"/>
          <w:color w:val="auto"/>
        </w:rPr>
      </w:pPr>
      <w:r>
        <w:rPr>
          <w:rFonts w:ascii="Arial" w:cs="Arial" w:eastAsia="Arial" w:hAnsi="Arial"/>
          <w:sz w:val="17"/>
          <w:szCs w:val="17"/>
          <w:color w:val="auto"/>
        </w:rPr>
        <w:t xml:space="preserve">the Company applies (or to the extent the proceeds are received directly by any of the Restricted Subsidiaries, such Restricted Subsidiary applies) an amount equal to the net proceeds from the sale of such Property to the purchase of other Property or assets used or useful in the Company’s or such Restricted Subsidiary’s business or to the retirement of Indebtedness that is </w:t>
      </w:r>
      <w:r>
        <w:rPr>
          <w:rFonts w:ascii="Arial" w:cs="Arial" w:eastAsia="Arial" w:hAnsi="Arial"/>
          <w:sz w:val="17"/>
          <w:szCs w:val="17"/>
          <w:i w:val="1"/>
          <w:iCs w:val="1"/>
          <w:color w:val="auto"/>
        </w:rPr>
        <w:t>pari passu</w:t>
      </w:r>
      <w:r>
        <w:rPr>
          <w:rFonts w:ascii="Arial" w:cs="Arial" w:eastAsia="Arial" w:hAnsi="Arial"/>
          <w:sz w:val="17"/>
          <w:szCs w:val="17"/>
          <w:color w:val="auto"/>
        </w:rPr>
        <w:t xml:space="preserve"> in right of payment with the Notes within 365 days before or after the effective date of any such sale and leaseback transaction,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in lieu of applying such amount to the retirement of </w:t>
      </w:r>
      <w:r>
        <w:rPr>
          <w:rFonts w:ascii="Arial" w:cs="Arial" w:eastAsia="Arial" w:hAnsi="Arial"/>
          <w:sz w:val="17"/>
          <w:szCs w:val="17"/>
          <w:i w:val="1"/>
          <w:iCs w:val="1"/>
          <w:color w:val="auto"/>
        </w:rPr>
        <w:t>pari</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passu </w:t>
      </w:r>
      <w:r>
        <w:rPr>
          <w:rFonts w:ascii="Arial" w:cs="Arial" w:eastAsia="Arial" w:hAnsi="Arial"/>
          <w:sz w:val="17"/>
          <w:szCs w:val="17"/>
          <w:color w:val="auto"/>
        </w:rPr>
        <w:t>Indebtedness, the Company may deliver Notes with an aggregate outstanding amount equal to such net proceeds to the Trustee for cancellation as</w:t>
      </w:r>
      <w:r>
        <w:rPr>
          <w:rFonts w:ascii="Arial" w:cs="Arial" w:eastAsia="Arial" w:hAnsi="Arial"/>
          <w:sz w:val="17"/>
          <w:szCs w:val="17"/>
          <w:i w:val="1"/>
          <w:iCs w:val="1"/>
          <w:color w:val="auto"/>
        </w:rPr>
        <w:t xml:space="preserve"> </w:t>
      </w:r>
      <w:r>
        <w:rPr>
          <w:rFonts w:ascii="Arial" w:cs="Arial" w:eastAsia="Arial" w:hAnsi="Arial"/>
          <w:sz w:val="17"/>
          <w:szCs w:val="17"/>
          <w:color w:val="auto"/>
        </w:rPr>
        <w:t>provided in Section 304 of this First Supplemental Indenture.</w:t>
      </w:r>
    </w:p>
    <w:p>
      <w:pPr>
        <w:spacing w:after="0" w:line="70" w:lineRule="exact"/>
        <w:rPr>
          <w:rFonts w:ascii="Arial" w:cs="Arial" w:eastAsia="Arial" w:hAnsi="Arial"/>
          <w:sz w:val="17"/>
          <w:szCs w:val="17"/>
          <w:color w:val="auto"/>
        </w:rPr>
      </w:pPr>
    </w:p>
    <w:p>
      <w:pPr>
        <w:ind w:right="160" w:firstLine="464"/>
        <w:spacing w:after="0" w:line="257" w:lineRule="auto"/>
        <w:tabs>
          <w:tab w:leader="none" w:pos="711" w:val="left"/>
        </w:tabs>
        <w:numPr>
          <w:ilvl w:val="0"/>
          <w:numId w:val="113"/>
        </w:numPr>
        <w:rPr>
          <w:rFonts w:ascii="Arial" w:cs="Arial" w:eastAsia="Arial" w:hAnsi="Arial"/>
          <w:sz w:val="18"/>
          <w:szCs w:val="18"/>
          <w:color w:val="auto"/>
        </w:rPr>
      </w:pPr>
      <w:r>
        <w:rPr>
          <w:rFonts w:ascii="Arial" w:cs="Arial" w:eastAsia="Arial" w:hAnsi="Arial"/>
          <w:sz w:val="18"/>
          <w:szCs w:val="18"/>
          <w:color w:val="auto"/>
        </w:rPr>
        <w:t>Notwithstanding the restrictions set forth in Section 502(a) above, the Company and its Restricted Subsidiaries may enter into any sale and leaseback transaction that would otherwise be subject to the restrictions set forth in Section 502(a) above, if after giving effect thereto the aggregate amount of all Attributable Debt with respect to such transactions (not including Attributable Debt permitted under clauses (1) through (6) of Section 502(a) above), together with all Indebtedness outstanding pursuant to Section 501(c) of this First Supplemental Indenture, does not exceed 15% of the Company’s Consolidated Net Tangible Assets.</w:t>
      </w:r>
    </w:p>
    <w:p>
      <w:pPr>
        <w:spacing w:after="0" w:line="188" w:lineRule="exact"/>
        <w:rPr>
          <w:sz w:val="20"/>
          <w:szCs w:val="20"/>
          <w:color w:val="auto"/>
        </w:rPr>
      </w:pPr>
    </w:p>
    <w:p>
      <w:pPr>
        <w:ind w:right="380" w:firstLine="456"/>
        <w:spacing w:after="0" w:line="27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r>
        <w:rPr>
          <w:rFonts w:ascii="Arial" w:cs="Arial" w:eastAsia="Arial" w:hAnsi="Arial"/>
          <w:sz w:val="18"/>
          <w:szCs w:val="18"/>
          <w:color w:val="auto"/>
        </w:rPr>
        <w:t xml:space="preserve"> (a) Section 501 of the Base Indenture shall not apply to the Notes. Instead, each of the following events shall be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with respect to each series of Notes:</w:t>
      </w:r>
    </w:p>
    <w:p>
      <w:pPr>
        <w:spacing w:after="0" w:line="62" w:lineRule="exact"/>
        <w:rPr>
          <w:sz w:val="20"/>
          <w:szCs w:val="20"/>
          <w:color w:val="auto"/>
        </w:rPr>
      </w:pPr>
    </w:p>
    <w:p>
      <w:pPr>
        <w:ind w:left="1160" w:hanging="257"/>
        <w:spacing w:after="0"/>
        <w:tabs>
          <w:tab w:leader="none" w:pos="1160" w:val="left"/>
        </w:tabs>
        <w:numPr>
          <w:ilvl w:val="0"/>
          <w:numId w:val="114"/>
        </w:numPr>
        <w:rPr>
          <w:rFonts w:ascii="Arial" w:cs="Arial" w:eastAsia="Arial" w:hAnsi="Arial"/>
          <w:sz w:val="16"/>
          <w:szCs w:val="16"/>
          <w:color w:val="auto"/>
        </w:rPr>
      </w:pPr>
      <w:r>
        <w:rPr>
          <w:rFonts w:ascii="Arial" w:cs="Arial" w:eastAsia="Arial" w:hAnsi="Arial"/>
          <w:sz w:val="16"/>
          <w:szCs w:val="16"/>
          <w:color w:val="auto"/>
        </w:rPr>
        <w:t>default in the payment of any installment of interest on any Note of such series when due and payable, and the continuance of that default for</w:t>
      </w:r>
    </w:p>
    <w:p>
      <w:pPr>
        <w:spacing w:after="0" w:line="46" w:lineRule="exact"/>
        <w:rPr>
          <w:rFonts w:ascii="Arial" w:cs="Arial" w:eastAsia="Arial" w:hAnsi="Arial"/>
          <w:sz w:val="16"/>
          <w:szCs w:val="16"/>
          <w:color w:val="auto"/>
        </w:rPr>
      </w:pPr>
    </w:p>
    <w:p>
      <w:pPr>
        <w:ind w:left="460"/>
        <w:spacing w:after="0"/>
        <w:rPr>
          <w:rFonts w:ascii="Arial" w:cs="Arial" w:eastAsia="Arial" w:hAnsi="Arial"/>
          <w:sz w:val="16"/>
          <w:szCs w:val="16"/>
          <w:color w:val="auto"/>
        </w:rPr>
      </w:pPr>
      <w:r>
        <w:rPr>
          <w:rFonts w:ascii="Arial" w:cs="Arial" w:eastAsia="Arial" w:hAnsi="Arial"/>
          <w:sz w:val="18"/>
          <w:szCs w:val="18"/>
          <w:color w:val="auto"/>
        </w:rPr>
        <w:t>30 days;</w:t>
      </w:r>
    </w:p>
    <w:p>
      <w:pPr>
        <w:spacing w:after="0" w:line="102" w:lineRule="exact"/>
        <w:rPr>
          <w:rFonts w:ascii="Arial" w:cs="Arial" w:eastAsia="Arial" w:hAnsi="Arial"/>
          <w:sz w:val="16"/>
          <w:szCs w:val="16"/>
          <w:color w:val="auto"/>
        </w:rPr>
      </w:pPr>
    </w:p>
    <w:p>
      <w:pPr>
        <w:ind w:left="460" w:right="120" w:firstLine="443"/>
        <w:spacing w:after="0" w:line="277" w:lineRule="auto"/>
        <w:tabs>
          <w:tab w:leader="none" w:pos="1153" w:val="left"/>
        </w:tabs>
        <w:numPr>
          <w:ilvl w:val="0"/>
          <w:numId w:val="114"/>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any Note of such series when due and payable (whether at its Stated Maturity, upon redemption or otherwise);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274" w:right="259" w:bottom="1440" w:gutter="0" w:footer="0" w:header="0"/>
        </w:sectPr>
      </w:pPr>
    </w:p>
    <w:bookmarkStart w:id="134" w:name="page135"/>
    <w:bookmarkEnd w:id="134"/>
    <w:p>
      <w:pPr>
        <w:ind w:right="640" w:firstLine="443"/>
        <w:spacing w:after="0" w:line="308" w:lineRule="auto"/>
        <w:tabs>
          <w:tab w:leader="none" w:pos="693" w:val="left"/>
        </w:tabs>
        <w:numPr>
          <w:ilvl w:val="0"/>
          <w:numId w:val="11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failure by the Company to repurchase Notes of such series tendered for repurchase following the occurrence of a Change of Control Repurchase Event with respect to such series of Notes in conformity with Section 403 of this First Supplemental Indenture;</w:t>
      </w:r>
    </w:p>
    <w:p>
      <w:pPr>
        <w:spacing w:after="0" w:line="38" w:lineRule="exact"/>
        <w:rPr>
          <w:rFonts w:ascii="Arial" w:cs="Arial" w:eastAsia="Arial" w:hAnsi="Arial"/>
          <w:sz w:val="17"/>
          <w:szCs w:val="17"/>
          <w:color w:val="auto"/>
        </w:rPr>
      </w:pPr>
    </w:p>
    <w:p>
      <w:pPr>
        <w:ind w:firstLine="443"/>
        <w:spacing w:after="0" w:line="286" w:lineRule="auto"/>
        <w:tabs>
          <w:tab w:leader="none" w:pos="693" w:val="left"/>
        </w:tabs>
        <w:numPr>
          <w:ilvl w:val="0"/>
          <w:numId w:val="115"/>
        </w:numPr>
        <w:rPr>
          <w:rFonts w:ascii="Arial" w:cs="Arial" w:eastAsia="Arial" w:hAnsi="Arial"/>
          <w:sz w:val="17"/>
          <w:szCs w:val="17"/>
          <w:color w:val="auto"/>
        </w:rPr>
      </w:pPr>
      <w:r>
        <w:rPr>
          <w:rFonts w:ascii="Arial" w:cs="Arial" w:eastAsia="Arial" w:hAnsi="Arial"/>
          <w:sz w:val="17"/>
          <w:szCs w:val="17"/>
          <w:color w:val="auto"/>
        </w:rPr>
        <w:t>failure to observe or perform any other covenant or agreement in respect of such series of Notes, which failure continues for 90 days after written notice to the Company by the Trustee or to the Company and the Trustee by the Holders of not less than 25% in principal amount of outstanding Notes of such series (including any Additional Notes of such series), requiring the Company to remedy the same;</w:t>
      </w:r>
    </w:p>
    <w:p>
      <w:pPr>
        <w:spacing w:after="0" w:line="57" w:lineRule="exact"/>
        <w:rPr>
          <w:rFonts w:ascii="Arial" w:cs="Arial" w:eastAsia="Arial" w:hAnsi="Arial"/>
          <w:sz w:val="17"/>
          <w:szCs w:val="17"/>
          <w:color w:val="auto"/>
        </w:rPr>
      </w:pPr>
    </w:p>
    <w:p>
      <w:pPr>
        <w:ind w:right="20" w:firstLine="443"/>
        <w:spacing w:after="0" w:line="271" w:lineRule="auto"/>
        <w:tabs>
          <w:tab w:leader="none" w:pos="693" w:val="left"/>
        </w:tabs>
        <w:numPr>
          <w:ilvl w:val="0"/>
          <w:numId w:val="115"/>
        </w:numPr>
        <w:rPr>
          <w:rFonts w:ascii="Arial" w:cs="Arial" w:eastAsia="Arial" w:hAnsi="Arial"/>
          <w:sz w:val="17"/>
          <w:szCs w:val="17"/>
          <w:color w:val="auto"/>
        </w:rPr>
      </w:pPr>
      <w:r>
        <w:rPr>
          <w:rFonts w:ascii="Arial" w:cs="Arial" w:eastAsia="Arial" w:hAnsi="Arial"/>
          <w:sz w:val="17"/>
          <w:szCs w:val="17"/>
          <w:color w:val="auto"/>
        </w:rPr>
        <w:t xml:space="preserve">(i) a failure to make any payment at maturity, including any applicable grace period, on any of the Company’s Indebtedness (other than Indebtedness the Company owes to any of its Subsidiaries) outstanding in an amount in excess of $100,000,000 or (ii) a default on any of the Company’s Indebtedness (other than Indebtedness the Company owes to any of its Subsidiaries), which default results in the acceleration of such Indebtedness in an amount in excess of $100,000,000 without such Indebtedness having been discharged or the acceleration having been cured, waived, rescinded or annulled, in the case of clause (i) or (ii) above, for a period of 30 days after written notice thereof to the Company by the Trustee or to the Company and the Trustee by the Holders of not less than 25% in principal amount of outstanding Notes of a series (including any Additional Notes of such series);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any failure, default or acceleration referred to in clause (i) or (ii) above ceases or is cured, waived, rescinded or annulled, then the Event of Default shall be deemed cured;</w:t>
      </w:r>
    </w:p>
    <w:p>
      <w:pPr>
        <w:spacing w:after="0" w:line="70" w:lineRule="exact"/>
        <w:rPr>
          <w:rFonts w:ascii="Arial" w:cs="Arial" w:eastAsia="Arial" w:hAnsi="Arial"/>
          <w:sz w:val="17"/>
          <w:szCs w:val="17"/>
          <w:color w:val="auto"/>
        </w:rPr>
      </w:pPr>
    </w:p>
    <w:p>
      <w:pPr>
        <w:jc w:val="both"/>
        <w:ind w:right="60" w:firstLine="443"/>
        <w:spacing w:after="0" w:line="259" w:lineRule="auto"/>
        <w:tabs>
          <w:tab w:leader="none" w:pos="693"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the Company pursuant to or within the meaning of any Bankruptcy Law (i) commences a voluntary case, (ii) consents to the entry of an order for relief against it in an involuntary case, (iii) consents to the appointment of a Custodian of it or for all or substantially all of its property, (iv) makes a general assignment for the benefit of its creditors or (v) admits in writing its inability to generally pay its debts as such debts become due; or takes any comparable action under any foreign laws relating to insolvency;</w:t>
      </w:r>
    </w:p>
    <w:p>
      <w:pPr>
        <w:spacing w:after="0" w:line="78" w:lineRule="exact"/>
        <w:rPr>
          <w:rFonts w:ascii="Arial" w:cs="Arial" w:eastAsia="Arial" w:hAnsi="Arial"/>
          <w:sz w:val="18"/>
          <w:szCs w:val="18"/>
          <w:color w:val="auto"/>
        </w:rPr>
      </w:pPr>
    </w:p>
    <w:p>
      <w:pPr>
        <w:ind w:right="240" w:firstLine="443"/>
        <w:spacing w:after="0" w:line="312" w:lineRule="auto"/>
        <w:tabs>
          <w:tab w:leader="none" w:pos="693" w:val="left"/>
        </w:tabs>
        <w:numPr>
          <w:ilvl w:val="0"/>
          <w:numId w:val="115"/>
        </w:numPr>
        <w:rPr>
          <w:rFonts w:ascii="Arial" w:cs="Arial" w:eastAsia="Arial" w:hAnsi="Arial"/>
          <w:sz w:val="16"/>
          <w:szCs w:val="16"/>
          <w:color w:val="auto"/>
        </w:rPr>
      </w:pPr>
      <w:r>
        <w:rPr>
          <w:rFonts w:ascii="Arial" w:cs="Arial" w:eastAsia="Arial" w:hAnsi="Arial"/>
          <w:sz w:val="16"/>
          <w:szCs w:val="16"/>
          <w:color w:val="auto"/>
        </w:rPr>
        <w:t>a court of competent jurisdiction enters an order or decree under any Bankruptcy Law that (i) is for relief against the Company in an involuntary case, (ii) appoints a Custodian of the Company or for all or substantially all of its property or (iii) orders the winding up or liquidation of the Company; or any similar relief is granted under any foreign laws; and the order or decree remains unstayed and in effect for 60 days; and</w:t>
      </w:r>
    </w:p>
    <w:p>
      <w:pPr>
        <w:spacing w:after="0" w:line="38" w:lineRule="exact"/>
        <w:rPr>
          <w:rFonts w:ascii="Arial" w:cs="Arial" w:eastAsia="Arial" w:hAnsi="Arial"/>
          <w:sz w:val="16"/>
          <w:szCs w:val="16"/>
          <w:color w:val="auto"/>
        </w:rPr>
      </w:pPr>
    </w:p>
    <w:p>
      <w:pPr>
        <w:ind w:left="700" w:hanging="257"/>
        <w:spacing w:after="0"/>
        <w:tabs>
          <w:tab w:leader="none" w:pos="70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failure to complete a Special Mandatory Redemption required under Section 401 of this First Supplemental Indenture.</w:t>
      </w:r>
    </w:p>
    <w:p>
      <w:pPr>
        <w:spacing w:after="0" w:line="158"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0"/>
          </w:cols>
          <w:pgMar w:left="700" w:top="274" w:right="239" w:bottom="1440" w:gutter="0" w:footer="0" w:header="0"/>
        </w:sectPr>
      </w:pPr>
    </w:p>
    <w:bookmarkStart w:id="135" w:name="page136"/>
    <w:bookmarkEnd w:id="135"/>
    <w:p>
      <w:pPr>
        <w:ind w:right="420" w:firstLine="464"/>
        <w:spacing w:after="0" w:line="277" w:lineRule="auto"/>
        <w:tabs>
          <w:tab w:leader="none" w:pos="711" w:val="left"/>
        </w:tabs>
        <w:numPr>
          <w:ilvl w:val="0"/>
          <w:numId w:val="11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notice of Default with respect to any Default given by the Trustee or Holders under this Section must specify the Default, demand that it be remedied and state that the notice is a “Notice of Default.”</w:t>
      </w:r>
    </w:p>
    <w:p>
      <w:pPr>
        <w:spacing w:after="0" w:line="170" w:lineRule="exact"/>
        <w:rPr>
          <w:sz w:val="20"/>
          <w:szCs w:val="20"/>
          <w:color w:val="auto"/>
        </w:rPr>
      </w:pPr>
    </w:p>
    <w:p>
      <w:pPr>
        <w:ind w:right="380" w:firstLine="456"/>
        <w:spacing w:after="0" w:line="308"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i w:val="1"/>
          <w:iCs w:val="1"/>
          <w:color w:val="auto"/>
        </w:rPr>
        <w:t>References in Base Indenture.</w:t>
      </w:r>
      <w:r>
        <w:rPr>
          <w:rFonts w:ascii="Arial" w:cs="Arial" w:eastAsia="Arial" w:hAnsi="Arial"/>
          <w:sz w:val="17"/>
          <w:szCs w:val="17"/>
          <w:color w:val="auto"/>
        </w:rPr>
        <w:t xml:space="preserve"> References to “Section 501(4) or Section 501(5),” and “Section 501(3)” in the Base Indenture shall be deemed to refer to “Section 503(a)(6) or Section 503(a)(7)” and “Section 503(a)(4)” of this First Supplemental Indenture, respectively.</w:t>
      </w:r>
    </w:p>
    <w:p>
      <w:pPr>
        <w:spacing w:after="0" w:line="359" w:lineRule="exact"/>
        <w:rPr>
          <w:sz w:val="20"/>
          <w:szCs w:val="20"/>
          <w:color w:val="auto"/>
        </w:rPr>
      </w:pPr>
    </w:p>
    <w:p>
      <w:pPr>
        <w:ind w:left="5180"/>
        <w:spacing w:after="0"/>
        <w:rPr>
          <w:sz w:val="20"/>
          <w:szCs w:val="20"/>
          <w:color w:val="auto"/>
        </w:rPr>
      </w:pPr>
      <w:r>
        <w:rPr>
          <w:rFonts w:ascii="Arial" w:cs="Arial" w:eastAsia="Arial" w:hAnsi="Arial"/>
          <w:sz w:val="18"/>
          <w:szCs w:val="18"/>
          <w:b w:val="1"/>
          <w:bCs w:val="1"/>
          <w:u w:val="single" w:color="auto"/>
          <w:color w:val="auto"/>
        </w:rPr>
        <w:t>ARTICLE VI</w:t>
      </w:r>
    </w:p>
    <w:p>
      <w:pPr>
        <w:spacing w:after="0" w:line="27" w:lineRule="exact"/>
        <w:rPr>
          <w:sz w:val="20"/>
          <w:szCs w:val="20"/>
          <w:color w:val="auto"/>
        </w:rPr>
      </w:pPr>
    </w:p>
    <w:p>
      <w:pPr>
        <w:ind w:left="5120"/>
        <w:spacing w:after="0"/>
        <w:rPr>
          <w:sz w:val="20"/>
          <w:szCs w:val="20"/>
          <w:color w:val="auto"/>
        </w:rPr>
      </w:pPr>
      <w:r>
        <w:rPr>
          <w:rFonts w:ascii="Arial" w:cs="Arial" w:eastAsia="Arial" w:hAnsi="Arial"/>
          <w:sz w:val="18"/>
          <w:szCs w:val="18"/>
          <w:color w:val="auto"/>
        </w:rPr>
        <w:t>DEFEASANCE</w:t>
      </w:r>
    </w:p>
    <w:p>
      <w:pPr>
        <w:spacing w:after="0" w:line="211" w:lineRule="exact"/>
        <w:rPr>
          <w:sz w:val="20"/>
          <w:szCs w:val="20"/>
          <w:color w:val="auto"/>
        </w:rPr>
      </w:pPr>
    </w:p>
    <w:p>
      <w:pPr>
        <w:ind w:right="260" w:firstLine="456"/>
        <w:spacing w:after="0" w:line="264" w:lineRule="auto"/>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i w:val="1"/>
          <w:iCs w:val="1"/>
          <w:color w:val="auto"/>
        </w:rPr>
        <w:t>Covenant Defeasance</w:t>
      </w:r>
      <w:r>
        <w:rPr>
          <w:rFonts w:ascii="Arial" w:cs="Arial" w:eastAsia="Arial" w:hAnsi="Arial"/>
          <w:sz w:val="18"/>
          <w:szCs w:val="18"/>
          <w:color w:val="auto"/>
        </w:rPr>
        <w:t>. In addition to the covenants specified in Section 1303 of the Base Indenture, the Company may omit to comply with respect to a series of Notes with any term, provision or condition set forth in Sections 403, 501 and 502 of this First Supplemental Indenture by complying with the requirements of Section 1303 of the Base Indenture in respect of such series.</w:t>
      </w:r>
    </w:p>
    <w:p>
      <w:pPr>
        <w:spacing w:after="0" w:line="39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u w:val="single" w:color="auto"/>
          <w:color w:val="auto"/>
        </w:rPr>
        <w:t>ARTICLE VII</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right="360" w:firstLine="456"/>
        <w:spacing w:after="0" w:line="277" w:lineRule="auto"/>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Counterparts.</w:t>
      </w:r>
      <w:r>
        <w:rPr>
          <w:rFonts w:ascii="Arial" w:cs="Arial" w:eastAsia="Arial" w:hAnsi="Arial"/>
          <w:sz w:val="18"/>
          <w:szCs w:val="18"/>
          <w:color w:val="auto"/>
        </w:rPr>
        <w:t xml:space="preserve"> This First Supplemental Indenture may be executed in any number of counterparts, each of which so executed shall be deemed to be an original, but all such counterparts shall together constitute but one and the same instrument.</w:t>
      </w:r>
    </w:p>
    <w:p>
      <w:pPr>
        <w:spacing w:after="0" w:line="170"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i w:val="1"/>
          <w:iCs w:val="1"/>
          <w:color w:val="auto"/>
        </w:rPr>
        <w:t>Governing Law.</w:t>
      </w:r>
      <w:r>
        <w:rPr>
          <w:rFonts w:ascii="Arial" w:cs="Arial" w:eastAsia="Arial" w:hAnsi="Arial"/>
          <w:sz w:val="18"/>
          <w:szCs w:val="18"/>
          <w:color w:val="auto"/>
        </w:rPr>
        <w:t xml:space="preserve"> THIS FIRST SUPPLEMENTAL INDENTURE AND THE NOTES SHALL BE GOVERNED BY, AND CONSTRUED IN ACCORDANCE WITH, THE LAW OF THE STATE OF NEW YORK.</w:t>
      </w:r>
    </w:p>
    <w:p>
      <w:pPr>
        <w:spacing w:after="0" w:line="170"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 xml:space="preserve">Section 703. </w:t>
      </w:r>
      <w:r>
        <w:rPr>
          <w:rFonts w:ascii="Arial" w:cs="Arial" w:eastAsia="Arial" w:hAnsi="Arial"/>
          <w:sz w:val="17"/>
          <w:szCs w:val="17"/>
          <w:i w:val="1"/>
          <w:iCs w:val="1"/>
          <w:color w:val="auto"/>
        </w:rPr>
        <w:t>Recitals by the Company</w:t>
      </w:r>
      <w:r>
        <w:rPr>
          <w:rFonts w:ascii="Arial" w:cs="Arial" w:eastAsia="Arial" w:hAnsi="Arial"/>
          <w:sz w:val="17"/>
          <w:szCs w:val="17"/>
          <w:color w:val="auto"/>
        </w:rPr>
        <w:t>. The recitals in this First Supplemental Indenture are made by the Company only and not by the Trustee, and the Trustee assumes no responsibility for their correctness. The Trustee makes no representations as to the validity or sufficiency of this First Supplemental Indenture or of the Notes. The Trustee shall not be accountable for the use or application by the Company of the Notes or the proceeds thereof. All of the provisions contained in the Base Indenture in respect of the rights, privileges, immunities, powers and duties of the Trustee shall be applicable in respect of the Notes and of this First Supplemental Indenture as fully and with like effect as if set forth herein in full.</w:t>
      </w:r>
    </w:p>
    <w:p>
      <w:pPr>
        <w:spacing w:after="0" w:line="173" w:lineRule="exact"/>
        <w:rPr>
          <w:sz w:val="20"/>
          <w:szCs w:val="20"/>
          <w:color w:val="auto"/>
        </w:rPr>
      </w:pPr>
    </w:p>
    <w:p>
      <w:pPr>
        <w:jc w:val="center"/>
        <w:ind w:right="-99"/>
        <w:spacing w:after="0"/>
        <w:rPr>
          <w:sz w:val="20"/>
          <w:szCs w:val="20"/>
          <w:color w:val="auto"/>
        </w:rPr>
      </w:pPr>
      <w:r>
        <w:rPr>
          <w:rFonts w:ascii="Arial" w:cs="Arial" w:eastAsia="Arial" w:hAnsi="Arial"/>
          <w:sz w:val="18"/>
          <w:szCs w:val="18"/>
          <w:i w:val="1"/>
          <w:iCs w:val="1"/>
          <w:color w:val="auto"/>
        </w:rPr>
        <w:t>[Signature pages follow]</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40"/>
          </w:cols>
          <w:pgMar w:left="240" w:top="274" w:right="319" w:bottom="1440" w:gutter="0" w:footer="0" w:header="0"/>
        </w:sectPr>
      </w:pPr>
    </w:p>
    <w:bookmarkStart w:id="136" w:name="page137"/>
    <w:bookmarkEnd w:id="136"/>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WITNESS WHEREOF, the parties have caused this First Supplemental Indenture to be duly executed as of the date first written above.</w:t>
      </w:r>
    </w:p>
    <w:p>
      <w:pPr>
        <w:spacing w:after="0" w:line="271" w:lineRule="exact"/>
        <w:rPr>
          <w:sz w:val="20"/>
          <w:szCs w:val="20"/>
          <w:color w:val="auto"/>
        </w:rPr>
      </w:pPr>
    </w:p>
    <w:p>
      <w:pPr>
        <w:ind w:left="640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4300855</wp:posOffset>
            </wp:positionH>
            <wp:positionV relativeFrom="paragraph">
              <wp:posOffset>14605</wp:posOffset>
            </wp:positionV>
            <wp:extent cx="2658745"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7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78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48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980"/>
          </w:cols>
          <w:pgMar w:left="700" w:top="274" w:right="1219" w:bottom="1440" w:gutter="0" w:footer="0" w:header="0"/>
        </w:sectPr>
      </w:pPr>
    </w:p>
    <w:bookmarkStart w:id="137" w:name="page138"/>
    <w:bookmarkEnd w:id="137"/>
    <w:p>
      <w:pPr>
        <w:ind w:left="566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U.S. BANK NATIONAL ASSOCIATION,</w:t>
      </w:r>
    </w:p>
    <w:p>
      <w:pPr>
        <w:spacing w:after="0" w:line="39"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By:  /s/ Andrew Fung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3830955</wp:posOffset>
            </wp:positionH>
            <wp:positionV relativeFrom="paragraph">
              <wp:posOffset>14605</wp:posOffset>
            </wp:positionV>
            <wp:extent cx="2658745"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Name: Andrew Fung</w:t>
      </w:r>
    </w:p>
    <w:p>
      <w:pPr>
        <w:spacing w:after="0" w:line="23"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274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019"/>
          </w:cols>
          <w:pgMar w:left="1440" w:top="270" w:right="1440" w:bottom="1440" w:gutter="0" w:footer="0" w:header="0"/>
        </w:sectPr>
      </w:pPr>
    </w:p>
    <w:bookmarkStart w:id="138" w:name="page139"/>
    <w:bookmarkEnd w:id="138"/>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A</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2023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UNLESS THIS NOTE IS PRESENTED BY AN AUTHORIZED REPRESENTATIVE OF THE DEPOSITORY TRUST COMPANY, A NEW YORK CORPORATION (“</w:t>
      </w:r>
      <w:r>
        <w:rPr>
          <w:rFonts w:ascii="Arial" w:cs="Arial" w:eastAsia="Arial" w:hAnsi="Arial"/>
          <w:sz w:val="17"/>
          <w:szCs w:val="17"/>
          <w:u w:val="single" w:color="auto"/>
          <w:color w:val="auto"/>
        </w:rPr>
        <w:t>DTC</w:t>
      </w:r>
      <w:r>
        <w:rPr>
          <w:rFonts w:ascii="Arial" w:cs="Arial" w:eastAsia="Arial" w:hAnsi="Arial"/>
          <w:sz w:val="17"/>
          <w:szCs w:val="17"/>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78"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270" w:right="239" w:bottom="1440" w:gutter="0" w:footer="0" w:header="0"/>
        </w:sectPr>
      </w:pPr>
    </w:p>
    <w:bookmarkStart w:id="139" w:name="page140"/>
    <w:bookmarkEnd w:id="139"/>
    <w:tbl>
      <w:tblPr>
        <w:tblLayout w:type="fixed"/>
        <w:tblInd w:w="0" w:type="dxa"/>
        <w:tblCellMar>
          <w:top w:w="0" w:type="dxa"/>
          <w:left w:w="0" w:type="dxa"/>
          <w:bottom w:w="0" w:type="dxa"/>
          <w:right w:w="0" w:type="dxa"/>
        </w:tblCellMar>
      </w:tblPr>
      <w:tr>
        <w:trPr>
          <w:trHeight w:val="216"/>
        </w:trPr>
        <w:tc>
          <w:tcPr>
            <w:tcW w:w="3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380" w:type="dxa"/>
            <w:vAlign w:val="bottom"/>
            <w:gridSpan w:val="2"/>
          </w:tcPr>
          <w:p>
            <w:pPr>
              <w:jc w:val="right"/>
              <w:ind w:right="4000"/>
              <w:spacing w:after="0"/>
              <w:rPr>
                <w:sz w:val="20"/>
                <w:szCs w:val="20"/>
                <w:color w:val="auto"/>
              </w:rPr>
            </w:pPr>
            <w:r>
              <w:rPr>
                <w:rFonts w:ascii="Arial" w:cs="Arial" w:eastAsia="Arial" w:hAnsi="Arial"/>
                <w:sz w:val="18"/>
                <w:szCs w:val="18"/>
                <w:b w:val="1"/>
                <w:bCs w:val="1"/>
                <w:color w:val="auto"/>
              </w:rPr>
              <w:t>MARVELL TECHNOLOGY GROUP LTD.</w:t>
            </w:r>
          </w:p>
        </w:tc>
      </w:tr>
      <w:tr>
        <w:trPr>
          <w:trHeight w:val="234"/>
        </w:trPr>
        <w:tc>
          <w:tcPr>
            <w:tcW w:w="3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380" w:type="dxa"/>
            <w:vAlign w:val="bottom"/>
            <w:gridSpan w:val="2"/>
          </w:tcPr>
          <w:p>
            <w:pPr>
              <w:jc w:val="right"/>
              <w:ind w:right="4540"/>
              <w:spacing w:after="0"/>
              <w:rPr>
                <w:sz w:val="20"/>
                <w:szCs w:val="20"/>
                <w:color w:val="auto"/>
              </w:rPr>
            </w:pPr>
            <w:r>
              <w:rPr>
                <w:rFonts w:ascii="Arial" w:cs="Arial" w:eastAsia="Arial" w:hAnsi="Arial"/>
                <w:sz w:val="18"/>
                <w:szCs w:val="18"/>
                <w:b w:val="1"/>
                <w:bCs w:val="1"/>
                <w:color w:val="auto"/>
              </w:rPr>
              <w:t>4.200% Senior Notes due 2023</w:t>
            </w:r>
          </w:p>
        </w:tc>
      </w:tr>
      <w:tr>
        <w:trPr>
          <w:trHeight w:val="419"/>
        </w:trPr>
        <w:tc>
          <w:tcPr>
            <w:tcW w:w="320" w:type="dxa"/>
            <w:vAlign w:val="bottom"/>
          </w:tcPr>
          <w:p>
            <w:pPr>
              <w:spacing w:after="0"/>
              <w:rPr>
                <w:sz w:val="20"/>
                <w:szCs w:val="20"/>
                <w:color w:val="auto"/>
              </w:rPr>
            </w:pPr>
            <w:r>
              <w:rPr>
                <w:rFonts w:ascii="Arial" w:cs="Arial" w:eastAsia="Arial" w:hAnsi="Arial"/>
                <w:sz w:val="18"/>
                <w:szCs w:val="18"/>
                <w:color w:val="auto"/>
              </w:rPr>
              <w:t>No.</w:t>
            </w:r>
          </w:p>
        </w:tc>
        <w:tc>
          <w:tcPr>
            <w:tcW w:w="720" w:type="dxa"/>
            <w:vAlign w:val="bottom"/>
            <w:tcBorders>
              <w:bottom w:val="single" w:sz="8" w:color="auto"/>
            </w:tcBorders>
          </w:tcPr>
          <w:p>
            <w:pPr>
              <w:spacing w:after="0"/>
              <w:rPr>
                <w:sz w:val="24"/>
                <w:szCs w:val="24"/>
                <w:color w:val="auto"/>
              </w:rPr>
            </w:pPr>
          </w:p>
        </w:tc>
        <w:tc>
          <w:tcPr>
            <w:tcW w:w="10380" w:type="dxa"/>
            <w:vAlign w:val="bottom"/>
            <w:gridSpan w:val="2"/>
          </w:tcPr>
          <w:p>
            <w:pPr>
              <w:jc w:val="right"/>
              <w:spacing w:after="0"/>
              <w:rPr>
                <w:sz w:val="20"/>
                <w:szCs w:val="20"/>
                <w:color w:val="auto"/>
              </w:rPr>
            </w:pPr>
            <w:r>
              <w:rPr>
                <w:rFonts w:ascii="Arial" w:cs="Arial" w:eastAsia="Arial" w:hAnsi="Arial"/>
                <w:sz w:val="18"/>
                <w:szCs w:val="18"/>
                <w:color w:val="auto"/>
              </w:rPr>
              <w:t>CUSIP No.: 57385L AA6</w:t>
            </w:r>
          </w:p>
        </w:tc>
      </w:tr>
      <w:tr>
        <w:trPr>
          <w:trHeight w:val="222"/>
        </w:trPr>
        <w:tc>
          <w:tcPr>
            <w:tcW w:w="3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380" w:type="dxa"/>
            <w:vAlign w:val="bottom"/>
            <w:gridSpan w:val="2"/>
          </w:tcPr>
          <w:p>
            <w:pPr>
              <w:jc w:val="right"/>
              <w:spacing w:after="0"/>
              <w:rPr>
                <w:sz w:val="20"/>
                <w:szCs w:val="20"/>
                <w:color w:val="auto"/>
              </w:rPr>
            </w:pPr>
            <w:r>
              <w:rPr>
                <w:rFonts w:ascii="Arial" w:cs="Arial" w:eastAsia="Arial" w:hAnsi="Arial"/>
                <w:sz w:val="18"/>
                <w:szCs w:val="18"/>
                <w:color w:val="auto"/>
              </w:rPr>
              <w:t>ISIN No.: US57385LAA61</w:t>
            </w:r>
          </w:p>
        </w:tc>
      </w:tr>
      <w:tr>
        <w:trPr>
          <w:trHeight w:val="190"/>
        </w:trPr>
        <w:tc>
          <w:tcPr>
            <w:tcW w:w="3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40" w:type="dxa"/>
            <w:vAlign w:val="bottom"/>
          </w:tcPr>
          <w:p>
            <w:pPr>
              <w:jc w:val="right"/>
              <w:spacing w:after="0" w:line="190" w:lineRule="exact"/>
              <w:rPr>
                <w:sz w:val="20"/>
                <w:szCs w:val="20"/>
                <w:color w:val="auto"/>
              </w:rPr>
            </w:pPr>
            <w:r>
              <w:rPr>
                <w:rFonts w:ascii="Arial" w:cs="Arial" w:eastAsia="Arial" w:hAnsi="Arial"/>
                <w:sz w:val="18"/>
                <w:szCs w:val="18"/>
                <w:color w:val="auto"/>
              </w:rPr>
              <w:t>Initially $</w:t>
            </w:r>
          </w:p>
        </w:tc>
        <w:tc>
          <w:tcPr>
            <w:tcW w:w="540" w:type="dxa"/>
            <w:vAlign w:val="bottom"/>
            <w:tcBorders>
              <w:bottom w:val="single" w:sz="8" w:color="auto"/>
            </w:tcBorders>
          </w:tcPr>
          <w:p>
            <w:pPr>
              <w:spacing w:after="0"/>
              <w:rPr>
                <w:sz w:val="16"/>
                <w:szCs w:val="16"/>
                <w:color w:val="auto"/>
              </w:rPr>
            </w:pPr>
          </w:p>
        </w:tc>
      </w:tr>
    </w:tbl>
    <w:p>
      <w:pPr>
        <w:spacing w:after="0" w:line="24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ind w:right="80" w:firstLine="456"/>
        <w:spacing w:after="0" w:line="277" w:lineRule="auto"/>
        <w:rPr>
          <w:sz w:val="20"/>
          <w:szCs w:val="20"/>
          <w:color w:val="auto"/>
        </w:rPr>
      </w:pPr>
      <w:r>
        <w:rPr>
          <w:rFonts w:ascii="Arial" w:cs="Arial" w:eastAsia="Arial" w:hAnsi="Arial"/>
          <w:sz w:val="18"/>
          <w:szCs w:val="18"/>
          <w:color w:val="auto"/>
        </w:rPr>
        <w:t>MARVELL TECHNOLOGY GROUP LTD., a Bermuda exempted company, promises to pay to CEDE &amp; CO., or registered assigns, the principal sum set forth on the Schedule of Exchanges of Securities attached hereto on June 22, 2023.</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Interest payment dates: June 22 and December 22.</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Record Dates: June 7 and December 7.</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Additional provisions of this Security are set forth on the reverse hereof.</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420"/>
          </w:cols>
          <w:pgMar w:left="240" w:top="270" w:right="239" w:bottom="1440" w:gutter="0" w:footer="0" w:header="0"/>
        </w:sectPr>
      </w:pPr>
    </w:p>
    <w:bookmarkStart w:id="140" w:name="page141"/>
    <w:bookmarkEnd w:id="140"/>
    <w:p>
      <w:pPr>
        <w:jc w:val="right"/>
        <w:ind w:right="6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60"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0260"/>
          </w:cols>
          <w:pgMar w:left="240" w:top="274" w:right="1399" w:bottom="1440" w:gutter="0" w:footer="0" w:header="0"/>
        </w:sectPr>
      </w:pPr>
    </w:p>
    <w:bookmarkStart w:id="141" w:name="page142"/>
    <w:bookmarkEnd w:id="141"/>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4.200% Senior Notes due 2023</w:t>
      </w:r>
    </w:p>
    <w:p>
      <w:pPr>
        <w:spacing w:after="0" w:line="211" w:lineRule="exact"/>
        <w:rPr>
          <w:sz w:val="20"/>
          <w:szCs w:val="20"/>
          <w:color w:val="auto"/>
        </w:rPr>
      </w:pPr>
    </w:p>
    <w:p>
      <w:pPr>
        <w:ind w:left="-60" w:firstLine="464"/>
        <w:spacing w:after="0" w:line="297" w:lineRule="auto"/>
        <w:tabs>
          <w:tab w:leader="none" w:pos="651" w:val="left"/>
        </w:tabs>
        <w:numPr>
          <w:ilvl w:val="0"/>
          <w:numId w:val="117"/>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Group Ltd., a Bermuda exempted company (such corporation, and its successors and assigns under the Indenture</w:t>
      </w:r>
      <w:r>
        <w:rPr>
          <w:rFonts w:ascii="Arial" w:cs="Arial" w:eastAsia="Arial" w:hAnsi="Arial"/>
          <w:sz w:val="16"/>
          <w:szCs w:val="16"/>
          <w:i w:val="1"/>
          <w:iCs w:val="1"/>
          <w:color w:val="auto"/>
        </w:rPr>
        <w:t xml:space="preserve"> </w:t>
      </w:r>
      <w:r>
        <w:rPr>
          <w:rFonts w:ascii="Arial" w:cs="Arial" w:eastAsia="Arial" w:hAnsi="Arial"/>
          <w:sz w:val="16"/>
          <w:szCs w:val="16"/>
          <w:color w:val="auto"/>
        </w:rPr>
        <w:t>referred to 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June 22 and December 22 of each year, beginning on December 22, 2018. Interest on the Securities shall accrue from the most recent interest payment date to or for which interest has been paid or duly provided for or, if no interest has been paid or duly provided for, from June 22, 2018. Interest shall be computed on the basis of a 360-day year consisting of twelve 30-day months.</w:t>
      </w:r>
    </w:p>
    <w:p>
      <w:pPr>
        <w:spacing w:after="0" w:line="158" w:lineRule="exact"/>
        <w:rPr>
          <w:rFonts w:ascii="Arial" w:cs="Arial" w:eastAsia="Arial" w:hAnsi="Arial"/>
          <w:sz w:val="16"/>
          <w:szCs w:val="16"/>
          <w:color w:val="auto"/>
        </w:rPr>
      </w:pPr>
    </w:p>
    <w:p>
      <w:pPr>
        <w:ind w:left="-60" w:right="120" w:firstLine="464"/>
        <w:spacing w:after="0" w:line="273" w:lineRule="auto"/>
        <w:tabs>
          <w:tab w:leader="none" w:pos="651" w:val="left"/>
        </w:tabs>
        <w:numPr>
          <w:ilvl w:val="0"/>
          <w:numId w:val="117"/>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Security.</w:t>
      </w:r>
    </w:p>
    <w:p>
      <w:pPr>
        <w:spacing w:after="0" w:line="178" w:lineRule="exact"/>
        <w:rPr>
          <w:rFonts w:ascii="Arial" w:cs="Arial" w:eastAsia="Arial" w:hAnsi="Arial"/>
          <w:sz w:val="17"/>
          <w:szCs w:val="17"/>
          <w:color w:val="auto"/>
        </w:rPr>
      </w:pPr>
    </w:p>
    <w:p>
      <w:pPr>
        <w:ind w:left="-60" w:right="60" w:firstLine="464"/>
        <w:spacing w:after="0" w:line="312" w:lineRule="auto"/>
        <w:tabs>
          <w:tab w:leader="none" w:pos="651" w:val="left"/>
        </w:tabs>
        <w:numPr>
          <w:ilvl w:val="0"/>
          <w:numId w:val="117"/>
        </w:numPr>
        <w:rPr>
          <w:rFonts w:ascii="Arial" w:cs="Arial" w:eastAsia="Arial" w:hAnsi="Arial"/>
          <w:sz w:val="16"/>
          <w:szCs w:val="16"/>
          <w:color w:val="auto"/>
        </w:rPr>
      </w:pPr>
      <w:r>
        <w:rPr>
          <w:rFonts w:ascii="Arial" w:cs="Arial" w:eastAsia="Arial" w:hAnsi="Arial"/>
          <w:sz w:val="16"/>
          <w:szCs w:val="16"/>
          <w:i w:val="1"/>
          <w:iCs w:val="1"/>
          <w:color w:val="auto"/>
        </w:rPr>
        <w:t>Paying Agent, Transfer Agent and Securities Registrar</w:t>
      </w:r>
      <w:r>
        <w:rPr>
          <w:rFonts w:ascii="Arial" w:cs="Arial" w:eastAsia="Arial" w:hAnsi="Arial"/>
          <w:sz w:val="16"/>
          <w:szCs w:val="16"/>
          <w:color w:val="auto"/>
        </w:rPr>
        <w:t>. Initially, U.S. Bank National Association, a national banking association, as trustee under</w:t>
      </w:r>
      <w:r>
        <w:rPr>
          <w:rFonts w:ascii="Arial" w:cs="Arial" w:eastAsia="Arial" w:hAnsi="Arial"/>
          <w:sz w:val="16"/>
          <w:szCs w:val="16"/>
          <w:i w:val="1"/>
          <w:iCs w:val="1"/>
          <w:color w:val="auto"/>
        </w:rPr>
        <w:t xml:space="preserve"> </w:t>
      </w:r>
      <w:r>
        <w:rPr>
          <w:rFonts w:ascii="Arial" w:cs="Arial" w:eastAsia="Arial" w:hAnsi="Arial"/>
          <w:sz w:val="16"/>
          <w:szCs w:val="16"/>
          <w:color w:val="auto"/>
        </w:rPr>
        <w:t>the Indenture (the “</w:t>
      </w:r>
      <w:r>
        <w:rPr>
          <w:rFonts w:ascii="Arial" w:cs="Arial" w:eastAsia="Arial" w:hAnsi="Arial"/>
          <w:sz w:val="16"/>
          <w:szCs w:val="16"/>
          <w:u w:val="single" w:color="auto"/>
          <w:color w:val="auto"/>
        </w:rPr>
        <w:t>Trustee</w:t>
      </w:r>
      <w:r>
        <w:rPr>
          <w:rFonts w:ascii="Arial" w:cs="Arial" w:eastAsia="Arial" w:hAnsi="Arial"/>
          <w:sz w:val="16"/>
          <w:szCs w:val="16"/>
          <w:color w:val="auto"/>
        </w:rPr>
        <w:t>”),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146" w:lineRule="exact"/>
        <w:rPr>
          <w:rFonts w:ascii="Arial" w:cs="Arial" w:eastAsia="Arial" w:hAnsi="Arial"/>
          <w:sz w:val="16"/>
          <w:szCs w:val="16"/>
          <w:color w:val="auto"/>
        </w:rPr>
      </w:pPr>
    </w:p>
    <w:p>
      <w:pPr>
        <w:ind w:left="-60" w:right="20" w:firstLine="464"/>
        <w:spacing w:after="0" w:line="253" w:lineRule="auto"/>
        <w:tabs>
          <w:tab w:leader="none" w:pos="651" w:val="left"/>
        </w:tabs>
        <w:numPr>
          <w:ilvl w:val="0"/>
          <w:numId w:val="117"/>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under the Indenture (as defined below). The Company issued the Securities</w:t>
      </w:r>
      <w:r>
        <w:rPr>
          <w:rFonts w:ascii="Arial" w:cs="Arial" w:eastAsia="Arial" w:hAnsi="Arial"/>
          <w:sz w:val="18"/>
          <w:szCs w:val="18"/>
          <w:i w:val="1"/>
          <w:iCs w:val="1"/>
          <w:color w:val="auto"/>
        </w:rPr>
        <w:t xml:space="preserve"> </w:t>
      </w:r>
      <w:r>
        <w:rPr>
          <w:rFonts w:ascii="Arial" w:cs="Arial" w:eastAsia="Arial" w:hAnsi="Arial"/>
          <w:sz w:val="18"/>
          <w:szCs w:val="18"/>
          <w:color w:val="auto"/>
        </w:rPr>
        <w:t>under an Indenture dated as of June 22, 2018 (the “</w:t>
      </w:r>
      <w:r>
        <w:rPr>
          <w:rFonts w:ascii="Arial" w:cs="Arial" w:eastAsia="Arial" w:hAnsi="Arial"/>
          <w:sz w:val="18"/>
          <w:szCs w:val="18"/>
          <w:u w:val="single" w:color="auto"/>
          <w:color w:val="auto"/>
        </w:rPr>
        <w:t>Base Indenture</w:t>
      </w:r>
      <w:r>
        <w:rPr>
          <w:rFonts w:ascii="Arial" w:cs="Arial" w:eastAsia="Arial" w:hAnsi="Arial"/>
          <w:sz w:val="18"/>
          <w:szCs w:val="18"/>
          <w:color w:val="auto"/>
        </w:rPr>
        <w:t>”), as supplemented by the First Supplemental Indenture dated as of June 22, 2018 (the “</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in each case between the Company and the Trustee. The Securities are unsecured general obligations of the Company and constitute the “4.200% Senior Notes due 2023”, initially limited to $500,000,000 in aggregate principal amount. The Notes are not guaranteed by any Person. The terms of the Securities include those stated in the Indenture and those made part of the Indenture by reference to the Trust Indenture Act of 1939 (15 U.S. Code Sections 77aaa-77bbbb) (the “</w:t>
      </w:r>
      <w:r>
        <w:rPr>
          <w:rFonts w:ascii="Arial" w:cs="Arial" w:eastAsia="Arial" w:hAnsi="Arial"/>
          <w:sz w:val="18"/>
          <w:szCs w:val="18"/>
          <w:u w:val="single" w:color="auto"/>
          <w:color w:val="auto"/>
        </w:rPr>
        <w:t>TIA</w:t>
      </w:r>
      <w:r>
        <w:rPr>
          <w:rFonts w:ascii="Arial" w:cs="Arial" w:eastAsia="Arial" w:hAnsi="Arial"/>
          <w:sz w:val="18"/>
          <w:szCs w:val="18"/>
          <w:color w:val="auto"/>
        </w:rPr>
        <w:t>”). Capitalized terms used herein but not defined herein are used as defined in the Indenture. The Securities are subject to all such terms, and Holders are referred to the Indenture and the TIA for a statement of such terms. To the extent any provision of this Note conflicts with the express provisions of the Indenture, the provisions of the Indenture shall govern and be controlling.</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300"/>
          </w:cols>
          <w:pgMar w:left="300" w:top="274" w:right="299" w:bottom="1440" w:gutter="0" w:footer="0" w:header="0"/>
        </w:sectPr>
      </w:pPr>
    </w:p>
    <w:bookmarkStart w:id="142" w:name="page143"/>
    <w:bookmarkEnd w:id="142"/>
    <w:p>
      <w:pPr>
        <w:ind w:right="40" w:firstLine="464"/>
        <w:spacing w:after="0" w:line="271" w:lineRule="auto"/>
        <w:tabs>
          <w:tab w:leader="none" w:pos="711" w:val="left"/>
        </w:tabs>
        <w:numPr>
          <w:ilvl w:val="0"/>
          <w:numId w:val="118"/>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Special Mandatory Redemption</w:t>
      </w:r>
      <w:r>
        <w:rPr>
          <w:rFonts w:ascii="Arial" w:cs="Arial" w:eastAsia="Arial" w:hAnsi="Arial"/>
          <w:sz w:val="17"/>
          <w:szCs w:val="17"/>
          <w:color w:val="auto"/>
        </w:rPr>
        <w:t>. In the event the proposed Cavium Acquisition is not consummated on or prior to March 31, 2019, or if the Merger</w:t>
      </w:r>
      <w:r>
        <w:rPr>
          <w:rFonts w:ascii="Arial" w:cs="Arial" w:eastAsia="Arial" w:hAnsi="Arial"/>
          <w:sz w:val="17"/>
          <w:szCs w:val="17"/>
          <w:i w:val="1"/>
          <w:iCs w:val="1"/>
          <w:color w:val="auto"/>
        </w:rPr>
        <w:t xml:space="preserve"> </w:t>
      </w:r>
      <w:r>
        <w:rPr>
          <w:rFonts w:ascii="Arial" w:cs="Arial" w:eastAsia="Arial" w:hAnsi="Arial"/>
          <w:sz w:val="17"/>
          <w:szCs w:val="17"/>
          <w:color w:val="auto"/>
        </w:rPr>
        <w:t>Agreement is terminated any time prior to such date (any of the foregoing, a “</w:t>
      </w:r>
      <w:r>
        <w:rPr>
          <w:rFonts w:ascii="Arial" w:cs="Arial" w:eastAsia="Arial" w:hAnsi="Arial"/>
          <w:sz w:val="17"/>
          <w:szCs w:val="17"/>
          <w:u w:val="single" w:color="auto"/>
          <w:color w:val="auto"/>
        </w:rPr>
        <w:t>Special Mandatory Redemption Event</w:t>
      </w:r>
      <w:r>
        <w:rPr>
          <w:rFonts w:ascii="Arial" w:cs="Arial" w:eastAsia="Arial" w:hAnsi="Arial"/>
          <w:sz w:val="17"/>
          <w:szCs w:val="17"/>
          <w:color w:val="auto"/>
        </w:rPr>
        <w:t>”), then the Company shall be required to redeem the Securities on the Special Mandatory Redemption Date (such redemption, a “</w:t>
      </w:r>
      <w:r>
        <w:rPr>
          <w:rFonts w:ascii="Arial" w:cs="Arial" w:eastAsia="Arial" w:hAnsi="Arial"/>
          <w:sz w:val="17"/>
          <w:szCs w:val="17"/>
          <w:u w:val="single" w:color="auto"/>
          <w:color w:val="auto"/>
        </w:rPr>
        <w:t>Special Mandatory Redemption</w:t>
      </w:r>
      <w:r>
        <w:rPr>
          <w:rFonts w:ascii="Arial" w:cs="Arial" w:eastAsia="Arial" w:hAnsi="Arial"/>
          <w:sz w:val="17"/>
          <w:szCs w:val="17"/>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7"/>
          <w:szCs w:val="17"/>
          <w:u w:val="single" w:color="auto"/>
          <w:color w:val="auto"/>
        </w:rPr>
        <w:t>Special Mandatory Redemption Date</w:t>
      </w:r>
      <w:r>
        <w:rPr>
          <w:rFonts w:ascii="Arial" w:cs="Arial" w:eastAsia="Arial" w:hAnsi="Arial"/>
          <w:sz w:val="17"/>
          <w:szCs w:val="17"/>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179" w:lineRule="exact"/>
        <w:rPr>
          <w:sz w:val="20"/>
          <w:szCs w:val="20"/>
          <w:color w:val="auto"/>
        </w:rPr>
      </w:pPr>
    </w:p>
    <w:p>
      <w:pPr>
        <w:ind w:right="520" w:firstLine="456"/>
        <w:spacing w:after="0" w:line="277" w:lineRule="auto"/>
        <w:rPr>
          <w:sz w:val="20"/>
          <w:szCs w:val="20"/>
          <w:color w:val="auto"/>
        </w:rPr>
      </w:pPr>
      <w:r>
        <w:rPr>
          <w:rFonts w:ascii="Arial" w:cs="Arial" w:eastAsia="Arial" w:hAnsi="Arial"/>
          <w:sz w:val="18"/>
          <w:szCs w:val="18"/>
          <w:color w:val="auto"/>
        </w:rPr>
        <w:t>The Company shall cause the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181" w:lineRule="exact"/>
        <w:rPr>
          <w:sz w:val="20"/>
          <w:szCs w:val="20"/>
          <w:color w:val="auto"/>
        </w:rPr>
      </w:pPr>
    </w:p>
    <w:p>
      <w:pPr>
        <w:ind w:right="20" w:firstLine="464"/>
        <w:spacing w:after="0" w:line="277" w:lineRule="auto"/>
        <w:tabs>
          <w:tab w:leader="none" w:pos="711" w:val="left"/>
        </w:tabs>
        <w:numPr>
          <w:ilvl w:val="0"/>
          <w:numId w:val="119"/>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 at its</w:t>
      </w:r>
      <w:r>
        <w:rPr>
          <w:rFonts w:ascii="Arial" w:cs="Arial" w:eastAsia="Arial" w:hAnsi="Arial"/>
          <w:sz w:val="18"/>
          <w:szCs w:val="18"/>
          <w:i w:val="1"/>
          <w:iCs w:val="1"/>
          <w:color w:val="auto"/>
        </w:rPr>
        <w:t xml:space="preserve"> </w:t>
      </w:r>
      <w:r>
        <w:rPr>
          <w:rFonts w:ascii="Arial" w:cs="Arial" w:eastAsia="Arial" w:hAnsi="Arial"/>
          <w:sz w:val="18"/>
          <w:szCs w:val="18"/>
          <w:color w:val="auto"/>
        </w:rPr>
        <w:t>option, pursuant to the following terms:</w:t>
      </w:r>
    </w:p>
    <w:p>
      <w:pPr>
        <w:spacing w:after="0" w:line="62" w:lineRule="exact"/>
        <w:rPr>
          <w:rFonts w:ascii="Arial" w:cs="Arial" w:eastAsia="Arial" w:hAnsi="Arial"/>
          <w:sz w:val="18"/>
          <w:szCs w:val="18"/>
          <w:color w:val="auto"/>
        </w:rPr>
      </w:pPr>
    </w:p>
    <w:p>
      <w:pPr>
        <w:ind w:left="460" w:firstLine="443"/>
        <w:spacing w:after="0" w:line="276" w:lineRule="auto"/>
        <w:tabs>
          <w:tab w:leader="none" w:pos="1143" w:val="left"/>
        </w:tabs>
        <w:numPr>
          <w:ilvl w:val="1"/>
          <w:numId w:val="119"/>
        </w:numPr>
        <w:rPr>
          <w:rFonts w:ascii="Arial" w:cs="Arial" w:eastAsia="Arial" w:hAnsi="Arial"/>
          <w:sz w:val="17"/>
          <w:szCs w:val="17"/>
          <w:color w:val="auto"/>
        </w:rPr>
      </w:pPr>
      <w:r>
        <w:rPr>
          <w:rFonts w:ascii="Arial" w:cs="Arial" w:eastAsia="Arial" w:hAnsi="Arial"/>
          <w:sz w:val="17"/>
          <w:szCs w:val="17"/>
          <w:color w:val="auto"/>
        </w:rPr>
        <w:t>At any time before May 22, 2023,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25 basis points, plus accrued and unpaid interest thereon to, but excluding, the redemption date. The redemption price shall be determined by the Company and the Trustee shall have no duty to verify any such determination made by the Company.</w:t>
      </w:r>
    </w:p>
    <w:p>
      <w:pPr>
        <w:spacing w:after="0" w:line="64" w:lineRule="exact"/>
        <w:rPr>
          <w:rFonts w:ascii="Arial" w:cs="Arial" w:eastAsia="Arial" w:hAnsi="Arial"/>
          <w:sz w:val="17"/>
          <w:szCs w:val="17"/>
          <w:color w:val="auto"/>
        </w:rPr>
      </w:pPr>
    </w:p>
    <w:p>
      <w:pPr>
        <w:ind w:left="460" w:right="220" w:firstLine="443"/>
        <w:spacing w:after="0" w:line="258" w:lineRule="auto"/>
        <w:tabs>
          <w:tab w:leader="none" w:pos="1153" w:val="left"/>
        </w:tabs>
        <w:numPr>
          <w:ilvl w:val="1"/>
          <w:numId w:val="119"/>
        </w:numPr>
        <w:rPr>
          <w:rFonts w:ascii="Arial" w:cs="Arial" w:eastAsia="Arial" w:hAnsi="Arial"/>
          <w:sz w:val="18"/>
          <w:szCs w:val="18"/>
          <w:color w:val="auto"/>
        </w:rPr>
      </w:pPr>
      <w:r>
        <w:rPr>
          <w:rFonts w:ascii="Arial" w:cs="Arial" w:eastAsia="Arial" w:hAnsi="Arial"/>
          <w:sz w:val="18"/>
          <w:szCs w:val="18"/>
          <w:color w:val="auto"/>
        </w:rPr>
        <w:t>At any time on or after May 22, 2023, the redemption price shall be equal to 100% of the aggregate principal amount of the Securities to be redeemed, plus accrued and unpaid interest thereon to, but excluding, the redemption date.</w:t>
      </w:r>
    </w:p>
    <w:p>
      <w:pPr>
        <w:spacing w:after="0" w:line="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7"/>
          <w:szCs w:val="17"/>
          <w:color w:val="auto"/>
        </w:rPr>
        <w:t>Notwithstanding the foregoing, installments of interest on Securities that are due and payable on interest payment dates falling on or prior to a</w:t>
      </w:r>
    </w:p>
    <w:p>
      <w:pPr>
        <w:spacing w:after="0" w:line="21" w:lineRule="exact"/>
        <w:rPr>
          <w:sz w:val="20"/>
          <w:szCs w:val="20"/>
          <w:color w:val="auto"/>
        </w:rPr>
      </w:pPr>
    </w:p>
    <w:p>
      <w:pPr>
        <w:ind w:right="120"/>
        <w:spacing w:after="0" w:line="261" w:lineRule="auto"/>
        <w:rPr>
          <w:sz w:val="20"/>
          <w:szCs w:val="20"/>
          <w:color w:val="auto"/>
        </w:rPr>
      </w:pPr>
      <w:r>
        <w:rPr>
          <w:rFonts w:ascii="Arial" w:cs="Arial" w:eastAsia="Arial" w:hAnsi="Arial"/>
          <w:sz w:val="18"/>
          <w:szCs w:val="18"/>
          <w:color w:val="auto"/>
        </w:rPr>
        <w:t>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60" w:firstLine="456"/>
        <w:spacing w:after="0" w:line="308" w:lineRule="auto"/>
        <w:rPr>
          <w:sz w:val="20"/>
          <w:szCs w:val="20"/>
          <w:color w:val="auto"/>
        </w:rPr>
      </w:pPr>
      <w:r>
        <w:rPr>
          <w:rFonts w:ascii="Arial" w:cs="Arial" w:eastAsia="Arial" w:hAnsi="Arial"/>
          <w:sz w:val="17"/>
          <w:szCs w:val="17"/>
          <w:color w:val="auto"/>
        </w:rPr>
        <w:t>On and after the redemption date for the Securities, interest shall cease to accrue on such Securities or any portion thereof called for redemption, unless the Company defaults in the payment of the redemption price and accrued interest, if any. On or before the redemption date</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20"/>
          </w:cols>
          <w:pgMar w:left="240" w:top="274" w:right="239" w:bottom="1440" w:gutter="0" w:footer="0" w:header="0"/>
        </w:sectPr>
      </w:pPr>
    </w:p>
    <w:bookmarkStart w:id="143" w:name="page144"/>
    <w:bookmarkEnd w:id="143"/>
    <w:p>
      <w:pPr>
        <w:ind w:right="6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in no event shall Securities of a principal amount of $2,000 or less be redeemed in part.</w:t>
      </w:r>
    </w:p>
    <w:p>
      <w:pPr>
        <w:spacing w:after="0" w:line="154"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97" w:lineRule="exact"/>
        <w:rPr>
          <w:sz w:val="20"/>
          <w:szCs w:val="20"/>
          <w:color w:val="auto"/>
        </w:rPr>
      </w:pPr>
    </w:p>
    <w:p>
      <w:pPr>
        <w:ind w:right="40" w:firstLine="464"/>
        <w:spacing w:after="0" w:line="257" w:lineRule="auto"/>
        <w:tabs>
          <w:tab w:leader="none" w:pos="711" w:val="left"/>
        </w:tabs>
        <w:numPr>
          <w:ilvl w:val="0"/>
          <w:numId w:val="120"/>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Securities, unless the Company shall</w:t>
      </w:r>
      <w:r>
        <w:rPr>
          <w:rFonts w:ascii="Arial" w:cs="Arial" w:eastAsia="Arial" w:hAnsi="Arial"/>
          <w:sz w:val="18"/>
          <w:szCs w:val="18"/>
          <w:i w:val="1"/>
          <w:iCs w:val="1"/>
          <w:color w:val="auto"/>
        </w:rPr>
        <w:t xml:space="preserve"> </w:t>
      </w:r>
      <w:r>
        <w:rPr>
          <w:rFonts w:ascii="Arial" w:cs="Arial" w:eastAsia="Arial" w:hAnsi="Arial"/>
          <w:sz w:val="18"/>
          <w:szCs w:val="18"/>
          <w:color w:val="auto"/>
        </w:rPr>
        <w:t>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to repurchase such Securities on the repurchase date specified in the notice at the option of the Holders, which date (the “</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420"/>
          </w:cols>
          <w:pgMar w:left="240" w:top="274" w:right="239" w:bottom="1440" w:gutter="0" w:footer="0" w:header="0"/>
        </w:sectPr>
      </w:pPr>
    </w:p>
    <w:bookmarkStart w:id="144" w:name="page145"/>
    <w:bookmarkEnd w:id="144"/>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On the Change of Control Payment Date, the Company shall, to the extent lawful:</w:t>
      </w:r>
    </w:p>
    <w:p>
      <w:pPr>
        <w:spacing w:after="0" w:line="117" w:lineRule="exact"/>
        <w:rPr>
          <w:sz w:val="20"/>
          <w:szCs w:val="20"/>
          <w:color w:val="auto"/>
        </w:rPr>
      </w:pPr>
    </w:p>
    <w:p>
      <w:pPr>
        <w:ind w:left="1120" w:hanging="217"/>
        <w:spacing w:after="0"/>
        <w:tabs>
          <w:tab w:leader="none" w:pos="11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17" w:lineRule="exact"/>
        <w:rPr>
          <w:rFonts w:ascii="Arial" w:cs="Arial" w:eastAsia="Arial" w:hAnsi="Arial"/>
          <w:sz w:val="18"/>
          <w:szCs w:val="18"/>
          <w:color w:val="auto"/>
        </w:rPr>
      </w:pPr>
    </w:p>
    <w:p>
      <w:pPr>
        <w:ind w:left="460" w:right="80" w:firstLine="443"/>
        <w:spacing w:after="0" w:line="277" w:lineRule="auto"/>
        <w:tabs>
          <w:tab w:leader="none" w:pos="1163" w:val="left"/>
        </w:tabs>
        <w:numPr>
          <w:ilvl w:val="0"/>
          <w:numId w:val="121"/>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62" w:lineRule="exact"/>
        <w:rPr>
          <w:rFonts w:ascii="Arial" w:cs="Arial" w:eastAsia="Arial" w:hAnsi="Arial"/>
          <w:sz w:val="18"/>
          <w:szCs w:val="18"/>
          <w:color w:val="auto"/>
        </w:rPr>
      </w:pPr>
    </w:p>
    <w:p>
      <w:pPr>
        <w:ind w:left="460" w:right="220" w:firstLine="443"/>
        <w:spacing w:after="0" w:line="277" w:lineRule="auto"/>
        <w:tabs>
          <w:tab w:leader="none" w:pos="1213" w:val="left"/>
        </w:tabs>
        <w:numPr>
          <w:ilvl w:val="0"/>
          <w:numId w:val="121"/>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78"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the Company otherwise uses commercially reasonable efforts to permit Holders to exercise their rights and to fulfill its obligations in the time and in the manner specified in this Section</w:t>
      </w:r>
    </w:p>
    <w:p>
      <w:pPr>
        <w:spacing w:after="0" w:line="2" w:lineRule="exact"/>
        <w:rPr>
          <w:sz w:val="20"/>
          <w:szCs w:val="20"/>
          <w:color w:val="auto"/>
        </w:rPr>
      </w:pPr>
    </w:p>
    <w:p>
      <w:pPr>
        <w:ind w:left="260" w:hanging="252"/>
        <w:spacing w:after="0"/>
        <w:tabs>
          <w:tab w:leader="none" w:pos="26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to the extent permitted by such securities laws or regulations.</w:t>
      </w:r>
    </w:p>
    <w:p>
      <w:pPr>
        <w:spacing w:after="0" w:line="210" w:lineRule="exact"/>
        <w:rPr>
          <w:rFonts w:ascii="Arial" w:cs="Arial" w:eastAsia="Arial" w:hAnsi="Arial"/>
          <w:sz w:val="18"/>
          <w:szCs w:val="18"/>
          <w:color w:val="auto"/>
        </w:rPr>
      </w:pPr>
    </w:p>
    <w:p>
      <w:pPr>
        <w:ind w:firstLine="464"/>
        <w:spacing w:after="0" w:line="272" w:lineRule="auto"/>
        <w:tabs>
          <w:tab w:leader="none" w:pos="711" w:val="left"/>
        </w:tabs>
        <w:numPr>
          <w:ilvl w:val="1"/>
          <w:numId w:val="122"/>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 multiple</w:t>
      </w:r>
      <w:r>
        <w:rPr>
          <w:rFonts w:ascii="Arial" w:cs="Arial" w:eastAsia="Arial" w:hAnsi="Arial"/>
          <w:sz w:val="17"/>
          <w:szCs w:val="17"/>
          <w:i w:val="1"/>
          <w:iCs w:val="1"/>
          <w:color w:val="auto"/>
        </w:rPr>
        <w:t xml:space="preserve"> </w:t>
      </w:r>
      <w:r>
        <w:rPr>
          <w:rFonts w:ascii="Arial" w:cs="Arial" w:eastAsia="Arial" w:hAnsi="Arial"/>
          <w:sz w:val="17"/>
          <w:szCs w:val="17"/>
          <w:color w:val="auto"/>
        </w:rPr>
        <w:t>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360"/>
          </w:cols>
          <w:pgMar w:left="240" w:top="274" w:right="299" w:bottom="1440" w:gutter="0" w:footer="0" w:header="0"/>
        </w:sectPr>
      </w:pPr>
    </w:p>
    <w:bookmarkStart w:id="145" w:name="page146"/>
    <w:bookmarkEnd w:id="145"/>
    <w:p>
      <w:pPr>
        <w:ind w:right="120" w:firstLine="464"/>
        <w:spacing w:after="0" w:line="264" w:lineRule="auto"/>
        <w:tabs>
          <w:tab w:leader="none" w:pos="711" w:val="left"/>
        </w:tabs>
        <w:numPr>
          <w:ilvl w:val="0"/>
          <w:numId w:val="123"/>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Defeasance</w:t>
      </w:r>
      <w:r>
        <w:rPr>
          <w:rFonts w:ascii="Arial" w:cs="Arial" w:eastAsia="Arial" w:hAnsi="Arial"/>
          <w:sz w:val="18"/>
          <w:szCs w:val="18"/>
          <w:color w:val="auto"/>
        </w:rPr>
        <w:t>. Subject to certain conditions as provided in the Indenture, the Company at any time may terminate some or all of its obligations under</w:t>
      </w:r>
      <w:r>
        <w:rPr>
          <w:rFonts w:ascii="Arial" w:cs="Arial" w:eastAsia="Arial" w:hAnsi="Arial"/>
          <w:sz w:val="18"/>
          <w:szCs w:val="18"/>
          <w:i w:val="1"/>
          <w:iCs w:val="1"/>
          <w:color w:val="auto"/>
        </w:rPr>
        <w:t xml:space="preserve"> </w:t>
      </w:r>
      <w:r>
        <w:rPr>
          <w:rFonts w:ascii="Arial" w:cs="Arial" w:eastAsia="Arial" w:hAnsi="Arial"/>
          <w:sz w:val="18"/>
          <w:szCs w:val="18"/>
          <w:color w:val="auto"/>
        </w:rPr>
        <w:t>the Securities and the Indenture if the Company deposits with the Trustee money and/or U.S. Government Obligations for the payment of principal and interest on the Securities to their Stated Maturity.</w:t>
      </w:r>
    </w:p>
    <w:p>
      <w:pPr>
        <w:spacing w:after="0" w:line="181" w:lineRule="exact"/>
        <w:rPr>
          <w:rFonts w:ascii="Arial" w:cs="Arial" w:eastAsia="Arial" w:hAnsi="Arial"/>
          <w:sz w:val="18"/>
          <w:szCs w:val="18"/>
          <w:color w:val="auto"/>
        </w:rPr>
      </w:pPr>
    </w:p>
    <w:p>
      <w:pPr>
        <w:ind w:right="700" w:firstLine="464"/>
        <w:spacing w:after="0" w:line="342" w:lineRule="auto"/>
        <w:tabs>
          <w:tab w:leader="none" w:pos="801" w:val="left"/>
        </w:tabs>
        <w:numPr>
          <w:ilvl w:val="0"/>
          <w:numId w:val="123"/>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23" w:lineRule="exact"/>
        <w:rPr>
          <w:rFonts w:ascii="Arial" w:cs="Arial" w:eastAsia="Arial" w:hAnsi="Arial"/>
          <w:sz w:val="16"/>
          <w:szCs w:val="16"/>
          <w:color w:val="auto"/>
        </w:rPr>
      </w:pPr>
    </w:p>
    <w:p>
      <w:pPr>
        <w:ind w:right="40" w:firstLine="464"/>
        <w:spacing w:after="0" w:line="291" w:lineRule="auto"/>
        <w:tabs>
          <w:tab w:leader="none" w:pos="795" w:val="left"/>
        </w:tabs>
        <w:numPr>
          <w:ilvl w:val="0"/>
          <w:numId w:val="123"/>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 this</w:t>
      </w:r>
      <w:r>
        <w:rPr>
          <w:rFonts w:ascii="Arial" w:cs="Arial" w:eastAsia="Arial" w:hAnsi="Arial"/>
          <w:sz w:val="16"/>
          <w:szCs w:val="16"/>
          <w:i w:val="1"/>
          <w:iCs w:val="1"/>
          <w:color w:val="auto"/>
        </w:rPr>
        <w:t xml:space="preserve"> </w:t>
      </w:r>
      <w:r>
        <w:rPr>
          <w:rFonts w:ascii="Arial" w:cs="Arial" w:eastAsia="Arial" w:hAnsi="Arial"/>
          <w:sz w:val="16"/>
          <w:szCs w:val="16"/>
          <w:color w:val="auto"/>
        </w:rPr>
        <w:t>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defect or inconsistency, to provide for assumption of Company obligations to Holders of this series or to provide for uncertificated Securities, to provide for guarantees with respect to, or security for, the Securities, or to comply with amendments to the TIA or to add additional covenants, or to surrender any right or power conferred upon the Company, or to make any change that does not adversely affect the rights of any Holder of this series.</w:t>
      </w:r>
    </w:p>
    <w:p>
      <w:pPr>
        <w:spacing w:after="0" w:line="167" w:lineRule="exact"/>
        <w:rPr>
          <w:rFonts w:ascii="Arial" w:cs="Arial" w:eastAsia="Arial" w:hAnsi="Arial"/>
          <w:sz w:val="16"/>
          <w:szCs w:val="16"/>
          <w:color w:val="auto"/>
        </w:rPr>
      </w:pPr>
    </w:p>
    <w:p>
      <w:pPr>
        <w:ind w:right="60" w:firstLine="464"/>
        <w:spacing w:after="0" w:line="272" w:lineRule="auto"/>
        <w:tabs>
          <w:tab w:leader="none" w:pos="801" w:val="left"/>
        </w:tabs>
        <w:numPr>
          <w:ilvl w:val="0"/>
          <w:numId w:val="123"/>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177" w:lineRule="exact"/>
        <w:rPr>
          <w:rFonts w:ascii="Arial" w:cs="Arial" w:eastAsia="Arial" w:hAnsi="Arial"/>
          <w:sz w:val="17"/>
          <w:szCs w:val="17"/>
          <w:color w:val="auto"/>
        </w:rPr>
      </w:pPr>
    </w:p>
    <w:p>
      <w:pPr>
        <w:jc w:val="both"/>
        <w:ind w:right="120" w:firstLine="464"/>
        <w:spacing w:after="0" w:line="264" w:lineRule="auto"/>
        <w:tabs>
          <w:tab w:leader="none" w:pos="801" w:val="left"/>
        </w:tabs>
        <w:numPr>
          <w:ilvl w:val="0"/>
          <w:numId w:val="123"/>
        </w:numPr>
        <w:rPr>
          <w:rFonts w:ascii="Arial" w:cs="Arial" w:eastAsia="Arial" w:hAnsi="Arial"/>
          <w:sz w:val="18"/>
          <w:szCs w:val="18"/>
          <w:color w:val="auto"/>
        </w:rPr>
      </w:pPr>
      <w:r>
        <w:rPr>
          <w:rFonts w:ascii="Arial" w:cs="Arial" w:eastAsia="Arial" w:hAnsi="Arial"/>
          <w:sz w:val="18"/>
          <w:szCs w:val="18"/>
          <w:i w:val="1"/>
          <w:iCs w:val="1"/>
          <w:color w:val="auto"/>
        </w:rPr>
        <w:t xml:space="preserve">Trustee Dealings with Company. </w:t>
      </w:r>
      <w:r>
        <w:rPr>
          <w:rFonts w:ascii="Arial" w:cs="Arial" w:eastAsia="Arial" w:hAnsi="Arial"/>
          <w:sz w:val="18"/>
          <w:szCs w:val="18"/>
          <w:color w:val="auto"/>
        </w:rPr>
        <w:t>Subject to the provisions of the TIA, the Trustee under the Indenture, in its individual or any other capacity, may</w:t>
      </w:r>
      <w:r>
        <w:rPr>
          <w:rFonts w:ascii="Arial" w:cs="Arial" w:eastAsia="Arial" w:hAnsi="Arial"/>
          <w:sz w:val="18"/>
          <w:szCs w:val="18"/>
          <w:i w:val="1"/>
          <w:iCs w:val="1"/>
          <w:color w:val="auto"/>
        </w:rPr>
        <w:t xml:space="preserve"> </w:t>
      </w:r>
      <w:r>
        <w:rPr>
          <w:rFonts w:ascii="Arial" w:cs="Arial" w:eastAsia="Arial" w:hAnsi="Arial"/>
          <w:sz w:val="18"/>
          <w:szCs w:val="18"/>
          <w:color w:val="auto"/>
        </w:rPr>
        <w:t>make loans to, accept deposits from, and perform services for the Company or its Affiliates, and may otherwise deal with the Company or its Affiliates, as if it were not Trustee. The Trustee shall initially be U.S. Bank National Association.</w:t>
      </w:r>
    </w:p>
    <w:p>
      <w:pPr>
        <w:spacing w:after="0" w:line="181" w:lineRule="exact"/>
        <w:rPr>
          <w:rFonts w:ascii="Arial" w:cs="Arial" w:eastAsia="Arial" w:hAnsi="Arial"/>
          <w:sz w:val="18"/>
          <w:szCs w:val="18"/>
          <w:color w:val="auto"/>
        </w:rPr>
      </w:pPr>
    </w:p>
    <w:p>
      <w:pPr>
        <w:ind w:firstLine="464"/>
        <w:spacing w:after="0" w:line="259" w:lineRule="auto"/>
        <w:tabs>
          <w:tab w:leader="none" w:pos="801" w:val="left"/>
        </w:tabs>
        <w:numPr>
          <w:ilvl w:val="0"/>
          <w:numId w:val="123"/>
        </w:numPr>
        <w:rPr>
          <w:rFonts w:ascii="Arial" w:cs="Arial" w:eastAsia="Arial" w:hAnsi="Arial"/>
          <w:sz w:val="18"/>
          <w:szCs w:val="18"/>
          <w:color w:val="auto"/>
        </w:rPr>
      </w:pPr>
      <w:r>
        <w:rPr>
          <w:rFonts w:ascii="Arial" w:cs="Arial" w:eastAsia="Arial" w:hAnsi="Arial"/>
          <w:sz w:val="18"/>
          <w:szCs w:val="18"/>
          <w:i w:val="1"/>
          <w:iCs w:val="1"/>
          <w:color w:val="auto"/>
        </w:rPr>
        <w:t xml:space="preserve">No Recourse Against Others. </w:t>
      </w:r>
      <w:r>
        <w:rPr>
          <w:rFonts w:ascii="Arial" w:cs="Arial" w:eastAsia="Arial" w:hAnsi="Arial"/>
          <w:sz w:val="18"/>
          <w:szCs w:val="18"/>
          <w:color w:val="auto"/>
        </w:rPr>
        <w:t>A director, officer, incorporator or shareholder, as such, past, present or future of the Company or any successor</w:t>
      </w:r>
      <w:r>
        <w:rPr>
          <w:rFonts w:ascii="Arial" w:cs="Arial" w:eastAsia="Arial" w:hAnsi="Arial"/>
          <w:sz w:val="18"/>
          <w:szCs w:val="18"/>
          <w:i w:val="1"/>
          <w:iCs w:val="1"/>
          <w:color w:val="auto"/>
        </w:rPr>
        <w:t xml:space="preserve"> </w:t>
      </w:r>
      <w:r>
        <w:rPr>
          <w:rFonts w:ascii="Arial" w:cs="Arial" w:eastAsia="Arial" w:hAnsi="Arial"/>
          <w:sz w:val="18"/>
          <w:szCs w:val="18"/>
          <w:color w:val="auto"/>
        </w:rPr>
        <w:t>corporation of the Company, shall not have any liability for any obligations of the Company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186" w:lineRule="exact"/>
        <w:rPr>
          <w:rFonts w:ascii="Arial" w:cs="Arial" w:eastAsia="Arial" w:hAnsi="Arial"/>
          <w:sz w:val="18"/>
          <w:szCs w:val="18"/>
          <w:color w:val="auto"/>
        </w:rPr>
      </w:pPr>
    </w:p>
    <w:p>
      <w:pPr>
        <w:ind w:right="700" w:firstLine="464"/>
        <w:spacing w:after="0" w:line="277" w:lineRule="auto"/>
        <w:tabs>
          <w:tab w:leader="none" w:pos="801" w:val="left"/>
        </w:tabs>
        <w:numPr>
          <w:ilvl w:val="0"/>
          <w:numId w:val="123"/>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20"/>
          </w:cols>
          <w:pgMar w:left="240" w:top="274" w:right="239" w:bottom="1440" w:gutter="0" w:footer="0" w:header="0"/>
        </w:sectPr>
      </w:pPr>
    </w:p>
    <w:bookmarkStart w:id="146" w:name="page147"/>
    <w:bookmarkEnd w:id="146"/>
    <w:p>
      <w:pPr>
        <w:ind w:right="200" w:firstLine="464"/>
        <w:spacing w:after="0" w:line="264" w:lineRule="auto"/>
        <w:tabs>
          <w:tab w:leader="none" w:pos="801" w:val="left"/>
        </w:tabs>
        <w:numPr>
          <w:ilvl w:val="0"/>
          <w:numId w:val="12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Abbreviations. </w:t>
      </w:r>
      <w:r>
        <w:rPr>
          <w:rFonts w:ascii="Arial" w:cs="Arial" w:eastAsia="Arial" w:hAnsi="Arial"/>
          <w:sz w:val="18"/>
          <w:szCs w:val="18"/>
          <w:color w:val="auto"/>
        </w:rPr>
        <w:t>Customary abbreviations may be used in the name of a Holder or an assignee, such as: TEN COM (= tenants in common), TEN</w:t>
      </w:r>
      <w:r>
        <w:rPr>
          <w:rFonts w:ascii="Arial" w:cs="Arial" w:eastAsia="Arial" w:hAnsi="Arial"/>
          <w:sz w:val="18"/>
          <w:szCs w:val="18"/>
          <w:i w:val="1"/>
          <w:iCs w:val="1"/>
          <w:color w:val="auto"/>
        </w:rPr>
        <w:t xml:space="preserve"> </w:t>
      </w:r>
      <w:r>
        <w:rPr>
          <w:rFonts w:ascii="Arial" w:cs="Arial" w:eastAsia="Arial" w:hAnsi="Arial"/>
          <w:sz w:val="18"/>
          <w:szCs w:val="18"/>
          <w:color w:val="auto"/>
        </w:rPr>
        <w:t>ENT (= tenants by the entireties), JT TEN (= joint tenants with right of survivorship and not as tenants in common), CUST (= Custodian), and U/G/M/A (= Uniform Gifts to Minors Act).</w:t>
      </w:r>
    </w:p>
    <w:p>
      <w:pPr>
        <w:spacing w:after="0" w:line="181" w:lineRule="exact"/>
        <w:rPr>
          <w:rFonts w:ascii="Arial" w:cs="Arial" w:eastAsia="Arial" w:hAnsi="Arial"/>
          <w:sz w:val="18"/>
          <w:szCs w:val="18"/>
          <w:color w:val="auto"/>
        </w:rPr>
      </w:pPr>
    </w:p>
    <w:p>
      <w:pPr>
        <w:ind w:right="940" w:firstLine="464"/>
        <w:spacing w:after="0" w:line="277" w:lineRule="auto"/>
        <w:tabs>
          <w:tab w:leader="none" w:pos="801" w:val="left"/>
        </w:tabs>
        <w:numPr>
          <w:ilvl w:val="0"/>
          <w:numId w:val="124"/>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8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THE COMPANY WILL FURNISH TO ANY HOLDER UPON WRITTEN REQUEST AND WITHOUT CHARGE A COPY OF THE INDENTURE, WHICH HAS IN IT THE TEXT OF THIS SECURITY, IN TWELVE-POINT TYPE. REQUESTS MAY BE MADE TO: Marvell Technology Group Ltd., Canon’s Court, 22 Victoria Street, Hamilton HM 12, Bermuda, fax number: (441) 295 3328, Attention: Secretary.</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00"/>
          </w:cols>
          <w:pgMar w:left="240" w:top="274" w:right="259" w:bottom="1440" w:gutter="0" w:footer="0" w:header="0"/>
        </w:sectPr>
      </w:pPr>
    </w:p>
    <w:bookmarkStart w:id="147" w:name="page148"/>
    <w:bookmarkEnd w:id="14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 or we assign and transfer this Security to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2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9200" w:type="dxa"/>
            <w:vAlign w:val="bottom"/>
            <w:gridSpan w:val="4"/>
          </w:tcPr>
          <w:p>
            <w:pPr>
              <w:ind w:left="480"/>
              <w:spacing w:after="0"/>
              <w:rPr>
                <w:sz w:val="20"/>
                <w:szCs w:val="20"/>
                <w:color w:val="auto"/>
              </w:rPr>
            </w:pPr>
            <w:r>
              <w:rPr>
                <w:rFonts w:ascii="Arial" w:cs="Arial" w:eastAsia="Arial" w:hAnsi="Arial"/>
                <w:sz w:val="18"/>
                <w:szCs w:val="18"/>
                <w:color w:val="auto"/>
              </w:rPr>
              <w:t>agent to transfer this Security on the books of the Company. The agent may substitute another to act for him.</w:t>
            </w:r>
          </w:p>
        </w:tc>
      </w:tr>
      <w:tr>
        <w:trPr>
          <w:trHeight w:val="257"/>
        </w:trPr>
        <w:tc>
          <w:tcPr>
            <w:tcW w:w="620" w:type="dxa"/>
            <w:vAlign w:val="bottom"/>
            <w:tcBorders>
              <w:bottom w:val="single" w:sz="8" w:color="auto"/>
            </w:tcBorders>
          </w:tcPr>
          <w:p>
            <w:pPr>
              <w:spacing w:after="0"/>
              <w:rPr>
                <w:sz w:val="22"/>
                <w:szCs w:val="22"/>
                <w:color w:val="auto"/>
              </w:rPr>
            </w:pPr>
          </w:p>
        </w:tc>
        <w:tc>
          <w:tcPr>
            <w:tcW w:w="920" w:type="dxa"/>
            <w:vAlign w:val="bottom"/>
            <w:tcBorders>
              <w:bottom w:val="single" w:sz="8" w:color="auto"/>
            </w:tcBorders>
          </w:tcPr>
          <w:p>
            <w:pPr>
              <w:spacing w:after="0"/>
              <w:rPr>
                <w:sz w:val="22"/>
                <w:szCs w:val="22"/>
                <w:color w:val="auto"/>
              </w:rPr>
            </w:pPr>
          </w:p>
        </w:tc>
        <w:tc>
          <w:tcPr>
            <w:tcW w:w="680" w:type="dxa"/>
            <w:vAlign w:val="bottom"/>
            <w:tcBorders>
              <w:bottom w:val="single" w:sz="8" w:color="auto"/>
            </w:tcBorders>
          </w:tcPr>
          <w:p>
            <w:pPr>
              <w:spacing w:after="0"/>
              <w:rPr>
                <w:sz w:val="22"/>
                <w:szCs w:val="22"/>
                <w:color w:val="auto"/>
              </w:rPr>
            </w:pPr>
          </w:p>
        </w:tc>
        <w:tc>
          <w:tcPr>
            <w:tcW w:w="242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spacing w:after="0"/>
              <w:rPr>
                <w:sz w:val="22"/>
                <w:szCs w:val="22"/>
                <w:color w:val="auto"/>
              </w:rPr>
            </w:pPr>
          </w:p>
        </w:tc>
        <w:tc>
          <w:tcPr>
            <w:tcW w:w="780" w:type="dxa"/>
            <w:vAlign w:val="bottom"/>
            <w:tcBorders>
              <w:bottom w:val="single" w:sz="8" w:color="auto"/>
            </w:tcBorders>
          </w:tcPr>
          <w:p>
            <w:pPr>
              <w:spacing w:after="0"/>
              <w:rPr>
                <w:sz w:val="22"/>
                <w:szCs w:val="22"/>
                <w:color w:val="auto"/>
              </w:rPr>
            </w:pPr>
          </w:p>
        </w:tc>
        <w:tc>
          <w:tcPr>
            <w:tcW w:w="4780" w:type="dxa"/>
            <w:vAlign w:val="bottom"/>
            <w:tcBorders>
              <w:bottom w:val="single" w:sz="8" w:color="auto"/>
            </w:tcBorders>
          </w:tcPr>
          <w:p>
            <w:pPr>
              <w:spacing w:after="0"/>
              <w:rPr>
                <w:sz w:val="22"/>
                <w:szCs w:val="22"/>
                <w:color w:val="auto"/>
              </w:rPr>
            </w:pPr>
          </w:p>
        </w:tc>
      </w:tr>
      <w:tr>
        <w:trPr>
          <w:trHeight w:val="493"/>
        </w:trPr>
        <w:tc>
          <w:tcPr>
            <w:tcW w:w="2220" w:type="dxa"/>
            <w:vAlign w:val="bottom"/>
            <w:gridSpan w:val="3"/>
          </w:tcPr>
          <w:p>
            <w:pPr>
              <w:spacing w:after="0"/>
              <w:rPr>
                <w:sz w:val="20"/>
                <w:szCs w:val="20"/>
                <w:color w:val="auto"/>
              </w:rPr>
            </w:pPr>
            <w:r>
              <w:rPr>
                <w:rFonts w:ascii="Arial" w:cs="Arial" w:eastAsia="Arial" w:hAnsi="Arial"/>
                <w:sz w:val="18"/>
                <w:szCs w:val="18"/>
                <w:color w:val="auto"/>
              </w:rPr>
              <w:t>Dated:</w:t>
            </w:r>
          </w:p>
        </w:tc>
        <w:tc>
          <w:tcPr>
            <w:tcW w:w="24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5560" w:type="dxa"/>
            <w:vAlign w:val="bottom"/>
            <w:gridSpan w:val="2"/>
          </w:tcPr>
          <w:p>
            <w:pPr>
              <w:ind w:left="100"/>
              <w:spacing w:after="0"/>
              <w:rPr>
                <w:sz w:val="20"/>
                <w:szCs w:val="20"/>
                <w:color w:val="auto"/>
              </w:rPr>
            </w:pPr>
            <w:r>
              <w:rPr>
                <w:rFonts w:ascii="Arial" w:cs="Arial" w:eastAsia="Arial" w:hAnsi="Arial"/>
                <w:sz w:val="18"/>
                <w:szCs w:val="18"/>
                <w:color w:val="auto"/>
              </w:rPr>
              <w:t>Signed:</w:t>
            </w:r>
          </w:p>
        </w:tc>
      </w:tr>
      <w:tr>
        <w:trPr>
          <w:trHeight w:val="209"/>
        </w:trPr>
        <w:tc>
          <w:tcPr>
            <w:tcW w:w="6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2420" w:type="dxa"/>
            <w:vAlign w:val="bottom"/>
            <w:tcBorders>
              <w:top w:val="single" w:sz="8" w:color="auto"/>
            </w:tcBorders>
          </w:tcPr>
          <w:p>
            <w:pPr>
              <w:spacing w:after="0"/>
              <w:rPr>
                <w:sz w:val="18"/>
                <w:szCs w:val="18"/>
                <w:color w:val="auto"/>
              </w:rPr>
            </w:pPr>
          </w:p>
        </w:tc>
        <w:tc>
          <w:tcPr>
            <w:tcW w:w="1220" w:type="dxa"/>
            <w:vAlign w:val="bottom"/>
            <w:tcBorders>
              <w:top w:val="single" w:sz="8" w:color="auto"/>
            </w:tcBorders>
          </w:tcPr>
          <w:p>
            <w:pPr>
              <w:spacing w:after="0"/>
              <w:rPr>
                <w:sz w:val="18"/>
                <w:szCs w:val="18"/>
                <w:color w:val="auto"/>
              </w:rPr>
            </w:pPr>
          </w:p>
        </w:tc>
        <w:tc>
          <w:tcPr>
            <w:tcW w:w="780" w:type="dxa"/>
            <w:vAlign w:val="bottom"/>
          </w:tcPr>
          <w:p>
            <w:pPr>
              <w:spacing w:after="0"/>
              <w:rPr>
                <w:sz w:val="18"/>
                <w:szCs w:val="18"/>
                <w:color w:val="auto"/>
              </w:rPr>
            </w:pPr>
          </w:p>
        </w:tc>
        <w:tc>
          <w:tcPr>
            <w:tcW w:w="478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(Sign exactly as your name appears on the other side of this</w:t>
            </w:r>
          </w:p>
        </w:tc>
      </w:tr>
      <w:tr>
        <w:trPr>
          <w:trHeight w:val="230"/>
        </w:trPr>
        <w:tc>
          <w:tcPr>
            <w:tcW w:w="6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Security)</w:t>
            </w:r>
          </w:p>
        </w:tc>
      </w:tr>
      <w:tr>
        <w:trPr>
          <w:trHeight w:val="419"/>
        </w:trPr>
        <w:tc>
          <w:tcPr>
            <w:tcW w:w="1540" w:type="dxa"/>
            <w:vAlign w:val="bottom"/>
            <w:gridSpan w:val="2"/>
          </w:tcPr>
          <w:p>
            <w:pPr>
              <w:spacing w:after="0"/>
              <w:rPr>
                <w:sz w:val="20"/>
                <w:szCs w:val="20"/>
                <w:color w:val="auto"/>
              </w:rPr>
            </w:pPr>
            <w:r>
              <w:rPr>
                <w:rFonts w:ascii="Arial" w:cs="Arial" w:eastAsia="Arial" w:hAnsi="Arial"/>
                <w:sz w:val="18"/>
                <w:szCs w:val="18"/>
                <w:color w:val="auto"/>
                <w:w w:val="88"/>
              </w:rPr>
              <w:t>Signature Guarantee:</w:t>
            </w:r>
          </w:p>
        </w:tc>
        <w:tc>
          <w:tcPr>
            <w:tcW w:w="680" w:type="dxa"/>
            <w:vAlign w:val="bottom"/>
            <w:tcBorders>
              <w:bottom w:val="single" w:sz="8" w:color="auto"/>
            </w:tcBorders>
          </w:tcPr>
          <w:p>
            <w:pPr>
              <w:spacing w:after="0"/>
              <w:rPr>
                <w:sz w:val="24"/>
                <w:szCs w:val="24"/>
                <w:color w:val="auto"/>
              </w:rPr>
            </w:pPr>
          </w:p>
        </w:tc>
        <w:tc>
          <w:tcPr>
            <w:tcW w:w="242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780" w:type="dxa"/>
            <w:vAlign w:val="bottom"/>
          </w:tcPr>
          <w:p>
            <w:pPr>
              <w:spacing w:after="0"/>
              <w:rPr>
                <w:sz w:val="24"/>
                <w:szCs w:val="24"/>
                <w:color w:val="auto"/>
              </w:rPr>
            </w:pPr>
          </w:p>
        </w:tc>
      </w:tr>
    </w:tbl>
    <w:p>
      <w:pPr>
        <w:spacing w:after="0" w:line="229"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6"/>
          <w:szCs w:val="16"/>
          <w:u w:val="single" w:color="auto"/>
          <w:color w:val="auto"/>
        </w:rPr>
        <w:t>STAMP</w:t>
      </w:r>
      <w:r>
        <w:rPr>
          <w:rFonts w:ascii="Arial" w:cs="Arial" w:eastAsia="Arial" w:hAnsi="Arial"/>
          <w:sz w:val="16"/>
          <w:szCs w:val="16"/>
          <w:color w:val="auto"/>
        </w:rPr>
        <w:t>”) or such other “signature guarantee program” as may be determined by the Securities Registrar in addition to, or in substitution for, STAMP, all in accordance with the Securities Exchange Act of 1934, as amended.</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20"/>
          </w:cols>
          <w:pgMar w:left="240" w:top="270" w:right="239" w:bottom="1440" w:gutter="0" w:footer="0" w:header="0"/>
        </w:sectPr>
      </w:pPr>
    </w:p>
    <w:bookmarkStart w:id="148" w:name="page149"/>
    <w:bookmarkEnd w:id="148"/>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OF EXCHANGES OF SECURITIES</w:t>
      </w:r>
    </w:p>
    <w:p>
      <w:pPr>
        <w:spacing w:after="0" w:line="229" w:lineRule="exact"/>
        <w:rPr>
          <w:sz w:val="20"/>
          <w:szCs w:val="20"/>
          <w:color w:val="auto"/>
        </w:rPr>
      </w:pPr>
    </w:p>
    <w:p>
      <w:pPr>
        <w:spacing w:after="0"/>
        <w:tabs>
          <w:tab w:leader="none" w:pos="4660" w:val="left"/>
          <w:tab w:leader="none" w:pos="6400" w:val="left"/>
        </w:tabs>
        <w:rPr>
          <w:sz w:val="20"/>
          <w:szCs w:val="20"/>
          <w:color w:val="auto"/>
        </w:rPr>
      </w:pPr>
      <w:r>
        <w:rPr>
          <w:rFonts w:ascii="Arial" w:cs="Arial" w:eastAsia="Arial" w:hAnsi="Arial"/>
          <w:sz w:val="18"/>
          <w:szCs w:val="18"/>
          <w:color w:val="auto"/>
        </w:rPr>
        <w:t>The initial principal amount of this Global Security is</w:t>
      </w:r>
      <w:r>
        <w:rPr>
          <w:sz w:val="20"/>
          <w:szCs w:val="20"/>
          <w:color w:val="auto"/>
        </w:rPr>
        <w:tab/>
      </w:r>
      <w:r>
        <w:rPr>
          <w:rFonts w:ascii="Arial" w:cs="Arial" w:eastAsia="Arial" w:hAnsi="Arial"/>
          <w:sz w:val="18"/>
          <w:szCs w:val="18"/>
          <w:color w:val="auto"/>
        </w:rPr>
        <w:t>DOLLARS ($</w:t>
      </w:r>
      <w:r>
        <w:rPr>
          <w:sz w:val="20"/>
          <w:szCs w:val="20"/>
          <w:color w:val="auto"/>
        </w:rPr>
        <w:tab/>
      </w:r>
      <w:r>
        <w:rPr>
          <w:rFonts w:ascii="Arial" w:cs="Arial" w:eastAsia="Arial" w:hAnsi="Arial"/>
          <w:sz w:val="16"/>
          <w:szCs w:val="16"/>
          <w:color w:val="auto"/>
        </w:rPr>
        <w:t>). The following exchanges of a part of this Global Security for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certificated Securities or a part of another Global Security have been made:</w:t>
      </w:r>
    </w:p>
    <w:p>
      <w:pPr>
        <w:sectPr>
          <w:pgSz w:w="11900" w:h="16838" w:orient="portrait"/>
          <w:cols w:equalWidth="0" w:num="1">
            <w:col w:w="11420"/>
          </w:cols>
          <w:pgMar w:left="240" w:top="270" w:right="239" w:bottom="1440" w:gutter="0" w:footer="0" w:header="0"/>
        </w:sect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380" w:type="dxa"/>
            <w:vAlign w:val="bottom"/>
          </w:tcPr>
          <w:p>
            <w:pPr>
              <w:jc w:val="center"/>
              <w:spacing w:after="0"/>
              <w:rPr>
                <w:sz w:val="20"/>
                <w:szCs w:val="20"/>
                <w:color w:val="auto"/>
              </w:rPr>
            </w:pPr>
            <w:r>
              <w:rPr>
                <w:rFonts w:ascii="Arial" w:cs="Arial" w:eastAsia="Arial" w:hAnsi="Arial"/>
                <w:sz w:val="14"/>
                <w:szCs w:val="14"/>
                <w:b w:val="1"/>
                <w:bCs w:val="1"/>
                <w:color w:val="auto"/>
                <w:w w:val="90"/>
              </w:rPr>
              <w:t>Amount of decrease</w:t>
            </w:r>
          </w:p>
        </w:tc>
        <w:tc>
          <w:tcPr>
            <w:tcW w:w="0" w:type="dxa"/>
            <w:vAlign w:val="bottom"/>
          </w:tcPr>
          <w:p>
            <w:pPr>
              <w:spacing w:after="0"/>
              <w:rPr>
                <w:sz w:val="1"/>
                <w:szCs w:val="1"/>
                <w:color w:val="auto"/>
              </w:rPr>
            </w:pPr>
          </w:p>
        </w:tc>
      </w:tr>
      <w:tr>
        <w:trPr>
          <w:trHeight w:val="149"/>
        </w:trPr>
        <w:tc>
          <w:tcPr>
            <w:tcW w:w="35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Date of Exchange</w:t>
            </w: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0" w:type="dxa"/>
            <w:vAlign w:val="bottom"/>
          </w:tcPr>
          <w:p>
            <w:pPr>
              <w:spacing w:after="0"/>
              <w:rPr>
                <w:sz w:val="1"/>
                <w:szCs w:val="1"/>
                <w:color w:val="auto"/>
              </w:rPr>
            </w:pPr>
          </w:p>
        </w:tc>
      </w:tr>
      <w:tr>
        <w:trPr>
          <w:trHeight w:val="171"/>
        </w:trPr>
        <w:tc>
          <w:tcPr>
            <w:tcW w:w="3500" w:type="dxa"/>
            <w:vAlign w:val="bottom"/>
            <w:gridSpan w:val="2"/>
            <w:vMerge w:val="continue"/>
          </w:tcPr>
          <w:p>
            <w:pPr>
              <w:spacing w:after="0"/>
              <w:rPr>
                <w:sz w:val="14"/>
                <w:szCs w:val="14"/>
                <w:color w:val="auto"/>
              </w:rPr>
            </w:pPr>
          </w:p>
        </w:tc>
        <w:tc>
          <w:tcPr>
            <w:tcW w:w="1380" w:type="dxa"/>
            <w:vAlign w:val="bottom"/>
          </w:tcPr>
          <w:p>
            <w:pPr>
              <w:jc w:val="center"/>
              <w:spacing w:after="0"/>
              <w:rPr>
                <w:sz w:val="20"/>
                <w:szCs w:val="20"/>
                <w:color w:val="auto"/>
              </w:rPr>
            </w:pPr>
            <w:r>
              <w:rPr>
                <w:rFonts w:ascii="Arial" w:cs="Arial" w:eastAsia="Arial" w:hAnsi="Arial"/>
                <w:sz w:val="14"/>
                <w:szCs w:val="14"/>
                <w:b w:val="1"/>
                <w:bCs w:val="1"/>
                <w:color w:val="auto"/>
                <w:w w:val="92"/>
              </w:rPr>
              <w:t>of this Global Security</w:t>
            </w:r>
          </w:p>
        </w:tc>
        <w:tc>
          <w:tcPr>
            <w:tcW w:w="0" w:type="dxa"/>
            <w:vAlign w:val="bottom"/>
          </w:tcPr>
          <w:p>
            <w:pPr>
              <w:spacing w:after="0"/>
              <w:rPr>
                <w:sz w:val="1"/>
                <w:szCs w:val="1"/>
                <w:color w:val="auto"/>
              </w:rPr>
            </w:pPr>
          </w:p>
        </w:tc>
      </w:tr>
      <w:tr>
        <w:trPr>
          <w:trHeight w:val="20"/>
        </w:trPr>
        <w:tc>
          <w:tcPr>
            <w:tcW w:w="1080" w:type="dxa"/>
            <w:vAlign w:val="bottom"/>
            <w:shd w:val="clear" w:color="auto" w:fill="000000"/>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1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4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4"/>
              </w:rPr>
              <w:t>Principal amount of</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22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1"/>
              </w:rPr>
              <w:t>Amount of increase</w:t>
            </w:r>
          </w:p>
        </w:tc>
        <w:tc>
          <w:tcPr>
            <w:tcW w:w="206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2"/>
              </w:rPr>
              <w:t>this Global Security</w:t>
            </w:r>
          </w:p>
        </w:tc>
        <w:tc>
          <w:tcPr>
            <w:tcW w:w="1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 of</w:t>
            </w:r>
          </w:p>
        </w:tc>
        <w:tc>
          <w:tcPr>
            <w:tcW w:w="0" w:type="dxa"/>
            <w:vAlign w:val="bottom"/>
          </w:tcPr>
          <w:p>
            <w:pPr>
              <w:spacing w:after="0"/>
              <w:rPr>
                <w:sz w:val="1"/>
                <w:szCs w:val="1"/>
                <w:color w:val="auto"/>
              </w:rPr>
            </w:pPr>
          </w:p>
        </w:tc>
      </w:tr>
      <w:tr>
        <w:trPr>
          <w:trHeight w:val="149"/>
        </w:trPr>
        <w:tc>
          <w:tcPr>
            <w:tcW w:w="2220" w:type="dxa"/>
            <w:vAlign w:val="bottom"/>
            <w:gridSpan w:val="2"/>
            <w:vMerge w:val="continue"/>
          </w:tcPr>
          <w:p>
            <w:pPr>
              <w:spacing w:after="0"/>
              <w:rPr>
                <w:sz w:val="12"/>
                <w:szCs w:val="12"/>
                <w:color w:val="auto"/>
              </w:rPr>
            </w:pPr>
          </w:p>
        </w:tc>
        <w:tc>
          <w:tcPr>
            <w:tcW w:w="206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9"/>
              </w:rPr>
              <w:t>following such</w:t>
            </w:r>
          </w:p>
        </w:tc>
        <w:tc>
          <w:tcPr>
            <w:tcW w:w="14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2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206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decrease (or</w:t>
            </w: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authorized signatory of</w:t>
            </w:r>
          </w:p>
        </w:tc>
        <w:tc>
          <w:tcPr>
            <w:tcW w:w="0" w:type="dxa"/>
            <w:vAlign w:val="bottom"/>
          </w:tcPr>
          <w:p>
            <w:pPr>
              <w:spacing w:after="0"/>
              <w:rPr>
                <w:sz w:val="1"/>
                <w:szCs w:val="1"/>
                <w:color w:val="auto"/>
              </w:rPr>
            </w:pPr>
          </w:p>
        </w:tc>
      </w:tr>
      <w:tr>
        <w:trPr>
          <w:trHeight w:val="171"/>
        </w:trPr>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of this Global Security</w:t>
            </w:r>
          </w:p>
        </w:tc>
        <w:tc>
          <w:tcPr>
            <w:tcW w:w="820" w:type="dxa"/>
            <w:vAlign w:val="bottom"/>
          </w:tcPr>
          <w:p>
            <w:pPr>
              <w:spacing w:after="0"/>
              <w:rPr>
                <w:sz w:val="14"/>
                <w:szCs w:val="14"/>
                <w:color w:val="auto"/>
              </w:rPr>
            </w:pPr>
          </w:p>
        </w:tc>
        <w:tc>
          <w:tcPr>
            <w:tcW w:w="12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increase)</w:t>
            </w:r>
          </w:p>
        </w:tc>
        <w:tc>
          <w:tcPr>
            <w:tcW w:w="820" w:type="dxa"/>
            <w:vAlign w:val="bottom"/>
          </w:tcPr>
          <w:p>
            <w:pPr>
              <w:spacing w:after="0"/>
              <w:rPr>
                <w:sz w:val="14"/>
                <w:szCs w:val="14"/>
                <w:color w:val="auto"/>
              </w:rPr>
            </w:pPr>
          </w:p>
        </w:tc>
        <w:tc>
          <w:tcPr>
            <w:tcW w:w="1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bl>
    <w:p>
      <w:pPr>
        <w:spacing w:after="0" w:line="134" w:lineRule="exact"/>
        <w:rPr>
          <w:sz w:val="20"/>
          <w:szCs w:val="20"/>
          <w:color w:val="auto"/>
        </w:rPr>
      </w:pPr>
    </w:p>
    <w:p>
      <w:pPr>
        <w:sectPr>
          <w:pgSz w:w="11900" w:h="16838" w:orient="portrait"/>
          <w:cols w:equalWidth="0" w:num="2">
            <w:col w:w="4980" w:space="720"/>
            <w:col w:w="5720"/>
          </w:cols>
          <w:pgMar w:left="240" w:top="270" w:right="239" w:bottom="1440" w:gutter="0" w:footer="0" w:header="0"/>
          <w:type w:val="continuous"/>
        </w:sectPr>
      </w:pPr>
    </w:p>
    <w:p>
      <w:pPr>
        <w:jc w:val="center"/>
        <w:ind w:right="-19"/>
        <w:spacing w:after="0"/>
        <w:rPr>
          <w:sz w:val="20"/>
          <w:szCs w:val="20"/>
          <w:color w:val="auto"/>
        </w:rPr>
      </w:pPr>
      <w:r>
        <w:rPr>
          <w:rFonts w:ascii="Arial" w:cs="Arial" w:eastAsia="Arial" w:hAnsi="Arial"/>
          <w:sz w:val="17"/>
          <w:szCs w:val="17"/>
          <w:color w:val="auto"/>
        </w:rPr>
        <w:t>A-11</w:t>
      </w:r>
    </w:p>
    <w:p>
      <w:pPr>
        <w:sectPr>
          <w:pgSz w:w="11900" w:h="16838" w:orient="portrait"/>
          <w:cols w:equalWidth="0" w:num="1">
            <w:col w:w="11420"/>
          </w:cols>
          <w:pgMar w:left="240" w:top="270" w:right="239" w:bottom="1440" w:gutter="0" w:footer="0" w:header="0"/>
          <w:type w:val="continuous"/>
        </w:sectPr>
      </w:pPr>
    </w:p>
    <w:bookmarkStart w:id="149" w:name="page150"/>
    <w:bookmarkEnd w:id="149"/>
    <w:p>
      <w:pPr>
        <w:ind w:left="18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Group Ltd.</w:t>
      </w:r>
    </w:p>
    <w:p>
      <w:pPr>
        <w:spacing w:after="0" w:line="22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undersigned registered owner of this Security hereby acknowledges receipt of a notice from Marvell Technology Group Ltd. (the “</w:t>
      </w:r>
      <w:r>
        <w:rPr>
          <w:rFonts w:ascii="Arial" w:cs="Arial" w:eastAsia="Arial" w:hAnsi="Arial"/>
          <w:sz w:val="18"/>
          <w:szCs w:val="18"/>
          <w:u w:val="single" w:color="auto"/>
          <w:color w:val="auto"/>
        </w:rPr>
        <w:t>Company</w:t>
      </w:r>
      <w:r>
        <w:rPr>
          <w:rFonts w:ascii="Arial" w:cs="Arial" w:eastAsia="Arial" w:hAnsi="Arial"/>
          <w:sz w:val="18"/>
          <w:szCs w:val="18"/>
          <w:color w:val="auto"/>
        </w:rPr>
        <w:t>”) as to the occurrence of a Change of Control Repurchase Event with respect to the Company and hereby directs the Company to pay, or cause the Trustee to pay, an amount in cash equal to 101% of the aggregate principal amount of the Securities, or the portion thereof (which is $2,000 principal amount or a multiple of $1,000 in excess thereof) below designated, to be repurchased plus interest accrued and unpaid to, but excluding, the repurchase date, except as provided in the Indenture. The undersigned hereby agrees that the Securities will be repurchased as of the Change of Control Payment Date pursuant to the terms and conditions thereof and the Indenture.</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338455</wp:posOffset>
            </wp:positionH>
            <wp:positionV relativeFrom="paragraph">
              <wp:posOffset>-10160</wp:posOffset>
            </wp:positionV>
            <wp:extent cx="1743075"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743075" cy="8890"/>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503555</wp:posOffset>
            </wp:positionH>
            <wp:positionV relativeFrom="paragraph">
              <wp:posOffset>-10160</wp:posOffset>
            </wp:positionV>
            <wp:extent cx="1628775"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1628775" cy="8890"/>
                    </a:xfrm>
                    <a:prstGeom prst="rect">
                      <a:avLst/>
                    </a:prstGeom>
                    <a:noFill/>
                  </pic:spPr>
                </pic:pic>
              </a:graphicData>
            </a:graphic>
          </wp:anchor>
        </w:drawing>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Principal amount to be repurchased (at least $2,000 or a multiple of $1,000 in excess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4617720</wp:posOffset>
            </wp:positionH>
            <wp:positionV relativeFrom="paragraph">
              <wp:posOffset>-10160</wp:posOffset>
            </wp:positionV>
            <wp:extent cx="45720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457200" cy="8890"/>
                    </a:xfrm>
                    <a:prstGeom prst="rect">
                      <a:avLst/>
                    </a:prstGeom>
                    <a:noFill/>
                  </pic:spPr>
                </pic:pic>
              </a:graphicData>
            </a:graphic>
          </wp:anchor>
        </w:drawing>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Remaining principal amount following such repurchase: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2897505</wp:posOffset>
            </wp:positionH>
            <wp:positionV relativeFrom="paragraph">
              <wp:posOffset>-10160</wp:posOffset>
            </wp:positionV>
            <wp:extent cx="45720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457200" cy="8890"/>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2658745"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420"/>
          </w:cols>
          <w:pgMar w:left="240" w:top="270" w:right="239" w:bottom="1440" w:gutter="0" w:footer="0" w:header="0"/>
        </w:sectPr>
      </w:pPr>
    </w:p>
    <w:bookmarkStart w:id="150" w:name="page151"/>
    <w:bookmarkEnd w:id="15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B</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2028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UNLESS THIS NOTE IS PRESENTED BY AN AUTHORIZED REPRESENTATIVE OF THE DEPOSITORY TRUST COMPANY, A NEW YORK CORPORATION (“</w:t>
      </w:r>
      <w:r>
        <w:rPr>
          <w:rFonts w:ascii="Arial" w:cs="Arial" w:eastAsia="Arial" w:hAnsi="Arial"/>
          <w:sz w:val="17"/>
          <w:szCs w:val="17"/>
          <w:u w:val="single" w:color="auto"/>
          <w:color w:val="auto"/>
        </w:rPr>
        <w:t>DTC</w:t>
      </w:r>
      <w:r>
        <w:rPr>
          <w:rFonts w:ascii="Arial" w:cs="Arial" w:eastAsia="Arial" w:hAnsi="Arial"/>
          <w:sz w:val="17"/>
          <w:szCs w:val="17"/>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78"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420"/>
          </w:cols>
          <w:pgMar w:left="240" w:top="270" w:right="239" w:bottom="1440" w:gutter="0" w:footer="0" w:header="0"/>
        </w:sectPr>
      </w:pPr>
    </w:p>
    <w:bookmarkStart w:id="151" w:name="page152"/>
    <w:bookmarkEnd w:id="151"/>
    <w:tbl>
      <w:tblPr>
        <w:tblLayout w:type="fixed"/>
        <w:tblInd w:w="0" w:type="dxa"/>
        <w:tblCellMar>
          <w:top w:w="0" w:type="dxa"/>
          <w:left w:w="0" w:type="dxa"/>
          <w:bottom w:w="0" w:type="dxa"/>
          <w:right w:w="0" w:type="dxa"/>
        </w:tblCellMar>
      </w:tblPr>
      <w:tr>
        <w:trPr>
          <w:trHeight w:val="216"/>
        </w:trPr>
        <w:tc>
          <w:tcPr>
            <w:tcW w:w="3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20" w:type="dxa"/>
            <w:vAlign w:val="bottom"/>
            <w:gridSpan w:val="2"/>
          </w:tcPr>
          <w:p>
            <w:pPr>
              <w:jc w:val="right"/>
              <w:ind w:right="4000"/>
              <w:spacing w:after="0"/>
              <w:rPr>
                <w:sz w:val="20"/>
                <w:szCs w:val="20"/>
                <w:color w:val="auto"/>
              </w:rPr>
            </w:pPr>
            <w:r>
              <w:rPr>
                <w:rFonts w:ascii="Arial" w:cs="Arial" w:eastAsia="Arial" w:hAnsi="Arial"/>
                <w:sz w:val="18"/>
                <w:szCs w:val="18"/>
                <w:b w:val="1"/>
                <w:bCs w:val="1"/>
                <w:color w:val="auto"/>
              </w:rPr>
              <w:t>MARVELL TECHNOLOGY GROUP LTD.</w:t>
            </w:r>
          </w:p>
        </w:tc>
      </w:tr>
      <w:tr>
        <w:trPr>
          <w:trHeight w:val="234"/>
        </w:trPr>
        <w:tc>
          <w:tcPr>
            <w:tcW w:w="3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20" w:type="dxa"/>
            <w:vAlign w:val="bottom"/>
            <w:gridSpan w:val="2"/>
          </w:tcPr>
          <w:p>
            <w:pPr>
              <w:jc w:val="right"/>
              <w:ind w:right="4540"/>
              <w:spacing w:after="0"/>
              <w:rPr>
                <w:sz w:val="20"/>
                <w:szCs w:val="20"/>
                <w:color w:val="auto"/>
              </w:rPr>
            </w:pPr>
            <w:r>
              <w:rPr>
                <w:rFonts w:ascii="Arial" w:cs="Arial" w:eastAsia="Arial" w:hAnsi="Arial"/>
                <w:sz w:val="18"/>
                <w:szCs w:val="18"/>
                <w:b w:val="1"/>
                <w:bCs w:val="1"/>
                <w:color w:val="auto"/>
              </w:rPr>
              <w:t>4.875% Senior Notes due 2028</w:t>
            </w:r>
          </w:p>
        </w:tc>
      </w:tr>
      <w:tr>
        <w:trPr>
          <w:trHeight w:val="419"/>
        </w:trPr>
        <w:tc>
          <w:tcPr>
            <w:tcW w:w="320" w:type="dxa"/>
            <w:vAlign w:val="bottom"/>
          </w:tcPr>
          <w:p>
            <w:pPr>
              <w:spacing w:after="0"/>
              <w:rPr>
                <w:sz w:val="20"/>
                <w:szCs w:val="20"/>
                <w:color w:val="auto"/>
              </w:rPr>
            </w:pPr>
            <w:r>
              <w:rPr>
                <w:rFonts w:ascii="Arial" w:cs="Arial" w:eastAsia="Arial" w:hAnsi="Arial"/>
                <w:sz w:val="18"/>
                <w:szCs w:val="18"/>
                <w:color w:val="auto"/>
              </w:rPr>
              <w:t>No.</w:t>
            </w:r>
          </w:p>
        </w:tc>
        <w:tc>
          <w:tcPr>
            <w:tcW w:w="1080" w:type="dxa"/>
            <w:vAlign w:val="bottom"/>
            <w:tcBorders>
              <w:bottom w:val="single" w:sz="8" w:color="auto"/>
            </w:tcBorders>
          </w:tcPr>
          <w:p>
            <w:pPr>
              <w:spacing w:after="0"/>
              <w:rPr>
                <w:sz w:val="24"/>
                <w:szCs w:val="24"/>
                <w:color w:val="auto"/>
              </w:rPr>
            </w:pPr>
          </w:p>
        </w:tc>
        <w:tc>
          <w:tcPr>
            <w:tcW w:w="10020" w:type="dxa"/>
            <w:vAlign w:val="bottom"/>
            <w:gridSpan w:val="2"/>
          </w:tcPr>
          <w:p>
            <w:pPr>
              <w:jc w:val="right"/>
              <w:spacing w:after="0"/>
              <w:rPr>
                <w:sz w:val="20"/>
                <w:szCs w:val="20"/>
                <w:color w:val="auto"/>
              </w:rPr>
            </w:pPr>
            <w:r>
              <w:rPr>
                <w:rFonts w:ascii="Arial" w:cs="Arial" w:eastAsia="Arial" w:hAnsi="Arial"/>
                <w:sz w:val="18"/>
                <w:szCs w:val="18"/>
                <w:color w:val="auto"/>
              </w:rPr>
              <w:t>CUSIP No.: 57385L AB4</w:t>
            </w:r>
          </w:p>
        </w:tc>
      </w:tr>
      <w:tr>
        <w:trPr>
          <w:trHeight w:val="222"/>
        </w:trPr>
        <w:tc>
          <w:tcPr>
            <w:tcW w:w="32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0020" w:type="dxa"/>
            <w:vAlign w:val="bottom"/>
            <w:gridSpan w:val="2"/>
          </w:tcPr>
          <w:p>
            <w:pPr>
              <w:jc w:val="right"/>
              <w:spacing w:after="0"/>
              <w:rPr>
                <w:sz w:val="20"/>
                <w:szCs w:val="20"/>
                <w:color w:val="auto"/>
              </w:rPr>
            </w:pPr>
            <w:r>
              <w:rPr>
                <w:rFonts w:ascii="Arial" w:cs="Arial" w:eastAsia="Arial" w:hAnsi="Arial"/>
                <w:sz w:val="18"/>
                <w:szCs w:val="18"/>
                <w:color w:val="auto"/>
              </w:rPr>
              <w:t>ISIN No.: US57385LAB45</w:t>
            </w:r>
          </w:p>
        </w:tc>
      </w:tr>
      <w:tr>
        <w:trPr>
          <w:trHeight w:val="190"/>
        </w:trPr>
        <w:tc>
          <w:tcPr>
            <w:tcW w:w="32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9480" w:type="dxa"/>
            <w:vAlign w:val="bottom"/>
          </w:tcPr>
          <w:p>
            <w:pPr>
              <w:jc w:val="right"/>
              <w:spacing w:after="0" w:line="190" w:lineRule="exact"/>
              <w:rPr>
                <w:sz w:val="20"/>
                <w:szCs w:val="20"/>
                <w:color w:val="auto"/>
              </w:rPr>
            </w:pPr>
            <w:r>
              <w:rPr>
                <w:rFonts w:ascii="Arial" w:cs="Arial" w:eastAsia="Arial" w:hAnsi="Arial"/>
                <w:sz w:val="18"/>
                <w:szCs w:val="18"/>
                <w:color w:val="auto"/>
              </w:rPr>
              <w:t>Initially $</w:t>
            </w:r>
          </w:p>
        </w:tc>
        <w:tc>
          <w:tcPr>
            <w:tcW w:w="540" w:type="dxa"/>
            <w:vAlign w:val="bottom"/>
            <w:tcBorders>
              <w:bottom w:val="single" w:sz="8" w:color="auto"/>
            </w:tcBorders>
          </w:tcPr>
          <w:p>
            <w:pPr>
              <w:spacing w:after="0"/>
              <w:rPr>
                <w:sz w:val="16"/>
                <w:szCs w:val="16"/>
                <w:color w:val="auto"/>
              </w:rPr>
            </w:pPr>
          </w:p>
        </w:tc>
      </w:tr>
    </w:tbl>
    <w:p>
      <w:pPr>
        <w:spacing w:after="0" w:line="24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ind w:right="80" w:firstLine="456"/>
        <w:spacing w:after="0" w:line="277" w:lineRule="auto"/>
        <w:rPr>
          <w:sz w:val="20"/>
          <w:szCs w:val="20"/>
          <w:color w:val="auto"/>
        </w:rPr>
      </w:pPr>
      <w:r>
        <w:rPr>
          <w:rFonts w:ascii="Arial" w:cs="Arial" w:eastAsia="Arial" w:hAnsi="Arial"/>
          <w:sz w:val="18"/>
          <w:szCs w:val="18"/>
          <w:color w:val="auto"/>
        </w:rPr>
        <w:t>MARVELL TECHNOLOGY GROUP LTD., a Bermuda exempted company, promises to pay to CEDE &amp; CO., or registered assigns, the principal sum set forth on the Schedule of Exchanges of Securities attached hereto on June 22, 2028.</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Interest payment dates: June 22 and December 22.</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Record Dates: June 7 and December 7.</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Additional provisions of this Security are set forth on the reverse hereof.</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420"/>
          </w:cols>
          <w:pgMar w:left="240" w:top="270" w:right="239" w:bottom="1440" w:gutter="0" w:footer="0" w:header="0"/>
        </w:sectPr>
      </w:pPr>
    </w:p>
    <w:bookmarkStart w:id="152" w:name="page153"/>
    <w:bookmarkEnd w:id="152"/>
    <w:p>
      <w:pPr>
        <w:jc w:val="right"/>
        <w:ind w:right="6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60"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14605</wp:posOffset>
            </wp:positionV>
            <wp:extent cx="263271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260"/>
          </w:cols>
          <w:pgMar w:left="240" w:top="274" w:right="1399" w:bottom="1440" w:gutter="0" w:footer="0" w:header="0"/>
        </w:sectPr>
      </w:pPr>
    </w:p>
    <w:bookmarkStart w:id="153" w:name="page154"/>
    <w:bookmarkEnd w:id="15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4.875% Senior Notes due 2028</w:t>
      </w:r>
    </w:p>
    <w:p>
      <w:pPr>
        <w:spacing w:after="0" w:line="211" w:lineRule="exact"/>
        <w:rPr>
          <w:sz w:val="20"/>
          <w:szCs w:val="20"/>
          <w:color w:val="auto"/>
        </w:rPr>
      </w:pPr>
    </w:p>
    <w:p>
      <w:pPr>
        <w:ind w:left="-60" w:firstLine="464"/>
        <w:spacing w:after="0" w:line="297" w:lineRule="auto"/>
        <w:tabs>
          <w:tab w:leader="none" w:pos="651" w:val="left"/>
        </w:tabs>
        <w:numPr>
          <w:ilvl w:val="0"/>
          <w:numId w:val="125"/>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Group Ltd., a Bermuda exempted company (such corporation, and its successors and assigns under the Indenture</w:t>
      </w:r>
      <w:r>
        <w:rPr>
          <w:rFonts w:ascii="Arial" w:cs="Arial" w:eastAsia="Arial" w:hAnsi="Arial"/>
          <w:sz w:val="16"/>
          <w:szCs w:val="16"/>
          <w:i w:val="1"/>
          <w:iCs w:val="1"/>
          <w:color w:val="auto"/>
        </w:rPr>
        <w:t xml:space="preserve"> </w:t>
      </w:r>
      <w:r>
        <w:rPr>
          <w:rFonts w:ascii="Arial" w:cs="Arial" w:eastAsia="Arial" w:hAnsi="Arial"/>
          <w:sz w:val="16"/>
          <w:szCs w:val="16"/>
          <w:color w:val="auto"/>
        </w:rPr>
        <w:t>referred to 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June 22 and December 22 of each year, beginning on December 22, 2018. Interest on the Securities shall accrue from the most recent interest payment date to or for which interest has been paid or duly provided for or, if no interest has been paid or duly provided for, from June 22, 2018. Interest shall be computed on the basis of a 360-day year consisting of twelve 30-day months.</w:t>
      </w:r>
    </w:p>
    <w:p>
      <w:pPr>
        <w:spacing w:after="0" w:line="158" w:lineRule="exact"/>
        <w:rPr>
          <w:rFonts w:ascii="Arial" w:cs="Arial" w:eastAsia="Arial" w:hAnsi="Arial"/>
          <w:sz w:val="16"/>
          <w:szCs w:val="16"/>
          <w:color w:val="auto"/>
        </w:rPr>
      </w:pPr>
    </w:p>
    <w:p>
      <w:pPr>
        <w:ind w:left="-60" w:right="120" w:firstLine="464"/>
        <w:spacing w:after="0" w:line="273" w:lineRule="auto"/>
        <w:tabs>
          <w:tab w:leader="none" w:pos="651" w:val="left"/>
        </w:tabs>
        <w:numPr>
          <w:ilvl w:val="0"/>
          <w:numId w:val="125"/>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Security.</w:t>
      </w:r>
    </w:p>
    <w:p>
      <w:pPr>
        <w:spacing w:after="0" w:line="178" w:lineRule="exact"/>
        <w:rPr>
          <w:rFonts w:ascii="Arial" w:cs="Arial" w:eastAsia="Arial" w:hAnsi="Arial"/>
          <w:sz w:val="17"/>
          <w:szCs w:val="17"/>
          <w:color w:val="auto"/>
        </w:rPr>
      </w:pPr>
    </w:p>
    <w:p>
      <w:pPr>
        <w:ind w:left="-60" w:right="60" w:firstLine="464"/>
        <w:spacing w:after="0" w:line="312" w:lineRule="auto"/>
        <w:tabs>
          <w:tab w:leader="none" w:pos="651" w:val="left"/>
        </w:tabs>
        <w:numPr>
          <w:ilvl w:val="0"/>
          <w:numId w:val="125"/>
        </w:numPr>
        <w:rPr>
          <w:rFonts w:ascii="Arial" w:cs="Arial" w:eastAsia="Arial" w:hAnsi="Arial"/>
          <w:sz w:val="16"/>
          <w:szCs w:val="16"/>
          <w:color w:val="auto"/>
        </w:rPr>
      </w:pPr>
      <w:r>
        <w:rPr>
          <w:rFonts w:ascii="Arial" w:cs="Arial" w:eastAsia="Arial" w:hAnsi="Arial"/>
          <w:sz w:val="16"/>
          <w:szCs w:val="16"/>
          <w:i w:val="1"/>
          <w:iCs w:val="1"/>
          <w:color w:val="auto"/>
        </w:rPr>
        <w:t>Paying Agent, Transfer Agent and Securities Registrar</w:t>
      </w:r>
      <w:r>
        <w:rPr>
          <w:rFonts w:ascii="Arial" w:cs="Arial" w:eastAsia="Arial" w:hAnsi="Arial"/>
          <w:sz w:val="16"/>
          <w:szCs w:val="16"/>
          <w:color w:val="auto"/>
        </w:rPr>
        <w:t>. Initially, U.S. Bank National Association, a national banking association, as trustee under</w:t>
      </w:r>
      <w:r>
        <w:rPr>
          <w:rFonts w:ascii="Arial" w:cs="Arial" w:eastAsia="Arial" w:hAnsi="Arial"/>
          <w:sz w:val="16"/>
          <w:szCs w:val="16"/>
          <w:i w:val="1"/>
          <w:iCs w:val="1"/>
          <w:color w:val="auto"/>
        </w:rPr>
        <w:t xml:space="preserve"> </w:t>
      </w:r>
      <w:r>
        <w:rPr>
          <w:rFonts w:ascii="Arial" w:cs="Arial" w:eastAsia="Arial" w:hAnsi="Arial"/>
          <w:sz w:val="16"/>
          <w:szCs w:val="16"/>
          <w:color w:val="auto"/>
        </w:rPr>
        <w:t>the Indenture (the “</w:t>
      </w:r>
      <w:r>
        <w:rPr>
          <w:rFonts w:ascii="Arial" w:cs="Arial" w:eastAsia="Arial" w:hAnsi="Arial"/>
          <w:sz w:val="16"/>
          <w:szCs w:val="16"/>
          <w:u w:val="single" w:color="auto"/>
          <w:color w:val="auto"/>
        </w:rPr>
        <w:t>Trustee</w:t>
      </w:r>
      <w:r>
        <w:rPr>
          <w:rFonts w:ascii="Arial" w:cs="Arial" w:eastAsia="Arial" w:hAnsi="Arial"/>
          <w:sz w:val="16"/>
          <w:szCs w:val="16"/>
          <w:color w:val="auto"/>
        </w:rPr>
        <w:t>”),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146" w:lineRule="exact"/>
        <w:rPr>
          <w:rFonts w:ascii="Arial" w:cs="Arial" w:eastAsia="Arial" w:hAnsi="Arial"/>
          <w:sz w:val="16"/>
          <w:szCs w:val="16"/>
          <w:color w:val="auto"/>
        </w:rPr>
      </w:pPr>
    </w:p>
    <w:p>
      <w:pPr>
        <w:ind w:left="-60" w:right="20" w:firstLine="464"/>
        <w:spacing w:after="0" w:line="253" w:lineRule="auto"/>
        <w:tabs>
          <w:tab w:leader="none" w:pos="651" w:val="left"/>
        </w:tabs>
        <w:numPr>
          <w:ilvl w:val="0"/>
          <w:numId w:val="125"/>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under the Indenture (as defined below). The Company issued the Securities</w:t>
      </w:r>
      <w:r>
        <w:rPr>
          <w:rFonts w:ascii="Arial" w:cs="Arial" w:eastAsia="Arial" w:hAnsi="Arial"/>
          <w:sz w:val="18"/>
          <w:szCs w:val="18"/>
          <w:i w:val="1"/>
          <w:iCs w:val="1"/>
          <w:color w:val="auto"/>
        </w:rPr>
        <w:t xml:space="preserve"> </w:t>
      </w:r>
      <w:r>
        <w:rPr>
          <w:rFonts w:ascii="Arial" w:cs="Arial" w:eastAsia="Arial" w:hAnsi="Arial"/>
          <w:sz w:val="18"/>
          <w:szCs w:val="18"/>
          <w:color w:val="auto"/>
        </w:rPr>
        <w:t>under an Indenture dated as of June 22, 2018 (the “</w:t>
      </w:r>
      <w:r>
        <w:rPr>
          <w:rFonts w:ascii="Arial" w:cs="Arial" w:eastAsia="Arial" w:hAnsi="Arial"/>
          <w:sz w:val="18"/>
          <w:szCs w:val="18"/>
          <w:u w:val="single" w:color="auto"/>
          <w:color w:val="auto"/>
        </w:rPr>
        <w:t>Base Indenture</w:t>
      </w:r>
      <w:r>
        <w:rPr>
          <w:rFonts w:ascii="Arial" w:cs="Arial" w:eastAsia="Arial" w:hAnsi="Arial"/>
          <w:sz w:val="18"/>
          <w:szCs w:val="18"/>
          <w:color w:val="auto"/>
        </w:rPr>
        <w:t>”), as supplemented by the First Supplemental Indenture dated as of June 22, 2018 (the “</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in each case between the Company and the Trustee. The Securities are unsecured general obligations of the Company and constitute the “4.875% Senior Notes due 2028”, initially limited to $500,000,000 in aggregate principal amount. The Notes are not guaranteed by any Person. The terms of the Securities include those stated in the Indenture and those made part of the Indenture by reference to the Trust Indenture Act of 1939 (15 U.S. Code Sections 77aaa-77bbbb) (the “</w:t>
      </w:r>
      <w:r>
        <w:rPr>
          <w:rFonts w:ascii="Arial" w:cs="Arial" w:eastAsia="Arial" w:hAnsi="Arial"/>
          <w:sz w:val="18"/>
          <w:szCs w:val="18"/>
          <w:u w:val="single" w:color="auto"/>
          <w:color w:val="auto"/>
        </w:rPr>
        <w:t>TIA</w:t>
      </w:r>
      <w:r>
        <w:rPr>
          <w:rFonts w:ascii="Arial" w:cs="Arial" w:eastAsia="Arial" w:hAnsi="Arial"/>
          <w:sz w:val="18"/>
          <w:szCs w:val="18"/>
          <w:color w:val="auto"/>
        </w:rPr>
        <w:t>”). Capitalized terms used herein but not defined herein are used as defined in the Indenture. The Securities are subject to all such terms, and Holders are referred to the Indenture and the TIA for a statement of such terms. To the extent any provision of this Note conflicts with the express provisions of the Indenture, the provisions of the Indenture shall govern and be controlling.</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300"/>
          </w:cols>
          <w:pgMar w:left="300" w:top="274" w:right="299" w:bottom="1440" w:gutter="0" w:footer="0" w:header="0"/>
        </w:sectPr>
      </w:pPr>
    </w:p>
    <w:bookmarkStart w:id="154" w:name="page155"/>
    <w:bookmarkEnd w:id="154"/>
    <w:p>
      <w:pPr>
        <w:ind w:right="40" w:firstLine="464"/>
        <w:spacing w:after="0" w:line="271" w:lineRule="auto"/>
        <w:tabs>
          <w:tab w:leader="none" w:pos="711" w:val="left"/>
        </w:tabs>
        <w:numPr>
          <w:ilvl w:val="0"/>
          <w:numId w:val="126"/>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Special Mandatory Redemption</w:t>
      </w:r>
      <w:r>
        <w:rPr>
          <w:rFonts w:ascii="Arial" w:cs="Arial" w:eastAsia="Arial" w:hAnsi="Arial"/>
          <w:sz w:val="17"/>
          <w:szCs w:val="17"/>
          <w:color w:val="auto"/>
        </w:rPr>
        <w:t>. In the event the proposed Cavium Acquisition is not consummated on or prior to March 31, 2019, or if the Merger</w:t>
      </w:r>
      <w:r>
        <w:rPr>
          <w:rFonts w:ascii="Arial" w:cs="Arial" w:eastAsia="Arial" w:hAnsi="Arial"/>
          <w:sz w:val="17"/>
          <w:szCs w:val="17"/>
          <w:i w:val="1"/>
          <w:iCs w:val="1"/>
          <w:color w:val="auto"/>
        </w:rPr>
        <w:t xml:space="preserve"> </w:t>
      </w:r>
      <w:r>
        <w:rPr>
          <w:rFonts w:ascii="Arial" w:cs="Arial" w:eastAsia="Arial" w:hAnsi="Arial"/>
          <w:sz w:val="17"/>
          <w:szCs w:val="17"/>
          <w:color w:val="auto"/>
        </w:rPr>
        <w:t>Agreement is terminated any time prior to such date (any of the foregoing, a “</w:t>
      </w:r>
      <w:r>
        <w:rPr>
          <w:rFonts w:ascii="Arial" w:cs="Arial" w:eastAsia="Arial" w:hAnsi="Arial"/>
          <w:sz w:val="17"/>
          <w:szCs w:val="17"/>
          <w:u w:val="single" w:color="auto"/>
          <w:color w:val="auto"/>
        </w:rPr>
        <w:t>Special Mandatory Redemption Event</w:t>
      </w:r>
      <w:r>
        <w:rPr>
          <w:rFonts w:ascii="Arial" w:cs="Arial" w:eastAsia="Arial" w:hAnsi="Arial"/>
          <w:sz w:val="17"/>
          <w:szCs w:val="17"/>
          <w:color w:val="auto"/>
        </w:rPr>
        <w:t>”), then the Company shall be required to redeem the Securities on the Special Mandatory Redemption Date (such redemption, a “</w:t>
      </w:r>
      <w:r>
        <w:rPr>
          <w:rFonts w:ascii="Arial" w:cs="Arial" w:eastAsia="Arial" w:hAnsi="Arial"/>
          <w:sz w:val="17"/>
          <w:szCs w:val="17"/>
          <w:u w:val="single" w:color="auto"/>
          <w:color w:val="auto"/>
        </w:rPr>
        <w:t>Special Mandatory Redemption</w:t>
      </w:r>
      <w:r>
        <w:rPr>
          <w:rFonts w:ascii="Arial" w:cs="Arial" w:eastAsia="Arial" w:hAnsi="Arial"/>
          <w:sz w:val="17"/>
          <w:szCs w:val="17"/>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7"/>
          <w:szCs w:val="17"/>
          <w:u w:val="single" w:color="auto"/>
          <w:color w:val="auto"/>
        </w:rPr>
        <w:t>Special Mandatory Redemption Date</w:t>
      </w:r>
      <w:r>
        <w:rPr>
          <w:rFonts w:ascii="Arial" w:cs="Arial" w:eastAsia="Arial" w:hAnsi="Arial"/>
          <w:sz w:val="17"/>
          <w:szCs w:val="17"/>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179"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 Company shall cause the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181" w:lineRule="exact"/>
        <w:rPr>
          <w:sz w:val="20"/>
          <w:szCs w:val="20"/>
          <w:color w:val="auto"/>
        </w:rPr>
      </w:pPr>
    </w:p>
    <w:p>
      <w:pPr>
        <w:ind w:right="20" w:firstLine="464"/>
        <w:spacing w:after="0" w:line="277" w:lineRule="auto"/>
        <w:tabs>
          <w:tab w:leader="none" w:pos="711" w:val="left"/>
        </w:tabs>
        <w:numPr>
          <w:ilvl w:val="0"/>
          <w:numId w:val="127"/>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 at its</w:t>
      </w:r>
      <w:r>
        <w:rPr>
          <w:rFonts w:ascii="Arial" w:cs="Arial" w:eastAsia="Arial" w:hAnsi="Arial"/>
          <w:sz w:val="18"/>
          <w:szCs w:val="18"/>
          <w:i w:val="1"/>
          <w:iCs w:val="1"/>
          <w:color w:val="auto"/>
        </w:rPr>
        <w:t xml:space="preserve"> </w:t>
      </w:r>
      <w:r>
        <w:rPr>
          <w:rFonts w:ascii="Arial" w:cs="Arial" w:eastAsia="Arial" w:hAnsi="Arial"/>
          <w:sz w:val="18"/>
          <w:szCs w:val="18"/>
          <w:color w:val="auto"/>
        </w:rPr>
        <w:t>option, pursuant to the following terms:</w:t>
      </w:r>
    </w:p>
    <w:p>
      <w:pPr>
        <w:spacing w:after="0" w:line="62" w:lineRule="exact"/>
        <w:rPr>
          <w:rFonts w:ascii="Arial" w:cs="Arial" w:eastAsia="Arial" w:hAnsi="Arial"/>
          <w:sz w:val="18"/>
          <w:szCs w:val="18"/>
          <w:color w:val="auto"/>
        </w:rPr>
      </w:pPr>
    </w:p>
    <w:p>
      <w:pPr>
        <w:ind w:left="460" w:firstLine="443"/>
        <w:spacing w:after="0" w:line="276" w:lineRule="auto"/>
        <w:tabs>
          <w:tab w:leader="none" w:pos="1143" w:val="left"/>
        </w:tabs>
        <w:numPr>
          <w:ilvl w:val="1"/>
          <w:numId w:val="127"/>
        </w:numPr>
        <w:rPr>
          <w:rFonts w:ascii="Arial" w:cs="Arial" w:eastAsia="Arial" w:hAnsi="Arial"/>
          <w:sz w:val="17"/>
          <w:szCs w:val="17"/>
          <w:color w:val="auto"/>
        </w:rPr>
      </w:pPr>
      <w:r>
        <w:rPr>
          <w:rFonts w:ascii="Arial" w:cs="Arial" w:eastAsia="Arial" w:hAnsi="Arial"/>
          <w:sz w:val="17"/>
          <w:szCs w:val="17"/>
          <w:color w:val="auto"/>
        </w:rPr>
        <w:t>At any time before March 22, 2028,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30 basis points, plus accrued and unpaid interest thereon to, but excluding, the redemption date. The redemption price shall be determined by the Company and the Trustee shall have no duty to verify any such determination made by the Company.</w:t>
      </w:r>
    </w:p>
    <w:p>
      <w:pPr>
        <w:spacing w:after="0" w:line="64" w:lineRule="exact"/>
        <w:rPr>
          <w:rFonts w:ascii="Arial" w:cs="Arial" w:eastAsia="Arial" w:hAnsi="Arial"/>
          <w:sz w:val="17"/>
          <w:szCs w:val="17"/>
          <w:color w:val="auto"/>
        </w:rPr>
      </w:pPr>
    </w:p>
    <w:p>
      <w:pPr>
        <w:ind w:left="460" w:right="80" w:firstLine="443"/>
        <w:spacing w:after="0" w:line="277" w:lineRule="auto"/>
        <w:tabs>
          <w:tab w:leader="none" w:pos="1153" w:val="left"/>
        </w:tabs>
        <w:numPr>
          <w:ilvl w:val="1"/>
          <w:numId w:val="127"/>
        </w:numPr>
        <w:rPr>
          <w:rFonts w:ascii="Arial" w:cs="Arial" w:eastAsia="Arial" w:hAnsi="Arial"/>
          <w:sz w:val="18"/>
          <w:szCs w:val="18"/>
          <w:color w:val="auto"/>
        </w:rPr>
      </w:pPr>
      <w:r>
        <w:rPr>
          <w:rFonts w:ascii="Arial" w:cs="Arial" w:eastAsia="Arial" w:hAnsi="Arial"/>
          <w:sz w:val="18"/>
          <w:szCs w:val="18"/>
          <w:color w:val="auto"/>
        </w:rPr>
        <w:t>At any time on or after March 22, 2028,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1" w:lineRule="exact"/>
        <w:rPr>
          <w:sz w:val="20"/>
          <w:szCs w:val="20"/>
          <w:color w:val="auto"/>
        </w:rPr>
      </w:pPr>
    </w:p>
    <w:p>
      <w:pPr>
        <w:ind w:right="60" w:firstLine="456"/>
        <w:spacing w:after="0" w:line="308" w:lineRule="auto"/>
        <w:rPr>
          <w:sz w:val="20"/>
          <w:szCs w:val="20"/>
          <w:color w:val="auto"/>
        </w:rPr>
      </w:pPr>
      <w:r>
        <w:rPr>
          <w:rFonts w:ascii="Arial" w:cs="Arial" w:eastAsia="Arial" w:hAnsi="Arial"/>
          <w:sz w:val="17"/>
          <w:szCs w:val="17"/>
          <w:color w:val="auto"/>
        </w:rPr>
        <w:t>On and after the redemption date for the Securities, interest shall cease to accrue on such Securities or any portion thereof called for redemption, unless the Company defaults in the payment of the redemption price and accrued interest, if any. On or before the redemption date</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420"/>
          </w:cols>
          <w:pgMar w:left="240" w:top="274" w:right="239" w:bottom="1440" w:gutter="0" w:footer="0" w:header="0"/>
        </w:sectPr>
      </w:pPr>
    </w:p>
    <w:bookmarkStart w:id="155" w:name="page156"/>
    <w:bookmarkEnd w:id="155"/>
    <w:p>
      <w:pPr>
        <w:ind w:right="6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in no event shall Securities of a principal amount of $2,000 or less be redeemed in part.</w:t>
      </w:r>
    </w:p>
    <w:p>
      <w:pPr>
        <w:spacing w:after="0" w:line="154"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97" w:lineRule="exact"/>
        <w:rPr>
          <w:sz w:val="20"/>
          <w:szCs w:val="20"/>
          <w:color w:val="auto"/>
        </w:rPr>
      </w:pPr>
    </w:p>
    <w:p>
      <w:pPr>
        <w:ind w:right="40" w:firstLine="464"/>
        <w:spacing w:after="0" w:line="257" w:lineRule="auto"/>
        <w:tabs>
          <w:tab w:leader="none" w:pos="711" w:val="left"/>
        </w:tabs>
        <w:numPr>
          <w:ilvl w:val="0"/>
          <w:numId w:val="128"/>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Securities, unless the Company shall</w:t>
      </w:r>
      <w:r>
        <w:rPr>
          <w:rFonts w:ascii="Arial" w:cs="Arial" w:eastAsia="Arial" w:hAnsi="Arial"/>
          <w:sz w:val="18"/>
          <w:szCs w:val="18"/>
          <w:i w:val="1"/>
          <w:iCs w:val="1"/>
          <w:color w:val="auto"/>
        </w:rPr>
        <w:t xml:space="preserve"> </w:t>
      </w:r>
      <w:r>
        <w:rPr>
          <w:rFonts w:ascii="Arial" w:cs="Arial" w:eastAsia="Arial" w:hAnsi="Arial"/>
          <w:sz w:val="18"/>
          <w:szCs w:val="18"/>
          <w:color w:val="auto"/>
        </w:rPr>
        <w:t>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to repurchase such Securities on the repurchase date specified in the notice at the option of the Holders, which date (the “</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420"/>
          </w:cols>
          <w:pgMar w:left="240" w:top="274" w:right="239" w:bottom="1440" w:gutter="0" w:footer="0" w:header="0"/>
        </w:sectPr>
      </w:pPr>
    </w:p>
    <w:bookmarkStart w:id="156" w:name="page157"/>
    <w:bookmarkEnd w:id="156"/>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On the Change of Control Payment Date, the Company shall, to the extent lawful:</w:t>
      </w:r>
    </w:p>
    <w:p>
      <w:pPr>
        <w:spacing w:after="0" w:line="117" w:lineRule="exact"/>
        <w:rPr>
          <w:sz w:val="20"/>
          <w:szCs w:val="20"/>
          <w:color w:val="auto"/>
        </w:rPr>
      </w:pPr>
    </w:p>
    <w:p>
      <w:pPr>
        <w:ind w:left="1120" w:hanging="217"/>
        <w:spacing w:after="0"/>
        <w:tabs>
          <w:tab w:leader="none" w:pos="112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17" w:lineRule="exact"/>
        <w:rPr>
          <w:rFonts w:ascii="Arial" w:cs="Arial" w:eastAsia="Arial" w:hAnsi="Arial"/>
          <w:sz w:val="18"/>
          <w:szCs w:val="18"/>
          <w:color w:val="auto"/>
        </w:rPr>
      </w:pPr>
    </w:p>
    <w:p>
      <w:pPr>
        <w:ind w:left="460" w:right="80" w:firstLine="443"/>
        <w:spacing w:after="0" w:line="277" w:lineRule="auto"/>
        <w:tabs>
          <w:tab w:leader="none" w:pos="1163" w:val="left"/>
        </w:tabs>
        <w:numPr>
          <w:ilvl w:val="0"/>
          <w:numId w:val="129"/>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62" w:lineRule="exact"/>
        <w:rPr>
          <w:rFonts w:ascii="Arial" w:cs="Arial" w:eastAsia="Arial" w:hAnsi="Arial"/>
          <w:sz w:val="18"/>
          <w:szCs w:val="18"/>
          <w:color w:val="auto"/>
        </w:rPr>
      </w:pPr>
    </w:p>
    <w:p>
      <w:pPr>
        <w:ind w:left="460" w:right="220" w:firstLine="443"/>
        <w:spacing w:after="0" w:line="277" w:lineRule="auto"/>
        <w:tabs>
          <w:tab w:leader="none" w:pos="1213" w:val="left"/>
        </w:tabs>
        <w:numPr>
          <w:ilvl w:val="0"/>
          <w:numId w:val="129"/>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78"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the Company otherwise uses commercially reasonable efforts to permit Holders to exercise their rights and to fulfill its obligations in the time and in the manner specified in this Section</w:t>
      </w:r>
    </w:p>
    <w:p>
      <w:pPr>
        <w:spacing w:after="0" w:line="2" w:lineRule="exact"/>
        <w:rPr>
          <w:sz w:val="20"/>
          <w:szCs w:val="20"/>
          <w:color w:val="auto"/>
        </w:rPr>
      </w:pPr>
    </w:p>
    <w:p>
      <w:pPr>
        <w:ind w:left="260" w:hanging="252"/>
        <w:spacing w:after="0"/>
        <w:tabs>
          <w:tab w:leader="none" w:pos="26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to the extent permitted by such securities laws or regulations.</w:t>
      </w:r>
    </w:p>
    <w:p>
      <w:pPr>
        <w:spacing w:after="0" w:line="210" w:lineRule="exact"/>
        <w:rPr>
          <w:rFonts w:ascii="Arial" w:cs="Arial" w:eastAsia="Arial" w:hAnsi="Arial"/>
          <w:sz w:val="18"/>
          <w:szCs w:val="18"/>
          <w:color w:val="auto"/>
        </w:rPr>
      </w:pPr>
    </w:p>
    <w:p>
      <w:pPr>
        <w:ind w:firstLine="464"/>
        <w:spacing w:after="0" w:line="272" w:lineRule="auto"/>
        <w:tabs>
          <w:tab w:leader="none" w:pos="711" w:val="left"/>
        </w:tabs>
        <w:numPr>
          <w:ilvl w:val="1"/>
          <w:numId w:val="130"/>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 multiple</w:t>
      </w:r>
      <w:r>
        <w:rPr>
          <w:rFonts w:ascii="Arial" w:cs="Arial" w:eastAsia="Arial" w:hAnsi="Arial"/>
          <w:sz w:val="17"/>
          <w:szCs w:val="17"/>
          <w:i w:val="1"/>
          <w:iCs w:val="1"/>
          <w:color w:val="auto"/>
        </w:rPr>
        <w:t xml:space="preserve"> </w:t>
      </w:r>
      <w:r>
        <w:rPr>
          <w:rFonts w:ascii="Arial" w:cs="Arial" w:eastAsia="Arial" w:hAnsi="Arial"/>
          <w:sz w:val="17"/>
          <w:szCs w:val="17"/>
          <w:color w:val="auto"/>
        </w:rPr>
        <w:t>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360"/>
          </w:cols>
          <w:pgMar w:left="240" w:top="274" w:right="299" w:bottom="1440" w:gutter="0" w:footer="0" w:header="0"/>
        </w:sectPr>
      </w:pPr>
    </w:p>
    <w:bookmarkStart w:id="157" w:name="page158"/>
    <w:bookmarkEnd w:id="157"/>
    <w:p>
      <w:pPr>
        <w:ind w:right="120" w:firstLine="464"/>
        <w:spacing w:after="0" w:line="264" w:lineRule="auto"/>
        <w:tabs>
          <w:tab w:leader="none" w:pos="711" w:val="left"/>
        </w:tabs>
        <w:numPr>
          <w:ilvl w:val="0"/>
          <w:numId w:val="131"/>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Defeasance</w:t>
      </w:r>
      <w:r>
        <w:rPr>
          <w:rFonts w:ascii="Arial" w:cs="Arial" w:eastAsia="Arial" w:hAnsi="Arial"/>
          <w:sz w:val="18"/>
          <w:szCs w:val="18"/>
          <w:color w:val="auto"/>
        </w:rPr>
        <w:t>. Subject to certain conditions as provided in the Indenture, the Company at any time may terminate some or all of its obligations under</w:t>
      </w:r>
      <w:r>
        <w:rPr>
          <w:rFonts w:ascii="Arial" w:cs="Arial" w:eastAsia="Arial" w:hAnsi="Arial"/>
          <w:sz w:val="18"/>
          <w:szCs w:val="18"/>
          <w:i w:val="1"/>
          <w:iCs w:val="1"/>
          <w:color w:val="auto"/>
        </w:rPr>
        <w:t xml:space="preserve"> </w:t>
      </w:r>
      <w:r>
        <w:rPr>
          <w:rFonts w:ascii="Arial" w:cs="Arial" w:eastAsia="Arial" w:hAnsi="Arial"/>
          <w:sz w:val="18"/>
          <w:szCs w:val="18"/>
          <w:color w:val="auto"/>
        </w:rPr>
        <w:t>the Securities and the Indenture if the Company deposits with the Trustee money and/or U.S. Government Obligations for the payment of principal and interest on the Securities to their Stated Maturity.</w:t>
      </w:r>
    </w:p>
    <w:p>
      <w:pPr>
        <w:spacing w:after="0" w:line="181" w:lineRule="exact"/>
        <w:rPr>
          <w:rFonts w:ascii="Arial" w:cs="Arial" w:eastAsia="Arial" w:hAnsi="Arial"/>
          <w:sz w:val="18"/>
          <w:szCs w:val="18"/>
          <w:color w:val="auto"/>
        </w:rPr>
      </w:pPr>
    </w:p>
    <w:p>
      <w:pPr>
        <w:ind w:right="700" w:firstLine="464"/>
        <w:spacing w:after="0" w:line="342" w:lineRule="auto"/>
        <w:tabs>
          <w:tab w:leader="none" w:pos="801" w:val="left"/>
        </w:tabs>
        <w:numPr>
          <w:ilvl w:val="0"/>
          <w:numId w:val="131"/>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23" w:lineRule="exact"/>
        <w:rPr>
          <w:rFonts w:ascii="Arial" w:cs="Arial" w:eastAsia="Arial" w:hAnsi="Arial"/>
          <w:sz w:val="16"/>
          <w:szCs w:val="16"/>
          <w:color w:val="auto"/>
        </w:rPr>
      </w:pPr>
    </w:p>
    <w:p>
      <w:pPr>
        <w:ind w:right="40" w:firstLine="464"/>
        <w:spacing w:after="0" w:line="291" w:lineRule="auto"/>
        <w:tabs>
          <w:tab w:leader="none" w:pos="795" w:val="left"/>
        </w:tabs>
        <w:numPr>
          <w:ilvl w:val="0"/>
          <w:numId w:val="131"/>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 this</w:t>
      </w:r>
      <w:r>
        <w:rPr>
          <w:rFonts w:ascii="Arial" w:cs="Arial" w:eastAsia="Arial" w:hAnsi="Arial"/>
          <w:sz w:val="16"/>
          <w:szCs w:val="16"/>
          <w:i w:val="1"/>
          <w:iCs w:val="1"/>
          <w:color w:val="auto"/>
        </w:rPr>
        <w:t xml:space="preserve"> </w:t>
      </w:r>
      <w:r>
        <w:rPr>
          <w:rFonts w:ascii="Arial" w:cs="Arial" w:eastAsia="Arial" w:hAnsi="Arial"/>
          <w:sz w:val="16"/>
          <w:szCs w:val="16"/>
          <w:color w:val="auto"/>
        </w:rPr>
        <w:t>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defect or inconsistency, to provide for assumption of Company obligations to Holders of this series or to provide for uncertificated Securities, to provide for guarantees with respect to, or security for, the Securities, or to comply with amendments to the TIA or to add additional covenants, or to surrender any right or power conferred upon the Company, or to make any change that does not adversely affect the rights of any Holder of this series.</w:t>
      </w:r>
    </w:p>
    <w:p>
      <w:pPr>
        <w:spacing w:after="0" w:line="167" w:lineRule="exact"/>
        <w:rPr>
          <w:rFonts w:ascii="Arial" w:cs="Arial" w:eastAsia="Arial" w:hAnsi="Arial"/>
          <w:sz w:val="16"/>
          <w:szCs w:val="16"/>
          <w:color w:val="auto"/>
        </w:rPr>
      </w:pPr>
    </w:p>
    <w:p>
      <w:pPr>
        <w:ind w:right="60" w:firstLine="464"/>
        <w:spacing w:after="0" w:line="272" w:lineRule="auto"/>
        <w:tabs>
          <w:tab w:leader="none" w:pos="801" w:val="left"/>
        </w:tabs>
        <w:numPr>
          <w:ilvl w:val="0"/>
          <w:numId w:val="131"/>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177" w:lineRule="exact"/>
        <w:rPr>
          <w:rFonts w:ascii="Arial" w:cs="Arial" w:eastAsia="Arial" w:hAnsi="Arial"/>
          <w:sz w:val="17"/>
          <w:szCs w:val="17"/>
          <w:color w:val="auto"/>
        </w:rPr>
      </w:pPr>
    </w:p>
    <w:p>
      <w:pPr>
        <w:jc w:val="both"/>
        <w:ind w:right="120" w:firstLine="464"/>
        <w:spacing w:after="0" w:line="264" w:lineRule="auto"/>
        <w:tabs>
          <w:tab w:leader="none" w:pos="801" w:val="left"/>
        </w:tabs>
        <w:numPr>
          <w:ilvl w:val="0"/>
          <w:numId w:val="131"/>
        </w:numPr>
        <w:rPr>
          <w:rFonts w:ascii="Arial" w:cs="Arial" w:eastAsia="Arial" w:hAnsi="Arial"/>
          <w:sz w:val="18"/>
          <w:szCs w:val="18"/>
          <w:color w:val="auto"/>
        </w:rPr>
      </w:pPr>
      <w:r>
        <w:rPr>
          <w:rFonts w:ascii="Arial" w:cs="Arial" w:eastAsia="Arial" w:hAnsi="Arial"/>
          <w:sz w:val="18"/>
          <w:szCs w:val="18"/>
          <w:i w:val="1"/>
          <w:iCs w:val="1"/>
          <w:color w:val="auto"/>
        </w:rPr>
        <w:t xml:space="preserve">Trustee Dealings with Company. </w:t>
      </w:r>
      <w:r>
        <w:rPr>
          <w:rFonts w:ascii="Arial" w:cs="Arial" w:eastAsia="Arial" w:hAnsi="Arial"/>
          <w:sz w:val="18"/>
          <w:szCs w:val="18"/>
          <w:color w:val="auto"/>
        </w:rPr>
        <w:t>Subject to the provisions of the TIA, the Trustee under the Indenture, in its individual or any other capacity, may</w:t>
      </w:r>
      <w:r>
        <w:rPr>
          <w:rFonts w:ascii="Arial" w:cs="Arial" w:eastAsia="Arial" w:hAnsi="Arial"/>
          <w:sz w:val="18"/>
          <w:szCs w:val="18"/>
          <w:i w:val="1"/>
          <w:iCs w:val="1"/>
          <w:color w:val="auto"/>
        </w:rPr>
        <w:t xml:space="preserve"> </w:t>
      </w:r>
      <w:r>
        <w:rPr>
          <w:rFonts w:ascii="Arial" w:cs="Arial" w:eastAsia="Arial" w:hAnsi="Arial"/>
          <w:sz w:val="18"/>
          <w:szCs w:val="18"/>
          <w:color w:val="auto"/>
        </w:rPr>
        <w:t>make loans to, accept deposits from, and perform services for the Company or its Affiliates, and may otherwise deal with the Company or its Affiliates, as if it were not Trustee. The Trustee shall initially be U.S. Bank National Association.</w:t>
      </w:r>
    </w:p>
    <w:p>
      <w:pPr>
        <w:spacing w:after="0" w:line="181" w:lineRule="exact"/>
        <w:rPr>
          <w:rFonts w:ascii="Arial" w:cs="Arial" w:eastAsia="Arial" w:hAnsi="Arial"/>
          <w:sz w:val="18"/>
          <w:szCs w:val="18"/>
          <w:color w:val="auto"/>
        </w:rPr>
      </w:pPr>
    </w:p>
    <w:p>
      <w:pPr>
        <w:ind w:firstLine="464"/>
        <w:spacing w:after="0" w:line="259" w:lineRule="auto"/>
        <w:tabs>
          <w:tab w:leader="none" w:pos="801" w:val="left"/>
        </w:tabs>
        <w:numPr>
          <w:ilvl w:val="0"/>
          <w:numId w:val="131"/>
        </w:numPr>
        <w:rPr>
          <w:rFonts w:ascii="Arial" w:cs="Arial" w:eastAsia="Arial" w:hAnsi="Arial"/>
          <w:sz w:val="18"/>
          <w:szCs w:val="18"/>
          <w:color w:val="auto"/>
        </w:rPr>
      </w:pPr>
      <w:r>
        <w:rPr>
          <w:rFonts w:ascii="Arial" w:cs="Arial" w:eastAsia="Arial" w:hAnsi="Arial"/>
          <w:sz w:val="18"/>
          <w:szCs w:val="18"/>
          <w:i w:val="1"/>
          <w:iCs w:val="1"/>
          <w:color w:val="auto"/>
        </w:rPr>
        <w:t xml:space="preserve">No Recourse Against Others. </w:t>
      </w:r>
      <w:r>
        <w:rPr>
          <w:rFonts w:ascii="Arial" w:cs="Arial" w:eastAsia="Arial" w:hAnsi="Arial"/>
          <w:sz w:val="18"/>
          <w:szCs w:val="18"/>
          <w:color w:val="auto"/>
        </w:rPr>
        <w:t>A director, officer, incorporator or shareholder, as such, past, present or future of the Company or any successor</w:t>
      </w:r>
      <w:r>
        <w:rPr>
          <w:rFonts w:ascii="Arial" w:cs="Arial" w:eastAsia="Arial" w:hAnsi="Arial"/>
          <w:sz w:val="18"/>
          <w:szCs w:val="18"/>
          <w:i w:val="1"/>
          <w:iCs w:val="1"/>
          <w:color w:val="auto"/>
        </w:rPr>
        <w:t xml:space="preserve"> </w:t>
      </w:r>
      <w:r>
        <w:rPr>
          <w:rFonts w:ascii="Arial" w:cs="Arial" w:eastAsia="Arial" w:hAnsi="Arial"/>
          <w:sz w:val="18"/>
          <w:szCs w:val="18"/>
          <w:color w:val="auto"/>
        </w:rPr>
        <w:t>corporation of the Company, shall not have any liability for any obligations of the Company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186" w:lineRule="exact"/>
        <w:rPr>
          <w:rFonts w:ascii="Arial" w:cs="Arial" w:eastAsia="Arial" w:hAnsi="Arial"/>
          <w:sz w:val="18"/>
          <w:szCs w:val="18"/>
          <w:color w:val="auto"/>
        </w:rPr>
      </w:pPr>
    </w:p>
    <w:p>
      <w:pPr>
        <w:ind w:right="700" w:firstLine="464"/>
        <w:spacing w:after="0" w:line="277" w:lineRule="auto"/>
        <w:tabs>
          <w:tab w:leader="none" w:pos="801" w:val="left"/>
        </w:tabs>
        <w:numPr>
          <w:ilvl w:val="0"/>
          <w:numId w:val="131"/>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420"/>
          </w:cols>
          <w:pgMar w:left="240" w:top="274" w:right="239" w:bottom="1440" w:gutter="0" w:footer="0" w:header="0"/>
        </w:sectPr>
      </w:pPr>
    </w:p>
    <w:bookmarkStart w:id="158" w:name="page159"/>
    <w:bookmarkEnd w:id="158"/>
    <w:p>
      <w:pPr>
        <w:ind w:right="200" w:firstLine="464"/>
        <w:spacing w:after="0" w:line="264" w:lineRule="auto"/>
        <w:tabs>
          <w:tab w:leader="none" w:pos="801" w:val="left"/>
        </w:tabs>
        <w:numPr>
          <w:ilvl w:val="0"/>
          <w:numId w:val="132"/>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Abbreviations. </w:t>
      </w:r>
      <w:r>
        <w:rPr>
          <w:rFonts w:ascii="Arial" w:cs="Arial" w:eastAsia="Arial" w:hAnsi="Arial"/>
          <w:sz w:val="18"/>
          <w:szCs w:val="18"/>
          <w:color w:val="auto"/>
        </w:rPr>
        <w:t>Customary abbreviations may be used in the name of a Holder or an assignee, such as: TEN COM (= tenants in common), TEN</w:t>
      </w:r>
      <w:r>
        <w:rPr>
          <w:rFonts w:ascii="Arial" w:cs="Arial" w:eastAsia="Arial" w:hAnsi="Arial"/>
          <w:sz w:val="18"/>
          <w:szCs w:val="18"/>
          <w:i w:val="1"/>
          <w:iCs w:val="1"/>
          <w:color w:val="auto"/>
        </w:rPr>
        <w:t xml:space="preserve"> </w:t>
      </w:r>
      <w:r>
        <w:rPr>
          <w:rFonts w:ascii="Arial" w:cs="Arial" w:eastAsia="Arial" w:hAnsi="Arial"/>
          <w:sz w:val="18"/>
          <w:szCs w:val="18"/>
          <w:color w:val="auto"/>
        </w:rPr>
        <w:t>ENT (= tenants by the entireties), JT TEN (= joint tenants with right of survivorship and not as tenants in common), CUST (= Custodian), and U/G/M/A (= Uniform Gifts to Minors Act).</w:t>
      </w:r>
    </w:p>
    <w:p>
      <w:pPr>
        <w:spacing w:after="0" w:line="181" w:lineRule="exact"/>
        <w:rPr>
          <w:rFonts w:ascii="Arial" w:cs="Arial" w:eastAsia="Arial" w:hAnsi="Arial"/>
          <w:sz w:val="18"/>
          <w:szCs w:val="18"/>
          <w:color w:val="auto"/>
        </w:rPr>
      </w:pPr>
    </w:p>
    <w:p>
      <w:pPr>
        <w:ind w:right="940" w:firstLine="464"/>
        <w:spacing w:after="0" w:line="277" w:lineRule="auto"/>
        <w:tabs>
          <w:tab w:leader="none" w:pos="801" w:val="left"/>
        </w:tabs>
        <w:numPr>
          <w:ilvl w:val="0"/>
          <w:numId w:val="132"/>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8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THE COMPANY WILL FURNISH TO ANY HOLDER UPON WRITTEN REQUEST AND WITHOUT CHARGE A COPY OF THE INDENTURE, WHICH HAS IN IT THE TEXT OF THIS SECURITY, IN TWELVE-POINT TYPE. REQUESTS MAY BE MADE TO: Marvell Technology Group Ltd., Canon’s Court, 22 Victoria Street, Hamilton HM 12, Bermuda, fax number: (441) 295 3328, Attention: Secretary.</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400"/>
          </w:cols>
          <w:pgMar w:left="240" w:top="274" w:right="259" w:bottom="1440" w:gutter="0" w:footer="0" w:header="0"/>
        </w:sectPr>
      </w:pPr>
    </w:p>
    <w:bookmarkStart w:id="159" w:name="page160"/>
    <w:bookmarkEnd w:id="15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 or we assign and transfer this Security to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2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9300" w:type="dxa"/>
            <w:vAlign w:val="bottom"/>
            <w:gridSpan w:val="4"/>
          </w:tcPr>
          <w:p>
            <w:pPr>
              <w:ind w:left="400"/>
              <w:spacing w:after="0"/>
              <w:rPr>
                <w:sz w:val="20"/>
                <w:szCs w:val="20"/>
                <w:color w:val="auto"/>
              </w:rPr>
            </w:pPr>
            <w:r>
              <w:rPr>
                <w:rFonts w:ascii="Arial" w:cs="Arial" w:eastAsia="Arial" w:hAnsi="Arial"/>
                <w:sz w:val="18"/>
                <w:szCs w:val="18"/>
                <w:color w:val="auto"/>
              </w:rPr>
              <w:t>agent to transfer this Security on the books of the Company. The agent may substitute another to act for him.</w:t>
            </w:r>
          </w:p>
        </w:tc>
      </w:tr>
      <w:tr>
        <w:trPr>
          <w:trHeight w:val="257"/>
        </w:trPr>
        <w:tc>
          <w:tcPr>
            <w:tcW w:w="620" w:type="dxa"/>
            <w:vAlign w:val="bottom"/>
            <w:tcBorders>
              <w:bottom w:val="single" w:sz="8" w:color="auto"/>
            </w:tcBorders>
          </w:tcPr>
          <w:p>
            <w:pPr>
              <w:spacing w:after="0"/>
              <w:rPr>
                <w:sz w:val="22"/>
                <w:szCs w:val="22"/>
                <w:color w:val="auto"/>
              </w:rPr>
            </w:pPr>
          </w:p>
        </w:tc>
        <w:tc>
          <w:tcPr>
            <w:tcW w:w="920" w:type="dxa"/>
            <w:vAlign w:val="bottom"/>
            <w:tcBorders>
              <w:bottom w:val="single" w:sz="8" w:color="auto"/>
            </w:tcBorders>
          </w:tcPr>
          <w:p>
            <w:pPr>
              <w:spacing w:after="0"/>
              <w:rPr>
                <w:sz w:val="22"/>
                <w:szCs w:val="22"/>
                <w:color w:val="auto"/>
              </w:rPr>
            </w:pPr>
          </w:p>
        </w:tc>
        <w:tc>
          <w:tcPr>
            <w:tcW w:w="580" w:type="dxa"/>
            <w:vAlign w:val="bottom"/>
            <w:tcBorders>
              <w:bottom w:val="single" w:sz="8" w:color="auto"/>
            </w:tcBorders>
          </w:tcPr>
          <w:p>
            <w:pPr>
              <w:spacing w:after="0"/>
              <w:rPr>
                <w:sz w:val="22"/>
                <w:szCs w:val="22"/>
                <w:color w:val="auto"/>
              </w:rPr>
            </w:pPr>
          </w:p>
        </w:tc>
        <w:tc>
          <w:tcPr>
            <w:tcW w:w="1620" w:type="dxa"/>
            <w:vAlign w:val="bottom"/>
            <w:tcBorders>
              <w:bottom w:val="single" w:sz="8" w:color="auto"/>
            </w:tcBorders>
          </w:tcPr>
          <w:p>
            <w:pPr>
              <w:spacing w:after="0"/>
              <w:rPr>
                <w:sz w:val="22"/>
                <w:szCs w:val="22"/>
                <w:color w:val="auto"/>
              </w:rPr>
            </w:pPr>
          </w:p>
        </w:tc>
        <w:tc>
          <w:tcPr>
            <w:tcW w:w="2120" w:type="dxa"/>
            <w:vAlign w:val="bottom"/>
            <w:tcBorders>
              <w:bottom w:val="single" w:sz="8" w:color="auto"/>
            </w:tcBorders>
          </w:tcPr>
          <w:p>
            <w:pPr>
              <w:spacing w:after="0"/>
              <w:rPr>
                <w:sz w:val="22"/>
                <w:szCs w:val="22"/>
                <w:color w:val="auto"/>
              </w:rPr>
            </w:pPr>
          </w:p>
        </w:tc>
        <w:tc>
          <w:tcPr>
            <w:tcW w:w="780" w:type="dxa"/>
            <w:vAlign w:val="bottom"/>
            <w:tcBorders>
              <w:bottom w:val="single" w:sz="8" w:color="auto"/>
            </w:tcBorders>
          </w:tcPr>
          <w:p>
            <w:pPr>
              <w:spacing w:after="0"/>
              <w:rPr>
                <w:sz w:val="22"/>
                <w:szCs w:val="22"/>
                <w:color w:val="auto"/>
              </w:rPr>
            </w:pPr>
          </w:p>
        </w:tc>
        <w:tc>
          <w:tcPr>
            <w:tcW w:w="4780" w:type="dxa"/>
            <w:vAlign w:val="bottom"/>
            <w:tcBorders>
              <w:bottom w:val="single" w:sz="8" w:color="auto"/>
            </w:tcBorders>
          </w:tcPr>
          <w:p>
            <w:pPr>
              <w:spacing w:after="0"/>
              <w:rPr>
                <w:sz w:val="22"/>
                <w:szCs w:val="22"/>
                <w:color w:val="auto"/>
              </w:rPr>
            </w:pPr>
          </w:p>
        </w:tc>
      </w:tr>
      <w:tr>
        <w:trPr>
          <w:trHeight w:val="493"/>
        </w:trPr>
        <w:tc>
          <w:tcPr>
            <w:tcW w:w="2120" w:type="dxa"/>
            <w:vAlign w:val="bottom"/>
            <w:gridSpan w:val="3"/>
          </w:tcPr>
          <w:p>
            <w:pPr>
              <w:spacing w:after="0"/>
              <w:rPr>
                <w:sz w:val="20"/>
                <w:szCs w:val="20"/>
                <w:color w:val="auto"/>
              </w:rPr>
            </w:pPr>
            <w:r>
              <w:rPr>
                <w:rFonts w:ascii="Arial" w:cs="Arial" w:eastAsia="Arial" w:hAnsi="Arial"/>
                <w:sz w:val="18"/>
                <w:szCs w:val="18"/>
                <w:color w:val="auto"/>
              </w:rPr>
              <w:t>Dated:</w:t>
            </w:r>
          </w:p>
        </w:tc>
        <w:tc>
          <w:tcPr>
            <w:tcW w:w="162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5560" w:type="dxa"/>
            <w:vAlign w:val="bottom"/>
            <w:gridSpan w:val="2"/>
          </w:tcPr>
          <w:p>
            <w:pPr>
              <w:ind w:left="100"/>
              <w:spacing w:after="0"/>
              <w:rPr>
                <w:sz w:val="20"/>
                <w:szCs w:val="20"/>
                <w:color w:val="auto"/>
              </w:rPr>
            </w:pPr>
            <w:r>
              <w:rPr>
                <w:rFonts w:ascii="Arial" w:cs="Arial" w:eastAsia="Arial" w:hAnsi="Arial"/>
                <w:sz w:val="18"/>
                <w:szCs w:val="18"/>
                <w:color w:val="auto"/>
              </w:rPr>
              <w:t>Signed:</w:t>
            </w:r>
          </w:p>
        </w:tc>
      </w:tr>
      <w:tr>
        <w:trPr>
          <w:trHeight w:val="209"/>
        </w:trPr>
        <w:tc>
          <w:tcPr>
            <w:tcW w:w="62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1620" w:type="dxa"/>
            <w:vAlign w:val="bottom"/>
            <w:tcBorders>
              <w:top w:val="single" w:sz="8" w:color="auto"/>
            </w:tcBorders>
          </w:tcPr>
          <w:p>
            <w:pPr>
              <w:spacing w:after="0"/>
              <w:rPr>
                <w:sz w:val="18"/>
                <w:szCs w:val="18"/>
                <w:color w:val="auto"/>
              </w:rPr>
            </w:pPr>
          </w:p>
        </w:tc>
        <w:tc>
          <w:tcPr>
            <w:tcW w:w="2120" w:type="dxa"/>
            <w:vAlign w:val="bottom"/>
            <w:tcBorders>
              <w:top w:val="single" w:sz="8" w:color="auto"/>
            </w:tcBorders>
          </w:tcPr>
          <w:p>
            <w:pPr>
              <w:spacing w:after="0"/>
              <w:rPr>
                <w:sz w:val="18"/>
                <w:szCs w:val="18"/>
                <w:color w:val="auto"/>
              </w:rPr>
            </w:pPr>
          </w:p>
        </w:tc>
        <w:tc>
          <w:tcPr>
            <w:tcW w:w="780" w:type="dxa"/>
            <w:vAlign w:val="bottom"/>
          </w:tcPr>
          <w:p>
            <w:pPr>
              <w:spacing w:after="0"/>
              <w:rPr>
                <w:sz w:val="18"/>
                <w:szCs w:val="18"/>
                <w:color w:val="auto"/>
              </w:rPr>
            </w:pPr>
          </w:p>
        </w:tc>
        <w:tc>
          <w:tcPr>
            <w:tcW w:w="478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(Sign exactly as your name appears on the other side of this</w:t>
            </w:r>
          </w:p>
        </w:tc>
      </w:tr>
      <w:tr>
        <w:trPr>
          <w:trHeight w:val="230"/>
        </w:trPr>
        <w:tc>
          <w:tcPr>
            <w:tcW w:w="6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Security)</w:t>
            </w:r>
          </w:p>
        </w:tc>
      </w:tr>
      <w:tr>
        <w:trPr>
          <w:trHeight w:val="419"/>
        </w:trPr>
        <w:tc>
          <w:tcPr>
            <w:tcW w:w="1540" w:type="dxa"/>
            <w:vAlign w:val="bottom"/>
            <w:gridSpan w:val="2"/>
          </w:tcPr>
          <w:p>
            <w:pPr>
              <w:spacing w:after="0"/>
              <w:rPr>
                <w:sz w:val="20"/>
                <w:szCs w:val="20"/>
                <w:color w:val="auto"/>
              </w:rPr>
            </w:pPr>
            <w:r>
              <w:rPr>
                <w:rFonts w:ascii="Arial" w:cs="Arial" w:eastAsia="Arial" w:hAnsi="Arial"/>
                <w:sz w:val="18"/>
                <w:szCs w:val="18"/>
                <w:color w:val="auto"/>
                <w:w w:val="88"/>
              </w:rPr>
              <w:t>Signature Guarantee:</w:t>
            </w:r>
          </w:p>
        </w:tc>
        <w:tc>
          <w:tcPr>
            <w:tcW w:w="5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tcPr>
          <w:p>
            <w:pPr>
              <w:spacing w:after="0"/>
              <w:rPr>
                <w:sz w:val="24"/>
                <w:szCs w:val="24"/>
                <w:color w:val="auto"/>
              </w:rPr>
            </w:pPr>
          </w:p>
        </w:tc>
        <w:tc>
          <w:tcPr>
            <w:tcW w:w="2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780" w:type="dxa"/>
            <w:vAlign w:val="bottom"/>
          </w:tcPr>
          <w:p>
            <w:pPr>
              <w:spacing w:after="0"/>
              <w:rPr>
                <w:sz w:val="24"/>
                <w:szCs w:val="24"/>
                <w:color w:val="auto"/>
              </w:rPr>
            </w:pPr>
          </w:p>
        </w:tc>
      </w:tr>
    </w:tbl>
    <w:p>
      <w:pPr>
        <w:spacing w:after="0" w:line="229" w:lineRule="exact"/>
        <w:rPr>
          <w:sz w:val="20"/>
          <w:szCs w:val="20"/>
          <w:color w:val="auto"/>
        </w:rPr>
      </w:pPr>
    </w:p>
    <w:p>
      <w:pPr>
        <w:ind w:right="100" w:firstLine="456"/>
        <w:spacing w:after="0" w:line="312" w:lineRule="auto"/>
        <w:rPr>
          <w:sz w:val="20"/>
          <w:szCs w:val="20"/>
          <w:color w:val="auto"/>
        </w:rPr>
      </w:pPr>
      <w:r>
        <w:rPr>
          <w:rFonts w:ascii="Arial" w:cs="Arial" w:eastAsia="Arial" w:hAnsi="Arial"/>
          <w:sz w:val="16"/>
          <w:szCs w:val="16"/>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6"/>
          <w:szCs w:val="16"/>
          <w:u w:val="single" w:color="auto"/>
          <w:color w:val="auto"/>
        </w:rPr>
        <w:t>STAMP</w:t>
      </w:r>
      <w:r>
        <w:rPr>
          <w:rFonts w:ascii="Arial" w:cs="Arial" w:eastAsia="Arial" w:hAnsi="Arial"/>
          <w:sz w:val="16"/>
          <w:szCs w:val="16"/>
          <w:color w:val="auto"/>
        </w:rPr>
        <w:t>”) or such other “signature guarantee program” as may be determined by the Securities Registrar in addition to, or in substitution for, STAMP, all in accordance with the Securities Exchange Act of 1934, as amended.</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420"/>
          </w:cols>
          <w:pgMar w:left="240" w:top="270" w:right="239" w:bottom="1440" w:gutter="0" w:footer="0" w:header="0"/>
        </w:sectPr>
      </w:pPr>
    </w:p>
    <w:bookmarkStart w:id="160" w:name="page161"/>
    <w:bookmarkEnd w:id="160"/>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OF EXCHANGES OF SECURITIES</w:t>
      </w:r>
    </w:p>
    <w:p>
      <w:pPr>
        <w:spacing w:after="0" w:line="229" w:lineRule="exact"/>
        <w:rPr>
          <w:sz w:val="20"/>
          <w:szCs w:val="20"/>
          <w:color w:val="auto"/>
        </w:rPr>
      </w:pPr>
    </w:p>
    <w:p>
      <w:pPr>
        <w:spacing w:after="0"/>
        <w:tabs>
          <w:tab w:leader="none" w:pos="4660" w:val="left"/>
          <w:tab w:leader="none" w:pos="6400" w:val="left"/>
        </w:tabs>
        <w:rPr>
          <w:sz w:val="20"/>
          <w:szCs w:val="20"/>
          <w:color w:val="auto"/>
        </w:rPr>
      </w:pPr>
      <w:r>
        <w:rPr>
          <w:rFonts w:ascii="Arial" w:cs="Arial" w:eastAsia="Arial" w:hAnsi="Arial"/>
          <w:sz w:val="18"/>
          <w:szCs w:val="18"/>
          <w:color w:val="auto"/>
        </w:rPr>
        <w:t>The initial principal amount of this Global Security is</w:t>
      </w:r>
      <w:r>
        <w:rPr>
          <w:sz w:val="20"/>
          <w:szCs w:val="20"/>
          <w:color w:val="auto"/>
        </w:rPr>
        <w:tab/>
      </w:r>
      <w:r>
        <w:rPr>
          <w:rFonts w:ascii="Arial" w:cs="Arial" w:eastAsia="Arial" w:hAnsi="Arial"/>
          <w:sz w:val="18"/>
          <w:szCs w:val="18"/>
          <w:color w:val="auto"/>
        </w:rPr>
        <w:t>DOLLARS ($</w:t>
      </w:r>
      <w:r>
        <w:rPr>
          <w:sz w:val="20"/>
          <w:szCs w:val="20"/>
          <w:color w:val="auto"/>
        </w:rPr>
        <w:tab/>
      </w:r>
      <w:r>
        <w:rPr>
          <w:rFonts w:ascii="Arial" w:cs="Arial" w:eastAsia="Arial" w:hAnsi="Arial"/>
          <w:sz w:val="16"/>
          <w:szCs w:val="16"/>
          <w:color w:val="auto"/>
        </w:rPr>
        <w:t>). The following exchanges of a part of this Global Security for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certificated Securities or a part of another Global Security have been made:</w:t>
      </w:r>
    </w:p>
    <w:p>
      <w:pPr>
        <w:sectPr>
          <w:pgSz w:w="11900" w:h="16838" w:orient="portrait"/>
          <w:cols w:equalWidth="0" w:num="1">
            <w:col w:w="11420"/>
          </w:cols>
          <w:pgMar w:left="240" w:top="270" w:right="239" w:bottom="1440" w:gutter="0" w:footer="0" w:header="0"/>
        </w:sect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380" w:type="dxa"/>
            <w:vAlign w:val="bottom"/>
          </w:tcPr>
          <w:p>
            <w:pPr>
              <w:jc w:val="center"/>
              <w:spacing w:after="0"/>
              <w:rPr>
                <w:sz w:val="20"/>
                <w:szCs w:val="20"/>
                <w:color w:val="auto"/>
              </w:rPr>
            </w:pPr>
            <w:r>
              <w:rPr>
                <w:rFonts w:ascii="Arial" w:cs="Arial" w:eastAsia="Arial" w:hAnsi="Arial"/>
                <w:sz w:val="14"/>
                <w:szCs w:val="14"/>
                <w:b w:val="1"/>
                <w:bCs w:val="1"/>
                <w:color w:val="auto"/>
                <w:w w:val="90"/>
              </w:rPr>
              <w:t>Amount of decrease</w:t>
            </w:r>
          </w:p>
        </w:tc>
        <w:tc>
          <w:tcPr>
            <w:tcW w:w="0" w:type="dxa"/>
            <w:vAlign w:val="bottom"/>
          </w:tcPr>
          <w:p>
            <w:pPr>
              <w:spacing w:after="0"/>
              <w:rPr>
                <w:sz w:val="1"/>
                <w:szCs w:val="1"/>
                <w:color w:val="auto"/>
              </w:rPr>
            </w:pPr>
          </w:p>
        </w:tc>
      </w:tr>
      <w:tr>
        <w:trPr>
          <w:trHeight w:val="149"/>
        </w:trPr>
        <w:tc>
          <w:tcPr>
            <w:tcW w:w="35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Date of Exchange</w:t>
            </w: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0" w:type="dxa"/>
            <w:vAlign w:val="bottom"/>
          </w:tcPr>
          <w:p>
            <w:pPr>
              <w:spacing w:after="0"/>
              <w:rPr>
                <w:sz w:val="1"/>
                <w:szCs w:val="1"/>
                <w:color w:val="auto"/>
              </w:rPr>
            </w:pPr>
          </w:p>
        </w:tc>
      </w:tr>
      <w:tr>
        <w:trPr>
          <w:trHeight w:val="171"/>
        </w:trPr>
        <w:tc>
          <w:tcPr>
            <w:tcW w:w="3500" w:type="dxa"/>
            <w:vAlign w:val="bottom"/>
            <w:gridSpan w:val="2"/>
            <w:vMerge w:val="continue"/>
          </w:tcPr>
          <w:p>
            <w:pPr>
              <w:spacing w:after="0"/>
              <w:rPr>
                <w:sz w:val="14"/>
                <w:szCs w:val="14"/>
                <w:color w:val="auto"/>
              </w:rPr>
            </w:pPr>
          </w:p>
        </w:tc>
        <w:tc>
          <w:tcPr>
            <w:tcW w:w="1380" w:type="dxa"/>
            <w:vAlign w:val="bottom"/>
          </w:tcPr>
          <w:p>
            <w:pPr>
              <w:jc w:val="center"/>
              <w:spacing w:after="0"/>
              <w:rPr>
                <w:sz w:val="20"/>
                <w:szCs w:val="20"/>
                <w:color w:val="auto"/>
              </w:rPr>
            </w:pPr>
            <w:r>
              <w:rPr>
                <w:rFonts w:ascii="Arial" w:cs="Arial" w:eastAsia="Arial" w:hAnsi="Arial"/>
                <w:sz w:val="14"/>
                <w:szCs w:val="14"/>
                <w:b w:val="1"/>
                <w:bCs w:val="1"/>
                <w:color w:val="auto"/>
                <w:w w:val="92"/>
              </w:rPr>
              <w:t>of this Global Security</w:t>
            </w:r>
          </w:p>
        </w:tc>
        <w:tc>
          <w:tcPr>
            <w:tcW w:w="0" w:type="dxa"/>
            <w:vAlign w:val="bottom"/>
          </w:tcPr>
          <w:p>
            <w:pPr>
              <w:spacing w:after="0"/>
              <w:rPr>
                <w:sz w:val="1"/>
                <w:szCs w:val="1"/>
                <w:color w:val="auto"/>
              </w:rPr>
            </w:pPr>
          </w:p>
        </w:tc>
      </w:tr>
      <w:tr>
        <w:trPr>
          <w:trHeight w:val="20"/>
        </w:trPr>
        <w:tc>
          <w:tcPr>
            <w:tcW w:w="1080" w:type="dxa"/>
            <w:vAlign w:val="bottom"/>
            <w:shd w:val="clear" w:color="auto" w:fill="000000"/>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1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4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4"/>
              </w:rPr>
              <w:t>Principal amount of</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22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1"/>
              </w:rPr>
              <w:t>Amount of increase</w:t>
            </w:r>
          </w:p>
        </w:tc>
        <w:tc>
          <w:tcPr>
            <w:tcW w:w="206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2"/>
              </w:rPr>
              <w:t>this Global Security</w:t>
            </w:r>
          </w:p>
        </w:tc>
        <w:tc>
          <w:tcPr>
            <w:tcW w:w="1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 of</w:t>
            </w:r>
          </w:p>
        </w:tc>
        <w:tc>
          <w:tcPr>
            <w:tcW w:w="0" w:type="dxa"/>
            <w:vAlign w:val="bottom"/>
          </w:tcPr>
          <w:p>
            <w:pPr>
              <w:spacing w:after="0"/>
              <w:rPr>
                <w:sz w:val="1"/>
                <w:szCs w:val="1"/>
                <w:color w:val="auto"/>
              </w:rPr>
            </w:pPr>
          </w:p>
        </w:tc>
      </w:tr>
      <w:tr>
        <w:trPr>
          <w:trHeight w:val="149"/>
        </w:trPr>
        <w:tc>
          <w:tcPr>
            <w:tcW w:w="2220" w:type="dxa"/>
            <w:vAlign w:val="bottom"/>
            <w:gridSpan w:val="2"/>
            <w:vMerge w:val="continue"/>
          </w:tcPr>
          <w:p>
            <w:pPr>
              <w:spacing w:after="0"/>
              <w:rPr>
                <w:sz w:val="12"/>
                <w:szCs w:val="12"/>
                <w:color w:val="auto"/>
              </w:rPr>
            </w:pPr>
          </w:p>
        </w:tc>
        <w:tc>
          <w:tcPr>
            <w:tcW w:w="206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9"/>
              </w:rPr>
              <w:t>following such</w:t>
            </w:r>
          </w:p>
        </w:tc>
        <w:tc>
          <w:tcPr>
            <w:tcW w:w="14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2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206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decrease (or</w:t>
            </w: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authorized signatory of</w:t>
            </w:r>
          </w:p>
        </w:tc>
        <w:tc>
          <w:tcPr>
            <w:tcW w:w="0" w:type="dxa"/>
            <w:vAlign w:val="bottom"/>
          </w:tcPr>
          <w:p>
            <w:pPr>
              <w:spacing w:after="0"/>
              <w:rPr>
                <w:sz w:val="1"/>
                <w:szCs w:val="1"/>
                <w:color w:val="auto"/>
              </w:rPr>
            </w:pPr>
          </w:p>
        </w:tc>
      </w:tr>
      <w:tr>
        <w:trPr>
          <w:trHeight w:val="171"/>
        </w:trPr>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of this Global Security</w:t>
            </w:r>
          </w:p>
        </w:tc>
        <w:tc>
          <w:tcPr>
            <w:tcW w:w="820" w:type="dxa"/>
            <w:vAlign w:val="bottom"/>
          </w:tcPr>
          <w:p>
            <w:pPr>
              <w:spacing w:after="0"/>
              <w:rPr>
                <w:sz w:val="14"/>
                <w:szCs w:val="14"/>
                <w:color w:val="auto"/>
              </w:rPr>
            </w:pPr>
          </w:p>
        </w:tc>
        <w:tc>
          <w:tcPr>
            <w:tcW w:w="12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increase)</w:t>
            </w:r>
          </w:p>
        </w:tc>
        <w:tc>
          <w:tcPr>
            <w:tcW w:w="820" w:type="dxa"/>
            <w:vAlign w:val="bottom"/>
          </w:tcPr>
          <w:p>
            <w:pPr>
              <w:spacing w:after="0"/>
              <w:rPr>
                <w:sz w:val="14"/>
                <w:szCs w:val="14"/>
                <w:color w:val="auto"/>
              </w:rPr>
            </w:pPr>
          </w:p>
        </w:tc>
        <w:tc>
          <w:tcPr>
            <w:tcW w:w="1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bl>
    <w:p>
      <w:pPr>
        <w:spacing w:after="0" w:line="134" w:lineRule="exact"/>
        <w:rPr>
          <w:sz w:val="20"/>
          <w:szCs w:val="20"/>
          <w:color w:val="auto"/>
        </w:rPr>
      </w:pPr>
    </w:p>
    <w:p>
      <w:pPr>
        <w:sectPr>
          <w:pgSz w:w="11900" w:h="16838" w:orient="portrait"/>
          <w:cols w:equalWidth="0" w:num="2">
            <w:col w:w="4980" w:space="720"/>
            <w:col w:w="5720"/>
          </w:cols>
          <w:pgMar w:left="240" w:top="270" w:right="239" w:bottom="1440" w:gutter="0" w:footer="0" w:header="0"/>
          <w:type w:val="continuous"/>
        </w:sectPr>
      </w:pPr>
    </w:p>
    <w:p>
      <w:pPr>
        <w:jc w:val="center"/>
        <w:ind w:right="-19"/>
        <w:spacing w:after="0"/>
        <w:rPr>
          <w:sz w:val="20"/>
          <w:szCs w:val="20"/>
          <w:color w:val="auto"/>
        </w:rPr>
      </w:pPr>
      <w:r>
        <w:rPr>
          <w:rFonts w:ascii="Arial" w:cs="Arial" w:eastAsia="Arial" w:hAnsi="Arial"/>
          <w:sz w:val="17"/>
          <w:szCs w:val="17"/>
          <w:color w:val="auto"/>
        </w:rPr>
        <w:t>B-11</w:t>
      </w:r>
    </w:p>
    <w:p>
      <w:pPr>
        <w:sectPr>
          <w:pgSz w:w="11900" w:h="16838" w:orient="portrait"/>
          <w:cols w:equalWidth="0" w:num="1">
            <w:col w:w="11420"/>
          </w:cols>
          <w:pgMar w:left="240" w:top="270" w:right="239" w:bottom="1440" w:gutter="0" w:footer="0" w:header="0"/>
          <w:type w:val="continuous"/>
        </w:sectPr>
      </w:pPr>
    </w:p>
    <w:bookmarkStart w:id="161" w:name="page162"/>
    <w:bookmarkEnd w:id="161"/>
    <w:p>
      <w:pPr>
        <w:ind w:left="18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Group Ltd.</w:t>
      </w:r>
    </w:p>
    <w:p>
      <w:pPr>
        <w:spacing w:after="0" w:line="22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undersigned registered owner of this Security hereby acknowledges receipt of a notice from Marvell Technology Group Ltd. (the “</w:t>
      </w:r>
      <w:r>
        <w:rPr>
          <w:rFonts w:ascii="Arial" w:cs="Arial" w:eastAsia="Arial" w:hAnsi="Arial"/>
          <w:sz w:val="18"/>
          <w:szCs w:val="18"/>
          <w:u w:val="single" w:color="auto"/>
          <w:color w:val="auto"/>
        </w:rPr>
        <w:t>Company</w:t>
      </w:r>
      <w:r>
        <w:rPr>
          <w:rFonts w:ascii="Arial" w:cs="Arial" w:eastAsia="Arial" w:hAnsi="Arial"/>
          <w:sz w:val="18"/>
          <w:szCs w:val="18"/>
          <w:color w:val="auto"/>
        </w:rPr>
        <w:t>”) as to the occurrence of a Change of Control Repurchase Event with respect to the Company and hereby directs the Company to pay, or cause the Trustee to pay, an amount in cash equal to 101% of the aggregate principal amount of the Securities, or the portion thereof (which is $2,000 principal amount or a multiple of $1,000 in excess thereof) below designated, to be repurchased plus interest accrued and unpaid to, but excluding, the repurchase date, except as provided in the Indenture. The undersigned hereby agrees that the Securities will be repurchased as of the Change of Control Payment Date pursuant to the terms and conditions thereof and the Indenture.</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338455</wp:posOffset>
            </wp:positionH>
            <wp:positionV relativeFrom="paragraph">
              <wp:posOffset>-10160</wp:posOffset>
            </wp:positionV>
            <wp:extent cx="1514475"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1514475" cy="8890"/>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503555</wp:posOffset>
            </wp:positionH>
            <wp:positionV relativeFrom="paragraph">
              <wp:posOffset>-10160</wp:posOffset>
            </wp:positionV>
            <wp:extent cx="1400175"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1400175" cy="8890"/>
                    </a:xfrm>
                    <a:prstGeom prst="rect">
                      <a:avLst/>
                    </a:prstGeom>
                    <a:noFill/>
                  </pic:spPr>
                </pic:pic>
              </a:graphicData>
            </a:graphic>
          </wp:anchor>
        </w:drawing>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Principal amount to be repurchased (at least $2,000 or a multiple of $1,000 in excess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4617720</wp:posOffset>
            </wp:positionH>
            <wp:positionV relativeFrom="paragraph">
              <wp:posOffset>-10160</wp:posOffset>
            </wp:positionV>
            <wp:extent cx="45720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457200" cy="8890"/>
                    </a:xfrm>
                    <a:prstGeom prst="rect">
                      <a:avLst/>
                    </a:prstGeom>
                    <a:noFill/>
                  </pic:spPr>
                </pic:pic>
              </a:graphicData>
            </a:graphic>
          </wp:anchor>
        </w:drawing>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Remaining principal amount following such repurchase: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2897505</wp:posOffset>
            </wp:positionH>
            <wp:positionV relativeFrom="paragraph">
              <wp:posOffset>-10160</wp:posOffset>
            </wp:positionV>
            <wp:extent cx="45720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457200" cy="8890"/>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2658745"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420"/>
          </w:cols>
          <w:pgMar w:left="240" w:top="270" w:right="239" w:bottom="1440" w:gutter="0" w:footer="0" w:header="0"/>
        </w:sectPr>
      </w:pPr>
    </w:p>
    <w:bookmarkStart w:id="162" w:name="page163"/>
    <w:bookmarkEnd w:id="162"/>
    <w:p>
      <w:pPr>
        <w:jc w:val="right"/>
        <w:spacing w:after="0"/>
        <w:rPr>
          <w:sz w:val="20"/>
          <w:szCs w:val="20"/>
          <w:color w:val="auto"/>
        </w:rPr>
      </w:pPr>
      <w:r>
        <w:rPr>
          <w:rFonts w:ascii="Arial" w:cs="Arial" w:eastAsia="Arial" w:hAnsi="Arial"/>
          <w:sz w:val="18"/>
          <w:szCs w:val="18"/>
          <w:b w:val="1"/>
          <w:bCs w:val="1"/>
          <w:color w:val="auto"/>
        </w:rPr>
        <w:t>Exhibit 5.1</w:t>
      </w:r>
    </w:p>
    <w:p>
      <w:pPr>
        <w:spacing w:after="0" w:line="251" w:lineRule="exact"/>
        <w:rPr>
          <w:sz w:val="20"/>
          <w:szCs w:val="20"/>
          <w:color w:val="auto"/>
        </w:rPr>
      </w:pPr>
    </w:p>
    <w:p>
      <w:pPr>
        <w:ind w:left="7780"/>
        <w:spacing w:after="0"/>
        <w:rPr>
          <w:sz w:val="20"/>
          <w:szCs w:val="20"/>
          <w:color w:val="auto"/>
        </w:rPr>
      </w:pPr>
      <w:r>
        <w:rPr>
          <w:rFonts w:ascii="Arial" w:cs="Arial" w:eastAsia="Arial" w:hAnsi="Arial"/>
          <w:sz w:val="14"/>
          <w:szCs w:val="14"/>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-89535</wp:posOffset>
            </wp:positionV>
            <wp:extent cx="848995" cy="85788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848995" cy="857885"/>
                    </a:xfrm>
                    <a:prstGeom prst="rect">
                      <a:avLst/>
                    </a:prstGeom>
                    <a:noFill/>
                  </pic:spPr>
                </pic:pic>
              </a:graphicData>
            </a:graphic>
          </wp:anchor>
        </w:drawing>
      </w:r>
    </w:p>
    <w:p>
      <w:pPr>
        <w:ind w:left="7780"/>
        <w:spacing w:after="0" w:line="221" w:lineRule="auto"/>
        <w:rPr>
          <w:sz w:val="20"/>
          <w:szCs w:val="20"/>
          <w:color w:val="auto"/>
        </w:rPr>
      </w:pPr>
      <w:r>
        <w:rPr>
          <w:rFonts w:ascii="Arial" w:cs="Arial" w:eastAsia="Arial" w:hAnsi="Arial"/>
          <w:sz w:val="14"/>
          <w:szCs w:val="14"/>
          <w:color w:val="auto"/>
        </w:rPr>
        <w:t>Columbia Square</w:t>
      </w:r>
    </w:p>
    <w:p>
      <w:pPr>
        <w:ind w:left="7780"/>
        <w:spacing w:after="0" w:line="221" w:lineRule="auto"/>
        <w:rPr>
          <w:sz w:val="20"/>
          <w:szCs w:val="20"/>
          <w:color w:val="auto"/>
        </w:rPr>
      </w:pPr>
      <w:r>
        <w:rPr>
          <w:rFonts w:ascii="Arial" w:cs="Arial" w:eastAsia="Arial" w:hAnsi="Arial"/>
          <w:sz w:val="14"/>
          <w:szCs w:val="14"/>
          <w:color w:val="auto"/>
        </w:rPr>
        <w:t>555 Thirteenth Street, NW</w:t>
      </w:r>
    </w:p>
    <w:p>
      <w:pPr>
        <w:ind w:left="7780"/>
        <w:spacing w:after="0" w:line="222" w:lineRule="auto"/>
        <w:rPr>
          <w:sz w:val="20"/>
          <w:szCs w:val="20"/>
          <w:color w:val="auto"/>
        </w:rPr>
      </w:pPr>
      <w:r>
        <w:rPr>
          <w:rFonts w:ascii="Arial" w:cs="Arial" w:eastAsia="Arial" w:hAnsi="Arial"/>
          <w:sz w:val="14"/>
          <w:szCs w:val="14"/>
          <w:color w:val="auto"/>
        </w:rPr>
        <w:t>Washington, DC 20004</w:t>
      </w:r>
    </w:p>
    <w:p>
      <w:pPr>
        <w:ind w:left="7780"/>
        <w:spacing w:after="0" w:line="221" w:lineRule="auto"/>
        <w:rPr>
          <w:sz w:val="20"/>
          <w:szCs w:val="20"/>
          <w:color w:val="auto"/>
        </w:rPr>
      </w:pPr>
      <w:r>
        <w:rPr>
          <w:rFonts w:ascii="Arial" w:cs="Arial" w:eastAsia="Arial" w:hAnsi="Arial"/>
          <w:sz w:val="14"/>
          <w:szCs w:val="14"/>
          <w:color w:val="auto"/>
        </w:rPr>
        <w:t>T +1 202 637 5600</w:t>
      </w:r>
    </w:p>
    <w:p>
      <w:pPr>
        <w:ind w:left="7780"/>
        <w:spacing w:after="0" w:line="222" w:lineRule="auto"/>
        <w:rPr>
          <w:sz w:val="20"/>
          <w:szCs w:val="20"/>
          <w:color w:val="auto"/>
        </w:rPr>
      </w:pPr>
      <w:r>
        <w:rPr>
          <w:rFonts w:ascii="Arial" w:cs="Arial" w:eastAsia="Arial" w:hAnsi="Arial"/>
          <w:sz w:val="14"/>
          <w:szCs w:val="14"/>
          <w:color w:val="auto"/>
        </w:rPr>
        <w:t>F +1 202 637 5910</w:t>
      </w:r>
    </w:p>
    <w:p>
      <w:pPr>
        <w:ind w:left="7780"/>
        <w:spacing w:after="0"/>
        <w:rPr>
          <w:sz w:val="20"/>
          <w:szCs w:val="20"/>
          <w:color w:val="auto"/>
        </w:rPr>
      </w:pPr>
      <w:r>
        <w:rPr>
          <w:rFonts w:ascii="Arial" w:cs="Arial" w:eastAsia="Arial" w:hAnsi="Arial"/>
          <w:sz w:val="14"/>
          <w:szCs w:val="14"/>
          <w:color w:val="auto"/>
        </w:rPr>
        <w:t>www.hoganlovells.com</w:t>
      </w: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Arial" w:cs="Arial" w:eastAsia="Arial" w:hAnsi="Arial"/>
          <w:sz w:val="18"/>
          <w:szCs w:val="18"/>
          <w:color w:val="auto"/>
        </w:rPr>
        <w:t>June 22, 2018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 95054</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We are acting as counsel to Marvell Technology Group Ltd., a Bermuda exempted company (the “</w:t>
      </w:r>
      <w:r>
        <w:rPr>
          <w:rFonts w:ascii="Arial" w:cs="Arial" w:eastAsia="Arial" w:hAnsi="Arial"/>
          <w:sz w:val="16"/>
          <w:szCs w:val="16"/>
          <w:b w:val="1"/>
          <w:bCs w:val="1"/>
          <w:color w:val="auto"/>
        </w:rPr>
        <w:t>Company</w:t>
      </w:r>
      <w:r>
        <w:rPr>
          <w:rFonts w:ascii="Arial" w:cs="Arial" w:eastAsia="Arial" w:hAnsi="Arial"/>
          <w:sz w:val="16"/>
          <w:szCs w:val="16"/>
          <w:color w:val="auto"/>
        </w:rPr>
        <w:t>”), in connection with the issuance pursuant to an Indenture dated as of the date hereof (the “</w:t>
      </w:r>
      <w:r>
        <w:rPr>
          <w:rFonts w:ascii="Arial" w:cs="Arial" w:eastAsia="Arial" w:hAnsi="Arial"/>
          <w:sz w:val="16"/>
          <w:szCs w:val="16"/>
          <w:b w:val="1"/>
          <w:bCs w:val="1"/>
          <w:color w:val="auto"/>
        </w:rPr>
        <w:t>Base Indenture</w:t>
      </w:r>
      <w:r>
        <w:rPr>
          <w:rFonts w:ascii="Arial" w:cs="Arial" w:eastAsia="Arial" w:hAnsi="Arial"/>
          <w:sz w:val="16"/>
          <w:szCs w:val="16"/>
          <w:color w:val="auto"/>
        </w:rPr>
        <w:t>”), between the Company and U.S. Bank National Association, as trustee (the “</w:t>
      </w:r>
      <w:r>
        <w:rPr>
          <w:rFonts w:ascii="Arial" w:cs="Arial" w:eastAsia="Arial" w:hAnsi="Arial"/>
          <w:sz w:val="16"/>
          <w:szCs w:val="16"/>
          <w:b w:val="1"/>
          <w:bCs w:val="1"/>
          <w:color w:val="auto"/>
        </w:rPr>
        <w:t>Trustee</w:t>
      </w:r>
      <w:r>
        <w:rPr>
          <w:rFonts w:ascii="Arial" w:cs="Arial" w:eastAsia="Arial" w:hAnsi="Arial"/>
          <w:sz w:val="16"/>
          <w:szCs w:val="16"/>
          <w:color w:val="auto"/>
        </w:rPr>
        <w:t>”), as supplemented by the First Supplemental Indenture, dated the date hereof (the “</w:t>
      </w:r>
      <w:r>
        <w:rPr>
          <w:rFonts w:ascii="Arial" w:cs="Arial" w:eastAsia="Arial" w:hAnsi="Arial"/>
          <w:sz w:val="16"/>
          <w:szCs w:val="16"/>
          <w:b w:val="1"/>
          <w:bCs w:val="1"/>
          <w:color w:val="auto"/>
        </w:rPr>
        <w:t>First Supplemental Indenture</w:t>
      </w:r>
      <w:r>
        <w:rPr>
          <w:rFonts w:ascii="Arial" w:cs="Arial" w:eastAsia="Arial" w:hAnsi="Arial"/>
          <w:sz w:val="16"/>
          <w:szCs w:val="16"/>
          <w:color w:val="auto"/>
        </w:rPr>
        <w:t>”, together with the Base Indenture, the “</w:t>
      </w:r>
      <w:r>
        <w:rPr>
          <w:rFonts w:ascii="Arial" w:cs="Arial" w:eastAsia="Arial" w:hAnsi="Arial"/>
          <w:sz w:val="16"/>
          <w:szCs w:val="16"/>
          <w:b w:val="1"/>
          <w:bCs w:val="1"/>
          <w:color w:val="auto"/>
        </w:rPr>
        <w:t>Indenture</w:t>
      </w:r>
      <w:r>
        <w:rPr>
          <w:rFonts w:ascii="Arial" w:cs="Arial" w:eastAsia="Arial" w:hAnsi="Arial"/>
          <w:sz w:val="16"/>
          <w:szCs w:val="16"/>
          <w:color w:val="auto"/>
        </w:rPr>
        <w:t>”) relating to the 4.200% Notes due 2023 (the “2023 Notes”) and the 4.875% Notes due 2028 (the “2028 Notes” and, together with the 2023 Notes, the “Notes”), and the sale of the Notes pursuant to an Underwriting Agreement, dated June 20, 2018 (the “</w:t>
      </w:r>
      <w:r>
        <w:rPr>
          <w:rFonts w:ascii="Arial" w:cs="Arial" w:eastAsia="Arial" w:hAnsi="Arial"/>
          <w:sz w:val="16"/>
          <w:szCs w:val="16"/>
          <w:b w:val="1"/>
          <w:bCs w:val="1"/>
          <w:color w:val="auto"/>
        </w:rPr>
        <w:t>Agreement</w:t>
      </w:r>
      <w:r>
        <w:rPr>
          <w:rFonts w:ascii="Arial" w:cs="Arial" w:eastAsia="Arial" w:hAnsi="Arial"/>
          <w:sz w:val="16"/>
          <w:szCs w:val="16"/>
          <w:color w:val="auto"/>
        </w:rPr>
        <w:t>”), among the Company and Goldman Sachs &amp; Co. LLC and Merrill Lynch, Pierce, Fenner &amp; Smith Incorporated, as representatives of the several underwriters named therein (the “</w:t>
      </w:r>
      <w:r>
        <w:rPr>
          <w:rFonts w:ascii="Arial" w:cs="Arial" w:eastAsia="Arial" w:hAnsi="Arial"/>
          <w:sz w:val="16"/>
          <w:szCs w:val="16"/>
          <w:b w:val="1"/>
          <w:bCs w:val="1"/>
          <w:color w:val="auto"/>
        </w:rPr>
        <w:t>Underwriters</w:t>
      </w:r>
      <w:r>
        <w:rPr>
          <w:rFonts w:ascii="Arial" w:cs="Arial" w:eastAsia="Arial" w:hAnsi="Arial"/>
          <w:sz w:val="16"/>
          <w:szCs w:val="16"/>
          <w:color w:val="auto"/>
        </w:rPr>
        <w:t>”), and pursuant to the Company’s automatic shelf registration statement on Form S-3 (File No. 333-225591) filed with the Securities and Exchange Commission (the “</w:t>
      </w:r>
      <w:r>
        <w:rPr>
          <w:rFonts w:ascii="Arial" w:cs="Arial" w:eastAsia="Arial" w:hAnsi="Arial"/>
          <w:sz w:val="16"/>
          <w:szCs w:val="16"/>
          <w:b w:val="1"/>
          <w:bCs w:val="1"/>
          <w:color w:val="auto"/>
        </w:rPr>
        <w:t>SEC</w:t>
      </w:r>
      <w:r>
        <w:rPr>
          <w:rFonts w:ascii="Arial" w:cs="Arial" w:eastAsia="Arial" w:hAnsi="Arial"/>
          <w:sz w:val="16"/>
          <w:szCs w:val="16"/>
          <w:color w:val="auto"/>
        </w:rPr>
        <w:t>”) on June 13, 2018 (the “</w:t>
      </w:r>
      <w:r>
        <w:rPr>
          <w:rFonts w:ascii="Arial" w:cs="Arial" w:eastAsia="Arial" w:hAnsi="Arial"/>
          <w:sz w:val="16"/>
          <w:szCs w:val="16"/>
          <w:b w:val="1"/>
          <w:bCs w:val="1"/>
          <w:color w:val="auto"/>
        </w:rPr>
        <w:t>Registration Statement</w:t>
      </w:r>
      <w:r>
        <w:rPr>
          <w:rFonts w:ascii="Arial" w:cs="Arial" w:eastAsia="Arial" w:hAnsi="Arial"/>
          <w:sz w:val="16"/>
          <w:szCs w:val="16"/>
          <w:color w:val="auto"/>
        </w:rPr>
        <w:t>”). This opinion letter is furnished to you at your request to enable you to fulfill the requirements of Item 601(b)(5) of Regulation S-K, 17 C.F.R. § 229.601(b)(5), in connection with the Registration Statement.</w:t>
      </w:r>
    </w:p>
    <w:p>
      <w:pPr>
        <w:spacing w:after="0" w:line="164" w:lineRule="exact"/>
        <w:rPr>
          <w:sz w:val="20"/>
          <w:szCs w:val="20"/>
          <w:color w:val="auto"/>
        </w:rPr>
      </w:pPr>
    </w:p>
    <w:p>
      <w:pPr>
        <w:ind w:right="280"/>
        <w:spacing w:after="0" w:line="273" w:lineRule="auto"/>
        <w:rPr>
          <w:sz w:val="20"/>
          <w:szCs w:val="20"/>
          <w:color w:val="auto"/>
        </w:rPr>
      </w:pPr>
      <w:r>
        <w:rPr>
          <w:rFonts w:ascii="Arial" w:cs="Arial" w:eastAsia="Arial" w:hAnsi="Arial"/>
          <w:sz w:val="17"/>
          <w:szCs w:val="17"/>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78"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color w:val="auto"/>
        </w:rPr>
        <w:t>For purposes of this opinion letter, we have assumed that (i) each party to the Indenture has all requisite power and authority under all applicable law and governing documents to execute, deliver and perform its obligations under the Indenture, and each such party has complied with all legal requirements pertaining to its status as such status relates to its rights to enforce the Indenture</w:t>
      </w:r>
    </w:p>
    <w:p>
      <w:pPr>
        <w:spacing w:after="0" w:line="109" w:lineRule="exact"/>
        <w:rPr>
          <w:sz w:val="20"/>
          <w:szCs w:val="20"/>
          <w:color w:val="auto"/>
        </w:rPr>
      </w:pPr>
    </w:p>
    <w:p>
      <w:pPr>
        <w:spacing w:after="0"/>
        <w:rPr>
          <w:sz w:val="20"/>
          <w:szCs w:val="20"/>
          <w:color w:val="auto"/>
        </w:rPr>
      </w:pPr>
      <w:r>
        <w:rPr>
          <w:rFonts w:ascii="Arial" w:cs="Arial" w:eastAsia="Arial" w:hAnsi="Arial"/>
          <w:sz w:val="13"/>
          <w:szCs w:val="13"/>
          <w:color w:val="auto"/>
        </w:rPr>
        <w:t>Hogan Lovells US LLP is a limited liability partnership registered in the District of Columbia. “Hogan Lovells” is an international legal practice that includes Hogan Lovells US LLP and Hogan</w:t>
      </w:r>
    </w:p>
    <w:tbl>
      <w:tblPr>
        <w:tblLayout w:type="fixed"/>
        <w:tblInd w:w="0" w:type="dxa"/>
        <w:tblCellMar>
          <w:top w:w="0" w:type="dxa"/>
          <w:left w:w="0" w:type="dxa"/>
          <w:bottom w:w="0" w:type="dxa"/>
          <w:right w:w="0" w:type="dxa"/>
        </w:tblCellMar>
      </w:tblPr>
      <w:tr>
        <w:trPr>
          <w:trHeight w:val="148"/>
        </w:trPr>
        <w:tc>
          <w:tcPr>
            <w:tcW w:w="2960" w:type="dxa"/>
            <w:vAlign w:val="bottom"/>
            <w:gridSpan w:val="4"/>
          </w:tcPr>
          <w:p>
            <w:pPr>
              <w:spacing w:after="0" w:line="148" w:lineRule="exact"/>
              <w:rPr>
                <w:sz w:val="20"/>
                <w:szCs w:val="20"/>
                <w:color w:val="auto"/>
              </w:rPr>
            </w:pPr>
            <w:r>
              <w:rPr>
                <w:rFonts w:ascii="Arial" w:cs="Arial" w:eastAsia="Arial" w:hAnsi="Arial"/>
                <w:sz w:val="14"/>
                <w:szCs w:val="14"/>
                <w:color w:val="auto"/>
                <w:w w:val="97"/>
              </w:rPr>
              <w:t>Lovells International LLP, with offices in: Alicante</w:t>
            </w:r>
          </w:p>
        </w:tc>
        <w:tc>
          <w:tcPr>
            <w:tcW w:w="1000" w:type="dxa"/>
            <w:vAlign w:val="bottom"/>
            <w:gridSpan w:val="2"/>
          </w:tcPr>
          <w:p>
            <w:pPr>
              <w:ind w:left="160"/>
              <w:spacing w:after="0" w:line="148" w:lineRule="exact"/>
              <w:rPr>
                <w:sz w:val="20"/>
                <w:szCs w:val="20"/>
                <w:color w:val="auto"/>
              </w:rPr>
            </w:pPr>
            <w:r>
              <w:rPr>
                <w:rFonts w:ascii="Arial" w:cs="Arial" w:eastAsia="Arial" w:hAnsi="Arial"/>
                <w:sz w:val="14"/>
                <w:szCs w:val="14"/>
                <w:color w:val="auto"/>
              </w:rPr>
              <w:t>Amsterdam</w:t>
            </w:r>
          </w:p>
        </w:tc>
        <w:tc>
          <w:tcPr>
            <w:tcW w:w="1760" w:type="dxa"/>
            <w:vAlign w:val="bottom"/>
          </w:tcPr>
          <w:p>
            <w:pPr>
              <w:ind w:left="20"/>
              <w:spacing w:after="0" w:line="148" w:lineRule="exact"/>
              <w:rPr>
                <w:sz w:val="20"/>
                <w:szCs w:val="20"/>
                <w:color w:val="auto"/>
              </w:rPr>
            </w:pPr>
            <w:r>
              <w:rPr>
                <w:rFonts w:ascii="Arial" w:cs="Arial" w:eastAsia="Arial" w:hAnsi="Arial"/>
                <w:sz w:val="14"/>
                <w:szCs w:val="14"/>
                <w:color w:val="auto"/>
              </w:rPr>
              <w:t>Baltimore   Beijing   Berlin</w:t>
            </w:r>
          </w:p>
        </w:tc>
        <w:tc>
          <w:tcPr>
            <w:tcW w:w="640" w:type="dxa"/>
            <w:vAlign w:val="bottom"/>
          </w:tcPr>
          <w:p>
            <w:pPr>
              <w:ind w:left="160"/>
              <w:spacing w:after="0" w:line="148" w:lineRule="exact"/>
              <w:rPr>
                <w:sz w:val="20"/>
                <w:szCs w:val="20"/>
                <w:color w:val="auto"/>
              </w:rPr>
            </w:pPr>
            <w:r>
              <w:rPr>
                <w:rFonts w:ascii="Arial" w:cs="Arial" w:eastAsia="Arial" w:hAnsi="Arial"/>
                <w:sz w:val="14"/>
                <w:szCs w:val="14"/>
                <w:color w:val="auto"/>
                <w:w w:val="85"/>
              </w:rPr>
              <w:t>Brussels</w:t>
            </w:r>
          </w:p>
        </w:tc>
        <w:tc>
          <w:tcPr>
            <w:tcW w:w="2540" w:type="dxa"/>
            <w:vAlign w:val="bottom"/>
          </w:tcPr>
          <w:p>
            <w:pPr>
              <w:ind w:left="180"/>
              <w:spacing w:after="0" w:line="148" w:lineRule="exact"/>
              <w:rPr>
                <w:sz w:val="20"/>
                <w:szCs w:val="20"/>
                <w:color w:val="auto"/>
              </w:rPr>
            </w:pPr>
            <w:r>
              <w:rPr>
                <w:rFonts w:ascii="Arial" w:cs="Arial" w:eastAsia="Arial" w:hAnsi="Arial"/>
                <w:sz w:val="14"/>
                <w:szCs w:val="14"/>
                <w:color w:val="auto"/>
              </w:rPr>
              <w:t>Caracas   Colorado Springs</w:t>
            </w:r>
          </w:p>
        </w:tc>
        <w:tc>
          <w:tcPr>
            <w:tcW w:w="6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60" w:type="dxa"/>
            <w:vAlign w:val="bottom"/>
          </w:tcPr>
          <w:p>
            <w:pPr>
              <w:spacing w:after="0"/>
              <w:rPr>
                <w:sz w:val="12"/>
                <w:szCs w:val="12"/>
                <w:color w:val="auto"/>
              </w:rPr>
            </w:pPr>
          </w:p>
        </w:tc>
      </w:tr>
      <w:tr>
        <w:trPr>
          <w:trHeight w:val="149"/>
        </w:trPr>
        <w:tc>
          <w:tcPr>
            <w:tcW w:w="460" w:type="dxa"/>
            <w:vAlign w:val="bottom"/>
          </w:tcPr>
          <w:p>
            <w:pPr>
              <w:spacing w:after="0" w:line="149" w:lineRule="exact"/>
              <w:rPr>
                <w:sz w:val="20"/>
                <w:szCs w:val="20"/>
                <w:color w:val="auto"/>
              </w:rPr>
            </w:pPr>
            <w:r>
              <w:rPr>
                <w:rFonts w:ascii="Arial" w:cs="Arial" w:eastAsia="Arial" w:hAnsi="Arial"/>
                <w:sz w:val="14"/>
                <w:szCs w:val="14"/>
                <w:color w:val="auto"/>
                <w:w w:val="97"/>
              </w:rPr>
              <w:t>Denver</w:t>
            </w:r>
          </w:p>
        </w:tc>
        <w:tc>
          <w:tcPr>
            <w:tcW w:w="580" w:type="dxa"/>
            <w:vAlign w:val="bottom"/>
          </w:tcPr>
          <w:p>
            <w:pPr>
              <w:ind w:left="120"/>
              <w:spacing w:after="0" w:line="149" w:lineRule="exact"/>
              <w:rPr>
                <w:sz w:val="20"/>
                <w:szCs w:val="20"/>
                <w:color w:val="auto"/>
              </w:rPr>
            </w:pPr>
            <w:r>
              <w:rPr>
                <w:rFonts w:ascii="Arial" w:cs="Arial" w:eastAsia="Arial" w:hAnsi="Arial"/>
                <w:sz w:val="14"/>
                <w:szCs w:val="14"/>
                <w:color w:val="auto"/>
              </w:rPr>
              <w:t>Dubai</w:t>
            </w:r>
          </w:p>
        </w:tc>
        <w:tc>
          <w:tcPr>
            <w:tcW w:w="2540" w:type="dxa"/>
            <w:vAlign w:val="bottom"/>
            <w:gridSpan w:val="3"/>
          </w:tcPr>
          <w:p>
            <w:pPr>
              <w:ind w:left="40"/>
              <w:spacing w:after="0" w:line="149" w:lineRule="exact"/>
              <w:rPr>
                <w:sz w:val="20"/>
                <w:szCs w:val="20"/>
                <w:color w:val="auto"/>
              </w:rPr>
            </w:pPr>
            <w:r>
              <w:rPr>
                <w:rFonts w:ascii="Arial" w:cs="Arial" w:eastAsia="Arial" w:hAnsi="Arial"/>
                <w:sz w:val="14"/>
                <w:szCs w:val="14"/>
                <w:color w:val="auto"/>
              </w:rPr>
              <w:t>Dusseldorf  Frankfurt  Hamburg  Hanoi</w:t>
            </w:r>
          </w:p>
        </w:tc>
        <w:tc>
          <w:tcPr>
            <w:tcW w:w="2140" w:type="dxa"/>
            <w:vAlign w:val="bottom"/>
            <w:gridSpan w:val="2"/>
          </w:tcPr>
          <w:p>
            <w:pPr>
              <w:ind w:left="140"/>
              <w:spacing w:after="0" w:line="149" w:lineRule="exact"/>
              <w:rPr>
                <w:sz w:val="20"/>
                <w:szCs w:val="20"/>
                <w:color w:val="auto"/>
              </w:rPr>
            </w:pPr>
            <w:r>
              <w:rPr>
                <w:rFonts w:ascii="Arial" w:cs="Arial" w:eastAsia="Arial" w:hAnsi="Arial"/>
                <w:sz w:val="14"/>
                <w:szCs w:val="14"/>
                <w:color w:val="auto"/>
              </w:rPr>
              <w:t>Ho Chi Minh City  Hong Kong</w:t>
            </w:r>
          </w:p>
        </w:tc>
        <w:tc>
          <w:tcPr>
            <w:tcW w:w="640" w:type="dxa"/>
            <w:vAlign w:val="bottom"/>
          </w:tcPr>
          <w:p>
            <w:pPr>
              <w:spacing w:after="0" w:line="149" w:lineRule="exact"/>
              <w:rPr>
                <w:sz w:val="20"/>
                <w:szCs w:val="20"/>
                <w:color w:val="auto"/>
              </w:rPr>
            </w:pPr>
            <w:r>
              <w:rPr>
                <w:rFonts w:ascii="Arial" w:cs="Arial" w:eastAsia="Arial" w:hAnsi="Arial"/>
                <w:sz w:val="14"/>
                <w:szCs w:val="14"/>
                <w:color w:val="auto"/>
              </w:rPr>
              <w:t>Houston</w:t>
            </w:r>
          </w:p>
        </w:tc>
        <w:tc>
          <w:tcPr>
            <w:tcW w:w="2540" w:type="dxa"/>
            <w:vAlign w:val="bottom"/>
          </w:tcPr>
          <w:p>
            <w:pPr>
              <w:spacing w:after="0" w:line="149" w:lineRule="exact"/>
              <w:rPr>
                <w:sz w:val="20"/>
                <w:szCs w:val="20"/>
                <w:color w:val="auto"/>
              </w:rPr>
            </w:pPr>
            <w:r>
              <w:rPr>
                <w:rFonts w:ascii="Arial" w:cs="Arial" w:eastAsia="Arial" w:hAnsi="Arial"/>
                <w:sz w:val="14"/>
                <w:szCs w:val="14"/>
                <w:color w:val="auto"/>
              </w:rPr>
              <w:t>London  Los Angeles   Madrid   Miami</w:t>
            </w:r>
          </w:p>
        </w:tc>
        <w:tc>
          <w:tcPr>
            <w:tcW w:w="600" w:type="dxa"/>
            <w:vAlign w:val="bottom"/>
          </w:tcPr>
          <w:p>
            <w:pPr>
              <w:ind w:left="120"/>
              <w:spacing w:after="0" w:line="149" w:lineRule="exact"/>
              <w:rPr>
                <w:sz w:val="20"/>
                <w:szCs w:val="20"/>
                <w:color w:val="auto"/>
              </w:rPr>
            </w:pPr>
            <w:r>
              <w:rPr>
                <w:rFonts w:ascii="Arial" w:cs="Arial" w:eastAsia="Arial" w:hAnsi="Arial"/>
                <w:sz w:val="14"/>
                <w:szCs w:val="14"/>
                <w:color w:val="auto"/>
              </w:rPr>
              <w:t>Milan</w:t>
            </w:r>
          </w:p>
        </w:tc>
        <w:tc>
          <w:tcPr>
            <w:tcW w:w="1180" w:type="dxa"/>
            <w:vAlign w:val="bottom"/>
          </w:tcPr>
          <w:p>
            <w:pPr>
              <w:ind w:left="40"/>
              <w:spacing w:after="0" w:line="149" w:lineRule="exact"/>
              <w:rPr>
                <w:sz w:val="20"/>
                <w:szCs w:val="20"/>
                <w:color w:val="auto"/>
              </w:rPr>
            </w:pPr>
            <w:r>
              <w:rPr>
                <w:rFonts w:ascii="Arial" w:cs="Arial" w:eastAsia="Arial" w:hAnsi="Arial"/>
                <w:sz w:val="14"/>
                <w:szCs w:val="14"/>
                <w:color w:val="auto"/>
              </w:rPr>
              <w:t>Moscow   Munich</w:t>
            </w:r>
          </w:p>
        </w:tc>
        <w:tc>
          <w:tcPr>
            <w:tcW w:w="660" w:type="dxa"/>
            <w:vAlign w:val="bottom"/>
          </w:tcPr>
          <w:p>
            <w:pPr>
              <w:ind w:left="160"/>
              <w:spacing w:after="0" w:line="149" w:lineRule="exact"/>
              <w:rPr>
                <w:sz w:val="20"/>
                <w:szCs w:val="20"/>
                <w:color w:val="auto"/>
              </w:rPr>
            </w:pPr>
            <w:r>
              <w:rPr>
                <w:rFonts w:ascii="Arial" w:cs="Arial" w:eastAsia="Arial" w:hAnsi="Arial"/>
                <w:sz w:val="14"/>
                <w:szCs w:val="14"/>
                <w:color w:val="auto"/>
              </w:rPr>
              <w:t>New</w:t>
            </w:r>
          </w:p>
        </w:tc>
      </w:tr>
      <w:tr>
        <w:trPr>
          <w:trHeight w:val="149"/>
        </w:trPr>
        <w:tc>
          <w:tcPr>
            <w:tcW w:w="460" w:type="dxa"/>
            <w:vAlign w:val="bottom"/>
          </w:tcPr>
          <w:p>
            <w:pPr>
              <w:spacing w:after="0" w:line="149" w:lineRule="exact"/>
              <w:rPr>
                <w:sz w:val="20"/>
                <w:szCs w:val="20"/>
                <w:color w:val="auto"/>
              </w:rPr>
            </w:pPr>
            <w:r>
              <w:rPr>
                <w:rFonts w:ascii="Arial" w:cs="Arial" w:eastAsia="Arial" w:hAnsi="Arial"/>
                <w:sz w:val="14"/>
                <w:szCs w:val="14"/>
                <w:color w:val="auto"/>
              </w:rPr>
              <w:t>York</w:t>
            </w:r>
          </w:p>
        </w:tc>
        <w:tc>
          <w:tcPr>
            <w:tcW w:w="1180" w:type="dxa"/>
            <w:vAlign w:val="bottom"/>
            <w:gridSpan w:val="2"/>
          </w:tcPr>
          <w:p>
            <w:pPr>
              <w:spacing w:after="0" w:line="149" w:lineRule="exact"/>
              <w:rPr>
                <w:sz w:val="20"/>
                <w:szCs w:val="20"/>
                <w:color w:val="auto"/>
              </w:rPr>
            </w:pPr>
            <w:r>
              <w:rPr>
                <w:rFonts w:ascii="Arial" w:cs="Arial" w:eastAsia="Arial" w:hAnsi="Arial"/>
                <w:sz w:val="14"/>
                <w:szCs w:val="14"/>
                <w:color w:val="auto"/>
              </w:rPr>
              <w:t>Northern Virginia</w:t>
            </w:r>
          </w:p>
        </w:tc>
        <w:tc>
          <w:tcPr>
            <w:tcW w:w="1320" w:type="dxa"/>
            <w:vAlign w:val="bottom"/>
          </w:tcPr>
          <w:p>
            <w:pPr>
              <w:jc w:val="center"/>
              <w:spacing w:after="0" w:line="149" w:lineRule="exact"/>
              <w:rPr>
                <w:sz w:val="20"/>
                <w:szCs w:val="20"/>
                <w:color w:val="auto"/>
              </w:rPr>
            </w:pPr>
            <w:r>
              <w:rPr>
                <w:rFonts w:ascii="Arial" w:cs="Arial" w:eastAsia="Arial" w:hAnsi="Arial"/>
                <w:sz w:val="14"/>
                <w:szCs w:val="14"/>
                <w:color w:val="auto"/>
                <w:w w:val="98"/>
              </w:rPr>
              <w:t>Paris   Philadelphia</w:t>
            </w:r>
          </w:p>
        </w:tc>
        <w:tc>
          <w:tcPr>
            <w:tcW w:w="620" w:type="dxa"/>
            <w:vAlign w:val="bottom"/>
          </w:tcPr>
          <w:p>
            <w:pPr>
              <w:ind w:left="40"/>
              <w:spacing w:after="0" w:line="149" w:lineRule="exact"/>
              <w:rPr>
                <w:sz w:val="20"/>
                <w:szCs w:val="20"/>
                <w:color w:val="auto"/>
              </w:rPr>
            </w:pPr>
            <w:r>
              <w:rPr>
                <w:rFonts w:ascii="Arial" w:cs="Arial" w:eastAsia="Arial" w:hAnsi="Arial"/>
                <w:sz w:val="14"/>
                <w:szCs w:val="14"/>
                <w:color w:val="auto"/>
              </w:rPr>
              <w:t>Prague</w:t>
            </w:r>
          </w:p>
        </w:tc>
        <w:tc>
          <w:tcPr>
            <w:tcW w:w="380" w:type="dxa"/>
            <w:vAlign w:val="bottom"/>
          </w:tcPr>
          <w:p>
            <w:pPr>
              <w:spacing w:after="0" w:line="149" w:lineRule="exact"/>
              <w:rPr>
                <w:sz w:val="20"/>
                <w:szCs w:val="20"/>
                <w:color w:val="auto"/>
              </w:rPr>
            </w:pPr>
            <w:r>
              <w:rPr>
                <w:rFonts w:ascii="Arial" w:cs="Arial" w:eastAsia="Arial" w:hAnsi="Arial"/>
                <w:sz w:val="14"/>
                <w:szCs w:val="14"/>
                <w:color w:val="auto"/>
                <w:w w:val="96"/>
              </w:rPr>
              <w:t>Rome</w:t>
            </w:r>
          </w:p>
        </w:tc>
        <w:tc>
          <w:tcPr>
            <w:tcW w:w="1760" w:type="dxa"/>
            <w:vAlign w:val="bottom"/>
          </w:tcPr>
          <w:p>
            <w:pPr>
              <w:ind w:left="140"/>
              <w:spacing w:after="0" w:line="149" w:lineRule="exact"/>
              <w:rPr>
                <w:sz w:val="20"/>
                <w:szCs w:val="20"/>
                <w:color w:val="auto"/>
              </w:rPr>
            </w:pPr>
            <w:r>
              <w:rPr>
                <w:rFonts w:ascii="Arial" w:cs="Arial" w:eastAsia="Arial" w:hAnsi="Arial"/>
                <w:sz w:val="14"/>
                <w:szCs w:val="14"/>
                <w:color w:val="auto"/>
                <w:w w:val="99"/>
              </w:rPr>
              <w:t>San Francisco   Shanghai</w:t>
            </w:r>
          </w:p>
        </w:tc>
        <w:tc>
          <w:tcPr>
            <w:tcW w:w="3180" w:type="dxa"/>
            <w:vAlign w:val="bottom"/>
            <w:gridSpan w:val="2"/>
          </w:tcPr>
          <w:p>
            <w:pPr>
              <w:ind w:left="100"/>
              <w:spacing w:after="0" w:line="149" w:lineRule="exact"/>
              <w:rPr>
                <w:sz w:val="20"/>
                <w:szCs w:val="20"/>
                <w:color w:val="auto"/>
              </w:rPr>
            </w:pPr>
            <w:r>
              <w:rPr>
                <w:rFonts w:ascii="Arial" w:cs="Arial" w:eastAsia="Arial" w:hAnsi="Arial"/>
                <w:sz w:val="14"/>
                <w:szCs w:val="14"/>
                <w:color w:val="auto"/>
              </w:rPr>
              <w:t>Silicon Valley   Singapore   Tokyo   Ulaanbaatar</w:t>
            </w:r>
          </w:p>
        </w:tc>
        <w:tc>
          <w:tcPr>
            <w:tcW w:w="600" w:type="dxa"/>
            <w:vAlign w:val="bottom"/>
          </w:tcPr>
          <w:p>
            <w:pPr>
              <w:ind w:left="80"/>
              <w:spacing w:after="0" w:line="149" w:lineRule="exact"/>
              <w:rPr>
                <w:sz w:val="20"/>
                <w:szCs w:val="20"/>
                <w:color w:val="auto"/>
              </w:rPr>
            </w:pPr>
            <w:r>
              <w:rPr>
                <w:rFonts w:ascii="Arial" w:cs="Arial" w:eastAsia="Arial" w:hAnsi="Arial"/>
                <w:sz w:val="14"/>
                <w:szCs w:val="14"/>
                <w:color w:val="auto"/>
                <w:w w:val="98"/>
              </w:rPr>
              <w:t>Warsaw</w:t>
            </w:r>
          </w:p>
        </w:tc>
        <w:tc>
          <w:tcPr>
            <w:tcW w:w="1180" w:type="dxa"/>
            <w:vAlign w:val="bottom"/>
          </w:tcPr>
          <w:p>
            <w:pPr>
              <w:ind w:left="120"/>
              <w:spacing w:after="0" w:line="149" w:lineRule="exact"/>
              <w:rPr>
                <w:sz w:val="20"/>
                <w:szCs w:val="20"/>
                <w:color w:val="auto"/>
              </w:rPr>
            </w:pPr>
            <w:r>
              <w:rPr>
                <w:rFonts w:ascii="Arial" w:cs="Arial" w:eastAsia="Arial" w:hAnsi="Arial"/>
                <w:sz w:val="14"/>
                <w:szCs w:val="14"/>
                <w:color w:val="auto"/>
              </w:rPr>
              <w:t>Washington DC</w:t>
            </w:r>
          </w:p>
        </w:tc>
        <w:tc>
          <w:tcPr>
            <w:tcW w:w="660" w:type="dxa"/>
            <w:vAlign w:val="bottom"/>
          </w:tcPr>
          <w:p>
            <w:pPr>
              <w:ind w:left="40"/>
              <w:spacing w:after="0" w:line="149" w:lineRule="exact"/>
              <w:rPr>
                <w:sz w:val="20"/>
                <w:szCs w:val="20"/>
                <w:color w:val="auto"/>
              </w:rPr>
            </w:pPr>
            <w:r>
              <w:rPr>
                <w:rFonts w:ascii="Arial" w:cs="Arial" w:eastAsia="Arial" w:hAnsi="Arial"/>
                <w:sz w:val="14"/>
                <w:szCs w:val="14"/>
                <w:color w:val="auto"/>
                <w:w w:val="87"/>
              </w:rPr>
              <w:t>Associated</w:t>
            </w:r>
          </w:p>
        </w:tc>
      </w:tr>
      <w:tr>
        <w:trPr>
          <w:trHeight w:val="182"/>
        </w:trPr>
        <w:tc>
          <w:tcPr>
            <w:tcW w:w="1040" w:type="dxa"/>
            <w:vAlign w:val="bottom"/>
            <w:gridSpan w:val="2"/>
          </w:tcPr>
          <w:p>
            <w:pPr>
              <w:spacing w:after="0"/>
              <w:rPr>
                <w:sz w:val="20"/>
                <w:szCs w:val="20"/>
                <w:color w:val="auto"/>
              </w:rPr>
            </w:pPr>
            <w:r>
              <w:rPr>
                <w:rFonts w:ascii="Arial" w:cs="Arial" w:eastAsia="Arial" w:hAnsi="Arial"/>
                <w:sz w:val="14"/>
                <w:szCs w:val="14"/>
                <w:color w:val="auto"/>
                <w:w w:val="94"/>
              </w:rPr>
              <w:t>offices: Budapest</w:t>
            </w:r>
          </w:p>
        </w:tc>
        <w:tc>
          <w:tcPr>
            <w:tcW w:w="600" w:type="dxa"/>
            <w:vAlign w:val="bottom"/>
          </w:tcPr>
          <w:p>
            <w:pPr>
              <w:ind w:left="140"/>
              <w:spacing w:after="0"/>
              <w:rPr>
                <w:sz w:val="20"/>
                <w:szCs w:val="20"/>
                <w:color w:val="auto"/>
              </w:rPr>
            </w:pPr>
            <w:r>
              <w:rPr>
                <w:rFonts w:ascii="Arial" w:cs="Arial" w:eastAsia="Arial" w:hAnsi="Arial"/>
                <w:sz w:val="14"/>
                <w:szCs w:val="14"/>
                <w:color w:val="auto"/>
                <w:w w:val="95"/>
              </w:rPr>
              <w:t>Jakarta</w:t>
            </w:r>
          </w:p>
        </w:tc>
        <w:tc>
          <w:tcPr>
            <w:tcW w:w="1320" w:type="dxa"/>
            <w:vAlign w:val="bottom"/>
          </w:tcPr>
          <w:p>
            <w:pPr>
              <w:jc w:val="center"/>
              <w:spacing w:after="0"/>
              <w:rPr>
                <w:sz w:val="20"/>
                <w:szCs w:val="20"/>
                <w:color w:val="auto"/>
              </w:rPr>
            </w:pPr>
            <w:r>
              <w:rPr>
                <w:rFonts w:ascii="Arial" w:cs="Arial" w:eastAsia="Arial" w:hAnsi="Arial"/>
                <w:sz w:val="14"/>
                <w:szCs w:val="14"/>
                <w:color w:val="auto"/>
                <w:w w:val="98"/>
              </w:rPr>
              <w:t>Jeddah   Riyadh</w:t>
            </w:r>
          </w:p>
        </w:tc>
        <w:tc>
          <w:tcPr>
            <w:tcW w:w="3400" w:type="dxa"/>
            <w:vAlign w:val="bottom"/>
            <w:gridSpan w:val="4"/>
          </w:tcPr>
          <w:p>
            <w:pPr>
              <w:spacing w:after="0"/>
              <w:rPr>
                <w:sz w:val="20"/>
                <w:szCs w:val="20"/>
                <w:color w:val="auto"/>
              </w:rPr>
            </w:pPr>
            <w:r>
              <w:rPr>
                <w:rFonts w:ascii="Arial" w:cs="Arial" w:eastAsia="Arial" w:hAnsi="Arial"/>
                <w:sz w:val="14"/>
                <w:szCs w:val="14"/>
                <w:color w:val="auto"/>
                <w:w w:val="95"/>
              </w:rPr>
              <w:t>Zagreb. For more information see www.hoganlovells.com</w:t>
            </w:r>
          </w:p>
        </w:tc>
        <w:tc>
          <w:tcPr>
            <w:tcW w:w="25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660" w:type="dxa"/>
            <w:vAlign w:val="bottom"/>
          </w:tcPr>
          <w:p>
            <w:pPr>
              <w:spacing w:after="0"/>
              <w:rPr>
                <w:sz w:val="15"/>
                <w:szCs w:val="15"/>
                <w:color w:val="auto"/>
              </w:rPr>
            </w:pPr>
          </w:p>
        </w:tc>
      </w:tr>
    </w:tbl>
    <w:p>
      <w:pPr>
        <w:sectPr>
          <w:pgSz w:w="11900" w:h="16838" w:orient="portrait"/>
          <w:cols w:equalWidth="0" w:num="1">
            <w:col w:w="11420"/>
          </w:cols>
          <w:pgMar w:left="240" w:top="121" w:right="239" w:bottom="1440" w:gutter="0" w:footer="0" w:header="0"/>
        </w:sectPr>
      </w:pPr>
    </w:p>
    <w:bookmarkStart w:id="163" w:name="page164"/>
    <w:bookmarkEnd w:id="163"/>
    <w:p>
      <w:pPr>
        <w:spacing w:after="0"/>
        <w:tabs>
          <w:tab w:leader="none" w:pos="104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r>
        <w:rPr>
          <w:sz w:val="20"/>
          <w:szCs w:val="20"/>
          <w:color w:val="auto"/>
        </w:rPr>
        <w:tab/>
      </w:r>
      <w:r>
        <w:rPr>
          <w:rFonts w:ascii="Arial" w:cs="Arial" w:eastAsia="Arial" w:hAnsi="Arial"/>
          <w:sz w:val="15"/>
          <w:szCs w:val="15"/>
          <w:color w:val="auto"/>
        </w:rPr>
        <w:t>June 22, 2018</w:t>
      </w:r>
    </w:p>
    <w:p>
      <w:pPr>
        <w:spacing w:after="0" w:line="158"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against the Company; (ii) each such party has duly authorized and, with respect to the Company to the extent governed by Bermuda law, executed and delivered the Indenture; (iii) each party to the Indenture is validly existing and in good standing in all necessary jurisdictions; (iv) the Indenture constitutes a valid and binding obligation, enforceable against each of such other parties other than the Company in accordance with its terms; (v) there has been no mutual mistake of fact or misunderstanding, or fraud, duress or undue influence, in connection with the negotiation, execution or delivery of the Indenture, and the conduct of all parties to the Indenture has complied with any requirements of good faith, fair dealing and conscionability; and (vi) there are and have been no agreements or understandings among the parties, written or oral, and there is and has been no usage of trade or course of prior dealing among the parties (and no act or omission of any party), that would, in any such case, define, supplement or qualify the terms of the Indenture. We have also assumed the validity and constitutionality of each relevant statute, rule, regulation and agency action covered by this opinion letter.</w:t>
      </w:r>
    </w:p>
    <w:p>
      <w:pPr>
        <w:spacing w:after="0" w:line="166"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This opinion letter is based as to matters of law solely on the applicable provisions of laws of the State of New York (but not including any laws, statutes, ordinances, administrative decisions, rules or regulations of any political subdivision below the state level), as currently in effect. We express no opinion herein as to any other laws, statutes, ordinances, rules or regulations (and in particular, we express no opinion as to any effect that such other laws, statutes, ordinances, rules or regulations may have on the opinion expressed herein). Insofar as the opinions expressed herein relate to or are dependent upon matters governed by Bermuda law, we have relied, without independent investigation, upon, and our opinions expressed herein are subject to all of the qualifications, assumptions and limitations expressed in, the opinion dated June 22, 2018 of Appleby (Bermuda) Limited, special counsel to the Company in Bermuda, filed as Exhibit 5.2 to the Current Report on Form 8-K on the date hereof relating to the offer and sale of the Notes.</w:t>
      </w:r>
    </w:p>
    <w:p>
      <w:pPr>
        <w:spacing w:after="0" w:line="167" w:lineRule="exact"/>
        <w:rPr>
          <w:sz w:val="20"/>
          <w:szCs w:val="20"/>
          <w:color w:val="auto"/>
        </w:rPr>
      </w:pPr>
    </w:p>
    <w:p>
      <w:pPr>
        <w:ind w:right="180"/>
        <w:spacing w:after="0" w:line="312" w:lineRule="auto"/>
        <w:rPr>
          <w:sz w:val="20"/>
          <w:szCs w:val="20"/>
          <w:color w:val="auto"/>
        </w:rPr>
      </w:pPr>
      <w:r>
        <w:rPr>
          <w:rFonts w:ascii="Arial" w:cs="Arial" w:eastAsia="Arial" w:hAnsi="Arial"/>
          <w:sz w:val="16"/>
          <w:szCs w:val="16"/>
          <w:color w:val="auto"/>
        </w:rPr>
        <w:t>Based upon, subject to and limited by the foregoing, we are of the opinion that the Notes have been duly authorized on behalf of the Company and that, following (i) receipt by the Company of the consideration for the Notes specified in the Underwriting Agreement, and (ii) the due execution, authentication, issuance and delivery of the Notes pursuant to the terms of the Indenture, the Notes will constitute valid and binding obligations of the Company.</w:t>
      </w:r>
    </w:p>
    <w:p>
      <w:pPr>
        <w:spacing w:after="0" w:line="147" w:lineRule="exact"/>
        <w:rPr>
          <w:sz w:val="20"/>
          <w:szCs w:val="20"/>
          <w:color w:val="auto"/>
        </w:rPr>
      </w:pPr>
    </w:p>
    <w:p>
      <w:pPr>
        <w:ind w:right="220"/>
        <w:spacing w:after="0" w:line="302" w:lineRule="auto"/>
        <w:rPr>
          <w:sz w:val="20"/>
          <w:szCs w:val="20"/>
          <w:color w:val="auto"/>
        </w:rPr>
      </w:pPr>
      <w:r>
        <w:rPr>
          <w:rFonts w:ascii="Arial" w:cs="Arial" w:eastAsia="Arial" w:hAnsi="Arial"/>
          <w:sz w:val="16"/>
          <w:szCs w:val="16"/>
          <w:color w:val="auto"/>
        </w:rPr>
        <w:t>The opinion expressed above with respect to the valid and binding nature of obligations may be limited by bankruptcy, insolvency, reorganization, receivership, moratorium or other laws affecting creditors’ rights (including, without limitation, the effect of statutory and other law regarding fraudulent conveyances, fraudulent transfers and preferential transfers) and by the exercise of judicial discretion and the application of principles of equity, good faith, fair dealing, reasonableness, conscionability and materiality (regardless of whether the Notes are considered in a proceeding in equity or at law).</w:t>
      </w:r>
    </w:p>
    <w:p>
      <w:pPr>
        <w:spacing w:after="0" w:line="154"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This opinion letter has been prepared for use in connection with the filing by the Company of a Current Report on Form 8-K on the date hereof, which Form 8-K will be incorporated by reference in the Registration Statement and speaks as of the date hereof. We assume no obligation to advise of any changes in the foregoing subsequent to the delivery of this opinion letter.</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- 2 -</w:t>
      </w:r>
    </w:p>
    <w:p>
      <w:pPr>
        <w:sectPr>
          <w:pgSz w:w="11900" w:h="16838" w:orient="portrait"/>
          <w:cols w:equalWidth="0" w:num="1">
            <w:col w:w="11420"/>
          </w:cols>
          <w:pgMar w:left="240" w:top="274" w:right="239" w:bottom="1440" w:gutter="0" w:footer="0" w:header="0"/>
        </w:sectPr>
      </w:pPr>
    </w:p>
    <w:bookmarkStart w:id="164" w:name="page165"/>
    <w:bookmarkEnd w:id="164"/>
    <w:p>
      <w:pPr>
        <w:spacing w:after="0"/>
        <w:tabs>
          <w:tab w:leader="none" w:pos="104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r>
        <w:rPr>
          <w:sz w:val="20"/>
          <w:szCs w:val="20"/>
          <w:color w:val="auto"/>
        </w:rPr>
        <w:tab/>
      </w:r>
      <w:r>
        <w:rPr>
          <w:rFonts w:ascii="Arial" w:cs="Arial" w:eastAsia="Arial" w:hAnsi="Arial"/>
          <w:sz w:val="15"/>
          <w:szCs w:val="15"/>
          <w:color w:val="auto"/>
        </w:rPr>
        <w:t>June 22, 2018</w:t>
      </w:r>
    </w:p>
    <w:p>
      <w:pPr>
        <w:spacing w:after="0" w:line="15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We hereby consent to the filing of this opinion letter as Exhibit 5.1 to the above-described Form 8-K and to the reference to this firm under the caption “Legal Matters” in the Prospectus dated June 20, 2018 constituting a part of the Registration Statement. In giving this consent, we do not thereby admit that we are an “expert” within the meaning of the Securities Act of 1933, as amended.</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Hogan Lovells US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- 3 -</w:t>
      </w:r>
    </w:p>
    <w:p>
      <w:pPr>
        <w:sectPr>
          <w:pgSz w:w="11900" w:h="16838" w:orient="portrait"/>
          <w:cols w:equalWidth="0" w:num="1">
            <w:col w:w="11420"/>
          </w:cols>
          <w:pgMar w:left="240" w:top="274" w:right="239" w:bottom="1440" w:gutter="0" w:footer="0" w:header="0"/>
        </w:sectPr>
      </w:pPr>
    </w:p>
    <w:bookmarkStart w:id="165" w:name="page166"/>
    <w:bookmarkEnd w:id="16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 Office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w:t>
      </w:r>
    </w:p>
    <w:p>
      <w:pPr>
        <w:spacing w:after="0" w:line="21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Tel +1 441 295 2244</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right"/>
        <w:spacing w:after="0" w:line="245" w:lineRule="auto"/>
        <w:rPr>
          <w:sz w:val="20"/>
          <w:szCs w:val="20"/>
          <w:color w:val="auto"/>
        </w:rPr>
      </w:pPr>
      <w:r>
        <w:rPr>
          <w:rFonts w:ascii="Arial" w:cs="Arial" w:eastAsia="Arial" w:hAnsi="Arial"/>
          <w:sz w:val="13"/>
          <w:szCs w:val="13"/>
          <w:color w:val="auto"/>
        </w:rPr>
        <w:t>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880" w:type="dxa"/>
            <w:vAlign w:val="bottom"/>
          </w:tcPr>
          <w:p>
            <w:pPr>
              <w:spacing w:after="0"/>
              <w:rPr>
                <w:sz w:val="20"/>
                <w:szCs w:val="20"/>
                <w:color w:val="auto"/>
              </w:rPr>
            </w:pP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Exhibit 5.2</w:t>
            </w:r>
          </w:p>
        </w:tc>
      </w:tr>
      <w:tr>
        <w:trPr>
          <w:trHeight w:val="441"/>
        </w:trPr>
        <w:tc>
          <w:tcPr>
            <w:tcW w:w="4880" w:type="dxa"/>
            <w:vAlign w:val="bottom"/>
          </w:tcPr>
          <w:p>
            <w:pPr>
              <w:spacing w:after="0"/>
              <w:rPr>
                <w:sz w:val="20"/>
                <w:szCs w:val="20"/>
                <w:color w:val="auto"/>
              </w:rPr>
            </w:pPr>
            <w:r>
              <w:rPr>
                <w:rFonts w:ascii="Arial" w:cs="Arial" w:eastAsia="Arial" w:hAnsi="Arial"/>
                <w:sz w:val="18"/>
                <w:szCs w:val="18"/>
                <w:b w:val="1"/>
                <w:bCs w:val="1"/>
                <w:color w:val="auto"/>
              </w:rPr>
              <w:t>Board of Directors</w:t>
            </w: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MEBrewer@applebyglobal.com</w:t>
            </w:r>
          </w:p>
        </w:tc>
      </w:tr>
      <w:tr>
        <w:trPr>
          <w:trHeight w:val="234"/>
        </w:trPr>
        <w:tc>
          <w:tcPr>
            <w:tcW w:w="48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360" w:type="dxa"/>
            <w:vAlign w:val="bottom"/>
          </w:tcPr>
          <w:p>
            <w:pPr>
              <w:spacing w:after="0"/>
              <w:rPr>
                <w:sz w:val="20"/>
                <w:szCs w:val="20"/>
                <w:color w:val="auto"/>
              </w:rPr>
            </w:pPr>
          </w:p>
        </w:tc>
      </w:tr>
      <w:tr>
        <w:trPr>
          <w:trHeight w:val="338"/>
        </w:trPr>
        <w:tc>
          <w:tcPr>
            <w:tcW w:w="4880" w:type="dxa"/>
            <w:vAlign w:val="bottom"/>
          </w:tcPr>
          <w:p>
            <w:pPr>
              <w:spacing w:after="0"/>
              <w:rPr>
                <w:sz w:val="24"/>
                <w:szCs w:val="24"/>
                <w:color w:val="auto"/>
              </w:rPr>
            </w:pP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+1 441 298 3226</w:t>
            </w:r>
          </w:p>
        </w:tc>
      </w:tr>
      <w:tr>
        <w:trPr>
          <w:trHeight w:val="324"/>
        </w:trPr>
        <w:tc>
          <w:tcPr>
            <w:tcW w:w="4880" w:type="dxa"/>
            <w:vAlign w:val="bottom"/>
          </w:tcPr>
          <w:p>
            <w:pPr>
              <w:spacing w:after="0"/>
              <w:rPr>
                <w:sz w:val="24"/>
                <w:szCs w:val="24"/>
                <w:color w:val="auto"/>
              </w:rPr>
            </w:pP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+ 1 441 295 2244</w:t>
            </w:r>
          </w:p>
        </w:tc>
      </w:tr>
      <w:tr>
        <w:trPr>
          <w:trHeight w:val="432"/>
        </w:trPr>
        <w:tc>
          <w:tcPr>
            <w:tcW w:w="4880" w:type="dxa"/>
            <w:vAlign w:val="bottom"/>
          </w:tcPr>
          <w:p>
            <w:pPr>
              <w:spacing w:after="0"/>
              <w:rPr>
                <w:sz w:val="24"/>
                <w:szCs w:val="24"/>
                <w:color w:val="auto"/>
              </w:rPr>
            </w:pP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Your Ref</w:t>
            </w:r>
          </w:p>
        </w:tc>
      </w:tr>
      <w:tr>
        <w:trPr>
          <w:trHeight w:val="324"/>
        </w:trPr>
        <w:tc>
          <w:tcPr>
            <w:tcW w:w="4880" w:type="dxa"/>
            <w:vAlign w:val="bottom"/>
          </w:tcPr>
          <w:p>
            <w:pPr>
              <w:spacing w:after="0"/>
              <w:rPr>
                <w:sz w:val="24"/>
                <w:szCs w:val="24"/>
                <w:color w:val="auto"/>
              </w:rPr>
            </w:pPr>
          </w:p>
        </w:tc>
        <w:tc>
          <w:tcPr>
            <w:tcW w:w="4360" w:type="dxa"/>
            <w:vAlign w:val="bottom"/>
          </w:tcPr>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124494.0045/ME/SS</w:t>
            </w:r>
          </w:p>
        </w:tc>
      </w:tr>
      <w:tr>
        <w:trPr>
          <w:trHeight w:val="338"/>
        </w:trPr>
        <w:tc>
          <w:tcPr>
            <w:tcW w:w="4880" w:type="dxa"/>
            <w:vAlign w:val="bottom"/>
          </w:tcPr>
          <w:p>
            <w:pPr>
              <w:spacing w:after="0"/>
              <w:rPr>
                <w:sz w:val="24"/>
                <w:szCs w:val="24"/>
                <w:color w:val="auto"/>
              </w:rPr>
            </w:pPr>
          </w:p>
        </w:tc>
        <w:tc>
          <w:tcPr>
            <w:tcW w:w="4360" w:type="dxa"/>
            <w:vAlign w:val="bottom"/>
          </w:tcPr>
          <w:p>
            <w:pPr>
              <w:jc w:val="right"/>
              <w:spacing w:after="0"/>
              <w:rPr>
                <w:sz w:val="20"/>
                <w:szCs w:val="20"/>
                <w:color w:val="auto"/>
              </w:rPr>
            </w:pPr>
            <w:r>
              <w:rPr>
                <w:rFonts w:ascii="Arial" w:cs="Arial" w:eastAsia="Arial" w:hAnsi="Arial"/>
                <w:sz w:val="18"/>
                <w:szCs w:val="18"/>
                <w:color w:val="auto"/>
              </w:rPr>
              <w:t>22 June 2018</w:t>
            </w:r>
          </w:p>
        </w:tc>
      </w:tr>
      <w:tr>
        <w:trPr>
          <w:trHeight w:val="473"/>
        </w:trPr>
        <w:tc>
          <w:tcPr>
            <w:tcW w:w="4880" w:type="dxa"/>
            <w:vAlign w:val="bottom"/>
          </w:tcPr>
          <w:p>
            <w:pPr>
              <w:spacing w:after="0"/>
              <w:rPr>
                <w:sz w:val="20"/>
                <w:szCs w:val="20"/>
                <w:color w:val="auto"/>
              </w:rPr>
            </w:pPr>
            <w:r>
              <w:rPr>
                <w:rFonts w:ascii="Arial" w:cs="Arial" w:eastAsia="Arial" w:hAnsi="Arial"/>
                <w:sz w:val="18"/>
                <w:szCs w:val="18"/>
                <w:color w:val="auto"/>
              </w:rPr>
              <w:t>Dear Sirs</w:t>
            </w:r>
          </w:p>
        </w:tc>
        <w:tc>
          <w:tcPr>
            <w:tcW w:w="4360" w:type="dxa"/>
            <w:vAlign w:val="bottom"/>
          </w:tcPr>
          <w:p>
            <w:pPr>
              <w:spacing w:after="0"/>
              <w:rPr>
                <w:sz w:val="24"/>
                <w:szCs w:val="24"/>
                <w:color w:val="auto"/>
              </w:rPr>
            </w:pPr>
          </w:p>
        </w:tc>
      </w:tr>
      <w:tr>
        <w:trPr>
          <w:trHeight w:val="432"/>
        </w:trPr>
        <w:tc>
          <w:tcPr>
            <w:tcW w:w="4880" w:type="dxa"/>
            <w:vAlign w:val="bottom"/>
          </w:tcPr>
          <w:p>
            <w:pPr>
              <w:spacing w:after="0"/>
              <w:rPr>
                <w:sz w:val="20"/>
                <w:szCs w:val="20"/>
                <w:color w:val="auto"/>
              </w:rPr>
            </w:pPr>
            <w:r>
              <w:rPr>
                <w:rFonts w:ascii="Arial" w:cs="Arial" w:eastAsia="Arial" w:hAnsi="Arial"/>
                <w:sz w:val="18"/>
                <w:szCs w:val="18"/>
                <w:b w:val="1"/>
                <w:bCs w:val="1"/>
                <w:color w:val="auto"/>
              </w:rPr>
              <w:t>Marvell Technology Group Ltd. (Company)</w:t>
            </w:r>
          </w:p>
        </w:tc>
        <w:tc>
          <w:tcPr>
            <w:tcW w:w="4360" w:type="dxa"/>
            <w:vAlign w:val="bottom"/>
          </w:tcPr>
          <w:p>
            <w:pPr>
              <w:spacing w:after="0"/>
              <w:rPr>
                <w:sz w:val="24"/>
                <w:szCs w:val="24"/>
                <w:color w:val="auto"/>
              </w:rPr>
            </w:pPr>
          </w:p>
        </w:tc>
      </w:tr>
      <w:tr>
        <w:trPr>
          <w:trHeight w:val="324"/>
        </w:trPr>
        <w:tc>
          <w:tcPr>
            <w:tcW w:w="4880" w:type="dxa"/>
            <w:vAlign w:val="bottom"/>
          </w:tcPr>
          <w:p>
            <w:pPr>
              <w:spacing w:after="0"/>
              <w:rPr>
                <w:sz w:val="20"/>
                <w:szCs w:val="20"/>
                <w:color w:val="auto"/>
              </w:rPr>
            </w:pPr>
            <w:r>
              <w:rPr>
                <w:rFonts w:ascii="Arial" w:cs="Arial" w:eastAsia="Arial" w:hAnsi="Arial"/>
                <w:sz w:val="18"/>
                <w:szCs w:val="18"/>
                <w:b w:val="1"/>
                <w:bCs w:val="1"/>
                <w:color w:val="auto"/>
              </w:rPr>
              <w:t>INTRODUCTION</w:t>
            </w:r>
          </w:p>
        </w:tc>
        <w:tc>
          <w:tcPr>
            <w:tcW w:w="4360" w:type="dxa"/>
            <w:vAlign w:val="bottom"/>
          </w:tcPr>
          <w:p>
            <w:pPr>
              <w:spacing w:after="0"/>
              <w:rPr>
                <w:sz w:val="24"/>
                <w:szCs w:val="24"/>
                <w:color w:val="auto"/>
              </w:rPr>
            </w:pPr>
          </w:p>
        </w:tc>
      </w:tr>
    </w:tbl>
    <w:p>
      <w:pPr>
        <w:spacing w:after="0" w:line="94" w:lineRule="exact"/>
        <w:rPr>
          <w:sz w:val="20"/>
          <w:szCs w:val="20"/>
          <w:color w:val="auto"/>
        </w:rPr>
      </w:pPr>
    </w:p>
    <w:p>
      <w:pPr>
        <w:ind w:right="160"/>
        <w:spacing w:after="0" w:line="271" w:lineRule="auto"/>
        <w:rPr>
          <w:sz w:val="20"/>
          <w:szCs w:val="20"/>
          <w:color w:val="auto"/>
        </w:rPr>
      </w:pPr>
      <w:r>
        <w:rPr>
          <w:rFonts w:ascii="Arial" w:cs="Arial" w:eastAsia="Arial" w:hAnsi="Arial"/>
          <w:sz w:val="17"/>
          <w:szCs w:val="17"/>
          <w:color w:val="auto"/>
        </w:rPr>
        <w:t>We act as special legal counsel in Bermuda to the Company. The Company has requested that we provide this opinion in connection with the preparation and filing of a Current Report on Form 8-K (</w:t>
      </w:r>
      <w:r>
        <w:rPr>
          <w:rFonts w:ascii="Arial" w:cs="Arial" w:eastAsia="Arial" w:hAnsi="Arial"/>
          <w:sz w:val="17"/>
          <w:szCs w:val="17"/>
          <w:b w:val="1"/>
          <w:bCs w:val="1"/>
          <w:color w:val="auto"/>
        </w:rPr>
        <w:t>Form 8-K</w:t>
      </w:r>
      <w:r>
        <w:rPr>
          <w:rFonts w:ascii="Arial" w:cs="Arial" w:eastAsia="Arial" w:hAnsi="Arial"/>
          <w:sz w:val="17"/>
          <w:szCs w:val="17"/>
          <w:color w:val="auto"/>
        </w:rPr>
        <w:t>) with the Securities and Exchange Commission pursuant to the Securities Act of 1933, as amended (</w:t>
      </w:r>
      <w:r>
        <w:rPr>
          <w:rFonts w:ascii="Arial" w:cs="Arial" w:eastAsia="Arial" w:hAnsi="Arial"/>
          <w:sz w:val="17"/>
          <w:szCs w:val="17"/>
          <w:b w:val="1"/>
          <w:bCs w:val="1"/>
          <w:color w:val="auto"/>
        </w:rPr>
        <w:t>Securities Act</w:t>
      </w:r>
      <w:r>
        <w:rPr>
          <w:rFonts w:ascii="Arial" w:cs="Arial" w:eastAsia="Arial" w:hAnsi="Arial"/>
          <w:sz w:val="17"/>
          <w:szCs w:val="17"/>
          <w:color w:val="auto"/>
        </w:rPr>
        <w:t xml:space="preserve">), and the rules and regulations promulgated thereunder. The Form 8-K will be incorporated by reference in the Company’s automatic shelf registration statement on Form S-3 filed with the Securities and Exchange Commission on 13 June 2018 in connection with the issuance of $500 million aggregate principal amount of the Company’s 4.200% Senior Notes due 2023 (2023 Notes) and $500 million aggregate principal amount of the Company’s 4.875% Senior Notes due 2028 (2028 Notes and, together with the 2023 Notes, </w:t>
      </w:r>
      <w:r>
        <w:rPr>
          <w:rFonts w:ascii="Arial" w:cs="Arial" w:eastAsia="Arial" w:hAnsi="Arial"/>
          <w:sz w:val="17"/>
          <w:szCs w:val="17"/>
          <w:b w:val="1"/>
          <w:bCs w:val="1"/>
          <w:color w:val="auto"/>
        </w:rPr>
        <w:t>Notes</w:t>
      </w:r>
      <w:r>
        <w:rPr>
          <w:rFonts w:ascii="Arial" w:cs="Arial" w:eastAsia="Arial" w:hAnsi="Arial"/>
          <w:sz w:val="17"/>
          <w:szCs w:val="17"/>
          <w:color w:val="auto"/>
        </w:rPr>
        <w:t xml:space="preserve"> and collectively with the Form 8-K, </w:t>
      </w:r>
      <w:r>
        <w:rPr>
          <w:rFonts w:ascii="Arial" w:cs="Arial" w:eastAsia="Arial" w:hAnsi="Arial"/>
          <w:sz w:val="17"/>
          <w:szCs w:val="17"/>
          <w:b w:val="1"/>
          <w:bCs w:val="1"/>
          <w:color w:val="auto"/>
        </w:rPr>
        <w:t>Subject Agreements</w:t>
      </w:r>
      <w:r>
        <w:rPr>
          <w:rFonts w:ascii="Arial" w:cs="Arial" w:eastAsia="Arial" w:hAnsi="Arial"/>
          <w:sz w:val="17"/>
          <w:szCs w:val="17"/>
          <w:color w:val="auto"/>
        </w:rPr>
        <w:t>).</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21"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For the purposes of giving this opinion we have examined and relied upon the Subject Agreements and the documents listed in Part 2 of Schedule 1. We have not examined any other documents, even if they are referred to in the Subject Agreements</w:t>
      </w:r>
    </w:p>
    <w:p>
      <w:pPr>
        <w:spacing w:after="0" w:line="124"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For the purposes of giving this opinion we have carried out the Company Search and the Litigation Search described in Part 3 of Schedule 1.</w:t>
      </w:r>
    </w:p>
    <w:p>
      <w:pPr>
        <w:spacing w:after="0" w:line="170"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We have not made any other enquiries concerning the Company and in particular we have not investigated or verified any matter of fact or representation (whether set out in any of the Subject Agreements or elsewhere) other than as expressly stated in this opinion.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right="200"/>
        <w:spacing w:after="0" w:line="256" w:lineRule="auto"/>
        <w:rPr>
          <w:sz w:val="20"/>
          <w:szCs w:val="20"/>
          <w:color w:val="auto"/>
        </w:rPr>
      </w:pPr>
      <w:r>
        <w:rPr>
          <w:rFonts w:ascii="Arial" w:cs="Arial" w:eastAsia="Arial" w:hAnsi="Arial"/>
          <w:sz w:val="14"/>
          <w:szCs w:val="14"/>
          <w:color w:val="auto"/>
        </w:rPr>
        <w:t>Bermuda British Virgin Islands Cayman Islands Guernsey Hong Kong Isle of Man Jersey London Mauritius Seychelles Shanghai Zurich</w:t>
      </w:r>
    </w:p>
    <w:p>
      <w:pPr>
        <w:sectPr>
          <w:pgSz w:w="11900" w:h="16838" w:orient="portrait"/>
          <w:cols w:equalWidth="0" w:num="2">
            <w:col w:w="1840" w:space="340"/>
            <w:col w:w="9240"/>
          </w:cols>
          <w:pgMar w:left="240" w:top="175" w:right="239" w:bottom="1440" w:gutter="0" w:footer="0" w:header="0"/>
        </w:sectPr>
      </w:pPr>
    </w:p>
    <w:bookmarkStart w:id="166" w:name="page167"/>
    <w:bookmarkEnd w:id="166"/>
    <w:p>
      <w:pPr>
        <w:ind w:left="8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Unless otherwise defined herein, capitalised terms have the meanings assigned to them in Schedule 1.</w:t>
      </w:r>
    </w:p>
    <w:p>
      <w:pPr>
        <w:spacing w:after="0" w:line="329" w:lineRule="exact"/>
        <w:rPr>
          <w:sz w:val="20"/>
          <w:szCs w:val="20"/>
          <w:color w:val="auto"/>
        </w:rPr>
      </w:pPr>
    </w:p>
    <w:p>
      <w:pPr>
        <w:ind w:left="860"/>
        <w:spacing w:after="0"/>
        <w:rPr>
          <w:sz w:val="20"/>
          <w:szCs w:val="20"/>
          <w:color w:val="auto"/>
        </w:rPr>
      </w:pPr>
      <w:r>
        <w:rPr>
          <w:rFonts w:ascii="Arial" w:cs="Arial" w:eastAsia="Arial" w:hAnsi="Arial"/>
          <w:sz w:val="18"/>
          <w:szCs w:val="18"/>
          <w:b w:val="1"/>
          <w:bCs w:val="1"/>
          <w:color w:val="auto"/>
        </w:rPr>
        <w:t>LIMITATIONS</w:t>
      </w:r>
    </w:p>
    <w:p>
      <w:pPr>
        <w:spacing w:after="0" w:line="121" w:lineRule="exact"/>
        <w:rPr>
          <w:sz w:val="20"/>
          <w:szCs w:val="20"/>
          <w:color w:val="auto"/>
        </w:rPr>
      </w:pPr>
    </w:p>
    <w:p>
      <w:pPr>
        <w:ind w:left="860" w:right="540"/>
        <w:spacing w:after="0" w:line="277" w:lineRule="auto"/>
        <w:rPr>
          <w:sz w:val="20"/>
          <w:szCs w:val="20"/>
          <w:color w:val="auto"/>
        </w:rPr>
      </w:pPr>
      <w:r>
        <w:rPr>
          <w:rFonts w:ascii="Arial" w:cs="Arial" w:eastAsia="Arial" w:hAnsi="Arial"/>
          <w:sz w:val="18"/>
          <w:szCs w:val="18"/>
          <w:color w:val="auto"/>
        </w:rPr>
        <w:t>Our opinion is limited to, and should be construed in accordance with, the laws of Bermuda at the date of this opinion. We express no opinion on the laws of any other jurisdiction.</w:t>
      </w:r>
    </w:p>
    <w:p>
      <w:pPr>
        <w:spacing w:after="0" w:line="170" w:lineRule="exact"/>
        <w:rPr>
          <w:sz w:val="20"/>
          <w:szCs w:val="20"/>
          <w:color w:val="auto"/>
        </w:rPr>
      </w:pPr>
    </w:p>
    <w:p>
      <w:pPr>
        <w:jc w:val="both"/>
        <w:ind w:left="860" w:right="180"/>
        <w:spacing w:after="0" w:line="264" w:lineRule="auto"/>
        <w:rPr>
          <w:sz w:val="20"/>
          <w:szCs w:val="20"/>
          <w:color w:val="auto"/>
        </w:rPr>
      </w:pPr>
      <w:r>
        <w:rPr>
          <w:rFonts w:ascii="Arial" w:cs="Arial" w:eastAsia="Arial" w:hAnsi="Arial"/>
          <w:sz w:val="18"/>
          <w:szCs w:val="18"/>
          <w:color w:val="auto"/>
        </w:rPr>
        <w:t>This opinion is strictly limited to the matters stated in it and does not extend to, and is not to be extended by implication, to any other matters. We express no opinion on the commercial implications of the Subject Agreements or whether they give effect to the commercial intentions of the parties.</w:t>
      </w:r>
    </w:p>
    <w:p>
      <w:pPr>
        <w:spacing w:after="0" w:line="181" w:lineRule="exact"/>
        <w:rPr>
          <w:sz w:val="20"/>
          <w:szCs w:val="20"/>
          <w:color w:val="auto"/>
        </w:rPr>
      </w:pPr>
    </w:p>
    <w:p>
      <w:pPr>
        <w:ind w:left="860"/>
        <w:spacing w:after="0" w:line="259" w:lineRule="auto"/>
        <w:rPr>
          <w:sz w:val="20"/>
          <w:szCs w:val="20"/>
          <w:color w:val="auto"/>
        </w:rPr>
      </w:pPr>
      <w:r>
        <w:rPr>
          <w:rFonts w:ascii="Arial" w:cs="Arial" w:eastAsia="Arial" w:hAnsi="Arial"/>
          <w:sz w:val="18"/>
          <w:szCs w:val="18"/>
          <w:color w:val="auto"/>
        </w:rPr>
        <w:t>This opinion is furnished to you in connection with the filing of the Form 8-K and is not to be used, quoted or otherwise relied on for any other purpose. We consent to the filing of this opinion as an exhibit to the Form 8-K of the Company and to the references to Appleby (Bermuda) Limited’s name under the caption “Legal Matters” in the prospectus forming part of the Registration Statement.</w:t>
      </w:r>
    </w:p>
    <w:p>
      <w:pPr>
        <w:spacing w:after="0" w:line="291" w:lineRule="exact"/>
        <w:rPr>
          <w:sz w:val="20"/>
          <w:szCs w:val="20"/>
          <w:color w:val="auto"/>
        </w:rPr>
      </w:pPr>
    </w:p>
    <w:p>
      <w:pPr>
        <w:ind w:left="860"/>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left="86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0" w:lineRule="exact"/>
        <w:rPr>
          <w:sz w:val="20"/>
          <w:szCs w:val="20"/>
          <w:color w:val="auto"/>
        </w:rPr>
      </w:pPr>
    </w:p>
    <w:p>
      <w:pPr>
        <w:ind w:left="860"/>
        <w:spacing w:after="0"/>
        <w:rPr>
          <w:sz w:val="20"/>
          <w:szCs w:val="20"/>
          <w:color w:val="auto"/>
        </w:rPr>
      </w:pPr>
      <w:r>
        <w:rPr>
          <w:rFonts w:ascii="Arial" w:cs="Arial" w:eastAsia="Arial" w:hAnsi="Arial"/>
          <w:sz w:val="18"/>
          <w:szCs w:val="18"/>
          <w:b w:val="1"/>
          <w:bCs w:val="1"/>
          <w:color w:val="auto"/>
        </w:rPr>
        <w:t>OPINIONS</w:t>
      </w:r>
    </w:p>
    <w:p>
      <w:pPr>
        <w:spacing w:after="0" w:line="131" w:lineRule="exact"/>
        <w:rPr>
          <w:sz w:val="20"/>
          <w:szCs w:val="20"/>
          <w:color w:val="auto"/>
        </w:rPr>
      </w:pPr>
    </w:p>
    <w:p>
      <w:pPr>
        <w:ind w:left="1220" w:right="40" w:hanging="358"/>
        <w:spacing w:after="0" w:line="266" w:lineRule="auto"/>
        <w:tabs>
          <w:tab w:leader="none" w:pos="1220" w:val="left"/>
        </w:tabs>
        <w:numPr>
          <w:ilvl w:val="0"/>
          <w:numId w:val="133"/>
        </w:numPr>
        <w:rPr>
          <w:rFonts w:ascii="Arial" w:cs="Arial" w:eastAsia="Arial" w:hAnsi="Arial"/>
          <w:sz w:val="18"/>
          <w:szCs w:val="18"/>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 existing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laws of Bermuda and is a separate legal entity. The Company is in good standing with the Registrar of Companies of Bermuda.</w:t>
      </w:r>
    </w:p>
    <w:p>
      <w:pPr>
        <w:spacing w:after="0" w:line="81" w:lineRule="exact"/>
        <w:rPr>
          <w:rFonts w:ascii="Arial" w:cs="Arial" w:eastAsia="Arial" w:hAnsi="Arial"/>
          <w:sz w:val="18"/>
          <w:szCs w:val="18"/>
          <w:color w:val="auto"/>
        </w:rPr>
      </w:pPr>
    </w:p>
    <w:p>
      <w:pPr>
        <w:ind w:left="1220" w:right="140" w:hanging="358"/>
        <w:spacing w:after="0" w:line="261" w:lineRule="auto"/>
        <w:tabs>
          <w:tab w:leader="none" w:pos="1220" w:val="left"/>
        </w:tabs>
        <w:numPr>
          <w:ilvl w:val="0"/>
          <w:numId w:val="133"/>
        </w:numPr>
        <w:rPr>
          <w:rFonts w:ascii="Arial" w:cs="Arial" w:eastAsia="Arial" w:hAnsi="Arial"/>
          <w:sz w:val="18"/>
          <w:szCs w:val="18"/>
          <w:color w:val="auto"/>
        </w:rPr>
      </w:pPr>
      <w:r>
        <w:rPr>
          <w:rFonts w:ascii="Arial" w:cs="Arial" w:eastAsia="Arial" w:hAnsi="Arial"/>
          <w:sz w:val="18"/>
          <w:szCs w:val="18"/>
          <w:b w:val="1"/>
          <w:bCs w:val="1"/>
          <w:color w:val="auto"/>
        </w:rPr>
        <w:t>Authorisation</w:t>
      </w:r>
      <w:r>
        <w:rPr>
          <w:rFonts w:ascii="Arial" w:cs="Arial" w:eastAsia="Arial" w:hAnsi="Arial"/>
          <w:sz w:val="18"/>
          <w:szCs w:val="18"/>
          <w:color w:val="auto"/>
        </w:rPr>
        <w:t>: The Company has taken all necessary corporate action to authorise the execution and delivery of the Notes</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offer, sale and issuance of the Notes pursuant to the terms of one or more underwriting agreements and indentures, and pursuant to one or more prospectus supplements constituting a part of the Registration Statement (as defined in Schedule 1).</w:t>
      </w:r>
    </w:p>
    <w:p>
      <w:pPr>
        <w:spacing w:after="0" w:line="184" w:lineRule="exact"/>
        <w:rPr>
          <w:sz w:val="20"/>
          <w:szCs w:val="20"/>
          <w:color w:val="auto"/>
        </w:rPr>
      </w:pPr>
    </w:p>
    <w:p>
      <w:pPr>
        <w:ind w:left="86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860"/>
        <w:spacing w:after="0"/>
        <w:rPr>
          <w:sz w:val="20"/>
          <w:szCs w:val="20"/>
          <w:color w:val="auto"/>
        </w:rPr>
      </w:pPr>
      <w:r>
        <w:rPr>
          <w:rFonts w:ascii="Arial" w:cs="Arial" w:eastAsia="Arial" w:hAnsi="Arial"/>
          <w:sz w:val="18"/>
          <w:szCs w:val="18"/>
          <w:b w:val="1"/>
          <w:bCs w:val="1"/>
          <w:color w:val="auto"/>
        </w:rPr>
        <w:t>Appleby (Bermuda) Limited</w:t>
      </w:r>
    </w:p>
    <w:p>
      <w:pPr>
        <w:spacing w:after="0" w:line="289"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p>
      <w:pPr>
        <w:sectPr>
          <w:pgSz w:w="11900" w:h="16838" w:orient="portrait"/>
          <w:cols w:equalWidth="0" w:num="1">
            <w:col w:w="10220"/>
          </w:cols>
          <w:pgMar w:left="1440" w:top="328" w:right="239" w:bottom="1440" w:gutter="0" w:footer="0" w:header="0"/>
        </w:sectPr>
      </w:pPr>
    </w:p>
    <w:bookmarkStart w:id="167" w:name="page168"/>
    <w:bookmarkEnd w:id="167"/>
    <w:p>
      <w:pPr>
        <w:jc w:val="center"/>
        <w:ind w:left="20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1</w:t>
      </w:r>
    </w:p>
    <w:p>
      <w:pPr>
        <w:spacing w:after="0" w:line="225" w:lineRule="exact"/>
        <w:rPr>
          <w:sz w:val="20"/>
          <w:szCs w:val="20"/>
          <w:color w:val="auto"/>
        </w:rPr>
      </w:pPr>
    </w:p>
    <w:p>
      <w:pPr>
        <w:jc w:val="center"/>
        <w:ind w:left="2060"/>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ind w:left="4480"/>
        <w:spacing w:after="0"/>
        <w:rPr>
          <w:sz w:val="20"/>
          <w:szCs w:val="20"/>
          <w:color w:val="auto"/>
        </w:rPr>
      </w:pPr>
      <w:r>
        <w:rPr>
          <w:rFonts w:ascii="Arial" w:cs="Arial" w:eastAsia="Arial" w:hAnsi="Arial"/>
          <w:sz w:val="18"/>
          <w:szCs w:val="18"/>
          <w:b w:val="1"/>
          <w:bCs w:val="1"/>
          <w:color w:val="auto"/>
        </w:rPr>
        <w:t>The Registration Statement</w:t>
      </w:r>
    </w:p>
    <w:p>
      <w:pPr>
        <w:spacing w:after="0" w:line="252" w:lineRule="exact"/>
        <w:rPr>
          <w:sz w:val="20"/>
          <w:szCs w:val="20"/>
          <w:color w:val="auto"/>
        </w:rPr>
      </w:pPr>
    </w:p>
    <w:p>
      <w:pPr>
        <w:ind w:left="1220" w:hanging="358"/>
        <w:spacing w:after="0"/>
        <w:tabs>
          <w:tab w:leader="none" w:pos="12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 copy of a Current Report on Form 8-K as filed on 22 June 2018 (</w:t>
      </w:r>
      <w:r>
        <w:rPr>
          <w:rFonts w:ascii="Arial" w:cs="Arial" w:eastAsia="Arial" w:hAnsi="Arial"/>
          <w:sz w:val="18"/>
          <w:szCs w:val="18"/>
          <w:b w:val="1"/>
          <w:bCs w:val="1"/>
          <w:color w:val="auto"/>
        </w:rPr>
        <w:t>Form 8-K</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1220" w:hanging="358"/>
        <w:spacing w:after="0"/>
        <w:tabs>
          <w:tab w:leader="none" w:pos="12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 copy, in PDF format of the executed Notes.</w:t>
      </w:r>
    </w:p>
    <w:p>
      <w:pPr>
        <w:spacing w:after="0" w:line="130" w:lineRule="exact"/>
        <w:rPr>
          <w:rFonts w:ascii="Arial" w:cs="Arial" w:eastAsia="Arial" w:hAnsi="Arial"/>
          <w:sz w:val="18"/>
          <w:szCs w:val="18"/>
          <w:color w:val="auto"/>
        </w:rPr>
      </w:pPr>
    </w:p>
    <w:p>
      <w:pPr>
        <w:ind w:left="1220" w:right="480" w:hanging="358"/>
        <w:spacing w:after="0" w:line="277" w:lineRule="auto"/>
        <w:tabs>
          <w:tab w:leader="none" w:pos="122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 copy, in PDF format of the final form of the registration statement on Form S-3 dated 13 June 2018, excluding the documents incorporated by reference therein (</w:t>
      </w:r>
      <w:r>
        <w:rPr>
          <w:rFonts w:ascii="Arial" w:cs="Arial" w:eastAsia="Arial" w:hAnsi="Arial"/>
          <w:sz w:val="18"/>
          <w:szCs w:val="18"/>
          <w:b w:val="1"/>
          <w:bCs w:val="1"/>
          <w:color w:val="auto"/>
        </w:rPr>
        <w:t>Registration Statement</w:t>
      </w:r>
      <w:r>
        <w:rPr>
          <w:rFonts w:ascii="Arial" w:cs="Arial" w:eastAsia="Arial" w:hAnsi="Arial"/>
          <w:sz w:val="18"/>
          <w:szCs w:val="18"/>
          <w:color w:val="auto"/>
        </w:rPr>
        <w:t>).</w:t>
      </w:r>
    </w:p>
    <w:p>
      <w:pPr>
        <w:spacing w:after="0" w:line="275" w:lineRule="exact"/>
        <w:rPr>
          <w:sz w:val="20"/>
          <w:szCs w:val="20"/>
          <w:color w:val="auto"/>
        </w:rPr>
      </w:pPr>
    </w:p>
    <w:p>
      <w:pPr>
        <w:jc w:val="center"/>
        <w:ind w:left="2060"/>
        <w:spacing w:after="0"/>
        <w:rPr>
          <w:sz w:val="20"/>
          <w:szCs w:val="20"/>
          <w:color w:val="auto"/>
        </w:rPr>
      </w:pPr>
      <w:r>
        <w:rPr>
          <w:rFonts w:ascii="Arial" w:cs="Arial" w:eastAsia="Arial" w:hAnsi="Arial"/>
          <w:sz w:val="18"/>
          <w:szCs w:val="18"/>
          <w:b w:val="1"/>
          <w:bCs w:val="1"/>
          <w:color w:val="auto"/>
        </w:rPr>
        <w:t>Part 2</w:t>
      </w:r>
    </w:p>
    <w:p>
      <w:pPr>
        <w:spacing w:after="0" w:line="225" w:lineRule="exact"/>
        <w:rPr>
          <w:sz w:val="20"/>
          <w:szCs w:val="20"/>
          <w:color w:val="auto"/>
        </w:rPr>
      </w:pPr>
    </w:p>
    <w:p>
      <w:pPr>
        <w:ind w:left="4700"/>
        <w:spacing w:after="0"/>
        <w:rPr>
          <w:sz w:val="20"/>
          <w:szCs w:val="20"/>
          <w:color w:val="auto"/>
        </w:rPr>
      </w:pPr>
      <w:r>
        <w:rPr>
          <w:rFonts w:ascii="Arial" w:cs="Arial" w:eastAsia="Arial" w:hAnsi="Arial"/>
          <w:sz w:val="18"/>
          <w:szCs w:val="18"/>
          <w:b w:val="1"/>
          <w:bCs w:val="1"/>
          <w:color w:val="auto"/>
        </w:rPr>
        <w:t>Documents Examined</w:t>
      </w:r>
    </w:p>
    <w:p>
      <w:pPr>
        <w:spacing w:after="0" w:line="252" w:lineRule="exact"/>
        <w:rPr>
          <w:sz w:val="20"/>
          <w:szCs w:val="20"/>
          <w:color w:val="auto"/>
        </w:rPr>
      </w:pPr>
    </w:p>
    <w:p>
      <w:pPr>
        <w:ind w:left="1220" w:hanging="358"/>
        <w:spacing w:after="0"/>
        <w:tabs>
          <w:tab w:leader="none" w:pos="1220" w:val="left"/>
        </w:tabs>
        <w:numPr>
          <w:ilvl w:val="0"/>
          <w:numId w:val="135"/>
        </w:numPr>
        <w:rPr>
          <w:rFonts w:ascii="Arial" w:cs="Arial" w:eastAsia="Arial" w:hAnsi="Arial"/>
          <w:sz w:val="16"/>
          <w:szCs w:val="16"/>
          <w:color w:val="auto"/>
        </w:rPr>
      </w:pPr>
      <w:r>
        <w:rPr>
          <w:rFonts w:ascii="Arial" w:cs="Arial" w:eastAsia="Arial" w:hAnsi="Arial"/>
          <w:sz w:val="16"/>
          <w:szCs w:val="16"/>
          <w:color w:val="auto"/>
        </w:rPr>
        <w:t>A certified copy of the certificate of incorporation of the Company dated 11 January 1995 (</w:t>
      </w:r>
      <w:r>
        <w:rPr>
          <w:rFonts w:ascii="Arial" w:cs="Arial" w:eastAsia="Arial" w:hAnsi="Arial"/>
          <w:sz w:val="16"/>
          <w:szCs w:val="16"/>
          <w:b w:val="1"/>
          <w:bCs w:val="1"/>
          <w:color w:val="auto"/>
        </w:rPr>
        <w:t>Certificate of Incorporation</w:t>
      </w:r>
      <w:r>
        <w:rPr>
          <w:rFonts w:ascii="Arial" w:cs="Arial" w:eastAsia="Arial" w:hAnsi="Arial"/>
          <w:sz w:val="16"/>
          <w:szCs w:val="16"/>
          <w:color w:val="auto"/>
        </w:rPr>
        <w:t>).</w:t>
      </w:r>
    </w:p>
    <w:p>
      <w:pPr>
        <w:spacing w:after="0" w:line="157" w:lineRule="exact"/>
        <w:rPr>
          <w:rFonts w:ascii="Arial" w:cs="Arial" w:eastAsia="Arial" w:hAnsi="Arial"/>
          <w:sz w:val="16"/>
          <w:szCs w:val="16"/>
          <w:color w:val="auto"/>
        </w:rPr>
      </w:pPr>
    </w:p>
    <w:p>
      <w:pPr>
        <w:ind w:left="1220" w:hanging="358"/>
        <w:spacing w:after="0"/>
        <w:tabs>
          <w:tab w:leader="none" w:pos="122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A copy of the memorandum of association, certificate of deposit of memorandum of reduction of share premium dated</w:t>
      </w:r>
    </w:p>
    <w:p>
      <w:pPr>
        <w:spacing w:after="0" w:line="34" w:lineRule="exact"/>
        <w:rPr>
          <w:rFonts w:ascii="Arial" w:cs="Arial" w:eastAsia="Arial" w:hAnsi="Arial"/>
          <w:sz w:val="17"/>
          <w:szCs w:val="17"/>
          <w:color w:val="auto"/>
        </w:rPr>
      </w:pPr>
    </w:p>
    <w:p>
      <w:pPr>
        <w:ind w:left="1220" w:right="60"/>
        <w:spacing w:after="0" w:line="254" w:lineRule="auto"/>
        <w:rPr>
          <w:rFonts w:ascii="Arial" w:cs="Arial" w:eastAsia="Arial" w:hAnsi="Arial"/>
          <w:sz w:val="17"/>
          <w:szCs w:val="17"/>
          <w:color w:val="auto"/>
        </w:rPr>
      </w:pPr>
      <w:r>
        <w:rPr>
          <w:rFonts w:ascii="Arial" w:cs="Arial" w:eastAsia="Arial" w:hAnsi="Arial"/>
          <w:sz w:val="18"/>
          <w:szCs w:val="18"/>
          <w:color w:val="auto"/>
        </w:rPr>
        <w:t xml:space="preserve">8 August 2011, certificates of deposit of memorandum of increase of share capital respectively dated 29 June 2006, 7 June 2004, 25 April 2000, 16 July 1999, 22 July 1998, 26 September 1996, 10 March 1995 and bye-laws of the Company adopted on 8 November 2016 and certified as a true copy by the secretary on 22 June 2018 (together the </w:t>
      </w:r>
      <w:r>
        <w:rPr>
          <w:rFonts w:ascii="Arial" w:cs="Arial" w:eastAsia="Arial" w:hAnsi="Arial"/>
          <w:sz w:val="18"/>
          <w:szCs w:val="18"/>
          <w:b w:val="1"/>
          <w:bCs w:val="1"/>
          <w:color w:val="auto"/>
        </w:rPr>
        <w:t>Constitutional</w:t>
      </w:r>
      <w:r>
        <w:rPr>
          <w:rFonts w:ascii="Arial" w:cs="Arial" w:eastAsia="Arial" w:hAnsi="Arial"/>
          <w:sz w:val="18"/>
          <w:szCs w:val="18"/>
          <w:color w:val="auto"/>
        </w:rPr>
        <w:t xml:space="preserve"> </w:t>
      </w:r>
      <w:r>
        <w:rPr>
          <w:rFonts w:ascii="Arial" w:cs="Arial" w:eastAsia="Arial" w:hAnsi="Arial"/>
          <w:sz w:val="18"/>
          <w:szCs w:val="18"/>
          <w:b w:val="1"/>
          <w:bCs w:val="1"/>
          <w:color w:val="auto"/>
        </w:rPr>
        <w:t>Documents</w:t>
      </w:r>
      <w:r>
        <w:rPr>
          <w:rFonts w:ascii="Arial" w:cs="Arial" w:eastAsia="Arial" w:hAnsi="Arial"/>
          <w:sz w:val="18"/>
          <w:szCs w:val="18"/>
          <w:color w:val="auto"/>
        </w:rPr>
        <w:t>).</w:t>
      </w:r>
    </w:p>
    <w:p>
      <w:pPr>
        <w:spacing w:after="0" w:line="95" w:lineRule="exact"/>
        <w:rPr>
          <w:rFonts w:ascii="Arial" w:cs="Arial" w:eastAsia="Arial" w:hAnsi="Arial"/>
          <w:sz w:val="17"/>
          <w:szCs w:val="17"/>
          <w:color w:val="auto"/>
        </w:rPr>
      </w:pPr>
    </w:p>
    <w:p>
      <w:pPr>
        <w:ind w:left="1220" w:right="620" w:hanging="358"/>
        <w:spacing w:after="0" w:line="277" w:lineRule="auto"/>
        <w:tabs>
          <w:tab w:leader="none" w:pos="12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 Certificate of Compliance, dated 21 June 2018 issued by the Registrar of Companies in respect of the Company. (</w:t>
      </w:r>
      <w:r>
        <w:rPr>
          <w:rFonts w:ascii="Arial" w:cs="Arial" w:eastAsia="Arial" w:hAnsi="Arial"/>
          <w:sz w:val="18"/>
          <w:szCs w:val="18"/>
          <w:b w:val="1"/>
          <w:bCs w:val="1"/>
          <w:color w:val="auto"/>
        </w:rPr>
        <w:t>Certificate of Compliance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220" w:hanging="358"/>
        <w:spacing w:after="0" w:line="264" w:lineRule="auto"/>
        <w:tabs>
          <w:tab w:leader="none" w:pos="12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 xml:space="preserve">A certified copy of each of the minutes of a meeting of the board of directors of the Company adopted at a meeting held on 5 June 2018 and on 20 June 2018 respectively and the minutes of a meeting of the pricing committee of the Company adopted at a meeting held on 20 June 2018 (collectively,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220" w:hanging="358"/>
        <w:spacing w:after="0"/>
        <w:tabs>
          <w:tab w:leader="none" w:pos="12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1220" w:hanging="358"/>
        <w:spacing w:after="0"/>
        <w:tabs>
          <w:tab w:leader="none" w:pos="12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130" w:lineRule="exact"/>
        <w:rPr>
          <w:rFonts w:ascii="Arial" w:cs="Arial" w:eastAsia="Arial" w:hAnsi="Arial"/>
          <w:sz w:val="18"/>
          <w:szCs w:val="18"/>
          <w:color w:val="auto"/>
        </w:rPr>
      </w:pPr>
    </w:p>
    <w:p>
      <w:pPr>
        <w:ind w:left="1220" w:hanging="358"/>
        <w:spacing w:after="0" w:line="277" w:lineRule="auto"/>
        <w:tabs>
          <w:tab w:leader="none" w:pos="122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 certified copy of the Foreign Exchange Letter, dated 31 May 2000 issued by the Bermuda Monetary Authority, Hamilton Bermuda in relation to the Company (</w:t>
      </w:r>
      <w:r>
        <w:rPr>
          <w:rFonts w:ascii="Arial" w:cs="Arial" w:eastAsia="Arial" w:hAnsi="Arial"/>
          <w:sz w:val="18"/>
          <w:szCs w:val="18"/>
          <w:b w:val="1"/>
          <w:bCs w:val="1"/>
          <w:color w:val="auto"/>
        </w:rPr>
        <w:t>Foreign Exchange Letter</w:t>
      </w:r>
      <w:r>
        <w:rPr>
          <w:rFonts w:ascii="Arial" w:cs="Arial" w:eastAsia="Arial" w:hAnsi="Arial"/>
          <w:sz w:val="18"/>
          <w:szCs w:val="18"/>
          <w:color w:val="auto"/>
        </w:rPr>
        <w:t>).</w:t>
      </w:r>
    </w:p>
    <w:p>
      <w:pPr>
        <w:spacing w:after="0" w:line="230"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p>
      <w:pPr>
        <w:sectPr>
          <w:pgSz w:w="11900" w:h="16838" w:orient="portrait"/>
          <w:cols w:equalWidth="0" w:num="1">
            <w:col w:w="10100"/>
          </w:cols>
          <w:pgMar w:left="1440" w:top="324" w:right="359" w:bottom="1440" w:gutter="0" w:footer="0" w:header="0"/>
        </w:sectPr>
      </w:pPr>
    </w:p>
    <w:bookmarkStart w:id="168" w:name="page169"/>
    <w:bookmarkEnd w:id="168"/>
    <w:p>
      <w:pPr>
        <w:ind w:left="1220" w:hanging="358"/>
        <w:spacing w:after="0" w:line="277" w:lineRule="auto"/>
        <w:tabs>
          <w:tab w:leader="none" w:pos="1220" w:val="left"/>
        </w:tabs>
        <w:numPr>
          <w:ilvl w:val="0"/>
          <w:numId w:val="13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certified copy of the Tax Assurance,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275" w:lineRule="exact"/>
        <w:rPr>
          <w:sz w:val="20"/>
          <w:szCs w:val="20"/>
          <w:color w:val="auto"/>
        </w:rPr>
      </w:pPr>
    </w:p>
    <w:p>
      <w:pPr>
        <w:jc w:val="center"/>
        <w:ind w:left="2060"/>
        <w:spacing w:after="0"/>
        <w:rPr>
          <w:sz w:val="20"/>
          <w:szCs w:val="20"/>
          <w:color w:val="auto"/>
        </w:rPr>
      </w:pPr>
      <w:r>
        <w:rPr>
          <w:rFonts w:ascii="Arial" w:cs="Arial" w:eastAsia="Arial" w:hAnsi="Arial"/>
          <w:sz w:val="18"/>
          <w:szCs w:val="18"/>
          <w:b w:val="1"/>
          <w:bCs w:val="1"/>
          <w:color w:val="auto"/>
        </w:rPr>
        <w:t>Part 3</w:t>
      </w:r>
    </w:p>
    <w:p>
      <w:pPr>
        <w:spacing w:after="0" w:line="225" w:lineRule="exact"/>
        <w:rPr>
          <w:sz w:val="20"/>
          <w:szCs w:val="20"/>
          <w:color w:val="auto"/>
        </w:rPr>
      </w:pPr>
    </w:p>
    <w:p>
      <w:pPr>
        <w:ind w:left="5200"/>
        <w:spacing w:after="0"/>
        <w:rPr>
          <w:sz w:val="20"/>
          <w:szCs w:val="20"/>
          <w:color w:val="auto"/>
        </w:rPr>
      </w:pPr>
      <w:r>
        <w:rPr>
          <w:rFonts w:ascii="Arial" w:cs="Arial" w:eastAsia="Arial" w:hAnsi="Arial"/>
          <w:sz w:val="18"/>
          <w:szCs w:val="18"/>
          <w:b w:val="1"/>
          <w:bCs w:val="1"/>
          <w:color w:val="auto"/>
        </w:rPr>
        <w:t>Searches</w:t>
      </w:r>
    </w:p>
    <w:p>
      <w:pPr>
        <w:spacing w:after="0" w:line="135" w:lineRule="exact"/>
        <w:rPr>
          <w:sz w:val="20"/>
          <w:szCs w:val="20"/>
          <w:color w:val="auto"/>
        </w:rPr>
      </w:pPr>
    </w:p>
    <w:p>
      <w:pPr>
        <w:ind w:left="1220" w:right="180" w:hanging="358"/>
        <w:spacing w:after="0" w:line="286" w:lineRule="auto"/>
        <w:tabs>
          <w:tab w:leader="none" w:pos="1220" w:val="left"/>
        </w:tabs>
        <w:numPr>
          <w:ilvl w:val="0"/>
          <w:numId w:val="137"/>
        </w:numPr>
        <w:rPr>
          <w:rFonts w:ascii="Arial" w:cs="Arial" w:eastAsia="Arial" w:hAnsi="Arial"/>
          <w:sz w:val="17"/>
          <w:szCs w:val="17"/>
          <w:color w:val="auto"/>
        </w:rPr>
      </w:pPr>
      <w:r>
        <w:rPr>
          <w:rFonts w:ascii="Arial" w:cs="Arial" w:eastAsia="Arial" w:hAnsi="Arial"/>
          <w:sz w:val="17"/>
          <w:szCs w:val="17"/>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21 June 2018 (</w:t>
      </w:r>
      <w:r>
        <w:rPr>
          <w:rFonts w:ascii="Arial" w:cs="Arial" w:eastAsia="Arial" w:hAnsi="Arial"/>
          <w:sz w:val="17"/>
          <w:szCs w:val="17"/>
          <w:b w:val="1"/>
          <w:bCs w:val="1"/>
          <w:color w:val="auto"/>
        </w:rPr>
        <w:t>Company Search</w:t>
      </w:r>
      <w:r>
        <w:rPr>
          <w:rFonts w:ascii="Arial" w:cs="Arial" w:eastAsia="Arial" w:hAnsi="Arial"/>
          <w:sz w:val="17"/>
          <w:szCs w:val="17"/>
          <w:color w:val="auto"/>
        </w:rPr>
        <w:t>).</w:t>
      </w:r>
    </w:p>
    <w:p>
      <w:pPr>
        <w:spacing w:after="0" w:line="70" w:lineRule="exact"/>
        <w:rPr>
          <w:rFonts w:ascii="Arial" w:cs="Arial" w:eastAsia="Arial" w:hAnsi="Arial"/>
          <w:sz w:val="17"/>
          <w:szCs w:val="17"/>
          <w:color w:val="auto"/>
        </w:rPr>
      </w:pPr>
    </w:p>
    <w:p>
      <w:pPr>
        <w:ind w:left="1220" w:right="20" w:hanging="358"/>
        <w:spacing w:after="0" w:line="264" w:lineRule="auto"/>
        <w:tabs>
          <w:tab w:leader="none" w:pos="122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21 June 2018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241"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p>
      <w:pPr>
        <w:sectPr>
          <w:pgSz w:w="11900" w:h="16838" w:orient="portrait"/>
          <w:cols w:equalWidth="0" w:num="1">
            <w:col w:w="10160"/>
          </w:cols>
          <w:pgMar w:left="1440" w:top="449" w:right="299" w:bottom="1440" w:gutter="0" w:footer="0" w:header="0"/>
        </w:sectPr>
      </w:pPr>
    </w:p>
    <w:bookmarkStart w:id="169" w:name="page170"/>
    <w:bookmarkEnd w:id="169"/>
    <w:p>
      <w:pPr>
        <w:jc w:val="center"/>
        <w:ind w:left="20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2</w:t>
      </w:r>
    </w:p>
    <w:p>
      <w:pPr>
        <w:spacing w:after="0" w:line="225"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ind w:left="860"/>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1220" w:right="240" w:hanging="358"/>
        <w:spacing w:after="0" w:line="264" w:lineRule="auto"/>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86" w:lineRule="exact"/>
        <w:rPr>
          <w:rFonts w:ascii="Arial" w:cs="Arial" w:eastAsia="Arial" w:hAnsi="Arial"/>
          <w:sz w:val="18"/>
          <w:szCs w:val="18"/>
          <w:color w:val="auto"/>
        </w:rPr>
      </w:pPr>
    </w:p>
    <w:p>
      <w:pPr>
        <w:ind w:left="1220" w:right="200" w:hanging="358"/>
        <w:spacing w:after="0" w:line="277" w:lineRule="auto"/>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that each of the Subject Agreements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1220" w:right="560" w:hanging="358"/>
        <w:spacing w:after="0" w:line="277" w:lineRule="auto"/>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that there has been no change to the information contained in the Certificate of Incorporation or to the Constitutional Documents;</w:t>
      </w:r>
    </w:p>
    <w:p>
      <w:pPr>
        <w:spacing w:after="0" w:line="75" w:lineRule="exact"/>
        <w:rPr>
          <w:rFonts w:ascii="Arial" w:cs="Arial" w:eastAsia="Arial" w:hAnsi="Arial"/>
          <w:sz w:val="18"/>
          <w:szCs w:val="18"/>
          <w:color w:val="auto"/>
        </w:rPr>
      </w:pPr>
    </w:p>
    <w:p>
      <w:pPr>
        <w:ind w:left="1220" w:hanging="358"/>
        <w:spacing w:after="0" w:line="264" w:lineRule="auto"/>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86" w:lineRule="exact"/>
        <w:rPr>
          <w:rFonts w:ascii="Arial" w:cs="Arial" w:eastAsia="Arial" w:hAnsi="Arial"/>
          <w:sz w:val="18"/>
          <w:szCs w:val="18"/>
          <w:color w:val="auto"/>
        </w:rPr>
      </w:pPr>
    </w:p>
    <w:p>
      <w:pPr>
        <w:ind w:left="1220" w:right="160" w:hanging="358"/>
        <w:spacing w:after="0" w:line="264" w:lineRule="auto"/>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the truth, accuracy and completeness of all representations and warranties or statements of fact or law (other than as to the laws of Bermuda in respect of matters upon which we have expressly opined) made in the Subject Agreements and any correspondence submitted to us;</w:t>
      </w:r>
    </w:p>
    <w:p>
      <w:pPr>
        <w:spacing w:after="0" w:line="86" w:lineRule="exact"/>
        <w:rPr>
          <w:rFonts w:ascii="Arial" w:cs="Arial" w:eastAsia="Arial" w:hAnsi="Arial"/>
          <w:sz w:val="18"/>
          <w:szCs w:val="18"/>
          <w:color w:val="auto"/>
        </w:rPr>
      </w:pPr>
    </w:p>
    <w:p>
      <w:pPr>
        <w:ind w:left="1220" w:hanging="358"/>
        <w:spacing w:after="0" w:line="291" w:lineRule="auto"/>
        <w:tabs>
          <w:tab w:leader="none" w:pos="122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that: (i) the Subject Agreements are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Subject Agreements and such other documents approved by the Resolutions and the transactions contemplated thereby are bona fide in the best interests of the Company;</w:t>
      </w:r>
    </w:p>
    <w:p>
      <w:pPr>
        <w:spacing w:after="0" w:line="72" w:lineRule="exact"/>
        <w:rPr>
          <w:rFonts w:ascii="Arial" w:cs="Arial" w:eastAsia="Arial" w:hAnsi="Arial"/>
          <w:sz w:val="16"/>
          <w:szCs w:val="16"/>
          <w:color w:val="auto"/>
        </w:rPr>
      </w:pPr>
    </w:p>
    <w:p>
      <w:pPr>
        <w:ind w:left="1220" w:right="240" w:hanging="358"/>
        <w:spacing w:after="0" w:line="342" w:lineRule="auto"/>
        <w:tabs>
          <w:tab w:leader="none" w:pos="122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that there is no matter affecting the authority of the directors to issue the Subject Agreements including breach of duty or lack of good faith which would have any adverse implications in relation to the opinions expressed in this opinion;</w:t>
      </w:r>
    </w:p>
    <w:p>
      <w:pPr>
        <w:spacing w:after="0" w:line="183"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p>
      <w:pPr>
        <w:sectPr>
          <w:pgSz w:w="11900" w:h="16838" w:orient="portrait"/>
          <w:cols w:equalWidth="0" w:num="1">
            <w:col w:w="10180"/>
          </w:cols>
          <w:pgMar w:left="1440" w:top="324" w:right="279" w:bottom="1440" w:gutter="0" w:footer="0" w:header="0"/>
        </w:sectPr>
      </w:pPr>
    </w:p>
    <w:bookmarkStart w:id="170" w:name="page171"/>
    <w:bookmarkEnd w:id="170"/>
    <w:p>
      <w:pPr>
        <w:ind w:left="1220" w:hanging="358"/>
        <w:spacing w:after="0" w:line="264" w:lineRule="auto"/>
        <w:tabs>
          <w:tab w:leader="none" w:pos="1220" w:val="left"/>
        </w:tabs>
        <w:numPr>
          <w:ilvl w:val="0"/>
          <w:numId w:val="13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that the Company has filed the Form 8-K in good faith for the purpose of carrying on its business and that, at the time it did so, there were reasonable grounds for believing that the activities contemplated by the Form 8-K would benefit the Company.</w:t>
      </w:r>
    </w:p>
    <w:p>
      <w:pPr>
        <w:spacing w:after="0" w:line="241"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p>
      <w:pPr>
        <w:sectPr>
          <w:pgSz w:w="11900" w:h="16838" w:orient="portrait"/>
          <w:cols w:equalWidth="0" w:num="1">
            <w:col w:w="10120"/>
          </w:cols>
          <w:pgMar w:left="1440" w:top="449" w:right="339" w:bottom="1440" w:gutter="0" w:footer="0" w:header="0"/>
        </w:sectPr>
      </w:pPr>
    </w:p>
    <w:bookmarkStart w:id="171" w:name="page172"/>
    <w:bookmarkEnd w:id="171"/>
    <w:p>
      <w:pPr>
        <w:jc w:val="center"/>
        <w:ind w:left="20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3</w:t>
      </w:r>
    </w:p>
    <w:p>
      <w:pPr>
        <w:spacing w:after="0" w:line="225"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ind w:left="860"/>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jc w:val="both"/>
        <w:ind w:left="1220" w:hanging="358"/>
        <w:spacing w:after="0" w:line="266" w:lineRule="auto"/>
        <w:tabs>
          <w:tab w:leader="none" w:pos="1220" w:val="left"/>
        </w:tabs>
        <w:numPr>
          <w:ilvl w:val="0"/>
          <w:numId w:val="140"/>
        </w:numPr>
        <w:rPr>
          <w:rFonts w:ascii="Arial" w:cs="Arial" w:eastAsia="Arial" w:hAnsi="Arial"/>
          <w:sz w:val="18"/>
          <w:szCs w:val="18"/>
          <w:color w:val="auto"/>
        </w:rPr>
      </w:pPr>
      <w:r>
        <w:rPr>
          <w:rFonts w:ascii="Arial" w:cs="Arial" w:eastAsia="Arial" w:hAnsi="Arial"/>
          <w:sz w:val="18"/>
          <w:szCs w:val="18"/>
          <w:b w:val="1"/>
          <w:bCs w:val="1"/>
          <w:color w:val="auto"/>
        </w:rPr>
        <w:t>Bermuda Law</w:t>
      </w:r>
      <w:r>
        <w:rPr>
          <w:rFonts w:ascii="Arial" w:cs="Arial" w:eastAsia="Arial" w:hAnsi="Arial"/>
          <w:sz w:val="18"/>
          <w:szCs w:val="18"/>
          <w:color w:val="auto"/>
        </w:rPr>
        <w:t>: We express no opinion as to any law other than Bermuda law and none of the opinions expressed herein</w:t>
      </w:r>
      <w:r>
        <w:rPr>
          <w:rFonts w:ascii="Arial" w:cs="Arial" w:eastAsia="Arial" w:hAnsi="Arial"/>
          <w:sz w:val="18"/>
          <w:szCs w:val="18"/>
          <w:b w:val="1"/>
          <w:bCs w:val="1"/>
          <w:color w:val="auto"/>
        </w:rPr>
        <w:t xml:space="preserve"> </w:t>
      </w:r>
      <w:r>
        <w:rPr>
          <w:rFonts w:ascii="Arial" w:cs="Arial" w:eastAsia="Arial" w:hAnsi="Arial"/>
          <w:sz w:val="18"/>
          <w:szCs w:val="18"/>
          <w:color w:val="auto"/>
        </w:rPr>
        <w:t>relates to compliance with or matters governed by the laws of any jurisdiction except Bermuda. This opinion is limited to Bermuda law as applied by the Courts of Bermuda at the date hereof.</w:t>
      </w:r>
    </w:p>
    <w:p>
      <w:pPr>
        <w:spacing w:after="0" w:line="81" w:lineRule="exact"/>
        <w:rPr>
          <w:rFonts w:ascii="Arial" w:cs="Arial" w:eastAsia="Arial" w:hAnsi="Arial"/>
          <w:sz w:val="18"/>
          <w:szCs w:val="18"/>
          <w:color w:val="auto"/>
        </w:rPr>
      </w:pPr>
    </w:p>
    <w:p>
      <w:pPr>
        <w:ind w:left="1220" w:right="140" w:hanging="358"/>
        <w:spacing w:after="0" w:line="282" w:lineRule="auto"/>
        <w:tabs>
          <w:tab w:leader="none" w:pos="1220" w:val="left"/>
        </w:tabs>
        <w:numPr>
          <w:ilvl w:val="0"/>
          <w:numId w:val="140"/>
        </w:numPr>
        <w:rPr>
          <w:rFonts w:ascii="Arial" w:cs="Arial" w:eastAsia="Arial" w:hAnsi="Arial"/>
          <w:sz w:val="18"/>
          <w:szCs w:val="18"/>
          <w:color w:val="auto"/>
        </w:rPr>
      </w:pPr>
      <w:r>
        <w:rPr>
          <w:rFonts w:ascii="Arial" w:cs="Arial" w:eastAsia="Arial" w:hAnsi="Arial"/>
          <w:sz w:val="18"/>
          <w:szCs w:val="18"/>
          <w:b w:val="1"/>
          <w:bCs w:val="1"/>
          <w:color w:val="auto"/>
        </w:rPr>
        <w:t>Good Standing</w:t>
      </w:r>
      <w:r>
        <w:rPr>
          <w:rFonts w:ascii="Arial" w:cs="Arial" w:eastAsia="Arial" w:hAnsi="Arial"/>
          <w:sz w:val="18"/>
          <w:szCs w:val="18"/>
          <w:color w:val="auto"/>
        </w:rPr>
        <w:t>: The term “good standing” means that the Company has received a Certificate of Compliance from the</w:t>
      </w:r>
      <w:r>
        <w:rPr>
          <w:rFonts w:ascii="Arial" w:cs="Arial" w:eastAsia="Arial" w:hAnsi="Arial"/>
          <w:sz w:val="18"/>
          <w:szCs w:val="18"/>
          <w:b w:val="1"/>
          <w:bCs w:val="1"/>
          <w:color w:val="auto"/>
        </w:rPr>
        <w:t xml:space="preserve"> </w:t>
      </w:r>
      <w:r>
        <w:rPr>
          <w:rFonts w:ascii="Arial" w:cs="Arial" w:eastAsia="Arial" w:hAnsi="Arial"/>
          <w:sz w:val="18"/>
          <w:szCs w:val="18"/>
          <w:color w:val="auto"/>
        </w:rPr>
        <w:t>Registrar of Companies.</w:t>
      </w:r>
    </w:p>
    <w:p>
      <w:pPr>
        <w:spacing w:after="0" w:line="225" w:lineRule="exact"/>
        <w:rPr>
          <w:sz w:val="20"/>
          <w:szCs w:val="20"/>
          <w:color w:val="auto"/>
        </w:rPr>
      </w:pPr>
    </w:p>
    <w:p>
      <w:pPr>
        <w:ind w:left="660"/>
        <w:spacing w:after="0"/>
        <w:tabs>
          <w:tab w:leader="none" w:pos="1300" w:val="left"/>
          <w:tab w:leader="none" w:pos="2620" w:val="left"/>
          <w:tab w:leader="none" w:pos="3660" w:val="left"/>
          <w:tab w:leader="none" w:pos="4340" w:val="left"/>
          <w:tab w:leader="none" w:pos="5120" w:val="left"/>
          <w:tab w:leader="none" w:pos="5920" w:val="left"/>
          <w:tab w:leader="none" w:pos="6420" w:val="left"/>
          <w:tab w:leader="none" w:pos="7100" w:val="left"/>
          <w:tab w:leader="none" w:pos="784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Mauritius</w:t>
        <w:tab/>
        <w:t>Seychelles</w:t>
      </w:r>
      <w:r>
        <w:rPr>
          <w:sz w:val="20"/>
          <w:szCs w:val="20"/>
          <w:color w:val="auto"/>
        </w:rPr>
        <w:tab/>
      </w:r>
      <w:r>
        <w:rPr>
          <w:rFonts w:ascii="Arial" w:cs="Arial" w:eastAsia="Arial" w:hAnsi="Arial"/>
          <w:sz w:val="11"/>
          <w:szCs w:val="11"/>
          <w:color w:val="auto"/>
        </w:rPr>
        <w:t>Shanghai</w:t>
      </w:r>
    </w:p>
    <w:sectPr>
      <w:pgSz w:w="11900" w:h="16838" w:orient="portrait"/>
      <w:cols w:equalWidth="0" w:num="1">
        <w:col w:w="9960"/>
      </w:cols>
      <w:pgMar w:left="1440" w:top="32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98A3148"/>
    <w:multiLevelType w:val="hybridMultilevel"/>
    <w:lvl w:ilvl="0">
      <w:lvlJc w:val="left"/>
      <w:lvlText w:val="☐"/>
      <w:numFmt w:val="bullet"/>
      <w:start w:val="1"/>
    </w:lvl>
  </w:abstractNum>
  <w:abstractNum w:abstractNumId="1">
    <w:nsid w:val="799D0247"/>
    <w:multiLevelType w:val="hybridMultilevel"/>
    <w:lvl w:ilvl="0">
      <w:lvlJc w:val="left"/>
      <w:lvlText w:val="(%1)"/>
      <w:numFmt w:val="lowerLetter"/>
      <w:start w:val="4"/>
    </w:lvl>
  </w:abstractNum>
  <w:abstractNum w:abstractNumId="2">
    <w:nsid w:val="6B94764"/>
    <w:multiLevelType w:val="hybridMultilevel"/>
    <w:lvl w:ilvl="0">
      <w:lvlJc w:val="left"/>
      <w:lvlText w:val="(%1)"/>
      <w:numFmt w:val="lowerLetter"/>
      <w:start w:val="2"/>
    </w:lvl>
  </w:abstractNum>
  <w:abstractNum w:abstractNumId="3">
    <w:nsid w:val="42C296BD"/>
    <w:multiLevelType w:val="hybridMultilevel"/>
    <w:lvl w:ilvl="0">
      <w:lvlJc w:val="left"/>
      <w:lvlText w:val="(%1)"/>
      <w:numFmt w:val="lowerLetter"/>
      <w:start w:val="5"/>
    </w:lvl>
  </w:abstractNum>
  <w:abstractNum w:abstractNumId="4">
    <w:nsid w:val="168E121F"/>
    <w:multiLevelType w:val="hybridMultilevel"/>
    <w:lvl w:ilvl="0">
      <w:lvlJc w:val="left"/>
      <w:lvlText w:val="%1"/>
      <w:numFmt w:val="lowerLetter"/>
      <w:start w:val="1"/>
    </w:lvl>
    <w:lvl w:ilvl="1">
      <w:lvlJc w:val="left"/>
      <w:lvlText w:val="(%2)"/>
      <w:numFmt w:val="lowerLetter"/>
      <w:start w:val="7"/>
    </w:lvl>
  </w:abstractNum>
  <w:abstractNum w:abstractNumId="5">
    <w:nsid w:val="1EBA5D23"/>
    <w:multiLevelType w:val="hybridMultilevel"/>
    <w:lvl w:ilvl="0">
      <w:lvlJc w:val="left"/>
      <w:lvlText w:val="(%1)"/>
      <w:numFmt w:val="lowerLetter"/>
      <w:start w:val="9"/>
    </w:lvl>
    <w:lvl w:ilvl="1">
      <w:lvlJc w:val="left"/>
      <w:lvlText w:val="(%2)"/>
      <w:numFmt w:val="lowerLetter"/>
      <w:start w:val="10"/>
    </w:lvl>
  </w:abstractNum>
  <w:abstractNum w:abstractNumId="6">
    <w:nsid w:val="661E3F1E"/>
    <w:multiLevelType w:val="hybridMultilevel"/>
    <w:lvl w:ilvl="0">
      <w:lvlJc w:val="left"/>
      <w:lvlText w:val="(%1)"/>
      <w:numFmt w:val="lowerLetter"/>
      <w:start w:val="11"/>
    </w:lvl>
  </w:abstractNum>
  <w:abstractNum w:abstractNumId="7">
    <w:nsid w:val="5DC79EA8"/>
    <w:multiLevelType w:val="hybridMultilevel"/>
    <w:lvl w:ilvl="0">
      <w:lvlJc w:val="left"/>
      <w:lvlText w:val="(%1)"/>
      <w:numFmt w:val="lowerLetter"/>
      <w:start w:val="13"/>
    </w:lvl>
  </w:abstractNum>
  <w:abstractNum w:abstractNumId="8">
    <w:nsid w:val="540A471C"/>
    <w:multiLevelType w:val="hybridMultilevel"/>
    <w:lvl w:ilvl="0">
      <w:lvlJc w:val="left"/>
      <w:lvlText w:val="(%1)"/>
      <w:numFmt w:val="lowerLetter"/>
      <w:start w:val="18"/>
    </w:lvl>
  </w:abstractNum>
  <w:abstractNum w:abstractNumId="9">
    <w:nsid w:val="7BD3EE7B"/>
    <w:multiLevelType w:val="hybridMultilevel"/>
    <w:lvl w:ilvl="0">
      <w:lvlJc w:val="left"/>
      <w:lvlText w:val="(%1)"/>
      <w:numFmt w:val="lowerLetter"/>
      <w:start w:val="22"/>
    </w:lvl>
  </w:abstractNum>
  <w:abstractNum w:abstractNumId="10">
    <w:nsid w:val="51D9C564"/>
    <w:multiLevelType w:val="hybridMultilevel"/>
    <w:lvl w:ilvl="0">
      <w:lvlJc w:val="left"/>
      <w:lvlText w:val="(%1)"/>
      <w:numFmt w:val="lowerLetter"/>
      <w:start w:val="26"/>
    </w:lvl>
  </w:abstractNum>
  <w:abstractNum w:abstractNumId="11">
    <w:nsid w:val="613EFDC5"/>
    <w:multiLevelType w:val="hybridMultilevel"/>
    <w:lvl w:ilvl="0">
      <w:lvlJc w:val="left"/>
      <w:lvlText w:val="%1"/>
      <w:numFmt w:val="lowerLetter"/>
      <w:start w:val="1"/>
    </w:lvl>
    <w:lvl w:ilvl="1">
      <w:lvlJc w:val="left"/>
      <w:lvlText w:val="(%2)"/>
      <w:numFmt w:val="lowerLetter"/>
      <w:start w:val="27"/>
    </w:lvl>
  </w:abstractNum>
  <w:abstractNum w:abstractNumId="12">
    <w:nsid w:val="BF72B14"/>
    <w:multiLevelType w:val="hybridMultilevel"/>
    <w:lvl w:ilvl="0">
      <w:lvlJc w:val="left"/>
      <w:lvlText w:val="(%1)"/>
      <w:numFmt w:val="lowerLetter"/>
      <w:start w:val="26"/>
    </w:lvl>
    <w:lvl w:ilvl="1">
      <w:lvlJc w:val="left"/>
      <w:lvlText w:val="%2"/>
      <w:numFmt w:val="lowerLetter"/>
      <w:start w:val="1"/>
    </w:lvl>
  </w:abstractNum>
  <w:abstractNum w:abstractNumId="13">
    <w:nsid w:val="11447B73"/>
    <w:multiLevelType w:val="hybridMultilevel"/>
    <w:lvl w:ilvl="0">
      <w:lvlJc w:val="left"/>
      <w:lvlText w:val="(%1)"/>
      <w:numFmt w:val="lowerLetter"/>
      <w:start w:val="30"/>
    </w:lvl>
  </w:abstractNum>
  <w:abstractNum w:abstractNumId="14">
    <w:nsid w:val="42963E5A"/>
    <w:multiLevelType w:val="hybridMultilevel"/>
    <w:lvl w:ilvl="0">
      <w:lvlJc w:val="left"/>
      <w:lvlText w:val="%1"/>
      <w:numFmt w:val="lowerLetter"/>
      <w:start w:val="1"/>
    </w:lvl>
    <w:lvl w:ilvl="1">
      <w:lvlJc w:val="left"/>
      <w:lvlText w:val="(%2)"/>
      <w:numFmt w:val="lowerLetter"/>
      <w:start w:val="32"/>
    </w:lvl>
  </w:abstractNum>
  <w:abstractNum w:abstractNumId="15">
    <w:nsid w:val="A0382C5"/>
    <w:multiLevelType w:val="hybridMultilevel"/>
    <w:lvl w:ilvl="0">
      <w:lvlJc w:val="left"/>
      <w:lvlText w:val="(%1)"/>
      <w:numFmt w:val="lowerLetter"/>
      <w:start w:val="35"/>
    </w:lvl>
    <w:lvl w:ilvl="1">
      <w:lvlJc w:val="left"/>
      <w:lvlText w:val="(%2)"/>
      <w:numFmt w:val="lowerLetter"/>
      <w:start w:val="33"/>
    </w:lvl>
  </w:abstractNum>
  <w:abstractNum w:abstractNumId="16">
    <w:nsid w:val="8F2B15E"/>
    <w:multiLevelType w:val="hybridMultilevel"/>
    <w:lvl w:ilvl="0">
      <w:lvlJc w:val="left"/>
      <w:lvlText w:val="%1"/>
      <w:numFmt w:val="decimal"/>
      <w:start w:val="1"/>
    </w:lvl>
    <w:lvl w:ilvl="1">
      <w:lvlJc w:val="left"/>
      <w:lvlText w:val="(%2)"/>
      <w:numFmt w:val="lowerLetter"/>
      <w:start w:val="39"/>
    </w:lvl>
  </w:abstractNum>
  <w:abstractNum w:abstractNumId="17">
    <w:nsid w:val="1A32234B"/>
    <w:multiLevelType w:val="hybridMultilevel"/>
    <w:lvl w:ilvl="0">
      <w:lvlJc w:val="left"/>
      <w:lvlText w:val="%1."/>
      <w:numFmt w:val="decimal"/>
      <w:start w:val="2"/>
    </w:lvl>
    <w:lvl w:ilvl="1">
      <w:lvlJc w:val="left"/>
      <w:lvlText w:val="%2"/>
      <w:numFmt w:val="lowerLetter"/>
      <w:start w:val="1"/>
    </w:lvl>
  </w:abstractNum>
  <w:abstractNum w:abstractNumId="18">
    <w:nsid w:val="3B0FD379"/>
    <w:multiLevelType w:val="hybridMultilevel"/>
    <w:lvl w:ilvl="0">
      <w:lvlJc w:val="left"/>
      <w:lvlText w:val="(%1)"/>
      <w:numFmt w:val="lowerLetter"/>
      <w:start w:val="2"/>
    </w:lvl>
  </w:abstractNum>
  <w:abstractNum w:abstractNumId="19">
    <w:nsid w:val="68EB2F63"/>
    <w:multiLevelType w:val="hybridMultilevel"/>
    <w:lvl w:ilvl="0">
      <w:lvlJc w:val="left"/>
      <w:lvlText w:val="(%1)"/>
      <w:numFmt w:val="lowerLetter"/>
      <w:start w:val="1"/>
    </w:lvl>
  </w:abstractNum>
  <w:abstractNum w:abstractNumId="20">
    <w:nsid w:val="4962813B"/>
    <w:multiLevelType w:val="hybridMultilevel"/>
    <w:lvl w:ilvl="0">
      <w:lvlJc w:val="left"/>
      <w:lvlText w:val="(%1)"/>
      <w:numFmt w:val="lowerLetter"/>
      <w:start w:val="2"/>
    </w:lvl>
  </w:abstractNum>
  <w:abstractNum w:abstractNumId="21">
    <w:nsid w:val="60B6DF70"/>
    <w:multiLevelType w:val="hybridMultilevel"/>
    <w:lvl w:ilvl="0">
      <w:lvlJc w:val="left"/>
      <w:lvlText w:val="(%1)"/>
      <w:numFmt w:val="lowerLetter"/>
      <w:start w:val="6"/>
    </w:lvl>
  </w:abstractNum>
  <w:abstractNum w:abstractNumId="22">
    <w:nsid w:val="6A5EE64"/>
    <w:multiLevelType w:val="hybridMultilevel"/>
    <w:lvl w:ilvl="0">
      <w:lvlJc w:val="left"/>
      <w:lvlText w:val="%1"/>
      <w:numFmt w:val="lowerLetter"/>
      <w:start w:val="1"/>
    </w:lvl>
    <w:lvl w:ilvl="1">
      <w:lvlJc w:val="left"/>
      <w:lvlText w:val="(%2)"/>
      <w:numFmt w:val="lowerRoman"/>
      <w:start w:val="2"/>
    </w:lvl>
  </w:abstractNum>
  <w:abstractNum w:abstractNumId="23">
    <w:nsid w:val="14330624"/>
    <w:multiLevelType w:val="hybridMultilevel"/>
    <w:lvl w:ilvl="0">
      <w:lvlJc w:val="left"/>
      <w:lvlText w:val="(%1)"/>
      <w:numFmt w:val="lowerLetter"/>
      <w:start w:val="2"/>
    </w:lvl>
    <w:lvl w:ilvl="1">
      <w:lvlJc w:val="left"/>
      <w:lvlText w:val="%2"/>
      <w:numFmt w:val="lowerRoman"/>
      <w:start w:val="1"/>
    </w:lvl>
  </w:abstractNum>
  <w:abstractNum w:abstractNumId="24">
    <w:nsid w:val="7FFFCA11"/>
    <w:multiLevelType w:val="hybridMultilevel"/>
    <w:lvl w:ilvl="0">
      <w:lvlJc w:val="left"/>
      <w:lvlText w:val="%1."/>
      <w:numFmt w:val="decimal"/>
      <w:start w:val="7"/>
    </w:lvl>
  </w:abstractNum>
  <w:abstractNum w:abstractNumId="25">
    <w:nsid w:val="1A27709E"/>
    <w:multiLevelType w:val="hybridMultilevel"/>
    <w:lvl w:ilvl="0">
      <w:lvlJc w:val="left"/>
      <w:lvlText w:val="%1."/>
      <w:numFmt w:val="decimal"/>
      <w:start w:val="8"/>
    </w:lvl>
  </w:abstractNum>
  <w:abstractNum w:abstractNumId="26">
    <w:nsid w:val="71EA1109"/>
    <w:multiLevelType w:val="hybridMultilevel"/>
    <w:lvl w:ilvl="0">
      <w:lvlJc w:val="left"/>
      <w:lvlText w:val="(%1)"/>
      <w:numFmt w:val="lowerLetter"/>
      <w:start w:val="1"/>
    </w:lvl>
  </w:abstractNum>
  <w:abstractNum w:abstractNumId="27">
    <w:nsid w:val="100F59DC"/>
    <w:multiLevelType w:val="hybridMultilevel"/>
    <w:lvl w:ilvl="0">
      <w:lvlJc w:val="left"/>
      <w:lvlText w:val="%1"/>
      <w:numFmt w:val="lowerLetter"/>
      <w:start w:val="1"/>
    </w:lvl>
    <w:lvl w:ilvl="1">
      <w:lvlJc w:val="left"/>
      <w:lvlText w:val="(%2)"/>
      <w:numFmt w:val="lowerLetter"/>
      <w:start w:val="4"/>
    </w:lvl>
  </w:abstractNum>
  <w:abstractNum w:abstractNumId="28">
    <w:nsid w:val="7FB7E0AA"/>
    <w:multiLevelType w:val="hybridMultilevel"/>
    <w:lvl w:ilvl="0">
      <w:lvlJc w:val="left"/>
      <w:lvlText w:val="(%1)"/>
      <w:numFmt w:val="lowerLetter"/>
      <w:start w:val="35"/>
    </w:lvl>
    <w:lvl w:ilvl="1">
      <w:lvlJc w:val="left"/>
      <w:lvlText w:val="(%2)"/>
      <w:numFmt w:val="lowerLetter"/>
      <w:start w:val="7"/>
    </w:lvl>
  </w:abstractNum>
  <w:abstractNum w:abstractNumId="29">
    <w:nsid w:val="6EB5BD4"/>
    <w:multiLevelType w:val="hybridMultilevel"/>
    <w:lvl w:ilvl="0">
      <w:lvlJc w:val="left"/>
      <w:lvlText w:val="(%1)"/>
      <w:numFmt w:val="lowerLetter"/>
      <w:start w:val="9"/>
    </w:lvl>
  </w:abstractNum>
  <w:abstractNum w:abstractNumId="30">
    <w:nsid w:val="6F6DD9AC"/>
    <w:multiLevelType w:val="hybridMultilevel"/>
    <w:lvl w:ilvl="0">
      <w:lvlJc w:val="left"/>
      <w:lvlText w:val="%1."/>
      <w:numFmt w:val="decimal"/>
      <w:start w:val="9"/>
    </w:lvl>
  </w:abstractNum>
  <w:abstractNum w:abstractNumId="31">
    <w:nsid w:val="94211F2"/>
    <w:multiLevelType w:val="hybridMultilevel"/>
    <w:lvl w:ilvl="0">
      <w:lvlJc w:val="left"/>
      <w:lvlText w:val="(%1)"/>
      <w:numFmt w:val="lowerLetter"/>
      <w:start w:val="2"/>
    </w:lvl>
  </w:abstractNum>
  <w:abstractNum w:abstractNumId="32">
    <w:nsid w:val="885E1B"/>
    <w:multiLevelType w:val="hybridMultilevel"/>
    <w:lvl w:ilvl="0">
      <w:lvlJc w:val="left"/>
      <w:lvlText w:val="%1"/>
      <w:numFmt w:val="lowerLetter"/>
      <w:start w:val="1"/>
    </w:lvl>
    <w:lvl w:ilvl="1">
      <w:lvlJc w:val="left"/>
      <w:lvlText w:val="(%2)"/>
      <w:numFmt w:val="lowerLetter"/>
      <w:start w:val="4"/>
    </w:lvl>
  </w:abstractNum>
  <w:abstractNum w:abstractNumId="33">
    <w:nsid w:val="76272110"/>
    <w:multiLevelType w:val="hybridMultilevel"/>
    <w:lvl w:ilvl="0">
      <w:lvlJc w:val="left"/>
      <w:lvlText w:val="(%1)"/>
      <w:numFmt w:val="lowerLetter"/>
      <w:start w:val="2"/>
    </w:lvl>
    <w:lvl w:ilvl="1">
      <w:lvlJc w:val="left"/>
      <w:lvlText w:val="%2"/>
      <w:numFmt w:val="lowerLetter"/>
      <w:start w:val="1"/>
    </w:lvl>
  </w:abstractNum>
  <w:abstractNum w:abstractNumId="34">
    <w:nsid w:val="4C04A8AF"/>
    <w:multiLevelType w:val="hybridMultilevel"/>
    <w:lvl w:ilvl="0">
      <w:lvlJc w:val="left"/>
      <w:lvlText w:val="(%1)"/>
      <w:numFmt w:val="lowerLetter"/>
      <w:start w:val="5"/>
    </w:lvl>
  </w:abstractNum>
  <w:abstractNum w:abstractNumId="35">
    <w:nsid w:val="1716703B"/>
    <w:multiLevelType w:val="hybridMultilevel"/>
    <w:lvl w:ilvl="0">
      <w:lvlJc w:val="left"/>
      <w:lvlText w:val="%1."/>
      <w:numFmt w:val="decimal"/>
      <w:start w:val="10"/>
    </w:lvl>
  </w:abstractNum>
  <w:abstractNum w:abstractNumId="36">
    <w:nsid w:val="14E17E33"/>
    <w:multiLevelType w:val="hybridMultilevel"/>
    <w:lvl w:ilvl="0">
      <w:lvlJc w:val="left"/>
      <w:lvlText w:val="(%1)"/>
      <w:numFmt w:val="lowerLetter"/>
      <w:start w:val="2"/>
    </w:lvl>
  </w:abstractNum>
  <w:abstractNum w:abstractNumId="37">
    <w:nsid w:val="3222E7CD"/>
    <w:multiLevelType w:val="hybridMultilevel"/>
    <w:lvl w:ilvl="0">
      <w:lvlJc w:val="left"/>
      <w:lvlText w:val="(%1)"/>
      <w:numFmt w:val="lowerLetter"/>
      <w:start w:val="3"/>
    </w:lvl>
  </w:abstractNum>
  <w:abstractNum w:abstractNumId="38">
    <w:nsid w:val="74DE0EE3"/>
    <w:multiLevelType w:val="hybridMultilevel"/>
    <w:lvl w:ilvl="0">
      <w:lvlJc w:val="left"/>
      <w:lvlText w:val="%1."/>
      <w:numFmt w:val="decimal"/>
      <w:start w:val="11"/>
    </w:lvl>
  </w:abstractNum>
  <w:abstractNum w:abstractNumId="39">
    <w:nsid w:val="68EBC550"/>
    <w:multiLevelType w:val="hybridMultilevel"/>
    <w:lvl w:ilvl="0">
      <w:lvlJc w:val="left"/>
      <w:lvlText w:val="%1."/>
      <w:numFmt w:val="decimal"/>
      <w:start w:val="14"/>
    </w:lvl>
  </w:abstractNum>
  <w:abstractNum w:abstractNumId="40">
    <w:nsid w:val="2DF6D648"/>
    <w:multiLevelType w:val="hybridMultilevel"/>
    <w:lvl w:ilvl="0">
      <w:lvlJc w:val="left"/>
      <w:lvlText w:val="%1."/>
      <w:numFmt w:val="decimal"/>
      <w:start w:val="18"/>
    </w:lvl>
    <w:lvl w:ilvl="1">
      <w:lvlJc w:val="left"/>
      <w:lvlText w:val="(%2)"/>
      <w:numFmt w:val="lowerLetter"/>
      <w:start w:val="2"/>
    </w:lvl>
  </w:abstractNum>
  <w:abstractNum w:abstractNumId="41">
    <w:nsid w:val="46B7D447"/>
    <w:multiLevelType w:val="hybridMultilevel"/>
    <w:lvl w:ilvl="0">
      <w:lvlJc w:val="left"/>
      <w:lvlText w:val="%1."/>
      <w:numFmt w:val="decimal"/>
      <w:start w:val="21"/>
    </w:lvl>
  </w:abstractNum>
  <w:abstractNum w:abstractNumId="42">
    <w:nsid w:val="4A2AC315"/>
    <w:multiLevelType w:val="hybridMultilevel"/>
    <w:lvl w:ilvl="0">
      <w:lvlJc w:val="left"/>
      <w:lvlText w:val="(%1)"/>
      <w:numFmt w:val="lowerLetter"/>
      <w:start w:val="1"/>
    </w:lvl>
  </w:abstractNum>
  <w:abstractNum w:abstractNumId="43">
    <w:nsid w:val="39EE015C"/>
    <w:multiLevelType w:val="hybridMultilevel"/>
    <w:lvl w:ilvl="0">
      <w:lvlJc w:val="left"/>
      <w:lvlText w:val="*"/>
      <w:numFmt w:val="bullet"/>
      <w:start w:val="1"/>
    </w:lvl>
  </w:abstractNum>
  <w:abstractNum w:abstractNumId="44">
    <w:nsid w:val="57FC4FBB"/>
    <w:multiLevelType w:val="hybridMultilevel"/>
    <w:lvl w:ilvl="0">
      <w:lvlJc w:val="left"/>
      <w:lvlText w:val="%1."/>
      <w:numFmt w:val="decimal"/>
      <w:start w:val="1"/>
    </w:lvl>
  </w:abstractNum>
  <w:abstractNum w:abstractNumId="45">
    <w:nsid w:val="CC1016F"/>
    <w:multiLevelType w:val="hybridMultilevel"/>
    <w:lvl w:ilvl="0">
      <w:lvlJc w:val="left"/>
      <w:lvlText w:val="(%1)"/>
      <w:numFmt w:val="decimal"/>
      <w:start w:val="1"/>
    </w:lvl>
  </w:abstractNum>
  <w:abstractNum w:abstractNumId="46">
    <w:nsid w:val="43F18422"/>
    <w:multiLevelType w:val="hybridMultilevel"/>
    <w:lvl w:ilvl="0">
      <w:lvlJc w:val="left"/>
      <w:lvlText w:val="(%1)"/>
      <w:numFmt w:val="decimal"/>
      <w:start w:val="8"/>
    </w:lvl>
  </w:abstractNum>
  <w:abstractNum w:abstractNumId="47">
    <w:nsid w:val="60EF0119"/>
    <w:multiLevelType w:val="hybridMultilevel"/>
    <w:lvl w:ilvl="0">
      <w:lvlJc w:val="left"/>
      <w:lvlText w:val="(%1)"/>
      <w:numFmt w:val="decimal"/>
      <w:start w:val="1"/>
    </w:lvl>
  </w:abstractNum>
  <w:abstractNum w:abstractNumId="48">
    <w:nsid w:val="26F324BA"/>
    <w:multiLevelType w:val="hybridMultilevel"/>
    <w:lvl w:ilvl="0">
      <w:lvlJc w:val="left"/>
      <w:lvlText w:val="(%1)"/>
      <w:numFmt w:val="decimal"/>
      <w:start w:val="1"/>
    </w:lvl>
  </w:abstractNum>
  <w:abstractNum w:abstractNumId="49">
    <w:nsid w:val="7F01579B"/>
    <w:multiLevelType w:val="hybridMultilevel"/>
    <w:lvl w:ilvl="0">
      <w:lvlJc w:val="left"/>
      <w:lvlText w:val="(%1)"/>
      <w:numFmt w:val="decimal"/>
      <w:start w:val="1"/>
    </w:lvl>
  </w:abstractNum>
  <w:abstractNum w:abstractNumId="50">
    <w:nsid w:val="49DA307D"/>
    <w:multiLevelType w:val="hybridMultilevel"/>
    <w:lvl w:ilvl="0">
      <w:lvlJc w:val="left"/>
      <w:lvlText w:val="(%1)"/>
      <w:numFmt w:val="decimal"/>
      <w:start w:val="1"/>
    </w:lvl>
  </w:abstractNum>
  <w:abstractNum w:abstractNumId="51">
    <w:nsid w:val="7055A5F5"/>
    <w:multiLevelType w:val="hybridMultilevel"/>
    <w:lvl w:ilvl="0">
      <w:lvlJc w:val="left"/>
      <w:lvlText w:val="(%1)"/>
      <w:numFmt w:val="decimal"/>
      <w:start w:val="7"/>
    </w:lvl>
  </w:abstractNum>
  <w:abstractNum w:abstractNumId="52">
    <w:nsid w:val="5FB8370B"/>
    <w:multiLevelType w:val="hybridMultilevel"/>
    <w:lvl w:ilvl="0">
      <w:lvlJc w:val="left"/>
      <w:lvlText w:val="(%1)"/>
      <w:numFmt w:val="decimal"/>
      <w:start w:val="16"/>
    </w:lvl>
  </w:abstractNum>
  <w:abstractNum w:abstractNumId="53">
    <w:nsid w:val="50801EE1"/>
    <w:multiLevelType w:val="hybridMultilevel"/>
    <w:lvl w:ilvl="0">
      <w:lvlJc w:val="left"/>
      <w:lvlText w:val="(%1)"/>
      <w:numFmt w:val="decimal"/>
      <w:start w:val="24"/>
    </w:lvl>
  </w:abstractNum>
  <w:abstractNum w:abstractNumId="54">
    <w:nsid w:val="488AC1A"/>
    <w:multiLevelType w:val="hybridMultilevel"/>
    <w:lvl w:ilvl="0">
      <w:lvlJc w:val="left"/>
      <w:lvlText w:val="(%1)"/>
      <w:numFmt w:val="decimal"/>
      <w:start w:val="1"/>
    </w:lvl>
  </w:abstractNum>
  <w:abstractNum w:abstractNumId="55">
    <w:nsid w:val="5FB8011C"/>
    <w:multiLevelType w:val="hybridMultilevel"/>
    <w:lvl w:ilvl="0">
      <w:lvlJc w:val="left"/>
      <w:lvlText w:val="(%1)"/>
      <w:numFmt w:val="decimal"/>
      <w:start w:val="1"/>
    </w:lvl>
  </w:abstractNum>
  <w:abstractNum w:abstractNumId="56">
    <w:nsid w:val="6AA78F7F"/>
    <w:multiLevelType w:val="hybridMultilevel"/>
    <w:lvl w:ilvl="0">
      <w:lvlJc w:val="left"/>
      <w:lvlText w:val="(%1)"/>
      <w:numFmt w:val="decimal"/>
      <w:start w:val="4"/>
    </w:lvl>
  </w:abstractNum>
  <w:abstractNum w:abstractNumId="57">
    <w:nsid w:val="7672BD23"/>
    <w:multiLevelType w:val="hybridMultilevel"/>
    <w:lvl w:ilvl="0">
      <w:lvlJc w:val="left"/>
      <w:lvlText w:val="(%1)"/>
      <w:numFmt w:val="decimal"/>
      <w:start w:val="1"/>
    </w:lvl>
  </w:abstractNum>
  <w:abstractNum w:abstractNumId="58">
    <w:nsid w:val="6FC75AF8"/>
    <w:multiLevelType w:val="hybridMultilevel"/>
    <w:lvl w:ilvl="0">
      <w:lvlJc w:val="left"/>
      <w:lvlText w:val="(%1)"/>
      <w:numFmt w:val="decimal"/>
      <w:start w:val="1"/>
    </w:lvl>
    <w:lvl w:ilvl="1">
      <w:lvlJc w:val="left"/>
      <w:lvlText w:val="(%2)"/>
      <w:numFmt w:val="upperLetter"/>
      <w:start w:val="1"/>
    </w:lvl>
    <w:lvl w:ilvl="2">
      <w:lvlJc w:val="left"/>
      <w:lvlText w:val="(%3)"/>
      <w:numFmt w:val="lowerRoman"/>
      <w:start w:val="1"/>
    </w:lvl>
  </w:abstractNum>
  <w:abstractNum w:abstractNumId="59">
    <w:nsid w:val="6A5F7029"/>
    <w:multiLevelType w:val="hybridMultilevel"/>
    <w:lvl w:ilvl="0">
      <w:lvlJc w:val="left"/>
      <w:lvlText w:val="(%1)"/>
      <w:numFmt w:val="decimal"/>
      <w:start w:val="2"/>
    </w:lvl>
  </w:abstractNum>
  <w:abstractNum w:abstractNumId="60">
    <w:nsid w:val="7D5E18F8"/>
    <w:multiLevelType w:val="hybridMultilevel"/>
    <w:lvl w:ilvl="0">
      <w:lvlJc w:val="left"/>
      <w:lvlText w:val="(%1)"/>
      <w:numFmt w:val="decimal"/>
      <w:start w:val="1"/>
    </w:lvl>
    <w:lvl w:ilvl="1">
      <w:lvlJc w:val="left"/>
      <w:lvlText w:val="(%2)"/>
      <w:numFmt w:val="upperLetter"/>
      <w:start w:val="1"/>
    </w:lvl>
  </w:abstractNum>
  <w:abstractNum w:abstractNumId="61">
    <w:nsid w:val="5F3534A4"/>
    <w:multiLevelType w:val="hybridMultilevel"/>
    <w:lvl w:ilvl="0">
      <w:lvlJc w:val="left"/>
      <w:lvlText w:val="%1"/>
      <w:numFmt w:val="decimal"/>
      <w:start w:val="1"/>
    </w:lvl>
    <w:lvl w:ilvl="1">
      <w:lvlJc w:val="left"/>
      <w:lvlText w:val="(%2)"/>
      <w:numFmt w:val="upperLetter"/>
      <w:start w:val="3"/>
    </w:lvl>
  </w:abstractNum>
  <w:abstractNum w:abstractNumId="62">
    <w:nsid w:val="73A1821B"/>
    <w:multiLevelType w:val="hybridMultilevel"/>
    <w:lvl w:ilvl="0">
      <w:lvlJc w:val="left"/>
      <w:lvlText w:val="(%1)"/>
      <w:numFmt w:val="decimal"/>
      <w:start w:val="6"/>
    </w:lvl>
    <w:lvl w:ilvl="1">
      <w:lvlJc w:val="left"/>
      <w:lvlText w:val="%2"/>
      <w:numFmt w:val="upperLetter"/>
      <w:start w:val="1"/>
    </w:lvl>
  </w:abstractNum>
  <w:abstractNum w:abstractNumId="63">
    <w:nsid w:val="7DE67713"/>
    <w:multiLevelType w:val="hybridMultilevel"/>
    <w:lvl w:ilvl="0">
      <w:lvlJc w:val="left"/>
      <w:lvlText w:val="(%1)"/>
      <w:numFmt w:val="decimal"/>
      <w:start w:val="1"/>
    </w:lvl>
    <w:lvl w:ilvl="1">
      <w:lvlJc w:val="left"/>
      <w:lvlText w:val="(%2)"/>
      <w:numFmt w:val="upperLetter"/>
      <w:start w:val="1"/>
    </w:lvl>
  </w:abstractNum>
  <w:abstractNum w:abstractNumId="64">
    <w:nsid w:val="555C55B5"/>
    <w:multiLevelType w:val="hybridMultilevel"/>
    <w:lvl w:ilvl="0">
      <w:lvlJc w:val="left"/>
      <w:lvlText w:val="%1"/>
      <w:numFmt w:val="decimal"/>
      <w:start w:val="1"/>
    </w:lvl>
    <w:lvl w:ilvl="1">
      <w:lvlJc w:val="left"/>
      <w:lvlText w:val="(%2)"/>
      <w:numFmt w:val="upperLetter"/>
      <w:start w:val="2"/>
    </w:lvl>
  </w:abstractNum>
  <w:abstractNum w:abstractNumId="65">
    <w:nsid w:val="3FA62ACA"/>
    <w:multiLevelType w:val="hybridMultilevel"/>
    <w:lvl w:ilvl="0">
      <w:lvlJc w:val="left"/>
      <w:lvlText w:val="(%1)"/>
      <w:numFmt w:val="decimal"/>
      <w:start w:val="2"/>
    </w:lvl>
    <w:lvl w:ilvl="1">
      <w:lvlJc w:val="left"/>
      <w:lvlText w:val="%2"/>
      <w:numFmt w:val="upperLetter"/>
      <w:start w:val="1"/>
    </w:lvl>
  </w:abstractNum>
  <w:abstractNum w:abstractNumId="66">
    <w:nsid w:val="14FCE74E"/>
    <w:multiLevelType w:val="hybridMultilevel"/>
    <w:lvl w:ilvl="0">
      <w:lvlJc w:val="left"/>
      <w:lvlText w:val="(%1)"/>
      <w:numFmt w:val="decimal"/>
      <w:start w:val="1"/>
    </w:lvl>
  </w:abstractNum>
  <w:abstractNum w:abstractNumId="67">
    <w:nsid w:val="6A3DD3E8"/>
    <w:multiLevelType w:val="hybridMultilevel"/>
    <w:lvl w:ilvl="0">
      <w:lvlJc w:val="left"/>
      <w:lvlText w:val="(%1)"/>
      <w:numFmt w:val="decimal"/>
      <w:start w:val="3"/>
    </w:lvl>
  </w:abstractNum>
  <w:abstractNum w:abstractNumId="68">
    <w:nsid w:val="71C91298"/>
    <w:multiLevelType w:val="hybridMultilevel"/>
    <w:lvl w:ilvl="0">
      <w:lvlJc w:val="left"/>
      <w:lvlText w:val="(%1)"/>
      <w:numFmt w:val="decimal"/>
      <w:start w:val="1"/>
    </w:lvl>
  </w:abstractNum>
  <w:abstractNum w:abstractNumId="69">
    <w:nsid w:val="9DAF632"/>
    <w:multiLevelType w:val="hybridMultilevel"/>
    <w:lvl w:ilvl="0">
      <w:lvlJc w:val="left"/>
      <w:lvlText w:val="(%1)"/>
      <w:numFmt w:val="decimal"/>
      <w:start w:val="1"/>
    </w:lvl>
  </w:abstractNum>
  <w:abstractNum w:abstractNumId="70">
    <w:nsid w:val="53299938"/>
    <w:multiLevelType w:val="hybridMultilevel"/>
    <w:lvl w:ilvl="0">
      <w:lvlJc w:val="left"/>
      <w:lvlText w:val="(%1)"/>
      <w:numFmt w:val="decimal"/>
      <w:start w:val="1"/>
    </w:lvl>
    <w:lvl w:ilvl="1">
      <w:lvlJc w:val="left"/>
      <w:lvlText w:val="(%2)"/>
      <w:numFmt w:val="upperLetter"/>
      <w:start w:val="1"/>
    </w:lvl>
  </w:abstractNum>
  <w:abstractNum w:abstractNumId="71">
    <w:nsid w:val="1FBFE8E0"/>
    <w:multiLevelType w:val="hybridMultilevel"/>
    <w:lvl w:ilvl="0">
      <w:lvlJc w:val="left"/>
      <w:lvlText w:val="%1"/>
      <w:numFmt w:val="decimal"/>
      <w:start w:val="1"/>
    </w:lvl>
    <w:lvl w:ilvl="1">
      <w:lvlJc w:val="left"/>
      <w:lvlText w:val="(%2)"/>
      <w:numFmt w:val="upperLetter"/>
      <w:start w:val="3"/>
    </w:lvl>
  </w:abstractNum>
  <w:abstractNum w:abstractNumId="72">
    <w:nsid w:val="5092CA79"/>
    <w:multiLevelType w:val="hybridMultilevel"/>
    <w:lvl w:ilvl="0">
      <w:lvlJc w:val="left"/>
      <w:lvlText w:val="(%1)"/>
      <w:numFmt w:val="decimal"/>
      <w:start w:val="4"/>
    </w:lvl>
    <w:lvl w:ilvl="1">
      <w:lvlJc w:val="left"/>
      <w:lvlText w:val="%2"/>
      <w:numFmt w:val="upperLetter"/>
      <w:start w:val="1"/>
    </w:lvl>
  </w:abstractNum>
  <w:abstractNum w:abstractNumId="73">
    <w:nsid w:val="1D545C4D"/>
    <w:multiLevelType w:val="hybridMultilevel"/>
    <w:lvl w:ilvl="0">
      <w:lvlJc w:val="left"/>
      <w:lvlText w:val="(%1)"/>
      <w:numFmt w:val="decimal"/>
      <w:start w:val="1"/>
    </w:lvl>
  </w:abstractNum>
  <w:abstractNum w:abstractNumId="74">
    <w:nsid w:val="59ADEA3D"/>
    <w:multiLevelType w:val="hybridMultilevel"/>
    <w:lvl w:ilvl="0">
      <w:lvlJc w:val="left"/>
      <w:lvlText w:val="(%1)"/>
      <w:numFmt w:val="decimal"/>
      <w:start w:val="4"/>
    </w:lvl>
  </w:abstractNum>
  <w:abstractNum w:abstractNumId="75">
    <w:nsid w:val="288F1A34"/>
    <w:multiLevelType w:val="hybridMultilevel"/>
    <w:lvl w:ilvl="0">
      <w:lvlJc w:val="left"/>
      <w:lvlText w:val="(%1)"/>
      <w:numFmt w:val="decimal"/>
      <w:start w:val="12"/>
    </w:lvl>
  </w:abstractNum>
  <w:abstractNum w:abstractNumId="76">
    <w:nsid w:val="2A155DBC"/>
    <w:multiLevelType w:val="hybridMultilevel"/>
    <w:lvl w:ilvl="0">
      <w:lvlJc w:val="left"/>
      <w:lvlText w:val="(%1)"/>
      <w:numFmt w:val="decimal"/>
      <w:start w:val="1"/>
    </w:lvl>
  </w:abstractNum>
  <w:abstractNum w:abstractNumId="77">
    <w:nsid w:val="1D9F6E5F"/>
    <w:multiLevelType w:val="hybridMultilevel"/>
    <w:lvl w:ilvl="0">
      <w:lvlJc w:val="left"/>
      <w:lvlText w:val="(%1)"/>
      <w:numFmt w:val="decimal"/>
      <w:start w:val="3"/>
    </w:lvl>
  </w:abstractNum>
  <w:abstractNum w:abstractNumId="78">
    <w:nsid w:val="97E1B4E"/>
    <w:multiLevelType w:val="hybridMultilevel"/>
    <w:lvl w:ilvl="0">
      <w:lvlJc w:val="left"/>
      <w:lvlText w:val="(%1)"/>
      <w:numFmt w:val="decimal"/>
      <w:start w:val="1"/>
    </w:lvl>
  </w:abstractNum>
  <w:abstractNum w:abstractNumId="79">
    <w:nsid w:val="51088277"/>
    <w:multiLevelType w:val="hybridMultilevel"/>
    <w:lvl w:ilvl="0">
      <w:lvlJc w:val="left"/>
      <w:lvlText w:val="(%1)"/>
      <w:numFmt w:val="decimal"/>
      <w:start w:val="1"/>
    </w:lvl>
  </w:abstractNum>
  <w:abstractNum w:abstractNumId="80">
    <w:nsid w:val="1CA0C5FA"/>
    <w:multiLevelType w:val="hybridMultilevel"/>
    <w:lvl w:ilvl="0">
      <w:lvlJc w:val="left"/>
      <w:lvlText w:val="(%1)"/>
      <w:numFmt w:val="decimal"/>
      <w:start w:val="1"/>
    </w:lvl>
  </w:abstractNum>
  <w:abstractNum w:abstractNumId="81">
    <w:nsid w:val="53584BCB"/>
    <w:multiLevelType w:val="hybridMultilevel"/>
    <w:lvl w:ilvl="0">
      <w:lvlJc w:val="left"/>
      <w:lvlText w:val="(%1)"/>
      <w:numFmt w:val="decimal"/>
      <w:start w:val="12"/>
    </w:lvl>
  </w:abstractNum>
  <w:abstractNum w:abstractNumId="82">
    <w:nsid w:val="415E286C"/>
    <w:multiLevelType w:val="hybridMultilevel"/>
    <w:lvl w:ilvl="0">
      <w:lvlJc w:val="left"/>
      <w:lvlText w:val="(%1)"/>
      <w:numFmt w:val="decimal"/>
      <w:start w:val="1"/>
    </w:lvl>
  </w:abstractNum>
  <w:abstractNum w:abstractNumId="83">
    <w:nsid w:val="7C58FD05"/>
    <w:multiLevelType w:val="hybridMultilevel"/>
    <w:lvl w:ilvl="0">
      <w:lvlJc w:val="left"/>
      <w:lvlText w:val="(%1)"/>
      <w:numFmt w:val="decimal"/>
      <w:start w:val="3"/>
    </w:lvl>
  </w:abstractNum>
  <w:abstractNum w:abstractNumId="84">
    <w:nsid w:val="23D86AAC"/>
    <w:multiLevelType w:val="hybridMultilevel"/>
    <w:lvl w:ilvl="0">
      <w:lvlJc w:val="left"/>
      <w:lvlText w:val="(%1)"/>
      <w:numFmt w:val="decimal"/>
      <w:start w:val="1"/>
    </w:lvl>
  </w:abstractNum>
  <w:abstractNum w:abstractNumId="85">
    <w:nsid w:val="45E6D486"/>
    <w:multiLevelType w:val="hybridMultilevel"/>
    <w:lvl w:ilvl="0">
      <w:lvlJc w:val="left"/>
      <w:lvlText w:val="(%1)"/>
      <w:numFmt w:val="decimal"/>
      <w:start w:val="1"/>
    </w:lvl>
  </w:abstractNum>
  <w:abstractNum w:abstractNumId="86">
    <w:nsid w:val="5C10FE21"/>
    <w:multiLevelType w:val="hybridMultilevel"/>
    <w:lvl w:ilvl="0">
      <w:lvlJc w:val="left"/>
      <w:lvlText w:val="(%1)"/>
      <w:numFmt w:val="decimal"/>
      <w:start w:val="1"/>
    </w:lvl>
  </w:abstractNum>
  <w:abstractNum w:abstractNumId="87">
    <w:nsid w:val="E7FFA2B"/>
    <w:multiLevelType w:val="hybridMultilevel"/>
    <w:lvl w:ilvl="0">
      <w:lvlJc w:val="left"/>
      <w:lvlText w:val="(%1)"/>
      <w:numFmt w:val="decimal"/>
      <w:start w:val="1"/>
    </w:lvl>
  </w:abstractNum>
  <w:abstractNum w:abstractNumId="88">
    <w:nsid w:val="3C5991AA"/>
    <w:multiLevelType w:val="hybridMultilevel"/>
    <w:lvl w:ilvl="0">
      <w:lvlJc w:val="left"/>
      <w:lvlText w:val="%1"/>
      <w:numFmt w:val="decimal"/>
      <w:start w:val="1"/>
    </w:lvl>
    <w:lvl w:ilvl="1">
      <w:lvlJc w:val="left"/>
      <w:lvlText w:val="(%2)"/>
      <w:numFmt w:val="lowerLetter"/>
      <w:start w:val="25"/>
    </w:lvl>
  </w:abstractNum>
  <w:abstractNum w:abstractNumId="89">
    <w:nsid w:val="4BD8591A"/>
    <w:multiLevelType w:val="hybridMultilevel"/>
    <w:lvl w:ilvl="0">
      <w:lvlJc w:val="left"/>
      <w:lvlText w:val="(%1)"/>
      <w:numFmt w:val="decimal"/>
      <w:start w:val="2"/>
    </w:lvl>
    <w:lvl w:ilvl="1">
      <w:lvlJc w:val="left"/>
      <w:lvlText w:val="%2"/>
      <w:numFmt w:val="lowerLetter"/>
      <w:start w:val="1"/>
    </w:lvl>
  </w:abstractNum>
  <w:abstractNum w:abstractNumId="90">
    <w:nsid w:val="78DF6A55"/>
    <w:multiLevelType w:val="hybridMultilevel"/>
    <w:lvl w:ilvl="0">
      <w:lvlJc w:val="left"/>
      <w:lvlText w:val="(%1)"/>
      <w:numFmt w:val="decimal"/>
      <w:start w:val="6"/>
    </w:lvl>
  </w:abstractNum>
  <w:abstractNum w:abstractNumId="91">
    <w:nsid w:val="39B7AAA2"/>
    <w:multiLevelType w:val="hybridMultilevel"/>
    <w:lvl w:ilvl="0">
      <w:lvlJc w:val="left"/>
      <w:lvlText w:val="(%1)"/>
      <w:numFmt w:val="lowerLetter"/>
      <w:start w:val="2"/>
    </w:lvl>
  </w:abstractNum>
  <w:abstractNum w:abstractNumId="92">
    <w:nsid w:val="2B0D8DBE"/>
    <w:multiLevelType w:val="hybridMultilevel"/>
    <w:lvl w:ilvl="0">
      <w:lvlJc w:val="left"/>
      <w:lvlText w:val="(%1)"/>
      <w:numFmt w:val="lowerLetter"/>
      <w:start w:val="3"/>
    </w:lvl>
  </w:abstractNum>
  <w:abstractNum w:abstractNumId="93">
    <w:nsid w:val="6C80EC70"/>
    <w:multiLevelType w:val="hybridMultilevel"/>
    <w:lvl w:ilvl="0">
      <w:lvlJc w:val="left"/>
      <w:lvlText w:val="(%1)"/>
      <w:numFmt w:val="lowerLetter"/>
      <w:start w:val="7"/>
    </w:lvl>
  </w:abstractNum>
  <w:abstractNum w:abstractNumId="94">
    <w:nsid w:val="379E21B5"/>
    <w:multiLevelType w:val="hybridMultilevel"/>
    <w:lvl w:ilvl="0">
      <w:lvlJc w:val="left"/>
      <w:lvlText w:val="(%1)"/>
      <w:numFmt w:val="lowerRoman"/>
      <w:start w:val="1"/>
    </w:lvl>
  </w:abstractNum>
  <w:abstractNum w:abstractNumId="95">
    <w:nsid w:val="69E373"/>
    <w:multiLevelType w:val="hybridMultilevel"/>
    <w:lvl w:ilvl="0">
      <w:lvlJc w:val="left"/>
      <w:lvlText w:val="(%1)"/>
      <w:numFmt w:val="lowerLetter"/>
      <w:start w:val="1"/>
    </w:lvl>
  </w:abstractNum>
  <w:abstractNum w:abstractNumId="96">
    <w:nsid w:val="2C27173B"/>
    <w:multiLevelType w:val="hybridMultilevel"/>
    <w:lvl w:ilvl="0">
      <w:lvlJc w:val="left"/>
      <w:lvlText w:val="%1"/>
      <w:numFmt w:val="lowerLetter"/>
      <w:start w:val="1"/>
    </w:lvl>
    <w:lvl w:ilvl="1">
      <w:lvlJc w:val="left"/>
      <w:lvlText w:val="(%2)"/>
      <w:numFmt w:val="lowerLetter"/>
      <w:start w:val="2"/>
    </w:lvl>
  </w:abstractNum>
  <w:abstractNum w:abstractNumId="97">
    <w:nsid w:val="4C9B0904"/>
    <w:multiLevelType w:val="hybridMultilevel"/>
    <w:lvl w:ilvl="0">
      <w:lvlJc w:val="left"/>
      <w:lvlText w:val="(%1)"/>
      <w:numFmt w:val="lowerLetter"/>
      <w:start w:val="35"/>
    </w:lvl>
    <w:lvl w:ilvl="1">
      <w:lvlJc w:val="left"/>
      <w:lvlText w:val="(%2)"/>
      <w:numFmt w:val="lowerLetter"/>
      <w:start w:val="3"/>
    </w:lvl>
  </w:abstractNum>
  <w:abstractNum w:abstractNumId="98">
    <w:nsid w:val="6AA7B75C"/>
    <w:multiLevelType w:val="hybridMultilevel"/>
    <w:lvl w:ilvl="0">
      <w:lvlJc w:val="left"/>
      <w:lvlText w:val="(%1)"/>
      <w:numFmt w:val="lowerLetter"/>
      <w:start w:val="35"/>
    </w:lvl>
    <w:lvl w:ilvl="1">
      <w:lvlJc w:val="left"/>
      <w:lvlText w:val="(%2)"/>
      <w:numFmt w:val="lowerLetter"/>
      <w:start w:val="4"/>
    </w:lvl>
  </w:abstractNum>
  <w:abstractNum w:abstractNumId="99">
    <w:nsid w:val="1DF029D3"/>
    <w:multiLevelType w:val="hybridMultilevel"/>
    <w:lvl w:ilvl="0">
      <w:lvlJc w:val="left"/>
      <w:lvlText w:val="(%1)"/>
      <w:numFmt w:val="lowerLetter"/>
      <w:start w:val="6"/>
    </w:lvl>
  </w:abstractNum>
  <w:abstractNum w:abstractNumId="100">
    <w:nsid w:val="5675FF36"/>
    <w:multiLevelType w:val="hybridMultilevel"/>
    <w:lvl w:ilvl="0">
      <w:lvlJc w:val="left"/>
      <w:lvlText w:val="%1"/>
      <w:numFmt w:val="lowerLetter"/>
      <w:start w:val="1"/>
    </w:lvl>
    <w:lvl w:ilvl="1">
      <w:lvlJc w:val="left"/>
      <w:lvlText w:val="%2"/>
      <w:numFmt w:val="lowerRoman"/>
      <w:start w:val="1"/>
    </w:lvl>
    <w:lvl w:ilvl="2">
      <w:lvlJc w:val="left"/>
      <w:lvlText w:val="(%3)"/>
      <w:numFmt w:val="lowerLetter"/>
      <w:start w:val="1"/>
    </w:lvl>
  </w:abstractNum>
  <w:abstractNum w:abstractNumId="101">
    <w:nsid w:val="3DD15094"/>
    <w:multiLevelType w:val="hybridMultilevel"/>
    <w:lvl w:ilvl="0">
      <w:lvlJc w:val="left"/>
      <w:lvlText w:val="(%1)"/>
      <w:numFmt w:val="lowerLetter"/>
      <w:start w:val="2"/>
    </w:lvl>
    <w:lvl w:ilvl="1">
      <w:lvlJc w:val="left"/>
      <w:lvlText w:val="(%2)"/>
      <w:numFmt w:val="lowerRoman"/>
      <w:start w:val="1"/>
    </w:lvl>
    <w:lvl w:ilvl="2">
      <w:lvlJc w:val="left"/>
      <w:lvlText w:val="%3"/>
      <w:numFmt w:val="lowerLetter"/>
      <w:start w:val="1"/>
    </w:lvl>
  </w:abstractNum>
  <w:abstractNum w:abstractNumId="102">
    <w:nsid w:val="3DB012B3"/>
    <w:multiLevelType w:val="hybridMultilevel"/>
    <w:lvl w:ilvl="0">
      <w:lvlJc w:val="left"/>
      <w:lvlText w:val="%1"/>
      <w:numFmt w:val="lowerLetter"/>
      <w:start w:val="1"/>
    </w:lvl>
    <w:lvl w:ilvl="1">
      <w:lvlJc w:val="left"/>
      <w:lvlText w:val="(%2)"/>
      <w:numFmt w:val="lowerLetter"/>
      <w:start w:val="61"/>
    </w:lvl>
  </w:abstractNum>
  <w:abstractNum w:abstractNumId="103">
    <w:nsid w:val="2708C9AF"/>
    <w:multiLevelType w:val="hybridMultilevel"/>
    <w:lvl w:ilvl="0">
      <w:lvlJc w:val="left"/>
      <w:lvlText w:val="(%1)"/>
      <w:numFmt w:val="lowerLetter"/>
      <w:start w:val="3"/>
    </w:lvl>
    <w:lvl w:ilvl="1">
      <w:lvlJc w:val="left"/>
      <w:lvlText w:val="%2"/>
      <w:numFmt w:val="lowerLetter"/>
      <w:start w:val="1"/>
    </w:lvl>
  </w:abstractNum>
  <w:abstractNum w:abstractNumId="104">
    <w:nsid w:val="5B25ACE2"/>
    <w:multiLevelType w:val="hybridMultilevel"/>
    <w:lvl w:ilvl="0">
      <w:lvlJc w:val="left"/>
      <w:lvlText w:val="(%1)"/>
      <w:numFmt w:val="lowerLetter"/>
      <w:start w:val="2"/>
    </w:lvl>
    <w:lvl w:ilvl="1">
      <w:lvlJc w:val="left"/>
      <w:lvlText w:val="(%2)"/>
      <w:numFmt w:val="decimal"/>
      <w:start w:val="1"/>
    </w:lvl>
  </w:abstractNum>
  <w:abstractNum w:abstractNumId="105">
    <w:nsid w:val="175DFCF0"/>
    <w:multiLevelType w:val="hybridMultilevel"/>
    <w:lvl w:ilvl="0">
      <w:lvlJc w:val="left"/>
      <w:lvlText w:val="(%1)"/>
      <w:numFmt w:val="decimal"/>
      <w:start w:val="10"/>
    </w:lvl>
  </w:abstractNum>
  <w:abstractNum w:abstractNumId="106">
    <w:nsid w:val="4F97E3E4"/>
    <w:multiLevelType w:val="hybridMultilevel"/>
    <w:lvl w:ilvl="0">
      <w:lvlJc w:val="left"/>
      <w:lvlText w:val="%1"/>
      <w:numFmt w:val="decimal"/>
      <w:start w:val="1"/>
    </w:lvl>
    <w:lvl w:ilvl="1">
      <w:lvlJc w:val="left"/>
      <w:lvlText w:val="%2"/>
      <w:numFmt w:val="lowerLetter"/>
      <w:start w:val="1"/>
    </w:lvl>
    <w:lvl w:ilvl="2">
      <w:lvlJc w:val="left"/>
      <w:lvlText w:val="(%3)"/>
      <w:numFmt w:val="decimal"/>
      <w:start w:val="16"/>
    </w:lvl>
  </w:abstractNum>
  <w:abstractNum w:abstractNumId="107">
    <w:nsid w:val="53B0A9E"/>
    <w:multiLevelType w:val="hybridMultilevel"/>
    <w:lvl w:ilvl="0">
      <w:lvlJc w:val="left"/>
      <w:lvlText w:val="%1"/>
      <w:numFmt w:val="decimal"/>
      <w:start w:val="1"/>
    </w:lvl>
    <w:lvl w:ilvl="1">
      <w:lvlJc w:val="left"/>
      <w:lvlText w:val="(%2)"/>
      <w:numFmt w:val="lowerLetter"/>
      <w:start w:val="3"/>
    </w:lvl>
    <w:lvl w:ilvl="2">
      <w:lvlJc w:val="left"/>
      <w:lvlText w:val="%3"/>
      <w:numFmt w:val="decimal"/>
      <w:start w:val="1"/>
    </w:lvl>
  </w:abstractNum>
  <w:abstractNum w:abstractNumId="108">
    <w:nsid w:val="34FD6B4F"/>
    <w:multiLevelType w:val="hybridMultilevel"/>
    <w:lvl w:ilvl="0">
      <w:lvlJc w:val="left"/>
      <w:lvlText w:val="(%1)"/>
      <w:numFmt w:val="decimal"/>
      <w:start w:val="1"/>
    </w:lvl>
    <w:lvl w:ilvl="1">
      <w:lvlJc w:val="left"/>
      <w:lvlText w:val="%2"/>
      <w:numFmt w:val="lowerLetter"/>
      <w:start w:val="1"/>
    </w:lvl>
    <w:lvl w:ilvl="2">
      <w:lvlJc w:val="left"/>
      <w:lvlText w:val="%3"/>
      <w:numFmt w:val="decimal"/>
      <w:start w:val="1"/>
    </w:lvl>
  </w:abstractNum>
  <w:abstractNum w:abstractNumId="109">
    <w:nsid w:val="5915FF32"/>
    <w:multiLevelType w:val="hybridMultilevel"/>
    <w:lvl w:ilvl="0">
      <w:lvlJc w:val="left"/>
      <w:lvlText w:val="(%1)"/>
      <w:numFmt w:val="decimal"/>
      <w:start w:val="1"/>
    </w:lvl>
  </w:abstractNum>
  <w:abstractNum w:abstractNumId="110">
    <w:nsid w:val="56438D15"/>
    <w:multiLevelType w:val="hybridMultilevel"/>
    <w:lvl w:ilvl="0">
      <w:lvlJc w:val="left"/>
      <w:lvlText w:val="(%1)"/>
      <w:numFmt w:val="decimal"/>
      <w:start w:val="3"/>
    </w:lvl>
  </w:abstractNum>
  <w:abstractNum w:abstractNumId="111">
    <w:nsid w:val="519E3149"/>
    <w:multiLevelType w:val="hybridMultilevel"/>
    <w:lvl w:ilvl="0">
      <w:lvlJc w:val="left"/>
      <w:lvlText w:val="%1"/>
      <w:numFmt w:val="lowerLetter"/>
      <w:start w:val="1"/>
    </w:lvl>
    <w:lvl w:ilvl="1">
      <w:lvlJc w:val="left"/>
      <w:lvlText w:val="(%2)"/>
      <w:numFmt w:val="decimal"/>
      <w:start w:val="5"/>
    </w:lvl>
  </w:abstractNum>
  <w:abstractNum w:abstractNumId="112">
    <w:nsid w:val="2C6E4AFD"/>
    <w:multiLevelType w:val="hybridMultilevel"/>
    <w:lvl w:ilvl="0">
      <w:lvlJc w:val="left"/>
      <w:lvlText w:val="(%1)"/>
      <w:numFmt w:val="lowerLetter"/>
      <w:start w:val="2"/>
    </w:lvl>
    <w:lvl w:ilvl="1">
      <w:lvlJc w:val="left"/>
      <w:lvlText w:val="%2"/>
      <w:numFmt w:val="decimal"/>
      <w:start w:val="1"/>
    </w:lvl>
  </w:abstractNum>
  <w:abstractNum w:abstractNumId="113">
    <w:nsid w:val="17A1B582"/>
    <w:multiLevelType w:val="hybridMultilevel"/>
    <w:lvl w:ilvl="0">
      <w:lvlJc w:val="left"/>
      <w:lvlText w:val="(%1)"/>
      <w:numFmt w:val="decimal"/>
      <w:start w:val="1"/>
    </w:lvl>
  </w:abstractNum>
  <w:abstractNum w:abstractNumId="114">
    <w:nsid w:val="4DF72E4E"/>
    <w:multiLevelType w:val="hybridMultilevel"/>
    <w:lvl w:ilvl="0">
      <w:lvlJc w:val="left"/>
      <w:lvlText w:val="(%1)"/>
      <w:numFmt w:val="decimal"/>
      <w:start w:val="3"/>
    </w:lvl>
  </w:abstractNum>
  <w:abstractNum w:abstractNumId="115">
    <w:nsid w:val="5046B5A9"/>
    <w:multiLevelType w:val="hybridMultilevel"/>
    <w:lvl w:ilvl="0">
      <w:lvlJc w:val="left"/>
      <w:lvlText w:val="(%1)"/>
      <w:numFmt w:val="lowerLetter"/>
      <w:start w:val="2"/>
    </w:lvl>
  </w:abstractNum>
  <w:abstractNum w:abstractNumId="116">
    <w:nsid w:val="5D888A08"/>
    <w:multiLevelType w:val="hybridMultilevel"/>
    <w:lvl w:ilvl="0">
      <w:lvlJc w:val="left"/>
      <w:lvlText w:val="(%1)"/>
      <w:numFmt w:val="decimal"/>
      <w:start w:val="1"/>
    </w:lvl>
  </w:abstractNum>
  <w:abstractNum w:abstractNumId="117">
    <w:nsid w:val="2A082C70"/>
    <w:multiLevelType w:val="hybridMultilevel"/>
    <w:lvl w:ilvl="0">
      <w:lvlJc w:val="left"/>
      <w:lvlText w:val="(%1)"/>
      <w:numFmt w:val="decimal"/>
      <w:start w:val="5"/>
    </w:lvl>
  </w:abstractNum>
  <w:abstractNum w:abstractNumId="118">
    <w:nsid w:val="5EC6AFD4"/>
    <w:multiLevelType w:val="hybridMultilevel"/>
    <w:lvl w:ilvl="0">
      <w:lvlJc w:val="left"/>
      <w:lvlText w:val="(%1)"/>
      <w:numFmt w:val="decimal"/>
      <w:start w:val="6"/>
    </w:lvl>
    <w:lvl w:ilvl="1">
      <w:lvlJc w:val="left"/>
      <w:lvlText w:val="(%2)"/>
      <w:numFmt w:val="lowerLetter"/>
      <w:start w:val="1"/>
    </w:lvl>
  </w:abstractNum>
  <w:abstractNum w:abstractNumId="119">
    <w:nsid w:val="19E21BB2"/>
    <w:multiLevelType w:val="hybridMultilevel"/>
    <w:lvl w:ilvl="0">
      <w:lvlJc w:val="left"/>
      <w:lvlText w:val="(%1)"/>
      <w:numFmt w:val="decimal"/>
      <w:start w:val="7"/>
    </w:lvl>
  </w:abstractNum>
  <w:abstractNum w:abstractNumId="120">
    <w:nsid w:val="75E0858A"/>
    <w:multiLevelType w:val="hybridMultilevel"/>
    <w:lvl w:ilvl="0">
      <w:lvlJc w:val="left"/>
      <w:lvlText w:val="(%1)"/>
      <w:numFmt w:val="lowerRoman"/>
      <w:start w:val="1"/>
    </w:lvl>
  </w:abstractNum>
  <w:abstractNum w:abstractNumId="121">
    <w:nsid w:val="57A61A29"/>
    <w:multiLevelType w:val="hybridMultilevel"/>
    <w:lvl w:ilvl="0">
      <w:lvlJc w:val="left"/>
      <w:lvlText w:val="(%1)"/>
      <w:numFmt w:val="decimal"/>
      <w:start w:val="7"/>
    </w:lvl>
    <w:lvl w:ilvl="1">
      <w:lvlJc w:val="left"/>
      <w:lvlText w:val="(%2)"/>
      <w:numFmt w:val="decimal"/>
      <w:start w:val="8"/>
    </w:lvl>
  </w:abstractNum>
  <w:abstractNum w:abstractNumId="122">
    <w:nsid w:val="5399C654"/>
    <w:multiLevelType w:val="hybridMultilevel"/>
    <w:lvl w:ilvl="0">
      <w:lvlJc w:val="left"/>
      <w:lvlText w:val="(%1)"/>
      <w:numFmt w:val="decimal"/>
      <w:start w:val="9"/>
    </w:lvl>
  </w:abstractNum>
  <w:abstractNum w:abstractNumId="123">
    <w:nsid w:val="20EE1348"/>
    <w:multiLevelType w:val="hybridMultilevel"/>
    <w:lvl w:ilvl="0">
      <w:lvlJc w:val="left"/>
      <w:lvlText w:val="(%1)"/>
      <w:numFmt w:val="decimal"/>
      <w:start w:val="16"/>
    </w:lvl>
  </w:abstractNum>
  <w:abstractNum w:abstractNumId="124">
    <w:nsid w:val="4427069A"/>
    <w:multiLevelType w:val="hybridMultilevel"/>
    <w:lvl w:ilvl="0">
      <w:lvlJc w:val="left"/>
      <w:lvlText w:val="(%1)"/>
      <w:numFmt w:val="decimal"/>
      <w:start w:val="1"/>
    </w:lvl>
  </w:abstractNum>
  <w:abstractNum w:abstractNumId="125">
    <w:nsid w:val="B37E80A"/>
    <w:multiLevelType w:val="hybridMultilevel"/>
    <w:lvl w:ilvl="0">
      <w:lvlJc w:val="left"/>
      <w:lvlText w:val="(%1)"/>
      <w:numFmt w:val="decimal"/>
      <w:start w:val="5"/>
    </w:lvl>
  </w:abstractNum>
  <w:abstractNum w:abstractNumId="126">
    <w:nsid w:val="2157F6BC"/>
    <w:multiLevelType w:val="hybridMultilevel"/>
    <w:lvl w:ilvl="0">
      <w:lvlJc w:val="left"/>
      <w:lvlText w:val="(%1)"/>
      <w:numFmt w:val="decimal"/>
      <w:start w:val="6"/>
    </w:lvl>
    <w:lvl w:ilvl="1">
      <w:lvlJc w:val="left"/>
      <w:lvlText w:val="(%2)"/>
      <w:numFmt w:val="lowerLetter"/>
      <w:start w:val="1"/>
    </w:lvl>
  </w:abstractNum>
  <w:abstractNum w:abstractNumId="127">
    <w:nsid w:val="704E1DD5"/>
    <w:multiLevelType w:val="hybridMultilevel"/>
    <w:lvl w:ilvl="0">
      <w:lvlJc w:val="left"/>
      <w:lvlText w:val="(%1)"/>
      <w:numFmt w:val="decimal"/>
      <w:start w:val="7"/>
    </w:lvl>
  </w:abstractNum>
  <w:abstractNum w:abstractNumId="128">
    <w:nsid w:val="57D2F10E"/>
    <w:multiLevelType w:val="hybridMultilevel"/>
    <w:lvl w:ilvl="0">
      <w:lvlJc w:val="left"/>
      <w:lvlText w:val="(%1)"/>
      <w:numFmt w:val="lowerRoman"/>
      <w:start w:val="1"/>
    </w:lvl>
  </w:abstractNum>
  <w:abstractNum w:abstractNumId="129">
    <w:nsid w:val="BFFAE18"/>
    <w:multiLevelType w:val="hybridMultilevel"/>
    <w:lvl w:ilvl="0">
      <w:lvlJc w:val="left"/>
      <w:lvlText w:val="(%1)"/>
      <w:numFmt w:val="decimal"/>
      <w:start w:val="7"/>
    </w:lvl>
    <w:lvl w:ilvl="1">
      <w:lvlJc w:val="left"/>
      <w:lvlText w:val="(%2)"/>
      <w:numFmt w:val="decimal"/>
      <w:start w:val="8"/>
    </w:lvl>
  </w:abstractNum>
  <w:abstractNum w:abstractNumId="130">
    <w:nsid w:val="E3E47A8"/>
    <w:multiLevelType w:val="hybridMultilevel"/>
    <w:lvl w:ilvl="0">
      <w:lvlJc w:val="left"/>
      <w:lvlText w:val="(%1)"/>
      <w:numFmt w:val="decimal"/>
      <w:start w:val="9"/>
    </w:lvl>
  </w:abstractNum>
  <w:abstractNum w:abstractNumId="131">
    <w:nsid w:val="2E48F044"/>
    <w:multiLevelType w:val="hybridMultilevel"/>
    <w:lvl w:ilvl="0">
      <w:lvlJc w:val="left"/>
      <w:lvlText w:val="(%1)"/>
      <w:numFmt w:val="decimal"/>
      <w:start w:val="16"/>
    </w:lvl>
  </w:abstractNum>
  <w:abstractNum w:abstractNumId="132">
    <w:nsid w:val="49D0FEAC"/>
    <w:multiLevelType w:val="hybridMultilevel"/>
    <w:lvl w:ilvl="0">
      <w:lvlJc w:val="left"/>
      <w:lvlText w:val="%1."/>
      <w:numFmt w:val="decimal"/>
      <w:start w:val="1"/>
    </w:lvl>
  </w:abstractNum>
  <w:abstractNum w:abstractNumId="133">
    <w:nsid w:val="4BEE5A5B"/>
    <w:multiLevelType w:val="hybridMultilevel"/>
    <w:lvl w:ilvl="0">
      <w:lvlJc w:val="left"/>
      <w:lvlText w:val="%1."/>
      <w:numFmt w:val="decimal"/>
      <w:start w:val="1"/>
    </w:lvl>
  </w:abstractNum>
  <w:abstractNum w:abstractNumId="134">
    <w:nsid w:val="5551B9F3"/>
    <w:multiLevelType w:val="hybridMultilevel"/>
    <w:lvl w:ilvl="0">
      <w:lvlJc w:val="left"/>
      <w:lvlText w:val="%1."/>
      <w:numFmt w:val="decimal"/>
      <w:start w:val="1"/>
    </w:lvl>
  </w:abstractNum>
  <w:abstractNum w:abstractNumId="135">
    <w:nsid w:val="24F6AB8E"/>
    <w:multiLevelType w:val="hybridMultilevel"/>
    <w:lvl w:ilvl="0">
      <w:lvlJc w:val="left"/>
      <w:lvlText w:val="%1."/>
      <w:numFmt w:val="decimal"/>
      <w:start w:val="8"/>
    </w:lvl>
  </w:abstractNum>
  <w:abstractNum w:abstractNumId="136">
    <w:nsid w:val="634C574C"/>
    <w:multiLevelType w:val="hybridMultilevel"/>
    <w:lvl w:ilvl="0">
      <w:lvlJc w:val="left"/>
      <w:lvlText w:val="%1."/>
      <w:numFmt w:val="decimal"/>
      <w:start w:val="1"/>
    </w:lvl>
  </w:abstractNum>
  <w:abstractNum w:abstractNumId="137">
    <w:nsid w:val="24E99DD7"/>
    <w:multiLevelType w:val="hybridMultilevel"/>
    <w:lvl w:ilvl="0">
      <w:lvlJc w:val="left"/>
      <w:lvlText w:val="%1."/>
      <w:numFmt w:val="decimal"/>
      <w:start w:val="1"/>
    </w:lvl>
  </w:abstractNum>
  <w:abstractNum w:abstractNumId="138">
    <w:nsid w:val="2A31B62D"/>
    <w:multiLevelType w:val="hybridMultilevel"/>
    <w:lvl w:ilvl="0">
      <w:lvlJc w:val="left"/>
      <w:lvlText w:val="%1."/>
      <w:numFmt w:val="decimal"/>
      <w:start w:val="8"/>
    </w:lvl>
  </w:abstractNum>
  <w:abstractNum w:abstractNumId="139">
    <w:nsid w:val="1849C29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jpe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2019-12-28T21:23:27Z</dcterms:created>
  <dcterms:modified xsi:type="dcterms:W3CDTF">2019-12-28T21:23:27Z</dcterms:modified>
</cp:coreProperties>
</file>