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June 27,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60"/>
          </w:cols>
          <w:pgMar w:left="240" w:top="368" w:right="23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700" w:space="720"/>
            <w:col w:w="2900" w:space="720"/>
            <w:col w:w="2380"/>
          </w:cols>
          <w:pgMar w:left="240" w:top="368" w:right="239" w:bottom="1440"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920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bookmarkStart w:id="1" w:name="page2"/>
    <w:bookmarkEnd w:id="1"/>
    <w:p>
      <w:pPr>
        <w:ind w:right="40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jc w:val="both"/>
        <w:ind w:right="500"/>
        <w:spacing w:after="0" w:line="264" w:lineRule="auto"/>
        <w:rPr>
          <w:sz w:val="20"/>
          <w:szCs w:val="20"/>
          <w:color w:val="auto"/>
        </w:rPr>
      </w:pPr>
      <w:r>
        <w:rPr>
          <w:rFonts w:ascii="Arial" w:cs="Arial" w:eastAsia="Arial" w:hAnsi="Arial"/>
          <w:sz w:val="18"/>
          <w:szCs w:val="18"/>
          <w:color w:val="auto"/>
        </w:rPr>
        <w:t>On June 27, 2018, the Board of Directors of Marvell Technology Group Ltd. (the “Company”) appointed Willem Meintjes as the Company’s principal accounting officer effective June 29, 2018. The Company’s former principal accounting officer, David Caron, will remain with the Company during a transition period.</w:t>
      </w:r>
    </w:p>
    <w:p>
      <w:pPr>
        <w:spacing w:after="0" w:line="18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Mr. Meintjes, 38, has served as the Company’s Senior Vice President of Finance since June of 2016. Prior to joining the Company, he was Vice President and Corporate Controller at Newport Corporation from 2015 to June 2016, and Vice President and Controller at International Rectifier from 2013 to 2015.</w:t>
      </w:r>
    </w:p>
    <w:p>
      <w:pPr>
        <w:ind w:right="80"/>
        <w:spacing w:after="0" w:line="261" w:lineRule="auto"/>
        <w:rPr>
          <w:sz w:val="20"/>
          <w:szCs w:val="20"/>
          <w:color w:val="auto"/>
        </w:rPr>
      </w:pPr>
      <w:r>
        <w:rPr>
          <w:rFonts w:ascii="Arial" w:cs="Arial" w:eastAsia="Arial" w:hAnsi="Arial"/>
          <w:sz w:val="18"/>
          <w:szCs w:val="18"/>
          <w:color w:val="auto"/>
        </w:rPr>
        <w:t>Mr. Meintjes holds a Bachelor of Commerce in Accounting and a Bachelor of Commerce (Honors) in Accounting from the University of Johannesburg, and participated in Stanford University’s Strategic Financial Leadership Program in 2018.</w:t>
      </w:r>
    </w:p>
    <w:p>
      <w:pPr>
        <w:spacing w:after="0" w:line="18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Mr. Meintjes’s current annual base salary is $385,575, and he has a 50% annual bonus opportunity. He and the Company entered into a Severance Agreement in December 2016 (the “Severance Agreement”) pursuant to which, prior to January 1, 2022, Mr. Meintjes would be entitled to certain benefits upon his involuntary termination without “Cause” or his voluntary resignation for “Good Reason” (both as defined in the Severance Agreement) as follows: (i) 12 months of salary, payable in a lump sum; and (ii) reimbursement for 12 months of health benefit coverage under COBRA. A copy of the Severance Agreement is filed herewith as Exhibit 10.1 and incorporated herein by reference.</w:t>
      </w:r>
    </w:p>
    <w:p>
      <w:pPr>
        <w:spacing w:after="0" w:line="33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At the Company’s Annual General Meeting of Shareholders held on June 28, 2018, shareholders voted on the matters set forth below. Each issued common share was entitled to one vote on each of the proposals voted on at the meeting.</w:t>
      </w:r>
    </w:p>
    <w:p>
      <w:pPr>
        <w:spacing w:after="0" w:line="193" w:lineRule="exact"/>
        <w:rPr>
          <w:sz w:val="20"/>
          <w:szCs w:val="20"/>
          <w:color w:val="auto"/>
        </w:rPr>
      </w:pPr>
    </w:p>
    <w:p>
      <w:pPr>
        <w:ind w:left="460" w:right="240" w:hanging="452"/>
        <w:spacing w:after="0" w:line="282"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2019 annual general meeting of shareholders, based upon the following votes:</w:t>
      </w:r>
    </w:p>
    <w:p>
      <w:pPr>
        <w:spacing w:after="0" w:line="17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60" w:type="dxa"/>
            <w:vAlign w:val="bottom"/>
            <w:gridSpan w:val="2"/>
          </w:tcPr>
          <w:p>
            <w:pPr>
              <w:ind w:left="80"/>
              <w:spacing w:after="0"/>
              <w:rPr>
                <w:sz w:val="20"/>
                <w:szCs w:val="20"/>
                <w:color w:val="auto"/>
              </w:rPr>
            </w:pPr>
            <w:r>
              <w:rPr>
                <w:rFonts w:ascii="Arial" w:cs="Arial" w:eastAsia="Arial" w:hAnsi="Arial"/>
                <w:sz w:val="14"/>
                <w:szCs w:val="14"/>
                <w:color w:val="auto"/>
              </w:rPr>
              <w:t>Broker Non-</w:t>
            </w:r>
          </w:p>
        </w:tc>
      </w:tr>
      <w:tr>
        <w:trPr>
          <w:trHeight w:val="167"/>
        </w:trPr>
        <w:tc>
          <w:tcPr>
            <w:tcW w:w="6080" w:type="dxa"/>
            <w:vAlign w:val="bottom"/>
          </w:tcPr>
          <w:p>
            <w:pPr>
              <w:spacing w:after="0"/>
              <w:rPr>
                <w:sz w:val="14"/>
                <w:szCs w:val="14"/>
                <w:color w:val="auto"/>
              </w:rPr>
            </w:pPr>
          </w:p>
        </w:tc>
        <w:tc>
          <w:tcPr>
            <w:tcW w:w="1240" w:type="dxa"/>
            <w:vAlign w:val="bottom"/>
            <w:gridSpan w:val="2"/>
          </w:tcPr>
          <w:p>
            <w:pPr>
              <w:ind w:left="400"/>
              <w:spacing w:after="0"/>
              <w:rPr>
                <w:sz w:val="20"/>
                <w:szCs w:val="20"/>
                <w:color w:val="auto"/>
              </w:rPr>
            </w:pPr>
            <w:r>
              <w:rPr>
                <w:rFonts w:ascii="Arial" w:cs="Arial" w:eastAsia="Arial" w:hAnsi="Arial"/>
                <w:sz w:val="14"/>
                <w:szCs w:val="14"/>
                <w:color w:val="auto"/>
              </w:rPr>
              <w:t>For</w:t>
            </w:r>
          </w:p>
        </w:tc>
        <w:tc>
          <w:tcPr>
            <w:tcW w:w="1160" w:type="dxa"/>
            <w:vAlign w:val="bottom"/>
            <w:gridSpan w:val="2"/>
          </w:tcPr>
          <w:p>
            <w:pPr>
              <w:ind w:left="220"/>
              <w:spacing w:after="0"/>
              <w:rPr>
                <w:sz w:val="20"/>
                <w:szCs w:val="20"/>
                <w:color w:val="auto"/>
              </w:rPr>
            </w:pPr>
            <w:r>
              <w:rPr>
                <w:rFonts w:ascii="Arial" w:cs="Arial" w:eastAsia="Arial" w:hAnsi="Arial"/>
                <w:sz w:val="14"/>
                <w:szCs w:val="14"/>
                <w:color w:val="auto"/>
              </w:rPr>
              <w:t>Against</w:t>
            </w:r>
          </w:p>
        </w:tc>
        <w:tc>
          <w:tcPr>
            <w:tcW w:w="1060" w:type="dxa"/>
            <w:vAlign w:val="bottom"/>
            <w:gridSpan w:val="2"/>
          </w:tcPr>
          <w:p>
            <w:pPr>
              <w:jc w:val="right"/>
              <w:ind w:right="440"/>
              <w:spacing w:after="0"/>
              <w:rPr>
                <w:sz w:val="20"/>
                <w:szCs w:val="20"/>
                <w:color w:val="auto"/>
              </w:rPr>
            </w:pPr>
            <w:r>
              <w:rPr>
                <w:rFonts w:ascii="Arial" w:cs="Arial" w:eastAsia="Arial" w:hAnsi="Arial"/>
                <w:sz w:val="14"/>
                <w:szCs w:val="14"/>
                <w:color w:val="auto"/>
              </w:rPr>
              <w:t>Abstain</w:t>
            </w:r>
          </w:p>
        </w:tc>
        <w:tc>
          <w:tcPr>
            <w:tcW w:w="960" w:type="dxa"/>
            <w:vAlign w:val="bottom"/>
            <w:gridSpan w:val="2"/>
          </w:tcPr>
          <w:p>
            <w:pPr>
              <w:ind w:left="280"/>
              <w:spacing w:after="0"/>
              <w:rPr>
                <w:sz w:val="20"/>
                <w:szCs w:val="20"/>
                <w:color w:val="auto"/>
              </w:rPr>
            </w:pPr>
            <w:r>
              <w:rPr>
                <w:rFonts w:ascii="Arial" w:cs="Arial" w:eastAsia="Arial" w:hAnsi="Arial"/>
                <w:sz w:val="14"/>
                <w:szCs w:val="14"/>
                <w:color w:val="auto"/>
              </w:rPr>
              <w:t>Votes</w:t>
            </w:r>
          </w:p>
        </w:tc>
      </w:tr>
      <w:tr>
        <w:trPr>
          <w:trHeight w:val="210"/>
        </w:trPr>
        <w:tc>
          <w:tcPr>
            <w:tcW w:w="60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William Tudor Brown</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429,661,387</w:t>
            </w:r>
          </w:p>
        </w:tc>
        <w:tc>
          <w:tcPr>
            <w:tcW w:w="2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1,557,990</w:t>
            </w:r>
          </w:p>
        </w:tc>
        <w:tc>
          <w:tcPr>
            <w:tcW w:w="26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552,488</w:t>
            </w:r>
          </w:p>
        </w:tc>
        <w:tc>
          <w:tcPr>
            <w:tcW w:w="26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8"/>
              </w:rPr>
              <w:t>46,025,308</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Richard S. Hill</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406,740,814</w:t>
            </w:r>
          </w:p>
        </w:tc>
        <w:tc>
          <w:tcPr>
            <w:tcW w:w="240" w:type="dxa"/>
            <w:vAlign w:val="bottom"/>
          </w:tcPr>
          <w:p>
            <w:pPr>
              <w:spacing w:after="0"/>
              <w:rPr>
                <w:sz w:val="18"/>
                <w:szCs w:val="18"/>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w w:val="97"/>
              </w:rPr>
              <w:t>13,691,710</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w w:val="97"/>
              </w:rPr>
              <w:t>2,359,341</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46,025,308</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Oleg Khaykin</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406,543,657</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7"/>
              </w:rPr>
              <w:t>15,687,542</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560,666</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46,025,308</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Bethany Mayer</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420,955,804</w:t>
            </w:r>
          </w:p>
        </w:tc>
        <w:tc>
          <w:tcPr>
            <w:tcW w:w="240" w:type="dxa"/>
            <w:vAlign w:val="bottom"/>
          </w:tcPr>
          <w:p>
            <w:pPr>
              <w:spacing w:after="0"/>
              <w:rPr>
                <w:sz w:val="18"/>
                <w:szCs w:val="18"/>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1,254,936</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581,125</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46,025,308</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Donna Morris</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420,941,071</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1,294,006</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556.788</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46,025,308</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Matthew J. Murphy</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420,943,189</w:t>
            </w:r>
          </w:p>
        </w:tc>
        <w:tc>
          <w:tcPr>
            <w:tcW w:w="240" w:type="dxa"/>
            <w:vAlign w:val="bottom"/>
          </w:tcPr>
          <w:p>
            <w:pPr>
              <w:spacing w:after="0"/>
              <w:rPr>
                <w:sz w:val="18"/>
                <w:szCs w:val="18"/>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1,335,089</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513,587</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46,025,308</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419,723,882</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2,482,799</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585,184</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46,025,308</w:t>
            </w:r>
          </w:p>
        </w:tc>
      </w:tr>
      <w:tr>
        <w:trPr>
          <w:trHeight w:val="230"/>
        </w:trPr>
        <w:tc>
          <w:tcPr>
            <w:tcW w:w="6080" w:type="dxa"/>
            <w:vAlign w:val="bottom"/>
          </w:tcPr>
          <w:p>
            <w:pPr>
              <w:spacing w:after="0"/>
              <w:rPr>
                <w:sz w:val="20"/>
                <w:szCs w:val="20"/>
                <w:color w:val="auto"/>
              </w:rPr>
            </w:pPr>
            <w:r>
              <w:rPr>
                <w:rFonts w:ascii="Arial" w:cs="Arial" w:eastAsia="Arial" w:hAnsi="Arial"/>
                <w:sz w:val="18"/>
                <w:szCs w:val="18"/>
                <w:color w:val="auto"/>
              </w:rPr>
              <w:t>Robert E. Switz</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419,740,764</w:t>
            </w:r>
          </w:p>
        </w:tc>
        <w:tc>
          <w:tcPr>
            <w:tcW w:w="240" w:type="dxa"/>
            <w:vAlign w:val="bottom"/>
          </w:tcPr>
          <w:p>
            <w:pPr>
              <w:spacing w:after="0"/>
              <w:rPr>
                <w:sz w:val="20"/>
                <w:szCs w:val="20"/>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2,467,515</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583,586</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46,025,308</w:t>
            </w:r>
          </w:p>
        </w:tc>
      </w:tr>
    </w:tbl>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the election of each director, an “abstain” vote had the same effect as an “against” vote.</w:t>
      </w:r>
    </w:p>
    <w:p>
      <w:pPr>
        <w:spacing w:after="0" w:line="248" w:lineRule="exact"/>
        <w:rPr>
          <w:sz w:val="20"/>
          <w:szCs w:val="20"/>
          <w:color w:val="auto"/>
        </w:rPr>
      </w:pPr>
    </w:p>
    <w:p>
      <w:pPr>
        <w:ind w:left="460" w:right="12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88" w:lineRule="exact"/>
        <w:rPr>
          <w:sz w:val="20"/>
          <w:szCs w:val="20"/>
          <w:color w:val="auto"/>
        </w:rPr>
      </w:pPr>
    </w:p>
    <w:tbl>
      <w:tblPr>
        <w:tblLayout w:type="fixed"/>
        <w:tblInd w:w="920" w:type="dxa"/>
        <w:tblCellMar>
          <w:top w:w="0" w:type="dxa"/>
          <w:left w:w="0" w:type="dxa"/>
          <w:bottom w:w="0" w:type="dxa"/>
          <w:right w:w="0" w:type="dxa"/>
        </w:tblCellMar>
      </w:tblPr>
      <w:tr>
        <w:trPr>
          <w:trHeight w:val="167"/>
        </w:trPr>
        <w:tc>
          <w:tcPr>
            <w:tcW w:w="1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For</w:t>
            </w:r>
          </w:p>
        </w:tc>
        <w:tc>
          <w:tcPr>
            <w:tcW w:w="268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8"/>
              </w:rPr>
              <w:t>Against</w:t>
            </w:r>
          </w:p>
        </w:tc>
        <w:tc>
          <w:tcPr>
            <w:tcW w:w="1420" w:type="dxa"/>
            <w:vAlign w:val="bottom"/>
            <w:tcBorders>
              <w:bottom w:val="single" w:sz="8" w:color="CCEEFF"/>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8"/>
              </w:rPr>
              <w:t>Abstain</w:t>
            </w:r>
          </w:p>
        </w:tc>
        <w:tc>
          <w:tcPr>
            <w:tcW w:w="1400" w:type="dxa"/>
            <w:vAlign w:val="bottom"/>
            <w:tcBorders>
              <w:bottom w:val="single" w:sz="8" w:color="CCEEFF"/>
            </w:tcBorders>
          </w:tcPr>
          <w:p>
            <w:pPr>
              <w:spacing w:after="0"/>
              <w:rPr>
                <w:sz w:val="14"/>
                <w:szCs w:val="14"/>
                <w:color w:val="auto"/>
              </w:rPr>
            </w:pPr>
          </w:p>
        </w:tc>
        <w:tc>
          <w:tcPr>
            <w:tcW w:w="10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3"/>
              </w:rPr>
              <w:t>Broker Non-Votes</w:t>
            </w:r>
          </w:p>
        </w:tc>
      </w:tr>
      <w:tr>
        <w:trPr>
          <w:trHeight w:val="210"/>
        </w:trPr>
        <w:tc>
          <w:tcPr>
            <w:tcW w:w="4160" w:type="dxa"/>
            <w:vAlign w:val="bottom"/>
            <w:gridSpan w:val="3"/>
            <w:shd w:val="clear" w:color="auto" w:fill="CCEEFF"/>
          </w:tcPr>
          <w:p>
            <w:pPr>
              <w:jc w:val="right"/>
              <w:ind w:right="2340"/>
              <w:spacing w:after="0"/>
              <w:rPr>
                <w:sz w:val="20"/>
                <w:szCs w:val="20"/>
                <w:color w:val="auto"/>
              </w:rPr>
            </w:pPr>
            <w:r>
              <w:rPr>
                <w:rFonts w:ascii="Arial" w:cs="Arial" w:eastAsia="Arial" w:hAnsi="Arial"/>
                <w:sz w:val="18"/>
                <w:szCs w:val="18"/>
                <w:color w:val="auto"/>
              </w:rPr>
              <w:t>383,972,198</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37,608,057</w:t>
            </w:r>
          </w:p>
        </w:tc>
        <w:tc>
          <w:tcPr>
            <w:tcW w:w="14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1,211,610</w:t>
            </w:r>
          </w:p>
        </w:tc>
        <w:tc>
          <w:tcPr>
            <w:tcW w:w="1400" w:type="dxa"/>
            <w:vAlign w:val="bottom"/>
            <w:shd w:val="clear" w:color="auto" w:fill="CCEEFF"/>
          </w:tcPr>
          <w:p>
            <w:pPr>
              <w:spacing w:after="0"/>
              <w:rPr>
                <w:sz w:val="18"/>
                <w:szCs w:val="18"/>
                <w:color w:val="auto"/>
              </w:rPr>
            </w:pPr>
          </w:p>
        </w:tc>
        <w:tc>
          <w:tcPr>
            <w:tcW w:w="106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46,025,308</w:t>
            </w:r>
          </w:p>
        </w:tc>
      </w:tr>
    </w:tbl>
    <w:p>
      <w:pPr>
        <w:sectPr>
          <w:pgSz w:w="11900" w:h="16838" w:orient="portrait"/>
          <w:cols w:equalWidth="0" w:num="1">
            <w:col w:w="11340"/>
          </w:cols>
          <w:pgMar w:left="240" w:top="270" w:right="319" w:bottom="1440" w:gutter="0" w:footer="0" w:header="0"/>
        </w:sectPr>
      </w:pPr>
    </w:p>
    <w:bookmarkStart w:id="2" w:name="page3"/>
    <w:bookmarkEnd w:id="2"/>
    <w:p>
      <w:pPr>
        <w:ind w:left="460" w:right="600" w:hanging="452"/>
        <w:spacing w:after="0" w:line="261"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proposal to appoint Deloitte &amp; Touche LLP as the Company’s auditors and independent registered public accounting firm, and authorization of the audit committee, acting on behalf of the Company’s board of directors, to fix the remuneration of the auditors and independent registered public accounting firm, in both cases for the fiscal year ending February 2, 2019, was approved based upon the following votes: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7"/>
        </w:trPr>
        <w:tc>
          <w:tcPr>
            <w:tcW w:w="1620" w:type="dxa"/>
            <w:vAlign w:val="bottom"/>
          </w:tcPr>
          <w:p>
            <w:pPr>
              <w:spacing w:after="0"/>
              <w:rPr>
                <w:sz w:val="14"/>
                <w:szCs w:val="14"/>
                <w:color w:val="auto"/>
              </w:rPr>
            </w:pPr>
          </w:p>
        </w:tc>
        <w:tc>
          <w:tcPr>
            <w:tcW w:w="4220" w:type="dxa"/>
            <w:vAlign w:val="bottom"/>
            <w:gridSpan w:val="2"/>
          </w:tcPr>
          <w:p>
            <w:pPr>
              <w:jc w:val="center"/>
              <w:ind w:right="4020"/>
              <w:spacing w:after="0"/>
              <w:rPr>
                <w:sz w:val="20"/>
                <w:szCs w:val="20"/>
                <w:color w:val="auto"/>
              </w:rPr>
            </w:pPr>
            <w:r>
              <w:rPr>
                <w:rFonts w:ascii="Arial" w:cs="Arial" w:eastAsia="Arial" w:hAnsi="Arial"/>
                <w:sz w:val="14"/>
                <w:szCs w:val="14"/>
                <w:color w:val="auto"/>
                <w:w w:val="95"/>
              </w:rPr>
              <w:t>For</w:t>
            </w:r>
          </w:p>
        </w:tc>
        <w:tc>
          <w:tcPr>
            <w:tcW w:w="3060" w:type="dxa"/>
            <w:vAlign w:val="bottom"/>
            <w:gridSpan w:val="2"/>
          </w:tcPr>
          <w:p>
            <w:pPr>
              <w:jc w:val="center"/>
              <w:ind w:right="2380"/>
              <w:spacing w:after="0"/>
              <w:rPr>
                <w:sz w:val="20"/>
                <w:szCs w:val="20"/>
                <w:color w:val="auto"/>
              </w:rPr>
            </w:pPr>
            <w:r>
              <w:rPr>
                <w:rFonts w:ascii="Arial" w:cs="Arial" w:eastAsia="Arial" w:hAnsi="Arial"/>
                <w:sz w:val="14"/>
                <w:szCs w:val="14"/>
                <w:color w:val="auto"/>
                <w:w w:val="94"/>
              </w:rPr>
              <w:t>Against</w:t>
            </w:r>
          </w:p>
        </w:tc>
        <w:tc>
          <w:tcPr>
            <w:tcW w:w="680" w:type="dxa"/>
            <w:vAlign w:val="bottom"/>
          </w:tcPr>
          <w:p>
            <w:pPr>
              <w:jc w:val="center"/>
              <w:spacing w:after="0"/>
              <w:rPr>
                <w:sz w:val="20"/>
                <w:szCs w:val="20"/>
                <w:color w:val="auto"/>
              </w:rPr>
            </w:pPr>
            <w:r>
              <w:rPr>
                <w:rFonts w:ascii="Arial" w:cs="Arial" w:eastAsia="Arial" w:hAnsi="Arial"/>
                <w:sz w:val="14"/>
                <w:szCs w:val="14"/>
                <w:color w:val="auto"/>
                <w:w w:val="94"/>
              </w:rPr>
              <w:t>Abstain</w:t>
            </w:r>
          </w:p>
        </w:tc>
      </w:tr>
      <w:tr>
        <w:trPr>
          <w:trHeight w:val="20"/>
        </w:trPr>
        <w:tc>
          <w:tcPr>
            <w:tcW w:w="16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402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38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r>
      <w:tr>
        <w:trPr>
          <w:trHeight w:val="210"/>
        </w:trPr>
        <w:tc>
          <w:tcPr>
            <w:tcW w:w="5840" w:type="dxa"/>
            <w:vAlign w:val="bottom"/>
            <w:gridSpan w:val="3"/>
            <w:shd w:val="clear" w:color="auto" w:fill="CCEEFF"/>
          </w:tcPr>
          <w:p>
            <w:pPr>
              <w:jc w:val="right"/>
              <w:ind w:right="3660"/>
              <w:spacing w:after="0"/>
              <w:rPr>
                <w:sz w:val="20"/>
                <w:szCs w:val="20"/>
                <w:color w:val="auto"/>
              </w:rPr>
            </w:pPr>
            <w:r>
              <w:rPr>
                <w:rFonts w:ascii="Arial" w:cs="Arial" w:eastAsia="Arial" w:hAnsi="Arial"/>
                <w:sz w:val="18"/>
                <w:szCs w:val="18"/>
                <w:color w:val="auto"/>
              </w:rPr>
              <w:t>467,624,181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459,965</w:t>
            </w:r>
          </w:p>
        </w:tc>
        <w:tc>
          <w:tcPr>
            <w:tcW w:w="23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733,027</w:t>
            </w:r>
          </w:p>
        </w:tc>
      </w:tr>
    </w:tbl>
    <w:p>
      <w:pPr>
        <w:spacing w:after="0" w:line="34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On June 28, 2018, the Company announced that China’s State Administration for Market Regulation has approved the Company’s previously announced merger transaction with Cavium, Inc. The merger remains subject to customary closing conditions and the Company currently expects the merger to close in July 2018. A copy of the press release is furnished herewith as Exhibit 99.1 and is incorporated by reference herein.</w:t>
      </w:r>
    </w:p>
    <w:p>
      <w:pPr>
        <w:spacing w:after="0" w:line="16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On June 28, 2018, the Company announced that its Board of Directors had declared the payment of its quarterly dividend of $0.06 per share to be paid on July 31, 2018 to all shareholders of record as of July 9, 2018. A copy of the press release is furnished herewith as Exhibit 99.2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3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39" w:lineRule="exact"/>
        <w:rPr>
          <w:sz w:val="20"/>
          <w:szCs w:val="20"/>
          <w:color w:val="auto"/>
        </w:rPr>
      </w:pPr>
    </w:p>
    <w:p>
      <w:pPr>
        <w:spacing w:after="0"/>
        <w:tabs>
          <w:tab w:leader="none" w:pos="680" w:val="left"/>
        </w:tabs>
        <w:rPr>
          <w:rFonts w:ascii="Arial" w:cs="Arial" w:eastAsia="Arial" w:hAnsi="Arial"/>
          <w:sz w:val="16"/>
          <w:szCs w:val="16"/>
          <w:u w:val="single" w:color="auto"/>
          <w:color w:val="0000EE"/>
        </w:rPr>
      </w:pPr>
      <w:r>
        <w:rPr>
          <w:rFonts w:ascii="Arial" w:cs="Arial" w:eastAsia="Arial" w:hAnsi="Arial"/>
          <w:sz w:val="18"/>
          <w:szCs w:val="18"/>
          <w:color w:val="auto"/>
        </w:rPr>
        <w:t>10.1</w:t>
      </w:r>
      <w:r>
        <w:rPr>
          <w:sz w:val="20"/>
          <w:szCs w:val="20"/>
          <w:color w:val="auto"/>
        </w:rPr>
        <w:tab/>
      </w:r>
      <w:hyperlink w:anchor="page5">
        <w:r>
          <w:rPr>
            <w:rFonts w:ascii="Arial" w:cs="Arial" w:eastAsia="Arial" w:hAnsi="Arial"/>
            <w:sz w:val="16"/>
            <w:szCs w:val="16"/>
            <w:u w:val="single" w:color="auto"/>
            <w:color w:val="0000EE"/>
          </w:rPr>
          <w:t>Severance Agreement between the Company and Willem Meintjes, dated December 9, 2016.</w:t>
        </w:r>
      </w:hyperlink>
    </w:p>
    <w:p>
      <w:pPr>
        <w:spacing w:after="0" w:line="117" w:lineRule="exact"/>
        <w:rPr>
          <w:sz w:val="20"/>
          <w:szCs w:val="20"/>
          <w:color w:val="auto"/>
        </w:rPr>
      </w:pPr>
    </w:p>
    <w:p>
      <w:pPr>
        <w:ind w:left="700" w:right="720" w:hanging="688"/>
        <w:spacing w:after="0" w:line="277" w:lineRule="auto"/>
        <w:tabs>
          <w:tab w:leader="none" w:pos="680" w:val="left"/>
        </w:tabs>
        <w:rPr>
          <w:rFonts w:ascii="Arial" w:cs="Arial" w:eastAsia="Arial" w:hAnsi="Arial"/>
          <w:sz w:val="18"/>
          <w:szCs w:val="18"/>
          <w:u w:val="single" w:color="auto"/>
          <w:color w:val="0000EE"/>
        </w:rPr>
      </w:pPr>
      <w:r>
        <w:rPr>
          <w:rFonts w:ascii="Arial" w:cs="Arial" w:eastAsia="Arial" w:hAnsi="Arial"/>
          <w:sz w:val="18"/>
          <w:szCs w:val="18"/>
          <w:color w:val="auto"/>
        </w:rPr>
        <w:t>99.1</w:t>
      </w:r>
      <w:r>
        <w:rPr>
          <w:sz w:val="20"/>
          <w:szCs w:val="20"/>
          <w:color w:val="auto"/>
        </w:rPr>
        <w:tab/>
      </w:r>
      <w:hyperlink w:anchor="page11">
        <w:r>
          <w:rPr>
            <w:rFonts w:ascii="Arial" w:cs="Arial" w:eastAsia="Arial" w:hAnsi="Arial"/>
            <w:sz w:val="18"/>
            <w:szCs w:val="18"/>
            <w:u w:val="single" w:color="auto"/>
            <w:color w:val="0000EE"/>
          </w:rPr>
          <w:t>Press release dated June 28, 2018 titled “Marvell Technology Group Ltd. Announces Receipt of Chinese Regulatory Approval for Cavium</w:t>
        </w:r>
      </w:hyperlink>
      <w:r>
        <w:rPr>
          <w:rFonts w:ascii="Arial" w:cs="Arial" w:eastAsia="Arial" w:hAnsi="Arial"/>
          <w:sz w:val="18"/>
          <w:szCs w:val="18"/>
          <w:u w:val="single" w:color="auto"/>
          <w:color w:val="0000EE"/>
        </w:rPr>
        <w:t xml:space="preserve"> </w:t>
      </w:r>
      <w:hyperlink w:anchor="page11">
        <w:r>
          <w:rPr>
            <w:rFonts w:ascii="Arial" w:cs="Arial" w:eastAsia="Arial" w:hAnsi="Arial"/>
            <w:sz w:val="18"/>
            <w:szCs w:val="18"/>
            <w:u w:val="single" w:color="auto"/>
            <w:color w:val="0000EE"/>
          </w:rPr>
          <w:t>Acquisition.”</w:t>
        </w:r>
      </w:hyperlink>
    </w:p>
    <w:p>
      <w:pPr>
        <w:spacing w:after="0" w:line="62" w:lineRule="exact"/>
        <w:rPr>
          <w:sz w:val="20"/>
          <w:szCs w:val="20"/>
          <w:color w:val="auto"/>
        </w:rPr>
      </w:pPr>
    </w:p>
    <w:p>
      <w:pPr>
        <w:spacing w:after="0"/>
        <w:tabs>
          <w:tab w:leader="none" w:pos="680" w:val="left"/>
        </w:tabs>
        <w:rPr>
          <w:rFonts w:ascii="Arial" w:cs="Arial" w:eastAsia="Arial" w:hAnsi="Arial"/>
          <w:sz w:val="16"/>
          <w:szCs w:val="16"/>
          <w:u w:val="single" w:color="auto"/>
          <w:color w:val="0000EE"/>
        </w:rPr>
      </w:pPr>
      <w:r>
        <w:rPr>
          <w:rFonts w:ascii="Arial" w:cs="Arial" w:eastAsia="Arial" w:hAnsi="Arial"/>
          <w:sz w:val="18"/>
          <w:szCs w:val="18"/>
          <w:color w:val="auto"/>
        </w:rPr>
        <w:t>99.2</w:t>
      </w:r>
      <w:r>
        <w:rPr>
          <w:sz w:val="20"/>
          <w:szCs w:val="20"/>
          <w:color w:val="auto"/>
        </w:rPr>
        <w:tab/>
      </w:r>
      <w:hyperlink w:anchor="page13">
        <w:r>
          <w:rPr>
            <w:rFonts w:ascii="Arial" w:cs="Arial" w:eastAsia="Arial" w:hAnsi="Arial"/>
            <w:sz w:val="16"/>
            <w:szCs w:val="16"/>
            <w:u w:val="single" w:color="auto"/>
            <w:color w:val="0000EE"/>
          </w:rPr>
          <w:t>Press Release dated June 28, 2018 titled “Marvell Technology Group Ltd. Declares Quarterly Dividend Payment.”</w:t>
        </w:r>
      </w:hyperlink>
    </w:p>
    <w:p>
      <w:pPr>
        <w:sectPr>
          <w:pgSz w:w="11900" w:h="16838" w:orient="portrait"/>
          <w:cols w:equalWidth="0" w:num="1">
            <w:col w:w="11380"/>
          </w:cols>
          <w:pgMar w:left="240" w:top="27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29,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1420"/>
          </w:cols>
          <w:pgMar w:left="240" w:top="270" w:right="2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SEVERANCE AGREEMENT</w:t>
      </w:r>
    </w:p>
    <w:p>
      <w:pPr>
        <w:spacing w:after="0" w:line="229" w:lineRule="exact"/>
        <w:rPr>
          <w:sz w:val="20"/>
          <w:szCs w:val="20"/>
          <w:color w:val="auto"/>
        </w:rPr>
      </w:pPr>
    </w:p>
    <w:p>
      <w:pPr>
        <w:ind w:right="1140" w:firstLine="456"/>
        <w:spacing w:after="0" w:line="277" w:lineRule="auto"/>
        <w:rPr>
          <w:sz w:val="20"/>
          <w:szCs w:val="20"/>
          <w:color w:val="auto"/>
        </w:rPr>
      </w:pPr>
      <w:r>
        <w:rPr>
          <w:rFonts w:ascii="Arial" w:cs="Arial" w:eastAsia="Arial" w:hAnsi="Arial"/>
          <w:sz w:val="18"/>
          <w:szCs w:val="18"/>
          <w:color w:val="auto"/>
        </w:rPr>
        <w:t>This Severance Agreement (the “Agreement”) is made and entered into by and between Willem Meintjes (the “Employee”) and Marvell Semiconductor, Inc. (the “Company”), effective on the last date signed below.</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RECITALS</w:t>
      </w:r>
    </w:p>
    <w:p>
      <w:pPr>
        <w:spacing w:after="0" w:line="229" w:lineRule="exact"/>
        <w:rPr>
          <w:sz w:val="20"/>
          <w:szCs w:val="20"/>
          <w:color w:val="auto"/>
        </w:rPr>
      </w:pPr>
    </w:p>
    <w:p>
      <w:pPr>
        <w:ind w:right="220" w:firstLine="456"/>
        <w:spacing w:after="0" w:line="308" w:lineRule="auto"/>
        <w:rPr>
          <w:sz w:val="20"/>
          <w:szCs w:val="20"/>
          <w:color w:val="auto"/>
        </w:rPr>
      </w:pPr>
      <w:r>
        <w:rPr>
          <w:rFonts w:ascii="Arial" w:cs="Arial" w:eastAsia="Arial" w:hAnsi="Arial"/>
          <w:sz w:val="17"/>
          <w:szCs w:val="17"/>
          <w:color w:val="auto"/>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Certain capitalized terms used in the Agreement are defined below.</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AGREEMENT</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NOW, THEREFORE, in consideration of the mutual covenants contained herein, the parties hereto agree as follows:</w:t>
      </w:r>
    </w:p>
    <w:p>
      <w:pPr>
        <w:spacing w:after="0" w:line="117" w:lineRule="exact"/>
        <w:rPr>
          <w:sz w:val="20"/>
          <w:szCs w:val="20"/>
          <w:color w:val="auto"/>
        </w:rPr>
      </w:pPr>
    </w:p>
    <w:p>
      <w:pPr>
        <w:ind w:right="40" w:firstLine="464"/>
        <w:spacing w:after="0" w:line="342" w:lineRule="auto"/>
        <w:tabs>
          <w:tab w:leader="none" w:pos="636" w:val="left"/>
        </w:tabs>
        <w:numPr>
          <w:ilvl w:val="1"/>
          <w:numId w:val="5"/>
        </w:numPr>
        <w:rPr>
          <w:rFonts w:ascii="Arial" w:cs="Arial" w:eastAsia="Arial" w:hAnsi="Arial"/>
          <w:sz w:val="16"/>
          <w:szCs w:val="16"/>
          <w:color w:val="auto"/>
        </w:rPr>
      </w:pPr>
      <w:r>
        <w:rPr>
          <w:rFonts w:ascii="Arial" w:cs="Arial" w:eastAsia="Arial" w:hAnsi="Arial"/>
          <w:sz w:val="16"/>
          <w:szCs w:val="16"/>
          <w:u w:val="single" w:color="auto"/>
          <w:color w:val="auto"/>
        </w:rPr>
        <w:t>Term of Agreement</w:t>
      </w:r>
      <w:r>
        <w:rPr>
          <w:rFonts w:ascii="Arial" w:cs="Arial" w:eastAsia="Arial" w:hAnsi="Arial"/>
          <w:sz w:val="16"/>
          <w:szCs w:val="16"/>
          <w:color w:val="auto"/>
        </w:rPr>
        <w:t>. This Agreement shall terminate upon the later of (i) January 1, 2022 or (ii) if Employee is terminated involuntarily by Company without Cause prior to January 1, 2022, the date that all of the obligations of the parties hereto with respect to this Agreement have been satisfied.</w:t>
      </w:r>
    </w:p>
    <w:p>
      <w:pPr>
        <w:spacing w:after="0" w:line="123" w:lineRule="exact"/>
        <w:rPr>
          <w:rFonts w:ascii="Arial" w:cs="Arial" w:eastAsia="Arial" w:hAnsi="Arial"/>
          <w:sz w:val="16"/>
          <w:szCs w:val="16"/>
          <w:color w:val="auto"/>
        </w:rPr>
      </w:pPr>
    </w:p>
    <w:p>
      <w:pPr>
        <w:jc w:val="both"/>
        <w:ind w:right="100" w:firstLine="464"/>
        <w:spacing w:after="0" w:line="259" w:lineRule="auto"/>
        <w:tabs>
          <w:tab w:leader="none" w:pos="636" w:val="left"/>
        </w:tabs>
        <w:numPr>
          <w:ilvl w:val="1"/>
          <w:numId w:val="5"/>
        </w:numPr>
        <w:rPr>
          <w:rFonts w:ascii="Arial" w:cs="Arial" w:eastAsia="Arial" w:hAnsi="Arial"/>
          <w:sz w:val="18"/>
          <w:szCs w:val="18"/>
          <w:color w:val="auto"/>
        </w:rPr>
      </w:pPr>
      <w:r>
        <w:rPr>
          <w:rFonts w:ascii="Arial" w:cs="Arial" w:eastAsia="Arial" w:hAnsi="Arial"/>
          <w:sz w:val="18"/>
          <w:szCs w:val="18"/>
          <w:u w:val="single" w:color="auto"/>
          <w:color w:val="auto"/>
        </w:rPr>
        <w:t>At-Will Employment</w:t>
      </w:r>
      <w:r>
        <w:rPr>
          <w:rFonts w:ascii="Arial" w:cs="Arial" w:eastAsia="Arial" w:hAnsi="Arial"/>
          <w:sz w:val="18"/>
          <w:szCs w:val="18"/>
          <w:color w:val="auto"/>
        </w:rPr>
        <w:t>.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w:t>
      </w:r>
    </w:p>
    <w:p>
      <w:pPr>
        <w:spacing w:after="0" w:line="186" w:lineRule="exact"/>
        <w:rPr>
          <w:rFonts w:ascii="Arial" w:cs="Arial" w:eastAsia="Arial" w:hAnsi="Arial"/>
          <w:sz w:val="18"/>
          <w:szCs w:val="18"/>
          <w:color w:val="auto"/>
        </w:rPr>
      </w:pPr>
    </w:p>
    <w:p>
      <w:pPr>
        <w:ind w:left="640" w:hanging="176"/>
        <w:spacing w:after="0"/>
        <w:tabs>
          <w:tab w:leader="none" w:pos="640" w:val="left"/>
        </w:tabs>
        <w:numPr>
          <w:ilvl w:val="1"/>
          <w:numId w:val="5"/>
        </w:numPr>
        <w:rPr>
          <w:rFonts w:ascii="Arial" w:cs="Arial" w:eastAsia="Arial" w:hAnsi="Arial"/>
          <w:sz w:val="18"/>
          <w:szCs w:val="18"/>
          <w:color w:val="auto"/>
        </w:rPr>
      </w:pPr>
      <w:r>
        <w:rPr>
          <w:rFonts w:ascii="Arial" w:cs="Arial" w:eastAsia="Arial" w:hAnsi="Arial"/>
          <w:sz w:val="18"/>
          <w:szCs w:val="18"/>
          <w:u w:val="single" w:color="auto"/>
          <w:color w:val="auto"/>
        </w:rPr>
        <w:t>Severance Benefits.</w:t>
      </w:r>
    </w:p>
    <w:p>
      <w:pPr>
        <w:spacing w:after="0" w:line="117" w:lineRule="exact"/>
        <w:rPr>
          <w:rFonts w:ascii="Arial" w:cs="Arial" w:eastAsia="Arial" w:hAnsi="Arial"/>
          <w:sz w:val="18"/>
          <w:szCs w:val="18"/>
          <w:color w:val="auto"/>
        </w:rPr>
      </w:pPr>
    </w:p>
    <w:p>
      <w:pPr>
        <w:ind w:right="100" w:firstLine="921"/>
        <w:spacing w:after="0" w:line="288" w:lineRule="auto"/>
        <w:tabs>
          <w:tab w:leader="none" w:pos="1158" w:val="left"/>
        </w:tabs>
        <w:numPr>
          <w:ilvl w:val="2"/>
          <w:numId w:val="5"/>
        </w:numPr>
        <w:rPr>
          <w:rFonts w:ascii="Arial" w:cs="Arial" w:eastAsia="Arial" w:hAnsi="Arial"/>
          <w:sz w:val="16"/>
          <w:szCs w:val="16"/>
          <w:color w:val="auto"/>
        </w:rPr>
      </w:pPr>
      <w:r>
        <w:rPr>
          <w:rFonts w:ascii="Arial" w:cs="Arial" w:eastAsia="Arial" w:hAnsi="Arial"/>
          <w:sz w:val="16"/>
          <w:szCs w:val="16"/>
          <w:color w:val="auto"/>
        </w:rPr>
        <w:t>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w:t>
      </w:r>
    </w:p>
    <w:p>
      <w:pPr>
        <w:ind w:right="20" w:firstLine="8"/>
        <w:spacing w:after="0" w:line="273" w:lineRule="auto"/>
        <w:tabs>
          <w:tab w:leader="none" w:pos="295" w:val="left"/>
        </w:tabs>
        <w:numPr>
          <w:ilvl w:val="0"/>
          <w:numId w:val="6"/>
        </w:numPr>
        <w:rPr>
          <w:rFonts w:ascii="Arial" w:cs="Arial" w:eastAsia="Arial" w:hAnsi="Arial"/>
          <w:sz w:val="17"/>
          <w:szCs w:val="17"/>
          <w:color w:val="auto"/>
        </w:rPr>
      </w:pPr>
      <w:r>
        <w:rPr>
          <w:rFonts w:ascii="Arial" w:cs="Arial" w:eastAsia="Arial" w:hAnsi="Arial"/>
          <w:sz w:val="17"/>
          <w:szCs w:val="17"/>
          <w:color w:val="auto"/>
        </w:rPr>
        <w:t>an act of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or any other party to whom the Company or Marvell owe an obligation of nondisclosure; (E) willful breach of any obligations under any written agreement with the Company or Marvell that is not cured within</w:t>
      </w:r>
    </w:p>
    <w:p>
      <w:pPr>
        <w:sectPr>
          <w:pgSz w:w="11900" w:h="16838" w:orient="portrait"/>
          <w:cols w:equalWidth="0" w:num="1">
            <w:col w:w="11420"/>
          </w:cols>
          <w:pgMar w:left="240" w:top="121" w:right="239" w:bottom="1440" w:gutter="0" w:footer="0" w:header="0"/>
        </w:sectPr>
      </w:pPr>
    </w:p>
    <w:bookmarkStart w:id="5" w:name="page6"/>
    <w:bookmarkEnd w:id="5"/>
    <w:p>
      <w:pPr>
        <w:ind w:right="32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10 days after your receipt of written notice from the Company specifying the breach; (F) willful refusal to cooperate in good faith with a governmental or internal investigation of the Company, Marvell or their directors, officers or employees, if the Company or Marvell has requested your cooperation; or</w:t>
      </w:r>
    </w:p>
    <w:p>
      <w:pPr>
        <w:ind w:right="60" w:firstLine="8"/>
        <w:spacing w:after="0" w:line="261" w:lineRule="auto"/>
        <w:tabs>
          <w:tab w:leader="none" w:pos="295"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cure performance deficiencies within 10 days after receipt of notice of such deficiencies from the Company (other than as a result of incapacity due to physical or mental illness);</w:t>
      </w:r>
    </w:p>
    <w:p>
      <w:pPr>
        <w:spacing w:after="0" w:line="183" w:lineRule="exact"/>
        <w:rPr>
          <w:rFonts w:ascii="Arial" w:cs="Arial" w:eastAsia="Arial" w:hAnsi="Arial"/>
          <w:sz w:val="18"/>
          <w:szCs w:val="18"/>
          <w:color w:val="auto"/>
        </w:rPr>
      </w:pPr>
    </w:p>
    <w:p>
      <w:pPr>
        <w:ind w:right="320" w:firstLine="921"/>
        <w:spacing w:after="0" w:line="277" w:lineRule="auto"/>
        <w:tabs>
          <w:tab w:leader="none" w:pos="1168"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Benefits Provided</w:t>
      </w:r>
      <w:r>
        <w:rPr>
          <w:rFonts w:ascii="Arial" w:cs="Arial" w:eastAsia="Arial" w:hAnsi="Arial"/>
          <w:sz w:val="18"/>
          <w:szCs w:val="18"/>
          <w:color w:val="auto"/>
        </w:rPr>
        <w:t>. The Company shall provide the following payments and benefits to the Employee upon termination of employment in accordance with Section 3(a):</w:t>
      </w:r>
    </w:p>
    <w:p>
      <w:pPr>
        <w:spacing w:after="0" w:line="62" w:lineRule="exact"/>
        <w:rPr>
          <w:rFonts w:ascii="Arial" w:cs="Arial" w:eastAsia="Arial" w:hAnsi="Arial"/>
          <w:sz w:val="18"/>
          <w:szCs w:val="18"/>
          <w:color w:val="auto"/>
        </w:rPr>
      </w:pPr>
    </w:p>
    <w:p>
      <w:pPr>
        <w:ind w:left="1700" w:hanging="208"/>
        <w:spacing w:after="0"/>
        <w:tabs>
          <w:tab w:leader="none" w:pos="1700" w:val="left"/>
        </w:tabs>
        <w:numPr>
          <w:ilvl w:val="2"/>
          <w:numId w:val="7"/>
        </w:numPr>
        <w:rPr>
          <w:rFonts w:ascii="Arial" w:cs="Arial" w:eastAsia="Arial" w:hAnsi="Arial"/>
          <w:sz w:val="16"/>
          <w:szCs w:val="16"/>
          <w:color w:val="auto"/>
        </w:rPr>
      </w:pPr>
      <w:r>
        <w:rPr>
          <w:rFonts w:ascii="Arial" w:cs="Arial" w:eastAsia="Arial" w:hAnsi="Arial"/>
          <w:sz w:val="16"/>
          <w:szCs w:val="16"/>
          <w:color w:val="auto"/>
        </w:rPr>
        <w:t>A cash payment in a lump sum (less any withholding taxes) equal to 12 months of base salary (as in effect immediately prior to the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termination); and</w:t>
      </w:r>
    </w:p>
    <w:p>
      <w:pPr>
        <w:spacing w:after="0" w:line="210" w:lineRule="exact"/>
        <w:rPr>
          <w:rFonts w:ascii="Arial" w:cs="Arial" w:eastAsia="Arial" w:hAnsi="Arial"/>
          <w:sz w:val="16"/>
          <w:szCs w:val="16"/>
          <w:color w:val="auto"/>
        </w:rPr>
      </w:pPr>
    </w:p>
    <w:p>
      <w:pPr>
        <w:ind w:firstLine="1492"/>
        <w:spacing w:after="0" w:line="288" w:lineRule="auto"/>
        <w:tabs>
          <w:tab w:leader="none" w:pos="1748" w:val="left"/>
        </w:tabs>
        <w:numPr>
          <w:ilvl w:val="2"/>
          <w:numId w:val="7"/>
        </w:numPr>
        <w:rPr>
          <w:rFonts w:ascii="Arial" w:cs="Arial" w:eastAsia="Arial" w:hAnsi="Arial"/>
          <w:sz w:val="16"/>
          <w:szCs w:val="16"/>
          <w:color w:val="auto"/>
        </w:rPr>
      </w:pPr>
      <w:r>
        <w:rPr>
          <w:rFonts w:ascii="Arial" w:cs="Arial" w:eastAsia="Arial" w:hAnsi="Arial"/>
          <w:sz w:val="16"/>
          <w:szCs w:val="16"/>
          <w:color w:val="auto"/>
        </w:rPr>
        <w:t>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 the Employee validly elects and is eligible to continue coverage under COBRA for the Employee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 be based on the premium for the first month of COBRA coverage) for such twelve-month period, which payments will be made regardless of whether the Employee elects COBRA continuation coverage.</w:t>
      </w:r>
    </w:p>
    <w:p>
      <w:pPr>
        <w:spacing w:after="0" w:line="169" w:lineRule="exact"/>
        <w:rPr>
          <w:rFonts w:ascii="Arial" w:cs="Arial" w:eastAsia="Arial" w:hAnsi="Arial"/>
          <w:sz w:val="16"/>
          <w:szCs w:val="16"/>
          <w:color w:val="auto"/>
        </w:rPr>
      </w:pPr>
    </w:p>
    <w:p>
      <w:pPr>
        <w:ind w:right="540" w:firstLine="921"/>
        <w:spacing w:after="0" w:line="264" w:lineRule="auto"/>
        <w:tabs>
          <w:tab w:leader="none" w:pos="1157"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Release Effectiveness</w:t>
      </w:r>
      <w:r>
        <w:rPr>
          <w:rFonts w:ascii="Arial" w:cs="Arial" w:eastAsia="Arial" w:hAnsi="Arial"/>
          <w:sz w:val="18"/>
          <w:szCs w:val="18"/>
          <w:color w:val="auto"/>
        </w:rPr>
        <w:t>. 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spacing w:after="0" w:line="181" w:lineRule="exact"/>
        <w:rPr>
          <w:rFonts w:ascii="Arial" w:cs="Arial" w:eastAsia="Arial" w:hAnsi="Arial"/>
          <w:sz w:val="18"/>
          <w:szCs w:val="18"/>
          <w:color w:val="auto"/>
        </w:rPr>
      </w:pPr>
    </w:p>
    <w:p>
      <w:pPr>
        <w:ind w:right="120" w:firstLine="921"/>
        <w:spacing w:after="0" w:line="308" w:lineRule="auto"/>
        <w:tabs>
          <w:tab w:leader="none" w:pos="1168" w:val="left"/>
        </w:tabs>
        <w:numPr>
          <w:ilvl w:val="1"/>
          <w:numId w:val="7"/>
        </w:numPr>
        <w:rPr>
          <w:rFonts w:ascii="Arial" w:cs="Arial" w:eastAsia="Arial" w:hAnsi="Arial"/>
          <w:sz w:val="17"/>
          <w:szCs w:val="17"/>
          <w:color w:val="auto"/>
        </w:rPr>
      </w:pPr>
      <w:r>
        <w:rPr>
          <w:rFonts w:ascii="Arial" w:cs="Arial" w:eastAsia="Arial" w:hAnsi="Arial"/>
          <w:sz w:val="17"/>
          <w:szCs w:val="17"/>
          <w:u w:val="single" w:color="auto"/>
          <w:color w:val="auto"/>
        </w:rPr>
        <w:t>Timing of Severance Payments</w:t>
      </w:r>
      <w:r>
        <w:rPr>
          <w:rFonts w:ascii="Arial" w:cs="Arial" w:eastAsia="Arial" w:hAnsi="Arial"/>
          <w:sz w:val="17"/>
          <w:szCs w:val="17"/>
          <w:color w:val="auto"/>
        </w:rPr>
        <w:t>. Any cash severance payment to which Employee is entitled shall be paid by the Company to Employee in a single lump sum in cash on the first Company payroll after the Release Deadline Date, subject to any delay required by Section 3(f).</w:t>
      </w:r>
    </w:p>
    <w:p>
      <w:pPr>
        <w:spacing w:after="0" w:line="146" w:lineRule="exact"/>
        <w:rPr>
          <w:rFonts w:ascii="Arial" w:cs="Arial" w:eastAsia="Arial" w:hAnsi="Arial"/>
          <w:sz w:val="17"/>
          <w:szCs w:val="17"/>
          <w:color w:val="auto"/>
        </w:rPr>
      </w:pPr>
    </w:p>
    <w:p>
      <w:pPr>
        <w:ind w:right="140" w:firstLine="921"/>
        <w:spacing w:after="0" w:line="264" w:lineRule="auto"/>
        <w:tabs>
          <w:tab w:leader="none" w:pos="1157"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Change of Control Benefits</w:t>
      </w:r>
      <w:r>
        <w:rPr>
          <w:rFonts w:ascii="Arial" w:cs="Arial" w:eastAsia="Arial" w:hAnsi="Arial"/>
          <w:sz w:val="18"/>
          <w:szCs w:val="18"/>
          <w:color w:val="auto"/>
        </w:rPr>
        <w:t>. In the event the Employee receives severance and other benefits pursuant to a change in control agreement that are greater than or equal to the amounts payable hereunder, then the Employee shall not be entitled to receive severance or any other benefits under this Agreement.</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6" w:name="page7"/>
    <w:bookmarkEnd w:id="6"/>
    <w:p>
      <w:pPr>
        <w:ind w:left="1140" w:hanging="219"/>
        <w:spacing w:after="0"/>
        <w:tabs>
          <w:tab w:leader="none" w:pos="1140" w:val="left"/>
        </w:tabs>
        <w:numPr>
          <w:ilvl w:val="0"/>
          <w:numId w:val="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Section 409A</w:t>
      </w:r>
      <w:r>
        <w:rPr>
          <w:rFonts w:ascii="Arial" w:cs="Arial" w:eastAsia="Arial" w:hAnsi="Arial"/>
          <w:sz w:val="18"/>
          <w:szCs w:val="18"/>
          <w:color w:val="auto"/>
        </w:rPr>
        <w:t>.</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 Notwithstanding anything to the contrary in this Agreement, if Employee is a “specified employee” within the meaning of</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Section 409A of the Internal Revenue Code of 1986, as amended (the “Code”) and the final regulations and any guidance promulgated thereunder (“Section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409A”) at the time of Employee’s termination (other than due to death) or resignation, then the severance payable to Employee, if any, pursuant to this</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Agreement, when considered together with any other severance payments or separation benefits that are considered deferred compensation under</w:t>
      </w:r>
    </w:p>
    <w:p>
      <w:pPr>
        <w:spacing w:after="0" w:line="2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Section 409A (together, the “Deferred Compensation Separation Benefits”) that are payable within the first six (6) months following Employee’s termination of employment, will become payable on or within ten days following the first payroll date that occurs on or after the date six (6) 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 (6) 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 benefit. Each payment and benefit payable under this Agreement is intended to constitute separate payments for purposes of Section 1.409A-2(b)(2) of the Treasury Regulations.</w:t>
      </w:r>
    </w:p>
    <w:p>
      <w:pPr>
        <w:spacing w:after="0" w:line="184"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(ii) Any amount paid under this Agreement that satisfies the requirements of the “short-term deferral” rule set forth in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Section 1.409A-l(b)(4) of the Treasury Regulations shall not constitute Deferred Compensation Separation Benefits for purposes of clause (i) above.</w:t>
      </w:r>
    </w:p>
    <w:p>
      <w:pPr>
        <w:spacing w:after="0" w:line="222" w:lineRule="exact"/>
        <w:rPr>
          <w:sz w:val="20"/>
          <w:szCs w:val="20"/>
          <w:color w:val="auto"/>
        </w:rPr>
      </w:pPr>
    </w:p>
    <w:p>
      <w:pPr>
        <w:ind w:right="60" w:firstLine="1492"/>
        <w:spacing w:after="0" w:line="284" w:lineRule="auto"/>
        <w:tabs>
          <w:tab w:leader="none" w:pos="1798" w:val="left"/>
        </w:tabs>
        <w:numPr>
          <w:ilvl w:val="1"/>
          <w:numId w:val="9"/>
        </w:numPr>
        <w:rPr>
          <w:rFonts w:ascii="Arial" w:cs="Arial" w:eastAsia="Arial" w:hAnsi="Arial"/>
          <w:sz w:val="16"/>
          <w:szCs w:val="16"/>
          <w:color w:val="auto"/>
        </w:rPr>
      </w:pPr>
      <w:r>
        <w:rPr>
          <w:rFonts w:ascii="Arial" w:cs="Arial" w:eastAsia="Arial" w:hAnsi="Arial"/>
          <w:sz w:val="16"/>
          <w:szCs w:val="16"/>
          <w:color w:val="auto"/>
        </w:rPr>
        <w:t>Any amount paid under this Agreement that qualifies as a payment made as a result of an involuntary separation from service pursuant to Section 1.409A-l(b)(9)(iii)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w:t>
      </w:r>
    </w:p>
    <w:p>
      <w:pPr>
        <w:spacing w:after="0" w:line="4" w:lineRule="exact"/>
        <w:rPr>
          <w:rFonts w:ascii="Arial" w:cs="Arial" w:eastAsia="Arial" w:hAnsi="Arial"/>
          <w:sz w:val="16"/>
          <w:szCs w:val="16"/>
          <w:color w:val="auto"/>
        </w:rPr>
      </w:pPr>
    </w:p>
    <w:p>
      <w:pPr>
        <w:ind w:left="360" w:hanging="352"/>
        <w:spacing w:after="0"/>
        <w:tabs>
          <w:tab w:leader="none" w:pos="3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of the Code for the year in which Employee’s employment is terminated.</w:t>
      </w:r>
    </w:p>
    <w:p>
      <w:pPr>
        <w:spacing w:after="0" w:line="210" w:lineRule="exact"/>
        <w:rPr>
          <w:rFonts w:ascii="Arial" w:cs="Arial" w:eastAsia="Arial" w:hAnsi="Arial"/>
          <w:sz w:val="18"/>
          <w:szCs w:val="18"/>
          <w:color w:val="auto"/>
        </w:rPr>
      </w:pPr>
    </w:p>
    <w:p>
      <w:pPr>
        <w:ind w:right="60" w:firstLine="1492"/>
        <w:spacing w:after="0" w:line="257" w:lineRule="auto"/>
        <w:tabs>
          <w:tab w:leader="none" w:pos="1788"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74" w:right="279" w:bottom="1440" w:gutter="0" w:footer="0" w:header="0"/>
        </w:sectPr>
      </w:pPr>
    </w:p>
    <w:bookmarkStart w:id="7" w:name="page8"/>
    <w:bookmarkEnd w:id="7"/>
    <w:p>
      <w:pPr>
        <w:ind w:left="640" w:hanging="176"/>
        <w:spacing w:after="0"/>
        <w:tabs>
          <w:tab w:leader="none" w:pos="640"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Successors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40" w:firstLine="921"/>
        <w:spacing w:after="0" w:line="293" w:lineRule="auto"/>
        <w:tabs>
          <w:tab w:leader="none" w:pos="1157" w:val="left"/>
        </w:tabs>
        <w:numPr>
          <w:ilvl w:val="2"/>
          <w:numId w:val="11"/>
        </w:numPr>
        <w:rPr>
          <w:rFonts w:ascii="Arial" w:cs="Arial" w:eastAsia="Arial" w:hAnsi="Arial"/>
          <w:sz w:val="16"/>
          <w:szCs w:val="16"/>
          <w:color w:val="auto"/>
        </w:rPr>
      </w:pPr>
      <w:r>
        <w:rPr>
          <w:rFonts w:ascii="Arial" w:cs="Arial" w:eastAsia="Arial" w:hAnsi="Arial"/>
          <w:sz w:val="16"/>
          <w:szCs w:val="16"/>
          <w:u w:val="single" w:color="auto"/>
          <w:color w:val="auto"/>
        </w:rPr>
        <w:t>The Company’s Successors</w:t>
      </w:r>
      <w:r>
        <w:rPr>
          <w:rFonts w:ascii="Arial" w:cs="Arial" w:eastAsia="Arial" w:hAnsi="Arial"/>
          <w:sz w:val="16"/>
          <w:szCs w:val="16"/>
          <w:color w:val="auto"/>
        </w:rPr>
        <w:t>. Any successor to the Company (whether direct or indirect and whether by purchase, merger, consolidation, liquidation or otherwise) to all or substantially all of the Company’s business and/or assets shall assume the obligations under 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 or Marvell.</w:t>
      </w:r>
    </w:p>
    <w:p>
      <w:pPr>
        <w:spacing w:after="0" w:line="164" w:lineRule="exact"/>
        <w:rPr>
          <w:rFonts w:ascii="Arial" w:cs="Arial" w:eastAsia="Arial" w:hAnsi="Arial"/>
          <w:sz w:val="16"/>
          <w:szCs w:val="16"/>
          <w:color w:val="auto"/>
        </w:rPr>
      </w:pPr>
    </w:p>
    <w:p>
      <w:pPr>
        <w:ind w:right="540" w:firstLine="921"/>
        <w:spacing w:after="0" w:line="342" w:lineRule="auto"/>
        <w:tabs>
          <w:tab w:leader="none" w:pos="1168" w:val="left"/>
        </w:tabs>
        <w:numPr>
          <w:ilvl w:val="2"/>
          <w:numId w:val="11"/>
        </w:numPr>
        <w:rPr>
          <w:rFonts w:ascii="Arial" w:cs="Arial" w:eastAsia="Arial" w:hAnsi="Arial"/>
          <w:sz w:val="16"/>
          <w:szCs w:val="16"/>
          <w:color w:val="auto"/>
        </w:rPr>
      </w:pPr>
      <w:r>
        <w:rPr>
          <w:rFonts w:ascii="Arial" w:cs="Arial" w:eastAsia="Arial" w:hAnsi="Arial"/>
          <w:sz w:val="16"/>
          <w:szCs w:val="16"/>
          <w:u w:val="single" w:color="auto"/>
          <w:color w:val="auto"/>
        </w:rPr>
        <w:t>The Employee’s Successors</w:t>
      </w:r>
      <w:r>
        <w:rPr>
          <w:rFonts w:ascii="Arial" w:cs="Arial" w:eastAsia="Arial" w:hAnsi="Arial"/>
          <w:sz w:val="16"/>
          <w:szCs w:val="16"/>
          <w:color w:val="auto"/>
        </w:rPr>
        <w:t>. The terms of this Agreement and all rights of the Employee hereunder shall inure to the benefit of, and be enforceable by, the Employee’s personal or legal representatives, executors, administrators, successors, heirs, distributees, devisees and legatees.</w:t>
      </w:r>
    </w:p>
    <w:p>
      <w:pPr>
        <w:spacing w:after="0" w:line="123" w:lineRule="exact"/>
        <w:rPr>
          <w:rFonts w:ascii="Arial" w:cs="Arial" w:eastAsia="Arial" w:hAnsi="Arial"/>
          <w:sz w:val="16"/>
          <w:szCs w:val="16"/>
          <w:color w:val="auto"/>
        </w:rPr>
      </w:pPr>
    </w:p>
    <w:p>
      <w:pPr>
        <w:ind w:right="100" w:firstLine="464"/>
        <w:spacing w:after="0" w:line="284" w:lineRule="auto"/>
        <w:tabs>
          <w:tab w:leader="none" w:pos="636" w:val="left"/>
        </w:tabs>
        <w:numPr>
          <w:ilvl w:val="1"/>
          <w:numId w:val="11"/>
        </w:numPr>
        <w:rPr>
          <w:rFonts w:ascii="Arial" w:cs="Arial" w:eastAsia="Arial" w:hAnsi="Arial"/>
          <w:sz w:val="16"/>
          <w:szCs w:val="16"/>
          <w:color w:val="auto"/>
        </w:rPr>
      </w:pPr>
      <w:r>
        <w:rPr>
          <w:rFonts w:ascii="Arial" w:cs="Arial" w:eastAsia="Arial" w:hAnsi="Arial"/>
          <w:sz w:val="16"/>
          <w:szCs w:val="16"/>
          <w:u w:val="single" w:color="auto"/>
          <w:color w:val="auto"/>
        </w:rPr>
        <w:t>Notice</w:t>
      </w:r>
      <w:r>
        <w:rPr>
          <w:rFonts w:ascii="Arial" w:cs="Arial" w:eastAsia="Arial" w:hAnsi="Arial"/>
          <w:sz w:val="16"/>
          <w:szCs w:val="16"/>
          <w:color w:val="auto"/>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 delivered by hand, (c) one (1) business day after the business day of deposit with Federal Express or similar overnight courier, freight prepaid or (d) one (1) business day after the business day of facsimile transmission, if delivered by facsimile transmission with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w:t>
      </w:r>
    </w:p>
    <w:p>
      <w:pPr>
        <w:spacing w:after="0" w:line="4" w:lineRule="exact"/>
        <w:rPr>
          <w:rFonts w:ascii="Arial" w:cs="Arial" w:eastAsia="Arial" w:hAnsi="Arial"/>
          <w:sz w:val="16"/>
          <w:szCs w:val="16"/>
          <w:color w:val="auto"/>
        </w:rPr>
      </w:pPr>
    </w:p>
    <w:p>
      <w:pPr>
        <w:ind w:left="360" w:hanging="352"/>
        <w:spacing w:after="0"/>
        <w:tabs>
          <w:tab w:leader="none" w:pos="3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days’ advance written notice to the other party pursuant to the provisions above.</w:t>
      </w:r>
    </w:p>
    <w:p>
      <w:pPr>
        <w:spacing w:after="0" w:line="210" w:lineRule="exact"/>
        <w:rPr>
          <w:rFonts w:ascii="Arial" w:cs="Arial" w:eastAsia="Arial" w:hAnsi="Arial"/>
          <w:sz w:val="18"/>
          <w:szCs w:val="18"/>
          <w:color w:val="auto"/>
        </w:rPr>
      </w:pPr>
    </w:p>
    <w:p>
      <w:pPr>
        <w:ind w:left="640" w:hanging="176"/>
        <w:spacing w:after="0"/>
        <w:tabs>
          <w:tab w:leader="none" w:pos="640" w:val="left"/>
        </w:tabs>
        <w:numPr>
          <w:ilvl w:val="1"/>
          <w:numId w:val="12"/>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80" w:firstLine="921"/>
        <w:spacing w:after="0" w:line="277" w:lineRule="auto"/>
        <w:tabs>
          <w:tab w:leader="none" w:pos="1157" w:val="left"/>
        </w:tabs>
        <w:numPr>
          <w:ilvl w:val="2"/>
          <w:numId w:val="12"/>
        </w:numPr>
        <w:rPr>
          <w:rFonts w:ascii="Arial" w:cs="Arial" w:eastAsia="Arial" w:hAnsi="Arial"/>
          <w:sz w:val="18"/>
          <w:szCs w:val="18"/>
          <w:color w:val="auto"/>
        </w:rPr>
      </w:pPr>
      <w:r>
        <w:rPr>
          <w:rFonts w:ascii="Arial" w:cs="Arial" w:eastAsia="Arial" w:hAnsi="Arial"/>
          <w:sz w:val="18"/>
          <w:szCs w:val="18"/>
          <w:u w:val="single" w:color="auto"/>
          <w:color w:val="auto"/>
        </w:rPr>
        <w:t>No Duty to Mitigate</w:t>
      </w:r>
      <w:r>
        <w:rPr>
          <w:rFonts w:ascii="Arial" w:cs="Arial" w:eastAsia="Arial" w:hAnsi="Arial"/>
          <w:sz w:val="18"/>
          <w:szCs w:val="18"/>
          <w:color w:val="auto"/>
        </w:rPr>
        <w:t>. The Employee shall not be required to mitigate the amount of any payment contemplated by this Agreement, nor shall any such payment be reduced by any earnings that the Employee may receive from any other source.</w:t>
      </w:r>
    </w:p>
    <w:p>
      <w:pPr>
        <w:spacing w:after="0" w:line="170" w:lineRule="exact"/>
        <w:rPr>
          <w:rFonts w:ascii="Arial" w:cs="Arial" w:eastAsia="Arial" w:hAnsi="Arial"/>
          <w:sz w:val="18"/>
          <w:szCs w:val="18"/>
          <w:color w:val="auto"/>
        </w:rPr>
      </w:pPr>
    </w:p>
    <w:p>
      <w:pPr>
        <w:ind w:firstLine="921"/>
        <w:spacing w:after="0" w:line="259" w:lineRule="auto"/>
        <w:tabs>
          <w:tab w:leader="none" w:pos="1168" w:val="left"/>
        </w:tabs>
        <w:numPr>
          <w:ilvl w:val="2"/>
          <w:numId w:val="12"/>
        </w:numPr>
        <w:rPr>
          <w:rFonts w:ascii="Arial" w:cs="Arial" w:eastAsia="Arial" w:hAnsi="Arial"/>
          <w:sz w:val="18"/>
          <w:szCs w:val="18"/>
          <w:color w:val="auto"/>
        </w:rPr>
      </w:pPr>
      <w:r>
        <w:rPr>
          <w:rFonts w:ascii="Arial" w:cs="Arial" w:eastAsia="Arial" w:hAnsi="Arial"/>
          <w:sz w:val="18"/>
          <w:szCs w:val="18"/>
          <w:u w:val="single" w:color="auto"/>
          <w:color w:val="auto"/>
        </w:rPr>
        <w:t>Waiver</w:t>
      </w:r>
      <w:r>
        <w:rPr>
          <w:rFonts w:ascii="Arial" w:cs="Arial" w:eastAsia="Arial" w:hAnsi="Arial"/>
          <w:sz w:val="18"/>
          <w:szCs w:val="18"/>
          <w:color w:val="auto"/>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spacing w:after="0" w:line="186" w:lineRule="exact"/>
        <w:rPr>
          <w:rFonts w:ascii="Arial" w:cs="Arial" w:eastAsia="Arial" w:hAnsi="Arial"/>
          <w:sz w:val="18"/>
          <w:szCs w:val="18"/>
          <w:color w:val="auto"/>
        </w:rPr>
      </w:pPr>
    </w:p>
    <w:p>
      <w:pPr>
        <w:ind w:left="1160" w:hanging="239"/>
        <w:spacing w:after="0"/>
        <w:tabs>
          <w:tab w:leader="none" w:pos="1160" w:val="left"/>
        </w:tabs>
        <w:numPr>
          <w:ilvl w:val="2"/>
          <w:numId w:val="12"/>
        </w:numPr>
        <w:rPr>
          <w:rFonts w:ascii="Arial" w:cs="Arial" w:eastAsia="Arial" w:hAnsi="Arial"/>
          <w:sz w:val="17"/>
          <w:szCs w:val="17"/>
          <w:color w:val="auto"/>
        </w:rPr>
      </w:pPr>
      <w:r>
        <w:rPr>
          <w:rFonts w:ascii="Arial" w:cs="Arial" w:eastAsia="Arial" w:hAnsi="Arial"/>
          <w:sz w:val="17"/>
          <w:szCs w:val="17"/>
          <w:u w:val="single" w:color="auto"/>
          <w:color w:val="auto"/>
        </w:rPr>
        <w:t>Headings</w:t>
      </w:r>
      <w:r>
        <w:rPr>
          <w:rFonts w:ascii="Arial" w:cs="Arial" w:eastAsia="Arial" w:hAnsi="Arial"/>
          <w:sz w:val="17"/>
          <w:szCs w:val="17"/>
          <w:color w:val="auto"/>
        </w:rPr>
        <w:t>. All captions and section headings used in this Agreement are for convenient reference only and do not form a part of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8" w:name="page9"/>
    <w:bookmarkEnd w:id="8"/>
    <w:p>
      <w:pPr>
        <w:ind w:left="-120" w:right="180" w:firstLine="921"/>
        <w:spacing w:after="0" w:line="259" w:lineRule="auto"/>
        <w:tabs>
          <w:tab w:leader="none" w:pos="1048"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Entire Agreement</w:t>
      </w:r>
      <w:r>
        <w:rPr>
          <w:rFonts w:ascii="Arial" w:cs="Arial" w:eastAsia="Arial" w:hAnsi="Arial"/>
          <w:sz w:val="18"/>
          <w:szCs w:val="18"/>
          <w:color w:val="auto"/>
        </w:rPr>
        <w:t>. This Agreement constitutes the entire agreement of the parties hereto and supersedes in their entirety all prior representations, understandings, undertakings or agreements (whether oral or written and whether expressed or implied) of the parties with respect to the subject matter hereof; provided, however, that any accelerated vesting related to termination of employment described in the Employment Agreement will continue to apply.</w:t>
      </w:r>
    </w:p>
    <w:p>
      <w:pPr>
        <w:spacing w:after="0" w:line="186" w:lineRule="exact"/>
        <w:rPr>
          <w:rFonts w:ascii="Arial" w:cs="Arial" w:eastAsia="Arial" w:hAnsi="Arial"/>
          <w:sz w:val="18"/>
          <w:szCs w:val="18"/>
          <w:color w:val="auto"/>
        </w:rPr>
      </w:pPr>
    </w:p>
    <w:p>
      <w:pPr>
        <w:ind w:left="-120" w:right="220" w:firstLine="921"/>
        <w:spacing w:after="0" w:line="264" w:lineRule="auto"/>
        <w:tabs>
          <w:tab w:leader="none" w:pos="1037"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Choice of Law</w:t>
      </w:r>
      <w:r>
        <w:rPr>
          <w:rFonts w:ascii="Arial" w:cs="Arial" w:eastAsia="Arial" w:hAnsi="Arial"/>
          <w:sz w:val="18"/>
          <w:szCs w:val="18"/>
          <w:color w:val="auto"/>
        </w:rPr>
        <w:t>. The validity, interpretation, construction and performance of this Agreement shall be governed by the laws of the State of California. The Superior Court of Santa Clara County and/or the United States District Court for the Northern District of California shall have exclusive jurisdiction and venue over all controversies in connection with this Agreement.</w:t>
      </w:r>
    </w:p>
    <w:p>
      <w:pPr>
        <w:spacing w:after="0" w:line="181" w:lineRule="exact"/>
        <w:rPr>
          <w:rFonts w:ascii="Arial" w:cs="Arial" w:eastAsia="Arial" w:hAnsi="Arial"/>
          <w:sz w:val="18"/>
          <w:szCs w:val="18"/>
          <w:color w:val="auto"/>
        </w:rPr>
      </w:pPr>
    </w:p>
    <w:p>
      <w:pPr>
        <w:ind w:left="-120" w:firstLine="921"/>
        <w:spacing w:after="0" w:line="277" w:lineRule="auto"/>
        <w:tabs>
          <w:tab w:leader="none" w:pos="1018"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The invalidity or unenforceability of any provision or provisions of this Agreement shall not affect the validity or enforceability of any other provision hereof, which shall remain in full force and effect.</w:t>
      </w:r>
    </w:p>
    <w:p>
      <w:pPr>
        <w:spacing w:after="0" w:line="170" w:lineRule="exact"/>
        <w:rPr>
          <w:rFonts w:ascii="Arial" w:cs="Arial" w:eastAsia="Arial" w:hAnsi="Arial"/>
          <w:sz w:val="18"/>
          <w:szCs w:val="18"/>
          <w:color w:val="auto"/>
        </w:rPr>
      </w:pPr>
    </w:p>
    <w:p>
      <w:pPr>
        <w:ind w:left="1060" w:hanging="259"/>
        <w:spacing w:after="0"/>
        <w:tabs>
          <w:tab w:leader="none" w:pos="1060" w:val="left"/>
        </w:tabs>
        <w:numPr>
          <w:ilvl w:val="0"/>
          <w:numId w:val="13"/>
        </w:numPr>
        <w:rPr>
          <w:rFonts w:ascii="Arial" w:cs="Arial" w:eastAsia="Arial" w:hAnsi="Arial"/>
          <w:sz w:val="17"/>
          <w:szCs w:val="17"/>
          <w:color w:val="auto"/>
        </w:rPr>
      </w:pPr>
      <w:r>
        <w:rPr>
          <w:rFonts w:ascii="Arial" w:cs="Arial" w:eastAsia="Arial" w:hAnsi="Arial"/>
          <w:sz w:val="17"/>
          <w:szCs w:val="17"/>
          <w:u w:val="single" w:color="auto"/>
          <w:color w:val="auto"/>
        </w:rPr>
        <w:t>Withholding</w:t>
      </w:r>
      <w:r>
        <w:rPr>
          <w:rFonts w:ascii="Arial" w:cs="Arial" w:eastAsia="Arial" w:hAnsi="Arial"/>
          <w:sz w:val="17"/>
          <w:szCs w:val="17"/>
          <w:color w:val="auto"/>
        </w:rPr>
        <w:t>. All payments made pursuant to this Agreement will be subject to withholding of applicable income and employment taxes.</w:t>
      </w:r>
    </w:p>
    <w:p>
      <w:pPr>
        <w:spacing w:after="0" w:line="236" w:lineRule="exact"/>
        <w:rPr>
          <w:rFonts w:ascii="Arial" w:cs="Arial" w:eastAsia="Arial" w:hAnsi="Arial"/>
          <w:sz w:val="17"/>
          <w:szCs w:val="17"/>
          <w:color w:val="auto"/>
        </w:rPr>
      </w:pPr>
    </w:p>
    <w:p>
      <w:pPr>
        <w:ind w:left="-120" w:right="260" w:firstLine="921"/>
        <w:spacing w:after="0" w:line="277" w:lineRule="auto"/>
        <w:tabs>
          <w:tab w:leader="none" w:pos="1048"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Counterparts</w:t>
      </w:r>
      <w:r>
        <w:rPr>
          <w:rFonts w:ascii="Arial" w:cs="Arial" w:eastAsia="Arial" w:hAnsi="Arial"/>
          <w:sz w:val="18"/>
          <w:szCs w:val="18"/>
          <w:color w:val="auto"/>
        </w:rPr>
        <w:t>. This Agreement may be executed in counterparts, each of which shall be deemed an original, but all of which together will constitute one and the same instrument.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80"/>
          </w:cols>
          <w:pgMar w:left="360" w:top="274" w:right="359" w:bottom="1440" w:gutter="0" w:footer="0" w:header="0"/>
        </w:sectPr>
      </w:pPr>
    </w:p>
    <w:bookmarkStart w:id="9" w:name="page10"/>
    <w:bookmarkEnd w:id="9"/>
    <w:p>
      <w:pPr>
        <w:ind w:right="2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WITNESS WHEREOF, each of the parties has executed this Agreement, in the case of the Company by its duly authorized officer, as of the day and year set forth below.</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320" w:type="dxa"/>
            <w:vAlign w:val="bottom"/>
          </w:tcPr>
          <w:p>
            <w:pPr>
              <w:spacing w:after="0"/>
              <w:rPr>
                <w:sz w:val="20"/>
                <w:szCs w:val="20"/>
                <w:color w:val="auto"/>
              </w:rPr>
            </w:pPr>
            <w:r>
              <w:rPr>
                <w:rFonts w:ascii="Arial" w:cs="Arial" w:eastAsia="Arial" w:hAnsi="Arial"/>
                <w:sz w:val="18"/>
                <w:szCs w:val="18"/>
                <w:color w:val="auto"/>
              </w:rPr>
              <w:t>COMPANY</w:t>
            </w:r>
          </w:p>
        </w:tc>
        <w:tc>
          <w:tcPr>
            <w:tcW w:w="2380" w:type="dxa"/>
            <w:vAlign w:val="bottom"/>
          </w:tcPr>
          <w:p>
            <w:pPr>
              <w:spacing w:after="0"/>
              <w:rPr>
                <w:sz w:val="20"/>
                <w:szCs w:val="20"/>
                <w:color w:val="auto"/>
              </w:rPr>
            </w:pPr>
          </w:p>
        </w:tc>
        <w:tc>
          <w:tcPr>
            <w:tcW w:w="5720" w:type="dxa"/>
            <w:vAlign w:val="bottom"/>
            <w:gridSpan w:val="2"/>
          </w:tcPr>
          <w:p>
            <w:pPr>
              <w:ind w:left="120"/>
              <w:spacing w:after="0"/>
              <w:rPr>
                <w:sz w:val="20"/>
                <w:szCs w:val="20"/>
                <w:color w:val="auto"/>
              </w:rPr>
            </w:pPr>
            <w:r>
              <w:rPr>
                <w:rFonts w:ascii="Arial" w:cs="Arial" w:eastAsia="Arial" w:hAnsi="Arial"/>
                <w:sz w:val="18"/>
                <w:szCs w:val="18"/>
                <w:color w:val="auto"/>
              </w:rPr>
              <w:t>MARVELL SEMICONDUCTOR, INC.</w:t>
            </w:r>
          </w:p>
        </w:tc>
      </w:tr>
      <w:tr>
        <w:trPr>
          <w:trHeight w:val="432"/>
        </w:trPr>
        <w:tc>
          <w:tcPr>
            <w:tcW w:w="3320" w:type="dxa"/>
            <w:vAlign w:val="bottom"/>
          </w:tcPr>
          <w:p>
            <w:pPr>
              <w:spacing w:after="0"/>
              <w:rPr>
                <w:sz w:val="24"/>
                <w:szCs w:val="24"/>
                <w:color w:val="auto"/>
              </w:rPr>
            </w:pPr>
          </w:p>
        </w:tc>
        <w:tc>
          <w:tcPr>
            <w:tcW w:w="2380" w:type="dxa"/>
            <w:vAlign w:val="bottom"/>
          </w:tcPr>
          <w:p>
            <w:pPr>
              <w:spacing w:after="0"/>
              <w:rPr>
                <w:sz w:val="24"/>
                <w:szCs w:val="24"/>
                <w:color w:val="auto"/>
              </w:rPr>
            </w:pPr>
          </w:p>
        </w:tc>
        <w:tc>
          <w:tcPr>
            <w:tcW w:w="600" w:type="dxa"/>
            <w:vAlign w:val="bottom"/>
          </w:tcPr>
          <w:p>
            <w:pPr>
              <w:ind w:left="120"/>
              <w:spacing w:after="0"/>
              <w:rPr>
                <w:sz w:val="20"/>
                <w:szCs w:val="20"/>
                <w:color w:val="auto"/>
              </w:rPr>
            </w:pPr>
            <w:r>
              <w:rPr>
                <w:rFonts w:ascii="Arial" w:cs="Arial" w:eastAsia="Arial" w:hAnsi="Arial"/>
                <w:sz w:val="18"/>
                <w:szCs w:val="18"/>
                <w:color w:val="auto"/>
              </w:rPr>
              <w:t>By:</w:t>
            </w:r>
          </w:p>
        </w:tc>
        <w:tc>
          <w:tcPr>
            <w:tcW w:w="512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/s/ Mitchell Gaynor</w:t>
            </w:r>
          </w:p>
        </w:tc>
      </w:tr>
      <w:tr>
        <w:trPr>
          <w:trHeight w:val="195"/>
        </w:trPr>
        <w:tc>
          <w:tcPr>
            <w:tcW w:w="332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600" w:type="dxa"/>
            <w:vAlign w:val="bottom"/>
          </w:tcPr>
          <w:p>
            <w:pPr>
              <w:ind w:left="120"/>
              <w:spacing w:after="0" w:line="195" w:lineRule="exact"/>
              <w:rPr>
                <w:sz w:val="20"/>
                <w:szCs w:val="20"/>
                <w:color w:val="auto"/>
              </w:rPr>
            </w:pPr>
            <w:r>
              <w:rPr>
                <w:rFonts w:ascii="Arial" w:cs="Arial" w:eastAsia="Arial" w:hAnsi="Arial"/>
                <w:sz w:val="18"/>
                <w:szCs w:val="18"/>
                <w:color w:val="auto"/>
                <w:w w:val="86"/>
              </w:rPr>
              <w:t>Name:</w:t>
            </w:r>
          </w:p>
        </w:tc>
        <w:tc>
          <w:tcPr>
            <w:tcW w:w="5120" w:type="dxa"/>
            <w:vAlign w:val="bottom"/>
          </w:tcPr>
          <w:p>
            <w:pPr>
              <w:ind w:left="100"/>
              <w:spacing w:after="0" w:line="195" w:lineRule="exact"/>
              <w:rPr>
                <w:sz w:val="20"/>
                <w:szCs w:val="20"/>
                <w:color w:val="auto"/>
              </w:rPr>
            </w:pPr>
            <w:r>
              <w:rPr>
                <w:rFonts w:ascii="Arial" w:cs="Arial" w:eastAsia="Arial" w:hAnsi="Arial"/>
                <w:sz w:val="18"/>
                <w:szCs w:val="18"/>
                <w:color w:val="auto"/>
              </w:rPr>
              <w:t>Mitchell Gaynor</w:t>
            </w:r>
          </w:p>
        </w:tc>
      </w:tr>
      <w:tr>
        <w:trPr>
          <w:trHeight w:val="216"/>
        </w:trPr>
        <w:tc>
          <w:tcPr>
            <w:tcW w:w="332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600" w:type="dxa"/>
            <w:vAlign w:val="bottom"/>
          </w:tcPr>
          <w:p>
            <w:pPr>
              <w:ind w:left="120"/>
              <w:spacing w:after="0"/>
              <w:rPr>
                <w:sz w:val="20"/>
                <w:szCs w:val="20"/>
                <w:color w:val="auto"/>
              </w:rPr>
            </w:pPr>
            <w:r>
              <w:rPr>
                <w:rFonts w:ascii="Arial" w:cs="Arial" w:eastAsia="Arial" w:hAnsi="Arial"/>
                <w:sz w:val="18"/>
                <w:szCs w:val="18"/>
                <w:color w:val="auto"/>
              </w:rPr>
              <w:t>Title:</w:t>
            </w:r>
          </w:p>
        </w:tc>
        <w:tc>
          <w:tcPr>
            <w:tcW w:w="5120" w:type="dxa"/>
            <w:vAlign w:val="bottom"/>
          </w:tcPr>
          <w:p>
            <w:pPr>
              <w:ind w:left="100"/>
              <w:spacing w:after="0"/>
              <w:rPr>
                <w:sz w:val="20"/>
                <w:szCs w:val="20"/>
                <w:color w:val="auto"/>
              </w:rPr>
            </w:pPr>
            <w:r>
              <w:rPr>
                <w:rFonts w:ascii="Arial" w:cs="Arial" w:eastAsia="Arial" w:hAnsi="Arial"/>
                <w:sz w:val="18"/>
                <w:szCs w:val="18"/>
                <w:color w:val="auto"/>
              </w:rPr>
              <w:t>Executive Vice President</w:t>
            </w:r>
          </w:p>
        </w:tc>
      </w:tr>
      <w:tr>
        <w:trPr>
          <w:trHeight w:val="230"/>
        </w:trPr>
        <w:tc>
          <w:tcPr>
            <w:tcW w:w="332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600" w:type="dxa"/>
            <w:vAlign w:val="bottom"/>
          </w:tcPr>
          <w:p>
            <w:pPr>
              <w:ind w:left="120"/>
              <w:spacing w:after="0"/>
              <w:rPr>
                <w:sz w:val="20"/>
                <w:szCs w:val="20"/>
                <w:color w:val="auto"/>
              </w:rPr>
            </w:pPr>
            <w:r>
              <w:rPr>
                <w:rFonts w:ascii="Arial" w:cs="Arial" w:eastAsia="Arial" w:hAnsi="Arial"/>
                <w:sz w:val="18"/>
                <w:szCs w:val="18"/>
                <w:color w:val="auto"/>
              </w:rPr>
              <w:t>Date:</w:t>
            </w:r>
          </w:p>
        </w:tc>
        <w:tc>
          <w:tcPr>
            <w:tcW w:w="5120" w:type="dxa"/>
            <w:vAlign w:val="bottom"/>
          </w:tcPr>
          <w:p>
            <w:pPr>
              <w:ind w:left="100"/>
              <w:spacing w:after="0"/>
              <w:rPr>
                <w:sz w:val="20"/>
                <w:szCs w:val="20"/>
                <w:color w:val="auto"/>
              </w:rPr>
            </w:pPr>
            <w:r>
              <w:rPr>
                <w:rFonts w:ascii="Arial" w:cs="Arial" w:eastAsia="Arial" w:hAnsi="Arial"/>
                <w:sz w:val="18"/>
                <w:szCs w:val="18"/>
                <w:color w:val="auto"/>
              </w:rPr>
              <w:t>December 9, 2016</w:t>
            </w:r>
          </w:p>
        </w:tc>
      </w:tr>
      <w:tr>
        <w:trPr>
          <w:trHeight w:val="432"/>
        </w:trPr>
        <w:tc>
          <w:tcPr>
            <w:tcW w:w="3320" w:type="dxa"/>
            <w:vAlign w:val="bottom"/>
          </w:tcPr>
          <w:p>
            <w:pPr>
              <w:spacing w:after="0"/>
              <w:rPr>
                <w:sz w:val="20"/>
                <w:szCs w:val="20"/>
                <w:color w:val="auto"/>
              </w:rPr>
            </w:pPr>
            <w:r>
              <w:rPr>
                <w:rFonts w:ascii="Arial" w:cs="Arial" w:eastAsia="Arial" w:hAnsi="Arial"/>
                <w:sz w:val="18"/>
                <w:szCs w:val="18"/>
                <w:color w:val="auto"/>
              </w:rPr>
              <w:t>EMPLOYEE</w:t>
            </w:r>
          </w:p>
        </w:tc>
        <w:tc>
          <w:tcPr>
            <w:tcW w:w="2380" w:type="dxa"/>
            <w:vAlign w:val="bottom"/>
          </w:tcPr>
          <w:p>
            <w:pPr>
              <w:spacing w:after="0"/>
              <w:rPr>
                <w:sz w:val="24"/>
                <w:szCs w:val="24"/>
                <w:color w:val="auto"/>
              </w:rPr>
            </w:pPr>
          </w:p>
        </w:tc>
        <w:tc>
          <w:tcPr>
            <w:tcW w:w="5720" w:type="dxa"/>
            <w:vAlign w:val="bottom"/>
            <w:tcBorders>
              <w:bottom w:val="single" w:sz="8" w:color="auto"/>
            </w:tcBorders>
            <w:gridSpan w:val="2"/>
          </w:tcPr>
          <w:p>
            <w:pPr>
              <w:ind w:left="120"/>
              <w:spacing w:after="0"/>
              <w:rPr>
                <w:sz w:val="20"/>
                <w:szCs w:val="20"/>
                <w:color w:val="auto"/>
              </w:rPr>
            </w:pPr>
            <w:r>
              <w:rPr>
                <w:rFonts w:ascii="Arial" w:cs="Arial" w:eastAsia="Arial" w:hAnsi="Arial"/>
                <w:sz w:val="18"/>
                <w:szCs w:val="18"/>
                <w:color w:val="auto"/>
              </w:rPr>
              <w:t>/s/ Willem Meintjes</w:t>
            </w:r>
          </w:p>
        </w:tc>
      </w:tr>
      <w:tr>
        <w:trPr>
          <w:trHeight w:val="195"/>
        </w:trPr>
        <w:tc>
          <w:tcPr>
            <w:tcW w:w="332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5720" w:type="dxa"/>
            <w:vAlign w:val="bottom"/>
            <w:gridSpan w:val="2"/>
          </w:tcPr>
          <w:p>
            <w:pPr>
              <w:ind w:left="120"/>
              <w:spacing w:after="0" w:line="195" w:lineRule="exact"/>
              <w:rPr>
                <w:sz w:val="20"/>
                <w:szCs w:val="20"/>
                <w:color w:val="auto"/>
              </w:rPr>
            </w:pPr>
            <w:r>
              <w:rPr>
                <w:rFonts w:ascii="Arial" w:cs="Arial" w:eastAsia="Arial" w:hAnsi="Arial"/>
                <w:sz w:val="18"/>
                <w:szCs w:val="18"/>
                <w:color w:val="auto"/>
              </w:rPr>
              <w:t>Name:  Willem Meintjes</w:t>
            </w:r>
          </w:p>
        </w:tc>
      </w:tr>
      <w:tr>
        <w:trPr>
          <w:trHeight w:val="230"/>
        </w:trPr>
        <w:tc>
          <w:tcPr>
            <w:tcW w:w="332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600" w:type="dxa"/>
            <w:vAlign w:val="bottom"/>
          </w:tcPr>
          <w:p>
            <w:pPr>
              <w:ind w:left="120"/>
              <w:spacing w:after="0"/>
              <w:rPr>
                <w:sz w:val="20"/>
                <w:szCs w:val="20"/>
                <w:color w:val="auto"/>
              </w:rPr>
            </w:pPr>
            <w:r>
              <w:rPr>
                <w:rFonts w:ascii="Arial" w:cs="Arial" w:eastAsia="Arial" w:hAnsi="Arial"/>
                <w:sz w:val="18"/>
                <w:szCs w:val="18"/>
                <w:color w:val="auto"/>
              </w:rPr>
              <w:t>Date:</w:t>
            </w:r>
          </w:p>
        </w:tc>
        <w:tc>
          <w:tcPr>
            <w:tcW w:w="5120" w:type="dxa"/>
            <w:vAlign w:val="bottom"/>
          </w:tcPr>
          <w:p>
            <w:pPr>
              <w:ind w:left="100"/>
              <w:spacing w:after="0"/>
              <w:rPr>
                <w:sz w:val="20"/>
                <w:szCs w:val="20"/>
                <w:color w:val="auto"/>
              </w:rPr>
            </w:pPr>
            <w:r>
              <w:rPr>
                <w:rFonts w:ascii="Arial" w:cs="Arial" w:eastAsia="Arial" w:hAnsi="Arial"/>
                <w:sz w:val="18"/>
                <w:szCs w:val="18"/>
                <w:color w:val="auto"/>
              </w:rPr>
              <w:t>12/09/2016</w:t>
            </w:r>
          </w:p>
        </w:tc>
      </w:tr>
      <w:tr>
        <w:trPr>
          <w:trHeight w:val="365"/>
        </w:trPr>
        <w:tc>
          <w:tcPr>
            <w:tcW w:w="3320" w:type="dxa"/>
            <w:vAlign w:val="bottom"/>
          </w:tcPr>
          <w:p>
            <w:pPr>
              <w:spacing w:after="0"/>
              <w:rPr>
                <w:sz w:val="24"/>
                <w:szCs w:val="24"/>
                <w:color w:val="auto"/>
              </w:rPr>
            </w:pPr>
          </w:p>
        </w:tc>
        <w:tc>
          <w:tcPr>
            <w:tcW w:w="2980" w:type="dxa"/>
            <w:vAlign w:val="bottom"/>
            <w:gridSpan w:val="2"/>
          </w:tcPr>
          <w:p>
            <w:pPr>
              <w:jc w:val="right"/>
              <w:ind w:right="450"/>
              <w:spacing w:after="0"/>
              <w:rPr>
                <w:sz w:val="20"/>
                <w:szCs w:val="20"/>
                <w:color w:val="auto"/>
              </w:rPr>
            </w:pPr>
            <w:r>
              <w:rPr>
                <w:rFonts w:ascii="Arial" w:cs="Arial" w:eastAsia="Arial" w:hAnsi="Arial"/>
                <w:sz w:val="18"/>
                <w:szCs w:val="18"/>
                <w:color w:val="auto"/>
              </w:rPr>
              <w:t>6</w:t>
            </w:r>
          </w:p>
        </w:tc>
        <w:tc>
          <w:tcPr>
            <w:tcW w:w="5120" w:type="dxa"/>
            <w:vAlign w:val="bottom"/>
          </w:tcPr>
          <w:p>
            <w:pPr>
              <w:spacing w:after="0"/>
              <w:rPr>
                <w:sz w:val="24"/>
                <w:szCs w:val="24"/>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2489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186940" cy="2489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Receipt of Chinese Regulatory Approval for Cavium Acquisition</w:t>
      </w:r>
    </w:p>
    <w:p>
      <w:pPr>
        <w:spacing w:after="0" w:line="225" w:lineRule="exact"/>
        <w:rPr>
          <w:sz w:val="20"/>
          <w:szCs w:val="20"/>
          <w:color w:val="auto"/>
        </w:rPr>
      </w:pPr>
    </w:p>
    <w:p>
      <w:pPr>
        <w:ind w:right="80"/>
        <w:spacing w:after="0" w:line="289" w:lineRule="auto"/>
        <w:rPr>
          <w:sz w:val="20"/>
          <w:szCs w:val="20"/>
          <w:color w:val="auto"/>
        </w:rPr>
      </w:pPr>
      <w:r>
        <w:rPr>
          <w:rFonts w:ascii="Arial" w:cs="Arial" w:eastAsia="Arial" w:hAnsi="Arial"/>
          <w:sz w:val="17"/>
          <w:szCs w:val="17"/>
          <w:b w:val="1"/>
          <w:bCs w:val="1"/>
          <w:color w:val="auto"/>
        </w:rPr>
        <w:t>SANTA CLARA, Calif. (June 28, 2018)</w:t>
      </w:r>
      <w:r>
        <w:rPr>
          <w:rFonts w:ascii="Arial" w:cs="Arial" w:eastAsia="Arial" w:hAnsi="Arial"/>
          <w:sz w:val="17"/>
          <w:szCs w:val="17"/>
          <w:color w:val="auto"/>
        </w:rPr>
        <w:t>—Marvell (NASDAQ: MRVL), a leader in storage, networking, and connectivity semiconductor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announced that China’s State Administration for Market Regulation has approved the company’s previously announced merger transaction with Cavium, Inc. The merger remains subject to customary closing conditions and Marvell currently expects the merger to close in July 2018.</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Cavium and Marvell, including the anticipated timing of the closing of the transaction.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w:t>
      </w:r>
    </w:p>
    <w:p>
      <w:pPr>
        <w:sectPr>
          <w:pgSz w:w="11900" w:h="16838" w:orient="portrait"/>
          <w:cols w:equalWidth="0" w:num="1">
            <w:col w:w="11420"/>
          </w:cols>
          <w:pgMar w:left="240" w:top="121" w:right="239" w:bottom="1440" w:gutter="0" w:footer="0" w:header="0"/>
        </w:sectPr>
      </w:pPr>
    </w:p>
    <w:bookmarkStart w:id="11" w:name="page12"/>
    <w:bookmarkEnd w:id="11"/>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38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Marvell and the M logo are registered trademarks of Marvell and/or its affiliates. Other names and brands may be claimed as the property of others.</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(408) 222-0777</w:t>
      </w:r>
    </w:p>
    <w:p>
      <w:pPr>
        <w:sectPr>
          <w:pgSz w:w="11900" w:h="16838" w:orient="portrait"/>
          <w:cols w:equalWidth="0" w:num="1">
            <w:col w:w="11360"/>
          </w:cols>
          <w:pgMar w:left="240" w:top="274" w:right="29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2489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186940" cy="2489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340"/>
        <w:spacing w:after="0" w:line="313" w:lineRule="auto"/>
        <w:rPr>
          <w:sz w:val="20"/>
          <w:szCs w:val="20"/>
          <w:color w:val="auto"/>
        </w:rPr>
      </w:pPr>
      <w:r>
        <w:rPr>
          <w:rFonts w:ascii="Arial" w:cs="Arial" w:eastAsia="Arial" w:hAnsi="Arial"/>
          <w:sz w:val="17"/>
          <w:szCs w:val="17"/>
          <w:b w:val="1"/>
          <w:bCs w:val="1"/>
          <w:color w:val="auto"/>
        </w:rPr>
        <w:t>SANTA CLARA, Calif. (June 28, 2018</w:t>
      </w:r>
      <w:r>
        <w:rPr>
          <w:rFonts w:ascii="Arial" w:cs="Arial" w:eastAsia="Arial" w:hAnsi="Arial"/>
          <w:sz w:val="17"/>
          <w:szCs w:val="17"/>
          <w:color w:val="auto"/>
        </w:rPr>
        <w:t>) –</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(NASDAQ:MRVL), a leader in storage, networking and connectivity semiconductor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announced a quarterly dividend of $0.06 per share of common stock payable on July 31, 2018 to stockholders of record as of July 9,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B71EFB"/>
    <w:multiLevelType w:val="hybridMultilevel"/>
    <w:lvl w:ilvl="0">
      <w:lvlJc w:val="left"/>
      <w:lvlText w:val="☐"/>
      <w:numFmt w:val="bullet"/>
      <w:start w:val="1"/>
    </w:lvl>
  </w:abstractNum>
  <w:abstractNum w:abstractNumId="1">
    <w:nsid w:val="79E2A9E3"/>
    <w:multiLevelType w:val="hybridMultilevel"/>
    <w:lvl w:ilvl="0">
      <w:lvlJc w:val="left"/>
      <w:lvlText w:val="%1."/>
      <w:numFmt w:val="decimal"/>
      <w:start w:val="1"/>
    </w:lvl>
  </w:abstractNum>
  <w:abstractNum w:abstractNumId="2">
    <w:nsid w:val="7545E146"/>
    <w:multiLevelType w:val="hybridMultilevel"/>
    <w:lvl w:ilvl="0">
      <w:lvlJc w:val="left"/>
      <w:lvlText w:val="%1."/>
      <w:numFmt w:val="decimal"/>
      <w:start w:val="2"/>
    </w:lvl>
  </w:abstractNum>
  <w:abstractNum w:abstractNumId="3">
    <w:nsid w:val="515F007C"/>
    <w:multiLevelType w:val="hybridMultilevel"/>
    <w:lvl w:ilvl="0">
      <w:lvlJc w:val="left"/>
      <w:lvlText w:val="%1."/>
      <w:numFmt w:val="decimal"/>
      <w:start w:val="3"/>
    </w:lvl>
  </w:abstractNum>
  <w:abstractNum w:abstractNumId="4">
    <w:nsid w:val="5BD062C2"/>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abstractNum>
  <w:abstractNum w:abstractNumId="5">
    <w:nsid w:val="12200854"/>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abstractNum>
  <w:abstractNum w:abstractNumId="6">
    <w:nsid w:val="4DB127F8"/>
    <w:multiLevelType w:val="hybridMultilevel"/>
    <w:lvl w:ilvl="0">
      <w:lvlJc w:val="left"/>
      <w:lvlText w:val="(%1)"/>
      <w:numFmt w:val="upperLetter"/>
      <w:start w:val="7"/>
    </w:lvl>
    <w:lvl w:ilvl="1">
      <w:lvlJc w:val="left"/>
      <w:lvlText w:val="(%2)"/>
      <w:numFmt w:val="lowerLetter"/>
      <w:start w:val="2"/>
    </w:lvl>
    <w:lvl w:ilvl="2">
      <w:lvlJc w:val="left"/>
      <w:lvlText w:val="(%3)"/>
      <w:numFmt w:val="lowerRoman"/>
      <w:start w:val="1"/>
    </w:lvl>
  </w:abstractNum>
  <w:abstractNum w:abstractNumId="7">
    <w:nsid w:val="216231B"/>
    <w:multiLevelType w:val="hybridMultilevel"/>
    <w:lvl w:ilvl="0">
      <w:lvlJc w:val="left"/>
      <w:lvlText w:val="(%1)"/>
      <w:numFmt w:val="lowerLetter"/>
      <w:start w:val="6"/>
    </w:lvl>
  </w:abstractNum>
  <w:abstractNum w:abstractNumId="8">
    <w:nsid w:val="1F16E9E8"/>
    <w:multiLevelType w:val="hybridMultilevel"/>
    <w:lvl w:ilvl="0">
      <w:lvlJc w:val="left"/>
      <w:lvlText w:val="%1"/>
      <w:numFmt w:val="decimal"/>
      <w:start w:val="1"/>
    </w:lvl>
    <w:lvl w:ilvl="1">
      <w:lvlJc w:val="left"/>
      <w:lvlText w:val="(%2)"/>
      <w:numFmt w:val="lowerRoman"/>
      <w:start w:val="3"/>
    </w:lvl>
  </w:abstractNum>
  <w:abstractNum w:abstractNumId="9">
    <w:nsid w:val="1190CDE7"/>
    <w:multiLevelType w:val="hybridMultilevel"/>
    <w:lvl w:ilvl="0">
      <w:lvlJc w:val="left"/>
      <w:lvlText w:val="(%1)"/>
      <w:numFmt w:val="decimal"/>
      <w:start w:val="17"/>
    </w:lvl>
    <w:lvl w:ilvl="1">
      <w:lvlJc w:val="left"/>
      <w:lvlText w:val="(%2)"/>
      <w:numFmt w:val="lowerRoman"/>
      <w:start w:val="4"/>
    </w:lvl>
  </w:abstractNum>
  <w:abstractNum w:abstractNumId="10">
    <w:nsid w:val="66EF438D"/>
    <w:multiLevelType w:val="hybridMultilevel"/>
    <w:lvl w:ilvl="0">
      <w:lvlJc w:val="left"/>
      <w:lvlText w:val="%1"/>
      <w:numFmt w:val="decimal"/>
      <w:start w:val="1"/>
    </w:lvl>
    <w:lvl w:ilvl="1">
      <w:lvlJc w:val="left"/>
      <w:lvlText w:val="%2."/>
      <w:numFmt w:val="decimal"/>
      <w:start w:val="4"/>
    </w:lvl>
    <w:lvl w:ilvl="2">
      <w:lvlJc w:val="left"/>
      <w:lvlText w:val="(%3)"/>
      <w:numFmt w:val="lowerLetter"/>
      <w:start w:val="1"/>
    </w:lvl>
  </w:abstractNum>
  <w:abstractNum w:abstractNumId="11">
    <w:nsid w:val="140E0F76"/>
    <w:multiLevelType w:val="hybridMultilevel"/>
    <w:lvl w:ilvl="0">
      <w:lvlJc w:val="left"/>
      <w:lvlText w:val="(%1)"/>
      <w:numFmt w:val="decimal"/>
      <w:start w:val="10"/>
    </w:lvl>
    <w:lvl w:ilvl="1">
      <w:lvlJc w:val="left"/>
      <w:lvlText w:val="%2."/>
      <w:numFmt w:val="decimal"/>
      <w:start w:val="6"/>
    </w:lvl>
    <w:lvl w:ilvl="2">
      <w:lvlJc w:val="left"/>
      <w:lvlText w:val="(%3)"/>
      <w:numFmt w:val="lowerLetter"/>
      <w:start w:val="1"/>
    </w:lvl>
  </w:abstractNum>
  <w:abstractNum w:abstractNumId="12">
    <w:nsid w:val="3352255A"/>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jpeg"/><Relationship Id="rId27" Type="http://schemas.openxmlformats.org/officeDocument/2006/relationships/image" Target="media/image20.png"/><Relationship Id="rId28" Type="http://schemas.openxmlformats.org/officeDocument/2006/relationships/image" Target="media/image2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2019-12-28T21:18:10Z</dcterms:created>
  <dcterms:modified xsi:type="dcterms:W3CDTF">2019-12-28T21:18:10Z</dcterms:modified>
</cp:coreProperties>
</file>