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8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9" w:lineRule="exact"/>
        <w:rPr>
          <w:sz w:val="24"/>
          <w:szCs w:val="24"/>
          <w:color w:val="auto"/>
        </w:rPr>
      </w:pPr>
    </w:p>
    <w:p>
      <w:pPr>
        <w:ind w:left="380"/>
        <w:spacing w:after="0" w:line="235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37465</wp:posOffset>
            </wp:positionH>
            <wp:positionV relativeFrom="paragraph">
              <wp:posOffset>-240030</wp:posOffset>
            </wp:positionV>
            <wp:extent cx="134620" cy="13462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" cy="134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1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1"/>
        </w:trPr>
        <w:tc>
          <w:tcPr>
            <w:tcW w:w="6520" w:type="dxa"/>
            <w:vAlign w:val="bottom"/>
          </w:tcPr>
          <w:p>
            <w:pPr>
              <w:jc w:val="center"/>
              <w:ind w:right="2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20" w:type="dxa"/>
            <w:vAlign w:val="bottom"/>
            <w:vMerge w:val="restart"/>
          </w:tcPr>
          <w:p>
            <w:pPr>
              <w:jc w:val="center"/>
              <w:ind w:right="234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8"/>
        </w:trPr>
        <w:tc>
          <w:tcPr>
            <w:tcW w:w="65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20" w:type="dxa"/>
            <w:vAlign w:val="bottom"/>
            <w:vMerge w:val="restart"/>
          </w:tcPr>
          <w:p>
            <w:pPr>
              <w:jc w:val="center"/>
              <w:ind w:right="234"/>
              <w:spacing w:after="0" w:line="19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3"/>
        </w:trPr>
        <w:tc>
          <w:tcPr>
            <w:tcW w:w="652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6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6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6520" w:type="dxa"/>
            <w:vAlign w:val="bottom"/>
            <w:vMerge w:val="restart"/>
          </w:tcPr>
          <w:p>
            <w:pPr>
              <w:jc w:val="center"/>
              <w:ind w:right="2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5458460</wp:posOffset>
            </wp:positionH>
            <wp:positionV relativeFrom="paragraph">
              <wp:posOffset>-644525</wp:posOffset>
            </wp:positionV>
            <wp:extent cx="59055" cy="65786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78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4126230</wp:posOffset>
            </wp:positionH>
            <wp:positionV relativeFrom="paragraph">
              <wp:posOffset>-644525</wp:posOffset>
            </wp:positionV>
            <wp:extent cx="59055" cy="65786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78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-1722755</wp:posOffset>
            </wp:positionH>
            <wp:positionV relativeFrom="paragraph">
              <wp:posOffset>19050</wp:posOffset>
            </wp:positionV>
            <wp:extent cx="7324090" cy="506603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4090" cy="5066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40" w:space="360"/>
            <w:col w:w="8820"/>
          </w:cols>
          <w:pgMar w:left="240" w:top="224" w:right="139" w:bottom="1440" w:gutter="0" w:footer="0" w:header="0"/>
        </w:sect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62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1. Name and Address of Reporting Person</w:t>
            </w:r>
            <w:r>
              <w:rPr>
                <w:rFonts w:ascii="Arial" w:cs="Arial" w:eastAsia="Arial" w:hAnsi="Arial"/>
                <w:sz w:val="22"/>
                <w:szCs w:val="22"/>
                <w:color w:val="auto"/>
                <w:vertAlign w:val="superscript"/>
              </w:rPr>
              <w:t>*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100" w:type="dxa"/>
            <w:vAlign w:val="bottom"/>
            <w:gridSpan w:val="7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2. 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540" w:type="dxa"/>
            <w:vAlign w:val="bottom"/>
            <w:gridSpan w:val="10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  <w:gridSpan w:val="3"/>
            <w:vMerge w:val="restart"/>
          </w:tcPr>
          <w:p>
            <w:pPr>
              <w:spacing w:after="0"/>
              <w:rPr>
                <w:rFonts w:ascii="Arial" w:cs="Arial" w:eastAsia="Arial" w:hAnsi="Arial"/>
                <w:sz w:val="21"/>
                <w:szCs w:val="21"/>
                <w:color w:val="0000EE"/>
                <w:w w:val="97"/>
              </w:rPr>
            </w:pPr>
            <w:hyperlink r:id="rId12">
              <w:r>
                <w:rPr>
                  <w:rFonts w:ascii="Arial" w:cs="Arial" w:eastAsia="Arial" w:hAnsi="Arial"/>
                  <w:sz w:val="21"/>
                  <w:szCs w:val="21"/>
                  <w:color w:val="0000EE"/>
                  <w:w w:val="97"/>
                </w:rPr>
                <w:t>Mayer Bethany</w:t>
              </w:r>
            </w:hyperlink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920" w:type="dxa"/>
            <w:vAlign w:val="bottom"/>
            <w:gridSpan w:val="10"/>
          </w:tcPr>
          <w:p>
            <w:pPr>
              <w:ind w:left="60"/>
              <w:spacing w:after="0" w:line="106" w:lineRule="exact"/>
              <w:rPr>
                <w:rFonts w:ascii="Arial" w:cs="Arial" w:eastAsia="Arial" w:hAnsi="Arial"/>
                <w:sz w:val="12"/>
                <w:szCs w:val="12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12"/>
                  <w:szCs w:val="12"/>
                  <w:color w:val="0000EE"/>
                </w:rPr>
                <w:t>MARVELL TECHNOLOGY GROUP LTD</w:t>
              </w:r>
            </w:hyperlink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720" w:type="dxa"/>
            <w:vAlign w:val="bottom"/>
            <w:gridSpan w:val="5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2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0" w:type="dxa"/>
            <w:vAlign w:val="bottom"/>
            <w:gridSpan w:val="2"/>
            <w:vMerge w:val="restart"/>
          </w:tcPr>
          <w:p>
            <w:pPr>
              <w:ind w:left="280"/>
              <w:spacing w:after="0" w:line="15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7"/>
              </w:rPr>
              <w:t>X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  <w:gridSpan w:val="3"/>
            <w:vMerge w:val="restart"/>
          </w:tcPr>
          <w:p>
            <w:pPr>
              <w:ind w:left="60"/>
              <w:spacing w:after="0" w:line="11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[ </w:t>
            </w:r>
            <w:r>
              <w:rPr>
                <w:rFonts w:ascii="Arial" w:cs="Arial" w:eastAsia="Arial" w:hAnsi="Arial"/>
                <w:sz w:val="10"/>
                <w:szCs w:val="10"/>
                <w:color w:val="0000FF"/>
              </w:rPr>
              <w:t>MRVL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]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  <w:vMerge w:val="restart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920" w:type="dxa"/>
            <w:vAlign w:val="bottom"/>
            <w:gridSpan w:val="3"/>
          </w:tcPr>
          <w:p>
            <w:pPr>
              <w:ind w:left="6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12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100" w:type="dxa"/>
            <w:vAlign w:val="bottom"/>
            <w:tcBorders>
              <w:top w:val="single" w:sz="8" w:color="2C2C2C"/>
            </w:tcBorders>
            <w:gridSpan w:val="7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 Date of Earliest Transaction (Month/Day/Year)</w:t>
            </w: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160"/>
              <w:spacing w:after="0" w:line="11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220"/>
              <w:spacing w:after="0" w:line="11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100" w:type="dxa"/>
            <w:vAlign w:val="bottom"/>
            <w:gridSpan w:val="7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380" w:type="dxa"/>
            <w:vAlign w:val="bottom"/>
            <w:gridSpan w:val="5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06/28/2018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96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vMerge w:val="restart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780" w:type="dxa"/>
            <w:vAlign w:val="bottom"/>
            <w:gridSpan w:val="8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  <w:vMerge w:val="restart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540" w:type="dxa"/>
            <w:vAlign w:val="bottom"/>
            <w:gridSpan w:val="10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780" w:type="dxa"/>
            <w:vAlign w:val="bottom"/>
            <w:gridSpan w:val="8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540" w:type="dxa"/>
            <w:vAlign w:val="bottom"/>
            <w:gridSpan w:val="10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Line)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12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540" w:type="dxa"/>
            <w:vAlign w:val="bottom"/>
            <w:gridSpan w:val="10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X   </w:t>
            </w:r>
            <w:r>
              <w:rPr>
                <w:rFonts w:ascii="Arial" w:cs="Arial" w:eastAsia="Arial" w:hAnsi="Arial"/>
                <w:sz w:val="13"/>
                <w:szCs w:val="13"/>
                <w:color w:val="000000"/>
              </w:rPr>
              <w:t>Form filed by One Reporting Person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80" w:type="dxa"/>
            <w:vAlign w:val="bottom"/>
            <w:gridSpan w:val="7"/>
          </w:tcPr>
          <w:p>
            <w:pPr>
              <w:ind w:left="16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Form filed by More than One Reporting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920" w:type="dxa"/>
            <w:vAlign w:val="bottom"/>
            <w:gridSpan w:val="3"/>
            <w:vMerge w:val="restart"/>
          </w:tcPr>
          <w:p>
            <w:pPr>
              <w:ind w:left="6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Person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3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1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580" w:type="dxa"/>
            <w:vAlign w:val="bottom"/>
            <w:tcBorders>
              <w:top w:val="single" w:sz="8" w:color="2C2C2C"/>
            </w:tcBorders>
            <w:gridSpan w:val="19"/>
          </w:tcPr>
          <w:p>
            <w:pPr>
              <w:ind w:left="9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 - Non-Derivative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2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00" w:type="dxa"/>
            <w:vAlign w:val="bottom"/>
            <w:gridSpan w:val="5"/>
          </w:tcPr>
          <w:p>
            <w:pPr>
              <w:ind w:left="8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980" w:type="dxa"/>
            <w:vAlign w:val="bottom"/>
            <w:gridSpan w:val="7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8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Date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Transaction</w:t>
            </w:r>
          </w:p>
        </w:tc>
        <w:tc>
          <w:tcPr>
            <w:tcW w:w="1980" w:type="dxa"/>
            <w:vAlign w:val="bottom"/>
            <w:gridSpan w:val="7"/>
          </w:tcPr>
          <w:p>
            <w:pPr>
              <w:ind w:left="1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  <w:gridSpan w:val="5"/>
          </w:tcPr>
          <w:p>
            <w:pPr>
              <w:jc w:val="center"/>
              <w:ind w:left="691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6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Code (Instr.</w:t>
            </w:r>
          </w:p>
        </w:tc>
        <w:tc>
          <w:tcPr>
            <w:tcW w:w="700" w:type="dxa"/>
            <w:vAlign w:val="bottom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80" w:type="dxa"/>
            <w:vAlign w:val="bottom"/>
          </w:tcPr>
          <w:p>
            <w:pPr>
              <w:ind w:left="2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4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0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900" w:type="dxa"/>
            <w:vAlign w:val="bottom"/>
            <w:gridSpan w:val="5"/>
          </w:tcPr>
          <w:p>
            <w:pPr>
              <w:jc w:val="center"/>
              <w:ind w:left="69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06/28/2018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00" w:type="dxa"/>
            <w:vAlign w:val="bottom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8"/>
              </w:rPr>
              <w:t>1,275</w:t>
            </w:r>
          </w:p>
        </w:tc>
        <w:tc>
          <w:tcPr>
            <w:tcW w:w="68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0" w:type="dxa"/>
            <w:vAlign w:val="bottom"/>
            <w:gridSpan w:val="2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89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0.00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320" w:type="dxa"/>
            <w:vAlign w:val="bottom"/>
            <w:gridSpan w:val="3"/>
          </w:tcPr>
          <w:p>
            <w:pPr>
              <w:ind w:left="4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1,275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60" w:type="dxa"/>
            <w:vAlign w:val="bottom"/>
            <w:tcBorders>
              <w:top w:val="single" w:sz="8" w:color="2C2C2C"/>
            </w:tcBorders>
            <w:gridSpan w:val="18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40" w:type="dxa"/>
            <w:vAlign w:val="bottom"/>
            <w:gridSpan w:val="16"/>
          </w:tcPr>
          <w:p>
            <w:pPr>
              <w:ind w:left="7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2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 of</w:t>
            </w:r>
          </w:p>
        </w:tc>
        <w:tc>
          <w:tcPr>
            <w:tcW w:w="15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280" w:type="dxa"/>
            <w:vAlign w:val="bottom"/>
            <w:gridSpan w:val="6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80" w:type="dxa"/>
            <w:vAlign w:val="bottom"/>
            <w:gridSpan w:val="4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0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derivative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 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80" w:type="dxa"/>
            <w:vAlign w:val="bottom"/>
            <w:gridSpan w:val="4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50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8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2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 (A)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80" w:type="dxa"/>
            <w:vAlign w:val="bottom"/>
            <w:gridSpan w:val="6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Disposed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80" w:type="dxa"/>
            <w:vAlign w:val="bottom"/>
            <w:gridSpan w:val="6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 3,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Following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(I) 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 and 5)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  <w:vMerge w:val="restart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5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5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60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</w:t>
            </w:r>
          </w:p>
        </w:tc>
        <w:tc>
          <w:tcPr>
            <w:tcW w:w="4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8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00" w:type="dxa"/>
            <w:vAlign w:val="bottom"/>
            <w:gridSpan w:val="5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40" w:type="dxa"/>
            <w:vAlign w:val="bottom"/>
            <w:gridSpan w:val="4"/>
            <w:vMerge w:val="restart"/>
          </w:tcPr>
          <w:p>
            <w:pPr>
              <w:jc w:val="right"/>
              <w:ind w:right="2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8"/>
              </w:rPr>
              <w:t>1,275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vMerge w:val="restart"/>
          </w:tcPr>
          <w:p>
            <w:pPr>
              <w:jc w:val="right"/>
              <w:ind w:right="174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06/28/2018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gridSpan w:val="3"/>
            <w:vMerge w:val="restart"/>
          </w:tcPr>
          <w:p>
            <w:pPr>
              <w:jc w:val="center"/>
              <w:ind w:right="48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  <w:vMerge w:val="restart"/>
          </w:tcPr>
          <w:p>
            <w:pPr>
              <w:ind w:left="4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1,275</w:t>
            </w:r>
          </w:p>
        </w:tc>
        <w:tc>
          <w:tcPr>
            <w:tcW w:w="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1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600" w:type="dxa"/>
            <w:vAlign w:val="bottom"/>
            <w:vMerge w:val="restart"/>
          </w:tcPr>
          <w:p>
            <w:pPr>
              <w:jc w:val="right"/>
              <w:ind w:right="79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4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5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40" w:type="dxa"/>
            <w:vAlign w:val="bottom"/>
            <w:gridSpan w:val="4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10,105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jc w:val="right"/>
              <w:ind w:right="174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06/28/2018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3"/>
          </w:tcPr>
          <w:p>
            <w:pPr>
              <w:jc w:val="center"/>
              <w:ind w:right="4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A</w:t>
            </w:r>
          </w:p>
        </w:tc>
        <w:tc>
          <w:tcPr>
            <w:tcW w:w="600" w:type="dxa"/>
            <w:vAlign w:val="bottom"/>
          </w:tcPr>
          <w:p>
            <w:pPr>
              <w:ind w:left="1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10,105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1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jc w:val="right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10,105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4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12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89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1">
            <w:col w:w="11520"/>
          </w:cols>
          <w:pgMar w:left="240" w:top="224" w:right="13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7" w:lineRule="exact"/>
        <w:rPr>
          <w:sz w:val="20"/>
          <w:szCs w:val="20"/>
          <w:color w:val="auto"/>
        </w:rPr>
      </w:pPr>
    </w:p>
    <w:p>
      <w:pPr>
        <w:ind w:left="180" w:hanging="134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restricted stock unit ("RSU") represents a contingent right to receive one Marvell common share.</w:t>
      </w:r>
    </w:p>
    <w:p>
      <w:pPr>
        <w:spacing w:after="0" w:line="49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4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These RSUs vested as to 100% of the shares on June 28, 2018.</w:t>
      </w:r>
    </w:p>
    <w:p>
      <w:pPr>
        <w:spacing w:after="0" w:line="49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4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Vests 100% of shares on the earlier of the next annual general meeting of Marvell or the one year anniversary of the restricted stock unit grant.</w:t>
      </w:r>
    </w:p>
    <w:p>
      <w:pPr>
        <w:spacing w:after="0" w:line="40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47" w:lineRule="exact"/>
        <w:rPr>
          <w:sz w:val="20"/>
          <w:szCs w:val="20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color w:val="0000FF"/>
        </w:rPr>
        <w:t>Bethany Mayer by Mary Ahern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4361815</wp:posOffset>
            </wp:positionH>
            <wp:positionV relativeFrom="paragraph">
              <wp:posOffset>-1270</wp:posOffset>
            </wp:positionV>
            <wp:extent cx="1381125" cy="825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6" w:lineRule="exact"/>
        <w:rPr>
          <w:sz w:val="20"/>
          <w:szCs w:val="20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attorney-in-fact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4361815</wp:posOffset>
            </wp:positionH>
            <wp:positionV relativeFrom="paragraph">
              <wp:posOffset>-13335</wp:posOffset>
            </wp:positionV>
            <wp:extent cx="681355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35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50" w:lineRule="exact"/>
        <w:rPr>
          <w:sz w:val="20"/>
          <w:szCs w:val="20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23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06/29/2018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-4445</wp:posOffset>
            </wp:positionH>
            <wp:positionV relativeFrom="paragraph">
              <wp:posOffset>5715</wp:posOffset>
            </wp:positionV>
            <wp:extent cx="499110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11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87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50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9040" w:space="120"/>
            <w:col w:w="2360"/>
          </w:cols>
          <w:pgMar w:left="240" w:top="224" w:right="13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6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0" w:lineRule="exact"/>
        <w:rPr>
          <w:sz w:val="20"/>
          <w:szCs w:val="20"/>
          <w:color w:val="auto"/>
        </w:rPr>
      </w:pPr>
    </w:p>
    <w:p>
      <w:pPr>
        <w:jc w:val="both"/>
        <w:ind w:left="40" w:right="3820" w:firstLine="6"/>
        <w:spacing w:after="0" w:line="318" w:lineRule="auto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4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2" Type="http://schemas.openxmlformats.org/officeDocument/2006/relationships/hyperlink" Target="http://www.sec.gov/cgi-bin/browse-edgar?action=getcompany&amp;CIK=0001405693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2019-12-24T04:07:21Z</dcterms:created>
  <dcterms:modified xsi:type="dcterms:W3CDTF">2019-12-24T04:07:21Z</dcterms:modified>
</cp:coreProperties>
</file>