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210185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68"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228600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5"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42"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Report: July 6, 2018</w:t>
      </w:r>
    </w:p>
    <w:p>
      <w:pPr>
        <w:spacing w:after="0" w:line="1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201930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8"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210820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3">
            <w:col w:w="4740" w:space="720"/>
            <w:col w:w="2980" w:space="720"/>
            <w:col w:w="2260"/>
          </w:cols>
          <w:pgMar w:left="240" w:top="368" w:right="239" w:bottom="1440" w:gutter="0" w:footer="0" w:header="0"/>
          <w:type w:val="continuous"/>
        </w:sectPr>
      </w:pPr>
    </w:p>
    <w:p>
      <w:pPr>
        <w:ind w:left="1040"/>
        <w:spacing w:after="0"/>
        <w:rPr>
          <w:sz w:val="20"/>
          <w:szCs w:val="20"/>
          <w:color w:val="auto"/>
        </w:rPr>
      </w:pPr>
      <w:r>
        <w:rPr>
          <w:rFonts w:ascii="Arial" w:cs="Arial" w:eastAsia="Arial" w:hAnsi="Arial"/>
          <w:sz w:val="13"/>
          <w:szCs w:val="13"/>
          <w:b w:val="1"/>
          <w:bCs w:val="1"/>
          <w:color w:val="auto"/>
        </w:rPr>
        <w:t>(State or other jurisdiction of</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No.)</w:t>
      </w:r>
    </w:p>
    <w:p>
      <w:pPr>
        <w:spacing w:after="0" w:line="2" w:lineRule="exact"/>
        <w:rPr>
          <w:sz w:val="24"/>
          <w:szCs w:val="24"/>
          <w:color w:val="auto"/>
        </w:rPr>
      </w:pPr>
    </w:p>
    <w:p>
      <w:pPr>
        <w:sectPr>
          <w:pgSz w:w="11900" w:h="16838" w:orient="portrait"/>
          <w:cols w:equalWidth="0" w:num="3">
            <w:col w:w="4280" w:space="720"/>
            <w:col w:w="2820" w:space="720"/>
            <w:col w:w="2880"/>
          </w:cols>
          <w:pgMar w:left="240" w:top="368" w:right="239" w:bottom="1440" w:gutter="0" w:footer="0" w:header="0"/>
          <w:type w:val="continuous"/>
        </w:sectPr>
      </w:pPr>
    </w:p>
    <w:p>
      <w:pPr>
        <w:ind w:left="1500"/>
        <w:spacing w:after="0"/>
        <w:rPr>
          <w:sz w:val="20"/>
          <w:szCs w:val="20"/>
          <w:color w:val="auto"/>
        </w:rPr>
      </w:pPr>
      <w:r>
        <w:rPr>
          <w:rFonts w:ascii="Arial" w:cs="Arial" w:eastAsia="Arial" w:hAnsi="Arial"/>
          <w:sz w:val="14"/>
          <w:szCs w:val="14"/>
          <w:b w:val="1"/>
          <w:bCs w:val="1"/>
          <w:color w:val="auto"/>
        </w:rPr>
        <w:t>incorporation)</w:t>
      </w:r>
    </w:p>
    <w:p>
      <w:pPr>
        <w:spacing w:after="0" w:line="37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7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210820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p>
      <w:pPr>
        <w:spacing w:after="0" w:line="200" w:lineRule="exact"/>
        <w:rPr>
          <w:sz w:val="24"/>
          <w:szCs w:val="24"/>
          <w:color w:val="auto"/>
        </w:rPr>
      </w:pPr>
    </w:p>
    <w:p>
      <w:pPr>
        <w:spacing w:after="0" w:line="307"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11" w:lineRule="exact"/>
        <w:rPr>
          <w:sz w:val="24"/>
          <w:szCs w:val="24"/>
          <w:color w:val="auto"/>
        </w:rPr>
      </w:pPr>
    </w:p>
    <w:p>
      <w:pPr>
        <w:ind w:left="9120"/>
        <w:spacing w:after="0" w:line="207" w:lineRule="exact"/>
        <w:tabs>
          <w:tab w:leader="none" w:pos="1124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17"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2.01.</w:t>
      </w:r>
      <w:r>
        <w:rPr>
          <w:sz w:val="20"/>
          <w:szCs w:val="20"/>
          <w:color w:val="auto"/>
        </w:rPr>
        <w:tab/>
      </w:r>
      <w:r>
        <w:rPr>
          <w:rFonts w:ascii="Arial" w:cs="Arial" w:eastAsia="Arial" w:hAnsi="Arial"/>
          <w:sz w:val="15"/>
          <w:szCs w:val="15"/>
          <w:b w:val="1"/>
          <w:bCs w:val="1"/>
          <w:color w:val="auto"/>
        </w:rPr>
        <w:t>Completion of Acquisition or Disposition of Assets.</w:t>
      </w:r>
    </w:p>
    <w:p>
      <w:pPr>
        <w:spacing w:after="0" w:line="229"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On July 6, 2018, Marvell Technology Group Ltd., a Bermuda exempted company (the “Company”), completed its previously announced acquisition of Cavium, Inc., a Delaware corporation (“Cavium”), pursuant to the Agreement and Plan of Merger dated as of November 19, 2017 (the “Merger Agreement”), by and among the Company, Kauai Acquisition Corp., a Delaware corporation and an indirect wholly owned subsidiary of the Company (“Merger Sub”), and Cavium. Pursuant to the Merger Agreement, Merger Sub merged with and into Cavium (the “Merger”), with Cavium surviving as a subsidiary of the Company.</w:t>
      </w:r>
    </w:p>
    <w:p>
      <w:pPr>
        <w:spacing w:after="0" w:line="188"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At the effective time of the Merger (the “Merger Effective Time”), each share of common stock, $0.001 par value per share, of Cavium (each, a “Cavium Share”) issued and outstanding immediately prior to the Merger Effective Time (other than (i) Cavium Shares held by Cavium (or held in Cavium’s treasury) or held by the Company, Merger Sub or any other subsidiary of the Company or held, directly or indirectly, by any subsidiary of Cavium or (ii) Cavium Shares with respect to which appraisal rights were properly exercised and not withdrawn under Delaware law) was automatically converted into the right to receive 2.1757 common shares, $0.002 par value per share, of the Company (each, a “Marvell Share”) and $40.00 in cash, without interest (such consideration, collectively, the “Merger Consideration”).</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Also in connection with the Merger, at the Merger Effective Time:</w:t>
      </w:r>
    </w:p>
    <w:p>
      <w:pPr>
        <w:spacing w:after="0" w:line="131" w:lineRule="exact"/>
        <w:rPr>
          <w:sz w:val="20"/>
          <w:szCs w:val="20"/>
          <w:color w:val="auto"/>
        </w:rPr>
      </w:pPr>
    </w:p>
    <w:p>
      <w:pPr>
        <w:jc w:val="both"/>
        <w:ind w:left="460" w:hanging="452"/>
        <w:spacing w:after="0" w:line="279" w:lineRule="auto"/>
        <w:tabs>
          <w:tab w:leader="none" w:pos="460" w:val="left"/>
        </w:tabs>
        <w:numPr>
          <w:ilvl w:val="0"/>
          <w:numId w:val="2"/>
        </w:numPr>
        <w:rPr>
          <w:rFonts w:ascii="Arial" w:cs="Arial" w:eastAsia="Arial" w:hAnsi="Arial"/>
          <w:sz w:val="17"/>
          <w:szCs w:val="17"/>
          <w:color w:val="auto"/>
        </w:rPr>
      </w:pPr>
      <w:r>
        <w:rPr>
          <w:rFonts w:ascii="Arial" w:cs="Arial" w:eastAsia="Arial" w:hAnsi="Arial"/>
          <w:sz w:val="17"/>
          <w:szCs w:val="17"/>
          <w:color w:val="auto"/>
        </w:rPr>
        <w:t>each outstanding option to purchase Cavium Shares from Cavium (each, a “Cavium Option”), other than a Director Option (as defined below), whether vested or unvested, was assumed by the Company and converted into an option to purchase, on the same terms and conditions as were applicable under such Cavium Option, that number of Marvell Shares equal to the product of 4.0339 and the number of Cavium Shares subject to such Cavium Option at an exercise price per Marvell Share calculated in accordance with the terms of the Merger Agreement;</w:t>
      </w:r>
    </w:p>
    <w:p>
      <w:pPr>
        <w:spacing w:after="0" w:line="76" w:lineRule="exact"/>
        <w:rPr>
          <w:rFonts w:ascii="Arial" w:cs="Arial" w:eastAsia="Arial" w:hAnsi="Arial"/>
          <w:sz w:val="17"/>
          <w:szCs w:val="17"/>
          <w:color w:val="auto"/>
        </w:rPr>
      </w:pPr>
    </w:p>
    <w:p>
      <w:pPr>
        <w:ind w:left="460" w:right="100" w:hanging="452"/>
        <w:spacing w:after="0" w:line="259"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outstanding Cavium Option held by non-employee members of Cavium’s board of directors (except for Messrs. Ali, Buss and Frank, who have been appointed to serve on Marvell’s board of directors (the “Board”) as of the Merger Effective Time) (each, a “Director Option”) that was vested immediately prior to the Merger Effective Time was cancelled in exchange for the right of the holder to receive an amount in cash equal to $86.83 less the applicable exercise price for each Cavium Share subject to such Director Option;</w:t>
      </w:r>
    </w:p>
    <w:p>
      <w:pPr>
        <w:spacing w:after="0" w:line="92" w:lineRule="exact"/>
        <w:rPr>
          <w:rFonts w:ascii="Arial" w:cs="Arial" w:eastAsia="Arial" w:hAnsi="Arial"/>
          <w:sz w:val="18"/>
          <w:szCs w:val="18"/>
          <w:color w:val="auto"/>
        </w:rPr>
      </w:pPr>
    </w:p>
    <w:p>
      <w:pPr>
        <w:ind w:left="460" w:right="60" w:hanging="452"/>
        <w:spacing w:after="0" w:line="264"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outstanding restricted stock unit of Cavium (each, a “Cavium RSU”), other than a Director RSU (as defined below), that was unvested immediately prior to the Merger Effective Time was converted into that number of Marvell restricted stock units equal to the product of 4.0339 and the number of Cavium Shares subject to such Cavium RSU;</w:t>
      </w:r>
    </w:p>
    <w:p>
      <w:pPr>
        <w:spacing w:after="0" w:line="86" w:lineRule="exact"/>
        <w:rPr>
          <w:rFonts w:ascii="Arial" w:cs="Arial" w:eastAsia="Arial" w:hAnsi="Arial"/>
          <w:sz w:val="18"/>
          <w:szCs w:val="18"/>
          <w:color w:val="auto"/>
        </w:rPr>
      </w:pPr>
    </w:p>
    <w:p>
      <w:pPr>
        <w:ind w:left="460" w:right="100" w:hanging="452"/>
        <w:spacing w:after="0" w:line="264"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outstanding Cavium RSU that was vested immediately prior to the Merger Effective Time, or that was held by any non-employee member of Cavium’s board of directors immediately prior to the Effective Time, whether vested or unvested (each, a “Director RSU”), was cancelled in exchange for the Merger Consideration for each Cavium Share subject to such Cavium RSU; and</w:t>
      </w:r>
    </w:p>
    <w:p>
      <w:pPr>
        <w:spacing w:after="0" w:line="86" w:lineRule="exact"/>
        <w:rPr>
          <w:rFonts w:ascii="Arial" w:cs="Arial" w:eastAsia="Arial" w:hAnsi="Arial"/>
          <w:sz w:val="18"/>
          <w:szCs w:val="18"/>
          <w:color w:val="auto"/>
        </w:rPr>
      </w:pPr>
    </w:p>
    <w:p>
      <w:pPr>
        <w:jc w:val="both"/>
        <w:ind w:left="460" w:right="180" w:hanging="452"/>
        <w:spacing w:after="0" w:line="264"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performance-based restricted stock unit of Cavium (“Cavium PRSU”) outstanding and unvested immediately prior to the Merger Effective Time was assumed and converted into that number of Marvell restricted stock units equal to the product of 4.0339 and the target number of Cavium Shares subject to such Cavium PRSU.</w:t>
      </w:r>
    </w:p>
    <w:p>
      <w:pPr>
        <w:spacing w:after="0" w:line="181" w:lineRule="exact"/>
        <w:rPr>
          <w:sz w:val="20"/>
          <w:szCs w:val="20"/>
          <w:color w:val="auto"/>
        </w:rPr>
      </w:pPr>
    </w:p>
    <w:p>
      <w:pPr>
        <w:ind w:right="80"/>
        <w:spacing w:after="0" w:line="312" w:lineRule="auto"/>
        <w:rPr>
          <w:sz w:val="20"/>
          <w:szCs w:val="20"/>
          <w:color w:val="auto"/>
        </w:rPr>
      </w:pPr>
      <w:r>
        <w:rPr>
          <w:rFonts w:ascii="Arial" w:cs="Arial" w:eastAsia="Arial" w:hAnsi="Arial"/>
          <w:sz w:val="16"/>
          <w:szCs w:val="16"/>
          <w:color w:val="auto"/>
        </w:rPr>
        <w:t>The cash portion of the Merger Consideration described in this Item 2.01 was funded in part by a $900.0 million term loan and the issuance of $1.0 billion of senior unsecured notes, each of which is described in additional detail in the Company’s Current Reports on Form 8-K as filed with the Securities and Exchange Commission (the “SEC”) on June 13, 2018 (for Items 1.01, 2.03 and 9.01) and June 22, 2018, which are incorporated herein by reference.</w:t>
      </w:r>
    </w:p>
    <w:p>
      <w:pPr>
        <w:sectPr>
          <w:pgSz w:w="11900" w:h="16838" w:orient="portrait"/>
          <w:cols w:equalWidth="0" w:num="1">
            <w:col w:w="11400"/>
          </w:cols>
          <w:pgMar w:left="240" w:top="270" w:right="259" w:bottom="1440" w:gutter="0" w:footer="0" w:header="0"/>
        </w:sectPr>
      </w:pPr>
    </w:p>
    <w:bookmarkStart w:id="2" w:name="page3"/>
    <w:bookmarkEnd w:id="2"/>
    <w:p>
      <w:pPr>
        <w:ind w:right="6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foregoing description of the Merger Agreement and the transactions contemplated by the Merger Agreement is only a summary and is subject to, and qualified in its entirety by, reference to the full text of the Merger Agreement, a copy of which was filed as Exhibit 2.1 to the Current Report on Form 8-K filed by the Company with the SEC on November 20, 2017, and is incorporated herein by reference. The Merger Agreement has been included to provide investors and security holders with information regarding its terms. It is not intended to provide any other factual information about the Company, Cavium or any of their respective subsidiaries or affiliates. The representations and warranties and the covenants in the Merger Agreement were made solely for the benefit of the parties to the Merger Agreement. Investors should not rely on the representations and warranties and the covenants as characterizations of the actual state of facts or condition of the Company, Cavium or any of their respective subsidiaries or affiliates.</w:t>
      </w:r>
    </w:p>
    <w:p>
      <w:pPr>
        <w:spacing w:after="0" w:line="190" w:lineRule="exact"/>
        <w:rPr>
          <w:sz w:val="20"/>
          <w:szCs w:val="20"/>
          <w:color w:val="auto"/>
        </w:rPr>
      </w:pPr>
    </w:p>
    <w:p>
      <w:pPr>
        <w:ind w:left="1140" w:right="10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166"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As of the Merger Effective Time, the Board increased the number of directors on the Board from eight (8) to eleven (11) and appointed each of Syed B. Ali, Brad W. Buss and Edward H. Frank to serve as members of the Board until the earlier to occur of the Company’s 2019 annual general meeting of shareholders or such director’s resignation or removal. Messrs. Ali and Buss and Dr, Frank were appointed pursuant to the terms of the Merger Agreement, which required Marvell to take action necessary to cause the chairman of the board of directors of Cavium and two other members of Cavium’s board of directors to become members of the Board as of the Merger Effective Time.</w:t>
      </w:r>
    </w:p>
    <w:p>
      <w:pPr>
        <w:spacing w:after="0" w:line="188" w:lineRule="exact"/>
        <w:rPr>
          <w:sz w:val="20"/>
          <w:szCs w:val="20"/>
          <w:color w:val="auto"/>
        </w:rPr>
      </w:pPr>
    </w:p>
    <w:p>
      <w:pPr>
        <w:ind w:right="40"/>
        <w:spacing w:after="0" w:line="293" w:lineRule="auto"/>
        <w:rPr>
          <w:sz w:val="20"/>
          <w:szCs w:val="20"/>
          <w:color w:val="auto"/>
        </w:rPr>
      </w:pPr>
      <w:r>
        <w:rPr>
          <w:rFonts w:ascii="Arial" w:cs="Arial" w:eastAsia="Arial" w:hAnsi="Arial"/>
          <w:sz w:val="16"/>
          <w:szCs w:val="16"/>
          <w:color w:val="auto"/>
        </w:rPr>
        <w:t>Syed B. Ali, age 59, was a founder of Cavium and served as its President, Chief Executive Officer and Chairman of the Board of Directors of Cavium since the inception of Cavium in 2000 until the Merger Effective Time. From 1998 to 2000, Mr. Ali was Vice President of Marketing and Sales at Malleable Technologies, a communication chip company of which he was a founding management team member. Malleable Technologies was acquired by PMC-Sierra, Inc., a communication integrated circuit company, in 2000. From 1994 to 1998, Mr. Ali was an Executive Director at Samsung Electronics Co., Ltd. Prior to that, he had various positions at Wafer Scale Integration, a division of SGS-Thomson, Tandem Computers, Inc., and American Microsystems, Ltd. He received a B.E. (Electrical Engineering) from Osmania University in Hyderabad, India, and an M.S.E. from the University of Michigan.</w:t>
      </w:r>
    </w:p>
    <w:p>
      <w:pPr>
        <w:spacing w:after="0" w:line="165" w:lineRule="exact"/>
        <w:rPr>
          <w:sz w:val="20"/>
          <w:szCs w:val="20"/>
          <w:color w:val="auto"/>
        </w:rPr>
      </w:pPr>
    </w:p>
    <w:p>
      <w:pPr>
        <w:ind w:right="60"/>
        <w:spacing w:after="0" w:line="273" w:lineRule="auto"/>
        <w:rPr>
          <w:sz w:val="20"/>
          <w:szCs w:val="20"/>
          <w:color w:val="auto"/>
        </w:rPr>
      </w:pPr>
      <w:r>
        <w:rPr>
          <w:rFonts w:ascii="Arial" w:cs="Arial" w:eastAsia="Arial" w:hAnsi="Arial"/>
          <w:sz w:val="17"/>
          <w:szCs w:val="17"/>
          <w:color w:val="auto"/>
        </w:rPr>
        <w:t>Brad W. Buss, age 54, served as a director of Cavium from July 2016 until the Merger Effective Time. Mr. Buss was the Chief Financial Officer of SolarCity Corporation from 2014 until he retired in February 2016. Mr. Buss served as the Executive Vice President of Finance and Administration and Chief Financial Officer of Cypress Semiconductor Corporation from 2005 to June 2014. Mr. Buss also held prior financial leadership roles with Altera Corporation, Cisco Systems, Inc., Veba Electronics LLC and Wyle Electronics, Inc. Mr. Buss serves on the board of directors for Tesla Motors Inc. and Advance Auto Parts, Inc. Mr. Buss served on the board of directors of CaféPress, Inc. from 2007 until July 2016. Mr. Buss holds a B.A. in economics from McMaster University and an Honors Business Administration degree, majoring in finance and accounting, from the University of Windsor.</w:t>
      </w:r>
    </w:p>
    <w:p>
      <w:pPr>
        <w:spacing w:after="0" w:line="178"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Edward H. Frank, Ph.D., age 62, served as a director of Cavium from July 2016 until the Merger Effective Time. Dr. Frank co-founded Cloud Parity Inc., a voice-of-the-customer startup in the San Francisco Bay Area, in late 2013 and served as its Chief Executive Officer until September 2016. From 2009 through 2013, Dr. Frank was Vice President of Macintosh Hardware Systems Engineering at Apple, Inc. Before joining Apple, Dr. Frank was Corporate Vice President of Research and Development at Broadcom Corporation. Prior to joining Broadcom, Dr. Frank was the founding Chief Executive Officer of Epigram, Inc., a developer of integrated circuits and software for home networking, which Broadcom acquired in 1999. Dr. Frank serves on the board of directors of Analog Devices, Inc., eASIC Corporation, and Quantenna Communications, Inc., and is an advisor to several Bay Area venture capital firms and startups. Dr. Frank served as a director of Fusion-IO, Inc. from 2013 until July 2014 when it was acquired by SanDisk Corporation. Dr. Frank holds a B.S.E.E. and M.S.E.E. from Stanford University and a Ph.D. in Computer Science from Carnegie Mellon University. In 2018, Dr. Frank was elected to the National Academy of Engineering for his contribution to the development and commercialization of wireless networking products.</w:t>
      </w:r>
    </w:p>
    <w:p>
      <w:pPr>
        <w:sectPr>
          <w:pgSz w:w="11900" w:h="16838" w:orient="portrait"/>
          <w:cols w:equalWidth="0" w:num="1">
            <w:col w:w="11400"/>
          </w:cols>
          <w:pgMar w:left="240" w:top="274" w:right="259" w:bottom="1440" w:gutter="0" w:footer="0" w:header="0"/>
        </w:sectPr>
      </w:pPr>
    </w:p>
    <w:bookmarkStart w:id="3" w:name="page4"/>
    <w:bookmarkEnd w:id="3"/>
    <w:p>
      <w:pPr>
        <w:ind w:right="4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Each of Messrs. Ali and Buss and Dr. Frank will receive the standard compensation for a non-employee director of the Company. A description of non-employee director fees is set forth in the section entitled “Compensation of Directors” in the Company’s proxy statement filed May 17, 2018, which section is incorporated herein by reference.</w:t>
      </w:r>
    </w:p>
    <w:p>
      <w:pPr>
        <w:spacing w:after="0" w:line="181"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The Company will also enter into an indemnification agreement with each of Messrs. Ali and Buss and Dr. Frank, effective as of the Merger Effective Time. A copy of the Form of Indemnification Agreement was attached as Exhibit 10.1 to the Company’s Current Report on Form 8-K as filed with the SEC on October 10, 2008, and is incorporated herein by reference.</w:t>
      </w:r>
    </w:p>
    <w:p>
      <w:pPr>
        <w:spacing w:after="0" w:line="20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7.01.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On July 6, 2018, the Company issued a press release announcing the completion of the Merger. A copy of the press release is attached hereto as Exhibit 99.1 and is incorporated herein by reference.</w:t>
      </w:r>
    </w:p>
    <w:p>
      <w:pPr>
        <w:spacing w:after="0" w:line="279"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i w:val="1"/>
          <w:iCs w:val="1"/>
          <w:color w:val="auto"/>
        </w:rPr>
        <w:t>The information contained in this Item 7.01 and in Exhibit 99.1 is furnished and shall not be deemed to be “filed” for purposes of Section 18 of the Securities Exchange Act of 1934, as amended (the “Exchange Act”), or otherwise subject to the liabilities of that section, and such information shall not be deemed to be incorporated by reference into any of the Company’s filings under the Securities Act of 1933, as amended, or the Exchange Act.</w:t>
      </w:r>
    </w:p>
    <w:p>
      <w:pPr>
        <w:spacing w:after="0" w:line="189"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 Financial Statements of Business Acquired</w:t>
      </w:r>
    </w:p>
    <w:p>
      <w:pPr>
        <w:spacing w:after="0" w:line="12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The Company intends to file the financial statements of Cavium required by Item 9.01(a) as part of an amendment to this Current Report on Form 8-K no later than 71 calendar days after the required filing date for this Current Report on Form 8-K.</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 Pro Forma Financial Information</w:t>
      </w:r>
    </w:p>
    <w:p>
      <w:pPr>
        <w:spacing w:after="0" w:line="12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The Company intends to file the pro forma financial information required by Item 9.01(b) as part of an amendment to this Current Report on Form 8-K no later than 71 days after the required filing date for this Current Report on Form 8-K.</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3360" w:type="dxa"/>
            <w:vAlign w:val="bottom"/>
          </w:tcPr>
          <w:p>
            <w:pPr>
              <w:spacing w:after="0"/>
              <w:rPr>
                <w:sz w:val="14"/>
                <w:szCs w:val="14"/>
                <w:color w:val="auto"/>
              </w:rPr>
            </w:pPr>
          </w:p>
        </w:tc>
        <w:tc>
          <w:tcPr>
            <w:tcW w:w="7040" w:type="dxa"/>
            <w:vAlign w:val="bottom"/>
            <w:gridSpan w:val="4"/>
            <w:vMerge w:val="restart"/>
          </w:tcPr>
          <w:p>
            <w:pPr>
              <w:ind w:left="148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71"/>
        </w:trPr>
        <w:tc>
          <w:tcPr>
            <w:tcW w:w="2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No.</w:t>
            </w:r>
          </w:p>
        </w:tc>
        <w:tc>
          <w:tcPr>
            <w:tcW w:w="800" w:type="dxa"/>
            <w:vAlign w:val="bottom"/>
          </w:tcPr>
          <w:p>
            <w:pPr>
              <w:spacing w:after="0"/>
              <w:rPr>
                <w:sz w:val="14"/>
                <w:szCs w:val="14"/>
                <w:color w:val="auto"/>
              </w:rPr>
            </w:pPr>
          </w:p>
        </w:tc>
        <w:tc>
          <w:tcPr>
            <w:tcW w:w="3360" w:type="dxa"/>
            <w:vAlign w:val="bottom"/>
            <w:tcBorders>
              <w:bottom w:val="single" w:sz="8" w:color="auto"/>
            </w:tcBorders>
          </w:tcPr>
          <w:p>
            <w:pPr>
              <w:spacing w:after="0"/>
              <w:rPr>
                <w:sz w:val="14"/>
                <w:szCs w:val="14"/>
                <w:color w:val="auto"/>
              </w:rPr>
            </w:pPr>
          </w:p>
        </w:tc>
        <w:tc>
          <w:tcPr>
            <w:tcW w:w="7040" w:type="dxa"/>
            <w:vAlign w:val="bottom"/>
            <w:tcBorders>
              <w:bottom w:val="single" w:sz="8" w:color="auto"/>
            </w:tcBorders>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4"/>
        </w:trPr>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rPr>
              <w:t>2.1</w:t>
            </w:r>
          </w:p>
        </w:tc>
        <w:tc>
          <w:tcPr>
            <w:tcW w:w="10300" w:type="dxa"/>
            <w:vAlign w:val="bottom"/>
            <w:tcBorders>
              <w:bottom w:val="single" w:sz="8" w:color="0000EE"/>
            </w:tcBorders>
            <w:gridSpan w:val="4"/>
          </w:tcPr>
          <w:p>
            <w:pPr>
              <w:spacing w:after="0"/>
              <w:rPr>
                <w:rFonts w:ascii="Arial" w:cs="Arial" w:eastAsia="Arial" w:hAnsi="Arial"/>
                <w:sz w:val="18"/>
                <w:szCs w:val="18"/>
                <w:color w:val="0000EE"/>
                <w:w w:val="91"/>
              </w:rPr>
            </w:pPr>
            <w:hyperlink r:id="rId20">
              <w:r>
                <w:rPr>
                  <w:rFonts w:ascii="Arial" w:cs="Arial" w:eastAsia="Arial" w:hAnsi="Arial"/>
                  <w:sz w:val="18"/>
                  <w:szCs w:val="18"/>
                  <w:color w:val="0000EE"/>
                  <w:w w:val="91"/>
                </w:rPr>
                <w:t>Agreement and Plan of Merger, dated as of November 19, 2017, by and among Marvell Technology Group Ltd., Kauai Acquisition Corp., and</w:t>
              </w:r>
            </w:hyperlink>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400" w:type="dxa"/>
            <w:vAlign w:val="bottom"/>
            <w:gridSpan w:val="5"/>
          </w:tcPr>
          <w:p>
            <w:pPr>
              <w:spacing w:after="0" w:line="196" w:lineRule="exact"/>
              <w:rPr>
                <w:rFonts w:ascii="Arial" w:cs="Arial" w:eastAsia="Arial" w:hAnsi="Arial"/>
                <w:sz w:val="18"/>
                <w:szCs w:val="18"/>
                <w:color w:val="0000EE"/>
                <w:w w:val="95"/>
              </w:rPr>
            </w:pPr>
            <w:hyperlink r:id="rId20">
              <w:r>
                <w:rPr>
                  <w:rFonts w:ascii="Arial" w:cs="Arial" w:eastAsia="Arial" w:hAnsi="Arial"/>
                  <w:sz w:val="18"/>
                  <w:szCs w:val="18"/>
                  <w:color w:val="0000EE"/>
                  <w:w w:val="95"/>
                </w:rPr>
                <w:t>Cavium, Inc. (incorporated by reference to Exhibit 2.1 to Marvell’s Current Report on Form 8-K filed with the SEC on November 20, 2017,</w:t>
              </w:r>
            </w:hyperlink>
          </w:p>
        </w:tc>
        <w:tc>
          <w:tcPr>
            <w:tcW w:w="0" w:type="dxa"/>
            <w:vAlign w:val="bottom"/>
          </w:tcPr>
          <w:p>
            <w:pPr>
              <w:spacing w:after="0"/>
              <w:rPr>
                <w:sz w:val="1"/>
                <w:szCs w:val="1"/>
                <w:color w:val="auto"/>
              </w:rPr>
            </w:pPr>
          </w:p>
        </w:tc>
      </w:tr>
      <w:tr>
        <w:trPr>
          <w:trHeight w:val="196"/>
        </w:trPr>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12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r:id="rId20">
              <w:r>
                <w:rPr>
                  <w:rFonts w:ascii="Arial" w:cs="Arial" w:eastAsia="Arial" w:hAnsi="Arial"/>
                  <w:sz w:val="18"/>
                  <w:szCs w:val="18"/>
                  <w:color w:val="0000EE"/>
                </w:rPr>
                <w:t>File No. 000-30877 (for Items 1.01 and 9.01)).</w:t>
              </w:r>
            </w:hyperlink>
          </w:p>
        </w:tc>
        <w:tc>
          <w:tcPr>
            <w:tcW w:w="28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20" w:type="dxa"/>
            <w:vAlign w:val="bottom"/>
            <w:gridSpan w:val="2"/>
          </w:tcPr>
          <w:p>
            <w:pPr>
              <w:spacing w:after="0" w:line="20" w:lineRule="exact"/>
              <w:rPr>
                <w:sz w:val="1"/>
                <w:szCs w:val="1"/>
                <w:color w:val="auto"/>
              </w:rPr>
            </w:pPr>
          </w:p>
        </w:tc>
        <w:tc>
          <w:tcPr>
            <w:tcW w:w="3360" w:type="dxa"/>
            <w:vAlign w:val="bottom"/>
            <w:shd w:val="clear" w:color="auto" w:fill="0000EE"/>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55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w w:val="85"/>
              </w:rPr>
              <w:t>99.1</w:t>
            </w:r>
          </w:p>
        </w:tc>
        <w:tc>
          <w:tcPr>
            <w:tcW w:w="4900" w:type="dxa"/>
            <w:vAlign w:val="bottom"/>
            <w:tcBorders>
              <w:bottom w:val="single" w:sz="8" w:color="0000EE"/>
            </w:tcBorders>
            <w:gridSpan w:val="2"/>
          </w:tcPr>
          <w:p>
            <w:pPr>
              <w:spacing w:after="0"/>
              <w:rPr>
                <w:rFonts w:ascii="Arial" w:cs="Arial" w:eastAsia="Arial" w:hAnsi="Arial"/>
                <w:sz w:val="18"/>
                <w:szCs w:val="18"/>
                <w:color w:val="0000EE"/>
                <w:w w:val="90"/>
              </w:rPr>
            </w:pPr>
            <w:hyperlink w:anchor="page6">
              <w:r>
                <w:rPr>
                  <w:rFonts w:ascii="Arial" w:cs="Arial" w:eastAsia="Arial" w:hAnsi="Arial"/>
                  <w:sz w:val="18"/>
                  <w:szCs w:val="18"/>
                  <w:color w:val="0000EE"/>
                  <w:w w:val="90"/>
                </w:rPr>
                <w:t>Press Release of Marvell Technology Group Ltd. dated July 6, 2018</w:t>
              </w:r>
            </w:hyperlink>
          </w:p>
        </w:tc>
        <w:tc>
          <w:tcPr>
            <w:tcW w:w="550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4" w:name="page5"/>
    <w:bookmarkEnd w:id="4"/>
    <w:p>
      <w:pPr>
        <w:jc w:val="center"/>
        <w:ind w:right="-2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97" w:lineRule="exact"/>
        <w:rPr>
          <w:sz w:val="20"/>
          <w:szCs w:val="20"/>
          <w:color w:val="auto"/>
        </w:rPr>
      </w:pPr>
    </w:p>
    <w:p>
      <w:pPr>
        <w:spacing w:after="0"/>
        <w:tabs>
          <w:tab w:leader="none" w:pos="5820" w:val="left"/>
        </w:tabs>
        <w:rPr>
          <w:sz w:val="20"/>
          <w:szCs w:val="20"/>
          <w:color w:val="auto"/>
        </w:rPr>
      </w:pPr>
      <w:r>
        <w:rPr>
          <w:rFonts w:ascii="Arial" w:cs="Arial" w:eastAsia="Arial" w:hAnsi="Arial"/>
          <w:sz w:val="18"/>
          <w:szCs w:val="18"/>
          <w:color w:val="auto"/>
        </w:rPr>
        <w:t>Date: July 6, 2018</w:t>
      </w:r>
      <w:r>
        <w:rPr>
          <w:sz w:val="20"/>
          <w:szCs w:val="20"/>
          <w:color w:val="auto"/>
        </w:rPr>
        <w:tab/>
      </w:r>
      <w:r>
        <w:rPr>
          <w:rFonts w:ascii="Arial" w:cs="Arial" w:eastAsia="Arial" w:hAnsi="Arial"/>
          <w:sz w:val="17"/>
          <w:szCs w:val="17"/>
          <w:color w:val="auto"/>
        </w:rPr>
        <w:t>MARVELL TECHNOLOGY GROUP LTD.</w:t>
      </w:r>
    </w:p>
    <w:p>
      <w:pPr>
        <w:spacing w:after="0" w:line="225" w:lineRule="exact"/>
        <w:rPr>
          <w:sz w:val="20"/>
          <w:szCs w:val="20"/>
          <w:color w:val="auto"/>
        </w:rPr>
      </w:pPr>
    </w:p>
    <w:p>
      <w:pPr>
        <w:ind w:left="5840"/>
        <w:spacing w:after="0"/>
        <w:tabs>
          <w:tab w:leader="none" w:pos="6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1220"/>
          </w:cols>
          <w:pgMar w:left="240" w:top="270" w:right="43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86940" cy="1714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Completes Acquisition of Cavium</w:t>
      </w:r>
    </w:p>
    <w:p>
      <w:pPr>
        <w:spacing w:after="0" w:line="225" w:lineRule="exact"/>
        <w:rPr>
          <w:sz w:val="20"/>
          <w:szCs w:val="20"/>
          <w:color w:val="auto"/>
        </w:rPr>
      </w:pPr>
    </w:p>
    <w:p>
      <w:pPr>
        <w:ind w:right="40"/>
        <w:spacing w:after="0" w:line="266" w:lineRule="auto"/>
        <w:rPr>
          <w:sz w:val="20"/>
          <w:szCs w:val="20"/>
          <w:color w:val="auto"/>
        </w:rPr>
      </w:pPr>
      <w:r>
        <w:rPr>
          <w:rFonts w:ascii="Arial" w:cs="Arial" w:eastAsia="Arial" w:hAnsi="Arial"/>
          <w:sz w:val="18"/>
          <w:szCs w:val="18"/>
          <w:b w:val="1"/>
          <w:bCs w:val="1"/>
          <w:color w:val="auto"/>
        </w:rPr>
        <w:t xml:space="preserve">SANTA CLARA, Calif. (July 6, 2018) </w:t>
      </w:r>
      <w:r>
        <w:rPr>
          <w:rFonts w:ascii="Arial" w:cs="Arial" w:eastAsia="Arial" w:hAnsi="Arial"/>
          <w:sz w:val="18"/>
          <w:szCs w:val="18"/>
          <w:color w:val="auto"/>
        </w:rPr>
        <w:t>– Marvell Technology Group Ltd. (NASDAQ: MRVL) today announced the completion of its acquisition of Cavium,</w:t>
      </w:r>
      <w:r>
        <w:rPr>
          <w:rFonts w:ascii="Arial" w:cs="Arial" w:eastAsia="Arial" w:hAnsi="Arial"/>
          <w:sz w:val="18"/>
          <w:szCs w:val="18"/>
          <w:b w:val="1"/>
          <w:bCs w:val="1"/>
          <w:color w:val="auto"/>
        </w:rPr>
        <w:t xml:space="preserve"> </w:t>
      </w:r>
      <w:r>
        <w:rPr>
          <w:rFonts w:ascii="Arial" w:cs="Arial" w:eastAsia="Arial" w:hAnsi="Arial"/>
          <w:sz w:val="18"/>
          <w:szCs w:val="18"/>
          <w:color w:val="auto"/>
        </w:rPr>
        <w:t>Inc. The combination creates a leading semiconductor company focused on the infrastructure market, offering customers a portfolio of storage, processing, networking, wireless connectivity and security products whose breadth and depth are unmatched in the industry.</w:t>
      </w:r>
    </w:p>
    <w:p>
      <w:pPr>
        <w:spacing w:after="0" w:line="180"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“The next wave of semiconductor growth will be fueled by advancements in the data economy,” said Matt Murphy, Marvell’s President and Chief Executive Officer. “Applications such as AI, 5G, Cloud, automotive, and edge computing all require engineering solutions that combine high bandwidth, very low power consumption, and leadership in complex system on a chip solutions. As a combined company, we now offer industry-leading IP, a broad portfolio of infrastructure solutions, and a talented team of innovators ready to tackle our customers’ toughest challenges. We’re excited to get started.”</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Appointment of Three New Directors to Marvell’s Board of Directors</w:t>
      </w:r>
    </w:p>
    <w:p>
      <w:pPr>
        <w:spacing w:after="0" w:line="12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Marvell also announced that Syed Ali, Brad Buss and Dr. Edward Frank have been appointed to the Marvell Board of Directors, effective immediately after the closing of the acquisition.</w:t>
      </w:r>
    </w:p>
    <w:p>
      <w:pPr>
        <w:spacing w:after="0" w:line="170" w:lineRule="exact"/>
        <w:rPr>
          <w:sz w:val="20"/>
          <w:szCs w:val="20"/>
          <w:color w:val="auto"/>
        </w:rPr>
      </w:pPr>
    </w:p>
    <w:p>
      <w:pPr>
        <w:ind w:right="240"/>
        <w:spacing w:after="0" w:line="342" w:lineRule="auto"/>
        <w:rPr>
          <w:sz w:val="20"/>
          <w:szCs w:val="20"/>
          <w:color w:val="auto"/>
        </w:rPr>
      </w:pPr>
      <w:r>
        <w:rPr>
          <w:rFonts w:ascii="Arial" w:cs="Arial" w:eastAsia="Arial" w:hAnsi="Arial"/>
          <w:sz w:val="16"/>
          <w:szCs w:val="16"/>
          <w:color w:val="auto"/>
        </w:rPr>
        <w:t>Syed Ali was a co-founder of Cavium and served as its President, Chief Executive Officer and Chairman of the Board of Directors since the company’s launch in 2000. He received a B.E. (Electrical Engineering) from Osmania University in Hyderabad, India, and an M.S.E from the University of Michigan.</w:t>
      </w:r>
    </w:p>
    <w:p>
      <w:pPr>
        <w:spacing w:after="0" w:line="124"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Brad Buss served as a director of Cavium since July 2016. Mr. Buss also served as CFO of SolarCity from 2014 to 2016 and CFO of Cypress Semiconductor from 2005 to 2014. He currently serves on the board of directors of Tesla Motors and Advance Auto Parts. A graduate of McMaster University with a B.A. (Economics), Mr. Buss earned a B.A. (Honors) in Business Administration from the University of Windsor.</w:t>
      </w:r>
    </w:p>
    <w:p>
      <w:pPr>
        <w:sectPr>
          <w:pgSz w:w="11900" w:h="16838" w:orient="portrait"/>
          <w:cols w:equalWidth="0" w:num="1">
            <w:col w:w="11420"/>
          </w:cols>
          <w:pgMar w:left="240" w:top="121" w:right="239" w:bottom="1440" w:gutter="0" w:footer="0" w:header="0"/>
        </w:sectPr>
      </w:pPr>
    </w:p>
    <w:bookmarkStart w:id="6" w:name="page7"/>
    <w:bookmarkEnd w:id="6"/>
    <w:p>
      <w:pPr>
        <w:ind w:right="18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Dr. Edward Frank served as a director of Cavium since July 2016. A co-founder of startup Cloud Parity, Dr. Frank served as its CEO until September 2016. Earlier, he served as Vice President of Macintosh Hardware Systems Engineering at Apple from 2009 to 2013 and, prior to Apple, worked at Broadcom Corporation from 1999 to 2009 where he was Corporate Vice President of Research and Development. Dr. Frank also serves on the boards of directors of Analog Devices and Quantenna. He holds a B.S.E.E. and M.S.E.E. from Stanford University and a Ph.D. in Computer Science from Carnegie Mellon University. In 2018. Dr. Frank was elected to the National Academy of Engineering for his contributions to the development and commercialization of wireless networking products.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Contribution from Cavium to Marvell’s 2nd Quarter of Fiscal 2019</w:t>
      </w:r>
    </w:p>
    <w:p>
      <w:pPr>
        <w:spacing w:after="0" w:line="121"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During its fiscal Q2 2019 earnings conference call, Marvell will provide an update on Cavium’s contribution to its second fiscal quarter and third fiscal quarter combined guidance. Details regarding the date and time of the call will be provided later.</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merger transaction between Cavium and Marvell, including the anticipated benefits to shareholder and customers of the closing of the transaction and the combination of the companies.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w:t>
      </w:r>
    </w:p>
    <w:p>
      <w:pPr>
        <w:sectPr>
          <w:pgSz w:w="11900" w:h="16838" w:orient="portrait"/>
          <w:cols w:equalWidth="0" w:num="1">
            <w:col w:w="11380"/>
          </w:cols>
          <w:pgMar w:left="240" w:top="274" w:right="279" w:bottom="1440" w:gutter="0" w:footer="0" w:header="0"/>
        </w:sectPr>
      </w:pPr>
    </w:p>
    <w:bookmarkStart w:id="7" w:name="page8"/>
    <w:bookmarkEnd w:id="7"/>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cause actual future events to differ materially from the forward-looking statements in this document, including but not limited to: (i) the failure to realize the anticipated benefits of the transaction, including integrating the businesses of Cavium and Marvell, (ii) the effect of the announcement of the closing on Cavium’s business relationships, operating results, and business generally, (iii) risks that the merger disrupts current plans and operations of Cavium or Marvell and potential difficulties in Marvell or Cavium employee retention as a result of the transaction, and (iv)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the combined company will achieve its expectations.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Marvell Media Relations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Kristin Hehir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Senior Manager,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408-222-8744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kristinh@marvell.com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Hanna Kang</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Senior Manager,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408-222-3780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hhkang@marvell.com</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Roman"/>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jpeg"/><Relationship Id="rId24" Type="http://schemas.openxmlformats.org/officeDocument/2006/relationships/image" Target="media/image16.png"/><Relationship Id="rId25" Type="http://schemas.openxmlformats.org/officeDocument/2006/relationships/image" Target="media/image17.png"/><Relationship Id="rId20" Type="http://schemas.openxmlformats.org/officeDocument/2006/relationships/hyperlink" Target="http://www.sec.gov/Archives/edgar/data/1058057/000119312517348220/d454219dex2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2019-12-28T21:27:48Z</dcterms:created>
  <dcterms:modified xsi:type="dcterms:W3CDTF">2019-12-28T21:27:48Z</dcterms:modified>
</cp:coreProperties>
</file>