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Times New Roman" w:cs="Times New Roman" w:eastAsia="Times New Roman" w:hAnsi="Times New Roman"/>
          <w:sz w:val="18"/>
          <w:szCs w:val="18"/>
          <w:b w:val="1"/>
          <w:bCs w:val="1"/>
          <w:color w:val="auto"/>
        </w:rPr>
        <w:t>As filed with the Securities and Exchange Commission on July 19, 2018</w:t>
      </w:r>
    </w:p>
    <w:p>
      <w:pPr>
        <w:spacing w:after="0" w:line="31" w:lineRule="exact"/>
        <w:rPr>
          <w:sz w:val="24"/>
          <w:szCs w:val="24"/>
          <w:color w:val="auto"/>
        </w:rPr>
      </w:pPr>
    </w:p>
    <w:p>
      <w:pPr>
        <w:jc w:val="right"/>
        <w:spacing w:after="0"/>
        <w:rPr>
          <w:sz w:val="20"/>
          <w:szCs w:val="20"/>
          <w:color w:val="auto"/>
        </w:rPr>
      </w:pPr>
      <w:r>
        <w:rPr>
          <w:rFonts w:ascii="Times New Roman" w:cs="Times New Roman" w:eastAsia="Times New Roman" w:hAnsi="Times New Roman"/>
          <w:sz w:val="18"/>
          <w:szCs w:val="18"/>
          <w:b w:val="1"/>
          <w:bCs w:val="1"/>
          <w:color w:val="auto"/>
        </w:rPr>
        <w:t>Registration No. 333-222235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66040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108585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185"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UNITED STATES</w:t>
      </w:r>
    </w:p>
    <w:p>
      <w:pPr>
        <w:spacing w:after="0" w:line="37"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jc w:val="center"/>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150495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307"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POST-EFFECTIVE AMENDMENT NO. 2 ON</w:t>
      </w:r>
    </w:p>
    <w:p>
      <w:pPr>
        <w:spacing w:after="0" w:line="13"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FORM S-3 TO FORM S-4</w:t>
      </w:r>
    </w:p>
    <w:p>
      <w:pPr>
        <w:jc w:val="center"/>
        <w:spacing w:after="0" w:line="238" w:lineRule="auto"/>
        <w:rPr>
          <w:sz w:val="20"/>
          <w:szCs w:val="20"/>
          <w:color w:val="auto"/>
        </w:rPr>
      </w:pPr>
      <w:r>
        <w:rPr>
          <w:rFonts w:ascii="Times New Roman" w:cs="Times New Roman" w:eastAsia="Times New Roman" w:hAnsi="Times New Roman"/>
          <w:sz w:val="32"/>
          <w:szCs w:val="32"/>
          <w:b w:val="1"/>
          <w:bCs w:val="1"/>
          <w:color w:val="auto"/>
        </w:rPr>
        <w:t>REGISTRATION STATEMENT</w:t>
      </w:r>
    </w:p>
    <w:p>
      <w:pPr>
        <w:jc w:val="center"/>
        <w:spacing w:after="0" w:line="232" w:lineRule="auto"/>
        <w:rPr>
          <w:sz w:val="20"/>
          <w:szCs w:val="20"/>
          <w:color w:val="auto"/>
        </w:rPr>
      </w:pPr>
      <w:r>
        <w:rPr>
          <w:rFonts w:ascii="Times New Roman" w:cs="Times New Roman" w:eastAsia="Times New Roman" w:hAnsi="Times New Roman"/>
          <w:sz w:val="22"/>
          <w:szCs w:val="22"/>
          <w:b w:val="1"/>
          <w:bCs w:val="1"/>
          <w:i w:val="1"/>
          <w:iCs w:val="1"/>
          <w:color w:val="auto"/>
        </w:rPr>
        <w:t>UNDER</w:t>
      </w:r>
    </w:p>
    <w:p>
      <w:pPr>
        <w:jc w:val="center"/>
        <w:spacing w:after="0"/>
        <w:rPr>
          <w:sz w:val="20"/>
          <w:szCs w:val="20"/>
          <w:color w:val="auto"/>
        </w:rPr>
      </w:pPr>
      <w:r>
        <w:rPr>
          <w:rFonts w:ascii="Times New Roman" w:cs="Times New Roman" w:eastAsia="Times New Roman" w:hAnsi="Times New Roman"/>
          <w:sz w:val="22"/>
          <w:szCs w:val="22"/>
          <w:b w:val="1"/>
          <w:bCs w:val="1"/>
          <w:i w:val="1"/>
          <w:iCs w:val="1"/>
          <w:color w:val="auto"/>
        </w:rPr>
        <w:t>THE SECURITIES ACT OF 1933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141605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73"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43"/>
          <w:szCs w:val="43"/>
          <w:b w:val="1"/>
          <w:bCs w:val="1"/>
          <w:color w:val="auto"/>
        </w:rPr>
        <w:t>MARVELL TECHNOLOGY GROUP LTD.</w:t>
      </w:r>
    </w:p>
    <w:p>
      <w:pPr>
        <w:spacing w:after="0" w:line="5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150495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370" w:lineRule="exact"/>
        <w:rPr>
          <w:sz w:val="24"/>
          <w:szCs w:val="24"/>
          <w:color w:val="auto"/>
        </w:rPr>
      </w:pPr>
    </w:p>
    <w:tbl>
      <w:tblPr>
        <w:tblLayout w:type="fixed"/>
        <w:tblInd w:w="1960" w:type="dxa"/>
        <w:tblCellMar>
          <w:top w:w="0" w:type="dxa"/>
          <w:left w:w="0" w:type="dxa"/>
          <w:bottom w:w="0" w:type="dxa"/>
          <w:right w:w="0" w:type="dxa"/>
        </w:tblCellMar>
      </w:tblPr>
      <w:tr>
        <w:trPr>
          <w:trHeight w:val="214"/>
        </w:trPr>
        <w:tc>
          <w:tcPr>
            <w:tcW w:w="4000" w:type="dxa"/>
            <w:vAlign w:val="bottom"/>
          </w:tcPr>
          <w:p>
            <w:pPr>
              <w:jc w:val="center"/>
              <w:ind w:right="2042"/>
              <w:spacing w:after="0"/>
              <w:rPr>
                <w:sz w:val="20"/>
                <w:szCs w:val="20"/>
                <w:color w:val="auto"/>
              </w:rPr>
            </w:pPr>
            <w:r>
              <w:rPr>
                <w:rFonts w:ascii="Times New Roman" w:cs="Times New Roman" w:eastAsia="Times New Roman" w:hAnsi="Times New Roman"/>
                <w:sz w:val="18"/>
                <w:szCs w:val="18"/>
                <w:b w:val="1"/>
                <w:bCs w:val="1"/>
                <w:color w:val="auto"/>
                <w:w w:val="99"/>
              </w:rPr>
              <w:t>Bermuda</w:t>
            </w:r>
          </w:p>
        </w:tc>
        <w:tc>
          <w:tcPr>
            <w:tcW w:w="3260" w:type="dxa"/>
            <w:vAlign w:val="bottom"/>
          </w:tcPr>
          <w:p>
            <w:pPr>
              <w:jc w:val="center"/>
              <w:ind w:left="2042"/>
              <w:spacing w:after="0"/>
              <w:rPr>
                <w:sz w:val="20"/>
                <w:szCs w:val="20"/>
                <w:color w:val="auto"/>
              </w:rPr>
            </w:pPr>
            <w:r>
              <w:rPr>
                <w:rFonts w:ascii="Times New Roman" w:cs="Times New Roman" w:eastAsia="Times New Roman" w:hAnsi="Times New Roman"/>
                <w:sz w:val="18"/>
                <w:szCs w:val="18"/>
                <w:b w:val="1"/>
                <w:bCs w:val="1"/>
                <w:color w:val="auto"/>
                <w:w w:val="98"/>
              </w:rPr>
              <w:t>77-0481679</w:t>
            </w:r>
          </w:p>
        </w:tc>
      </w:tr>
      <w:tr>
        <w:trPr>
          <w:trHeight w:val="149"/>
        </w:trPr>
        <w:tc>
          <w:tcPr>
            <w:tcW w:w="4000" w:type="dxa"/>
            <w:vAlign w:val="bottom"/>
          </w:tcPr>
          <w:p>
            <w:pPr>
              <w:jc w:val="center"/>
              <w:ind w:right="2042"/>
              <w:spacing w:after="0" w:line="149" w:lineRule="exact"/>
              <w:rPr>
                <w:sz w:val="20"/>
                <w:szCs w:val="20"/>
                <w:color w:val="auto"/>
              </w:rPr>
            </w:pPr>
            <w:r>
              <w:rPr>
                <w:rFonts w:ascii="Times New Roman" w:cs="Times New Roman" w:eastAsia="Times New Roman" w:hAnsi="Times New Roman"/>
                <w:sz w:val="14"/>
                <w:szCs w:val="14"/>
                <w:b w:val="1"/>
                <w:bCs w:val="1"/>
                <w:color w:val="auto"/>
              </w:rPr>
              <w:t>(State or other jurisdiction of</w:t>
            </w:r>
          </w:p>
        </w:tc>
        <w:tc>
          <w:tcPr>
            <w:tcW w:w="3260" w:type="dxa"/>
            <w:vAlign w:val="bottom"/>
          </w:tcPr>
          <w:p>
            <w:pPr>
              <w:jc w:val="center"/>
              <w:ind w:left="2042"/>
              <w:spacing w:after="0" w:line="149" w:lineRule="exact"/>
              <w:rPr>
                <w:sz w:val="20"/>
                <w:szCs w:val="20"/>
                <w:color w:val="auto"/>
              </w:rPr>
            </w:pPr>
            <w:r>
              <w:rPr>
                <w:rFonts w:ascii="Times New Roman" w:cs="Times New Roman" w:eastAsia="Times New Roman" w:hAnsi="Times New Roman"/>
                <w:sz w:val="14"/>
                <w:szCs w:val="14"/>
                <w:b w:val="1"/>
                <w:bCs w:val="1"/>
                <w:color w:val="auto"/>
              </w:rPr>
              <w:t>(IRS Employer</w:t>
            </w:r>
          </w:p>
        </w:tc>
      </w:tr>
      <w:tr>
        <w:trPr>
          <w:trHeight w:val="190"/>
        </w:trPr>
        <w:tc>
          <w:tcPr>
            <w:tcW w:w="4000" w:type="dxa"/>
            <w:vAlign w:val="bottom"/>
          </w:tcPr>
          <w:p>
            <w:pPr>
              <w:jc w:val="center"/>
              <w:ind w:right="2042"/>
              <w:spacing w:after="0"/>
              <w:rPr>
                <w:sz w:val="20"/>
                <w:szCs w:val="20"/>
                <w:color w:val="auto"/>
              </w:rPr>
            </w:pPr>
            <w:r>
              <w:rPr>
                <w:rFonts w:ascii="Times New Roman" w:cs="Times New Roman" w:eastAsia="Times New Roman" w:hAnsi="Times New Roman"/>
                <w:sz w:val="14"/>
                <w:szCs w:val="14"/>
                <w:b w:val="1"/>
                <w:bCs w:val="1"/>
                <w:color w:val="auto"/>
              </w:rPr>
              <w:t>incorporation or organization)</w:t>
            </w:r>
          </w:p>
        </w:tc>
        <w:tc>
          <w:tcPr>
            <w:tcW w:w="3260" w:type="dxa"/>
            <w:vAlign w:val="bottom"/>
          </w:tcPr>
          <w:p>
            <w:pPr>
              <w:jc w:val="center"/>
              <w:ind w:left="2042"/>
              <w:spacing w:after="0"/>
              <w:rPr>
                <w:sz w:val="20"/>
                <w:szCs w:val="20"/>
                <w:color w:val="auto"/>
              </w:rPr>
            </w:pPr>
            <w:r>
              <w:rPr>
                <w:rFonts w:ascii="Times New Roman" w:cs="Times New Roman" w:eastAsia="Times New Roman" w:hAnsi="Times New Roman"/>
                <w:sz w:val="14"/>
                <w:szCs w:val="14"/>
                <w:b w:val="1"/>
                <w:bCs w:val="1"/>
                <w:color w:val="auto"/>
              </w:rPr>
              <w:t>Identification No.)</w:t>
            </w:r>
          </w:p>
        </w:tc>
      </w:tr>
    </w:tbl>
    <w:p>
      <w:pPr>
        <w:spacing w:after="0" w:line="190"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Canon’s Court</w:t>
      </w:r>
    </w:p>
    <w:p>
      <w:pPr>
        <w:spacing w:after="0" w:line="31"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22 Victoria Street</w:t>
      </w:r>
    </w:p>
    <w:p>
      <w:pPr>
        <w:spacing w:after="0" w:line="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Hamilton HM 12, Bermuda</w:t>
      </w:r>
    </w:p>
    <w:p>
      <w:pPr>
        <w:spacing w:after="0" w:line="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(441) 296-6395</w:t>
      </w:r>
    </w:p>
    <w:p>
      <w:pPr>
        <w:spacing w:after="0" w:line="2"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4"/>
          <w:szCs w:val="14"/>
          <w:b w:val="1"/>
          <w:bCs w:val="1"/>
          <w:color w:val="auto"/>
        </w:rPr>
        <w:t>(Address, including zip code, and telephone number, including area code, of registrant’s principal executive offices)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142240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303"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Mitchell L. Gaynor</w:t>
      </w:r>
    </w:p>
    <w:p>
      <w:pPr>
        <w:spacing w:after="0" w:line="31"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Chief Administration and Legal Officer and Secretary</w:t>
      </w:r>
    </w:p>
    <w:p>
      <w:pPr>
        <w:spacing w:after="0" w:line="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Semiconductor, Inc.,</w:t>
      </w:r>
    </w:p>
    <w:p>
      <w:pPr>
        <w:spacing w:after="0" w:line="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5488 Marvell Lane, Santa Clara, California 95054</w:t>
      </w:r>
    </w:p>
    <w:p>
      <w:pPr>
        <w:spacing w:after="0" w:line="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(408) 222-2500</w:t>
      </w:r>
    </w:p>
    <w:p>
      <w:pPr>
        <w:spacing w:after="0" w:line="2"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4"/>
          <w:szCs w:val="14"/>
          <w:b w:val="1"/>
          <w:bCs w:val="1"/>
          <w:color w:val="auto"/>
        </w:rPr>
        <w:t>(Name, address, including zip code, and telephone number, including area code, of agent for service)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150495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317"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i w:val="1"/>
          <w:iCs w:val="1"/>
          <w:color w:val="auto"/>
        </w:rPr>
        <w:t>Copies to:</w:t>
      </w:r>
    </w:p>
    <w:p>
      <w:pPr>
        <w:spacing w:after="0" w:line="131"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Richard E. Climan</w:t>
      </w:r>
    </w:p>
    <w:p>
      <w:pPr>
        <w:spacing w:after="0" w:line="31"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Christopher R. Moore</w:t>
      </w:r>
    </w:p>
    <w:p>
      <w:pPr>
        <w:spacing w:after="0" w:line="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Hogan Lovells US LLP</w:t>
      </w:r>
    </w:p>
    <w:p>
      <w:pPr>
        <w:spacing w:after="0" w:line="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4085 Campbell Avenue, Suite 100</w:t>
      </w:r>
    </w:p>
    <w:p>
      <w:pPr>
        <w:spacing w:after="0" w:line="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Menlo Park, California 94025</w:t>
      </w:r>
    </w:p>
    <w:p>
      <w:pPr>
        <w:spacing w:after="0" w:line="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Tel.: (650) 463-4000</w:t>
      </w:r>
    </w:p>
    <w:p>
      <w:pPr>
        <w:spacing w:after="0" w:line="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Fax: (650) 463-4199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160020</wp:posOffset>
            </wp:positionV>
            <wp:extent cx="151765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331" w:lineRule="exact"/>
        <w:rPr>
          <w:sz w:val="24"/>
          <w:szCs w:val="24"/>
          <w:color w:val="auto"/>
        </w:rPr>
      </w:pPr>
    </w:p>
    <w:p>
      <w:pPr>
        <w:ind w:right="700"/>
        <w:spacing w:after="0" w:line="286" w:lineRule="auto"/>
        <w:rPr>
          <w:sz w:val="20"/>
          <w:szCs w:val="20"/>
          <w:color w:val="auto"/>
        </w:rPr>
      </w:pPr>
      <w:r>
        <w:rPr>
          <w:rFonts w:ascii="Times New Roman" w:cs="Times New Roman" w:eastAsia="Times New Roman" w:hAnsi="Times New Roman"/>
          <w:sz w:val="18"/>
          <w:szCs w:val="18"/>
          <w:b w:val="1"/>
          <w:bCs w:val="1"/>
          <w:color w:val="auto"/>
        </w:rPr>
        <w:t>Approximate date of commencement of proposed sale of the securities to the public</w:t>
      </w:r>
      <w:r>
        <w:rPr>
          <w:rFonts w:ascii="Times New Roman" w:cs="Times New Roman" w:eastAsia="Times New Roman" w:hAnsi="Times New Roman"/>
          <w:sz w:val="18"/>
          <w:szCs w:val="18"/>
          <w:color w:val="auto"/>
        </w:rPr>
        <w:t>: From time to time after this registration statement becomes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effective.</w:t>
      </w:r>
    </w:p>
    <w:p>
      <w:pPr>
        <w:spacing w:after="0" w:line="130" w:lineRule="exact"/>
        <w:rPr>
          <w:sz w:val="24"/>
          <w:szCs w:val="24"/>
          <w:color w:val="auto"/>
        </w:rPr>
      </w:pPr>
    </w:p>
    <w:p>
      <w:pPr>
        <w:spacing w:after="0" w:line="207" w:lineRule="exact"/>
        <w:rPr>
          <w:sz w:val="20"/>
          <w:szCs w:val="20"/>
          <w:color w:val="auto"/>
        </w:rPr>
      </w:pPr>
      <w:r>
        <w:rPr>
          <w:rFonts w:ascii="Times New Roman" w:cs="Times New Roman" w:eastAsia="Times New Roman" w:hAnsi="Times New Roman"/>
          <w:sz w:val="18"/>
          <w:szCs w:val="18"/>
          <w:color w:val="auto"/>
        </w:rPr>
        <w:t xml:space="preserve">If the only securities being registered on this Form are being offered pursuant to dividend or interest reinvestment plans, please check the following box: </w:t>
      </w:r>
      <w:r>
        <w:rPr>
          <w:rFonts w:ascii="MS PGothic" w:cs="MS PGothic" w:eastAsia="MS PGothic" w:hAnsi="MS PGothic"/>
          <w:sz w:val="18"/>
          <w:szCs w:val="18"/>
          <w:color w:val="auto"/>
        </w:rPr>
        <w:t>☐</w:t>
      </w:r>
    </w:p>
    <w:p>
      <w:pPr>
        <w:sectPr>
          <w:pgSz w:w="11900" w:h="16838" w:orient="portrait"/>
          <w:cols w:equalWidth="0" w:num="1">
            <w:col w:w="11420"/>
          </w:cols>
          <w:pgMar w:left="240" w:top="225" w:right="239" w:bottom="1440" w:gutter="0" w:footer="0" w:header="0"/>
        </w:sectPr>
      </w:pPr>
    </w:p>
    <w:bookmarkStart w:id="1" w:name="page2"/>
    <w:bookmarkEnd w:id="1"/>
    <w:p>
      <w:pPr>
        <w:ind w:right="40"/>
        <w:spacing w:after="0" w:line="235" w:lineRule="exact"/>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If any of the securities being registered on this Form are to be offered on a delayed or continuous basis pursuant to Rule 415 under the Securities Act of 1933, other than securities offered only in connection with dividend or interest reinvestment plans, check the following box: </w:t>
      </w:r>
      <w:r>
        <w:rPr>
          <w:rFonts w:ascii="MS PGothic" w:cs="MS PGothic" w:eastAsia="MS PGothic" w:hAnsi="MS PGothic"/>
          <w:sz w:val="18"/>
          <w:szCs w:val="18"/>
          <w:color w:val="auto"/>
        </w:rPr>
        <w:t>☒</w:t>
      </w:r>
    </w:p>
    <w:p>
      <w:pPr>
        <w:spacing w:after="0" w:line="179" w:lineRule="exact"/>
        <w:rPr>
          <w:sz w:val="20"/>
          <w:szCs w:val="20"/>
          <w:color w:val="auto"/>
        </w:rPr>
      </w:pPr>
    </w:p>
    <w:p>
      <w:pPr>
        <w:ind w:right="220"/>
        <w:spacing w:after="0" w:line="235" w:lineRule="exact"/>
        <w:rPr>
          <w:sz w:val="20"/>
          <w:szCs w:val="20"/>
          <w:color w:val="auto"/>
        </w:rPr>
      </w:pPr>
      <w:r>
        <w:rPr>
          <w:rFonts w:ascii="Times New Roman" w:cs="Times New Roman" w:eastAsia="Times New Roman" w:hAnsi="Times New Roman"/>
          <w:sz w:val="18"/>
          <w:szCs w:val="18"/>
          <w:color w:val="auto"/>
        </w:rPr>
        <w:t xml:space="preserve">If this Form is filed to register additional securities for an offering pursuant to Rule 462(b) under the Securities Act, please check the following box and list the Securities Act registration statement number of the earlier effective registration statement for the same offering. </w:t>
      </w:r>
      <w:r>
        <w:rPr>
          <w:rFonts w:ascii="MS PGothic" w:cs="MS PGothic" w:eastAsia="MS PGothic" w:hAnsi="MS PGothic"/>
          <w:sz w:val="18"/>
          <w:szCs w:val="18"/>
          <w:color w:val="auto"/>
        </w:rPr>
        <w:t>☐</w:t>
      </w:r>
    </w:p>
    <w:p>
      <w:pPr>
        <w:spacing w:after="0" w:line="179" w:lineRule="exact"/>
        <w:rPr>
          <w:sz w:val="20"/>
          <w:szCs w:val="20"/>
          <w:color w:val="auto"/>
        </w:rPr>
      </w:pPr>
    </w:p>
    <w:p>
      <w:pPr>
        <w:ind w:right="720"/>
        <w:spacing w:after="0" w:line="235" w:lineRule="exact"/>
        <w:rPr>
          <w:sz w:val="20"/>
          <w:szCs w:val="20"/>
          <w:color w:val="auto"/>
        </w:rPr>
      </w:pPr>
      <w:r>
        <w:rPr>
          <w:rFonts w:ascii="Times New Roman" w:cs="Times New Roman" w:eastAsia="Times New Roman" w:hAnsi="Times New Roman"/>
          <w:sz w:val="18"/>
          <w:szCs w:val="18"/>
          <w:color w:val="auto"/>
        </w:rPr>
        <w:t xml:space="preserve">If this Form is a post-effective amendment filed pursuant to Rule 462(c) under the Securities Act, check the following box and list the Securities Act registration statement number of the earlier effective registration statement for the same offering. </w:t>
      </w:r>
      <w:r>
        <w:rPr>
          <w:rFonts w:ascii="MS PGothic" w:cs="MS PGothic" w:eastAsia="MS PGothic" w:hAnsi="MS PGothic"/>
          <w:sz w:val="18"/>
          <w:szCs w:val="18"/>
          <w:color w:val="auto"/>
        </w:rPr>
        <w:t>☐</w:t>
      </w:r>
    </w:p>
    <w:p>
      <w:pPr>
        <w:spacing w:after="0" w:line="179" w:lineRule="exact"/>
        <w:rPr>
          <w:sz w:val="20"/>
          <w:szCs w:val="20"/>
          <w:color w:val="auto"/>
        </w:rPr>
      </w:pPr>
    </w:p>
    <w:p>
      <w:pPr>
        <w:ind w:right="80"/>
        <w:spacing w:after="0" w:line="235" w:lineRule="exact"/>
        <w:rPr>
          <w:sz w:val="20"/>
          <w:szCs w:val="20"/>
          <w:color w:val="auto"/>
        </w:rPr>
      </w:pPr>
      <w:r>
        <w:rPr>
          <w:rFonts w:ascii="Times New Roman" w:cs="Times New Roman" w:eastAsia="Times New Roman" w:hAnsi="Times New Roman"/>
          <w:sz w:val="18"/>
          <w:szCs w:val="18"/>
          <w:color w:val="auto"/>
        </w:rPr>
        <w:t xml:space="preserve">If this Form is a registration statement pursuant to General Instruction I.D. or a post-effective amendment thereto that shall become effective upon filing with the Commission pursuant to Rule 462(e) under the Securities Act, check the following box. </w:t>
      </w:r>
      <w:r>
        <w:rPr>
          <w:rFonts w:ascii="MS PGothic" w:cs="MS PGothic" w:eastAsia="MS PGothic" w:hAnsi="MS PGothic"/>
          <w:sz w:val="18"/>
          <w:szCs w:val="18"/>
          <w:color w:val="auto"/>
        </w:rPr>
        <w:t>☐</w:t>
      </w:r>
    </w:p>
    <w:p>
      <w:pPr>
        <w:spacing w:after="0" w:line="179" w:lineRule="exact"/>
        <w:rPr>
          <w:sz w:val="20"/>
          <w:szCs w:val="20"/>
          <w:color w:val="auto"/>
        </w:rPr>
      </w:pPr>
    </w:p>
    <w:p>
      <w:pPr>
        <w:ind w:right="620"/>
        <w:spacing w:after="0" w:line="235" w:lineRule="exact"/>
        <w:rPr>
          <w:sz w:val="20"/>
          <w:szCs w:val="20"/>
          <w:color w:val="auto"/>
        </w:rPr>
      </w:pPr>
      <w:r>
        <w:rPr>
          <w:rFonts w:ascii="Times New Roman" w:cs="Times New Roman" w:eastAsia="Times New Roman" w:hAnsi="Times New Roman"/>
          <w:sz w:val="18"/>
          <w:szCs w:val="18"/>
          <w:color w:val="auto"/>
        </w:rPr>
        <w:t xml:space="preserve">If this Form is a post-effective amendment to a registration statement filed pursuant to General Instruction I.D. filed to register additional securities or additional classes of securities pursuant to Rule 413(b) under the Securities Act, check the following box. </w:t>
      </w:r>
      <w:r>
        <w:rPr>
          <w:rFonts w:ascii="MS PGothic" w:cs="MS PGothic" w:eastAsia="MS PGothic" w:hAnsi="MS PGothic"/>
          <w:sz w:val="18"/>
          <w:szCs w:val="18"/>
          <w:color w:val="auto"/>
        </w:rPr>
        <w:t>☐</w:t>
      </w:r>
    </w:p>
    <w:p>
      <w:pPr>
        <w:spacing w:after="0" w:line="179" w:lineRule="exact"/>
        <w:rPr>
          <w:sz w:val="20"/>
          <w:szCs w:val="20"/>
          <w:color w:val="auto"/>
        </w:rPr>
      </w:pPr>
    </w:p>
    <w:p>
      <w:pPr>
        <w:ind w:right="320"/>
        <w:spacing w:after="0" w:line="266" w:lineRule="auto"/>
        <w:rPr>
          <w:sz w:val="20"/>
          <w:szCs w:val="20"/>
          <w:color w:val="auto"/>
        </w:rPr>
      </w:pPr>
      <w:r>
        <w:rPr>
          <w:rFonts w:ascii="Times New Roman" w:cs="Times New Roman" w:eastAsia="Times New Roman" w:hAnsi="Times New Roman"/>
          <w:sz w:val="18"/>
          <w:szCs w:val="18"/>
          <w:color w:val="auto"/>
        </w:rPr>
        <w:t>Indicate by check mark whether the registrant is a large accelerated filer, an accelerated filer, a non-accelerated filer, or a smaller reporting company or an emerging growth company. See the definitions of “large accelerated filer,” “accelerated filer,” and “smaller reporting company” and “emerging growth company” in Rule 12b-2 of the Exchange Act.</w:t>
      </w:r>
    </w:p>
    <w:p>
      <w:pPr>
        <w:spacing w:after="0" w:line="174" w:lineRule="exact"/>
        <w:rPr>
          <w:sz w:val="20"/>
          <w:szCs w:val="20"/>
          <w:color w:val="auto"/>
        </w:rPr>
      </w:pPr>
    </w:p>
    <w:tbl>
      <w:tblPr>
        <w:tblLayout w:type="fixed"/>
        <w:tblInd w:w="0" w:type="dxa"/>
        <w:tblCellMar>
          <w:top w:w="0" w:type="dxa"/>
          <w:left w:w="0" w:type="dxa"/>
          <w:bottom w:w="0" w:type="dxa"/>
          <w:right w:w="0" w:type="dxa"/>
        </w:tblCellMar>
      </w:tblPr>
      <w:tr>
        <w:trPr>
          <w:trHeight w:val="283"/>
        </w:trPr>
        <w:tc>
          <w:tcPr>
            <w:tcW w:w="1780" w:type="dxa"/>
            <w:vAlign w:val="bottom"/>
          </w:tcPr>
          <w:p>
            <w:pPr>
              <w:spacing w:after="0"/>
              <w:rPr>
                <w:sz w:val="20"/>
                <w:szCs w:val="20"/>
                <w:color w:val="auto"/>
              </w:rPr>
            </w:pPr>
            <w:r>
              <w:rPr>
                <w:rFonts w:ascii="Times New Roman" w:cs="Times New Roman" w:eastAsia="Times New Roman" w:hAnsi="Times New Roman"/>
                <w:sz w:val="18"/>
                <w:szCs w:val="18"/>
                <w:color w:val="auto"/>
              </w:rPr>
              <w:t>Large accelerated filer</w:t>
            </w:r>
          </w:p>
        </w:tc>
        <w:tc>
          <w:tcPr>
            <w:tcW w:w="5420" w:type="dxa"/>
            <w:vAlign w:val="bottom"/>
          </w:tcPr>
          <w:p>
            <w:pPr>
              <w:ind w:left="140"/>
              <w:spacing w:after="0" w:line="181" w:lineRule="exact"/>
              <w:rPr>
                <w:sz w:val="20"/>
                <w:szCs w:val="20"/>
                <w:color w:val="auto"/>
              </w:rPr>
            </w:pPr>
            <w:r>
              <w:rPr>
                <w:rFonts w:ascii="MS PGothic" w:cs="MS PGothic" w:eastAsia="MS PGothic" w:hAnsi="MS PGothic"/>
                <w:sz w:val="18"/>
                <w:szCs w:val="18"/>
                <w:color w:val="auto"/>
              </w:rPr>
              <w:t>☒</w:t>
            </w:r>
          </w:p>
        </w:tc>
        <w:tc>
          <w:tcPr>
            <w:tcW w:w="3840" w:type="dxa"/>
            <w:vAlign w:val="bottom"/>
          </w:tcPr>
          <w:p>
            <w:pPr>
              <w:ind w:left="1660"/>
              <w:spacing w:after="0"/>
              <w:rPr>
                <w:sz w:val="20"/>
                <w:szCs w:val="20"/>
                <w:color w:val="auto"/>
              </w:rPr>
            </w:pPr>
            <w:r>
              <w:rPr>
                <w:rFonts w:ascii="Times New Roman" w:cs="Times New Roman" w:eastAsia="Times New Roman" w:hAnsi="Times New Roman"/>
                <w:sz w:val="18"/>
                <w:szCs w:val="18"/>
                <w:color w:val="auto"/>
              </w:rPr>
              <w:t>Accelerated filer</w:t>
            </w:r>
          </w:p>
        </w:tc>
        <w:tc>
          <w:tcPr>
            <w:tcW w:w="3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24"/>
        </w:trPr>
        <w:tc>
          <w:tcPr>
            <w:tcW w:w="1780" w:type="dxa"/>
            <w:vAlign w:val="bottom"/>
          </w:tcPr>
          <w:p>
            <w:pPr>
              <w:spacing w:after="0"/>
              <w:rPr>
                <w:sz w:val="20"/>
                <w:szCs w:val="20"/>
                <w:color w:val="auto"/>
              </w:rPr>
            </w:pPr>
            <w:r>
              <w:rPr>
                <w:rFonts w:ascii="Times New Roman" w:cs="Times New Roman" w:eastAsia="Times New Roman" w:hAnsi="Times New Roman"/>
                <w:sz w:val="18"/>
                <w:szCs w:val="18"/>
                <w:color w:val="auto"/>
              </w:rPr>
              <w:t>Non-accelerated filer</w:t>
            </w:r>
          </w:p>
        </w:tc>
        <w:tc>
          <w:tcPr>
            <w:tcW w:w="5420" w:type="dxa"/>
            <w:vAlign w:val="bottom"/>
          </w:tcPr>
          <w:p>
            <w:pPr>
              <w:ind w:left="140"/>
              <w:spacing w:after="0" w:line="207" w:lineRule="exact"/>
              <w:rPr>
                <w:sz w:val="20"/>
                <w:szCs w:val="20"/>
                <w:color w:val="auto"/>
              </w:rPr>
            </w:pPr>
            <w:r>
              <w:rPr>
                <w:rFonts w:ascii="MS PGothic" w:cs="MS PGothic" w:eastAsia="MS PGothic" w:hAnsi="MS PGothic"/>
                <w:sz w:val="18"/>
                <w:szCs w:val="18"/>
                <w:color w:val="auto"/>
              </w:rPr>
              <w:t>☐</w:t>
            </w:r>
            <w:r>
              <w:rPr>
                <w:rFonts w:ascii="Times New Roman" w:cs="Times New Roman" w:eastAsia="Times New Roman" w:hAnsi="Times New Roman"/>
                <w:sz w:val="18"/>
                <w:szCs w:val="18"/>
                <w:color w:val="auto"/>
              </w:rPr>
              <w:t xml:space="preserve"> (Do not check if a smaller reporting company)</w:t>
            </w:r>
          </w:p>
        </w:tc>
        <w:tc>
          <w:tcPr>
            <w:tcW w:w="3840" w:type="dxa"/>
            <w:vAlign w:val="bottom"/>
          </w:tcPr>
          <w:p>
            <w:pPr>
              <w:ind w:left="1660"/>
              <w:spacing w:after="0"/>
              <w:rPr>
                <w:sz w:val="20"/>
                <w:szCs w:val="20"/>
                <w:color w:val="auto"/>
              </w:rPr>
            </w:pPr>
            <w:r>
              <w:rPr>
                <w:rFonts w:ascii="Times New Roman" w:cs="Times New Roman" w:eastAsia="Times New Roman" w:hAnsi="Times New Roman"/>
                <w:sz w:val="18"/>
                <w:szCs w:val="18"/>
                <w:color w:val="auto"/>
              </w:rPr>
              <w:t>Smaller reporting company</w:t>
            </w:r>
          </w:p>
        </w:tc>
        <w:tc>
          <w:tcPr>
            <w:tcW w:w="3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24"/>
        </w:trPr>
        <w:tc>
          <w:tcPr>
            <w:tcW w:w="1780" w:type="dxa"/>
            <w:vAlign w:val="bottom"/>
          </w:tcPr>
          <w:p>
            <w:pPr>
              <w:spacing w:after="0"/>
              <w:rPr>
                <w:sz w:val="24"/>
                <w:szCs w:val="24"/>
                <w:color w:val="auto"/>
              </w:rPr>
            </w:pPr>
          </w:p>
        </w:tc>
        <w:tc>
          <w:tcPr>
            <w:tcW w:w="5420" w:type="dxa"/>
            <w:vAlign w:val="bottom"/>
          </w:tcPr>
          <w:p>
            <w:pPr>
              <w:spacing w:after="0"/>
              <w:rPr>
                <w:sz w:val="24"/>
                <w:szCs w:val="24"/>
                <w:color w:val="auto"/>
              </w:rPr>
            </w:pPr>
          </w:p>
        </w:tc>
        <w:tc>
          <w:tcPr>
            <w:tcW w:w="3840" w:type="dxa"/>
            <w:vAlign w:val="bottom"/>
          </w:tcPr>
          <w:p>
            <w:pPr>
              <w:ind w:left="1660"/>
              <w:spacing w:after="0"/>
              <w:rPr>
                <w:sz w:val="20"/>
                <w:szCs w:val="20"/>
                <w:color w:val="auto"/>
              </w:rPr>
            </w:pPr>
            <w:r>
              <w:rPr>
                <w:rFonts w:ascii="Times New Roman" w:cs="Times New Roman" w:eastAsia="Times New Roman" w:hAnsi="Times New Roman"/>
                <w:sz w:val="18"/>
                <w:szCs w:val="18"/>
                <w:color w:val="auto"/>
              </w:rPr>
              <w:t>Emerging growth company</w:t>
            </w:r>
          </w:p>
        </w:tc>
        <w:tc>
          <w:tcPr>
            <w:tcW w:w="3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w w:val="77"/>
              </w:rPr>
              <w:t>☐</w:t>
            </w:r>
          </w:p>
        </w:tc>
      </w:tr>
    </w:tbl>
    <w:p>
      <w:pPr>
        <w:spacing w:after="0" w:line="178" w:lineRule="exact"/>
        <w:rPr>
          <w:sz w:val="20"/>
          <w:szCs w:val="20"/>
          <w:color w:val="auto"/>
        </w:rPr>
      </w:pPr>
    </w:p>
    <w:p>
      <w:pPr>
        <w:ind w:right="380"/>
        <w:spacing w:after="0" w:line="235" w:lineRule="exact"/>
        <w:rPr>
          <w:sz w:val="20"/>
          <w:szCs w:val="20"/>
          <w:color w:val="auto"/>
        </w:rPr>
      </w:pPr>
      <w:r>
        <w:rPr>
          <w:rFonts w:ascii="Times New Roman" w:cs="Times New Roman" w:eastAsia="Times New Roman" w:hAnsi="Times New Roman"/>
          <w:sz w:val="18"/>
          <w:szCs w:val="18"/>
          <w:color w:val="auto"/>
        </w:rPr>
        <w:t xml:space="preserve">If an emerging growth company, indicate by check mark if the registrant has elected not to use the extended transition period for comply with any new or revised financial accounting standards provided pursuant to Section 7(a)(2)(B) of Securities Act </w:t>
      </w:r>
      <w:r>
        <w:rPr>
          <w:rFonts w:ascii="MS PGothic" w:cs="MS PGothic" w:eastAsia="MS PGothic" w:hAnsi="MS PGothic"/>
          <w:sz w:val="18"/>
          <w:szCs w:val="18"/>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2869565</wp:posOffset>
            </wp:positionH>
            <wp:positionV relativeFrom="paragraph">
              <wp:posOffset>133985</wp:posOffset>
            </wp:positionV>
            <wp:extent cx="151765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9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CALCULATION OF REGISTRATION FEE</w:t>
      </w:r>
    </w:p>
    <w:p>
      <w:pPr>
        <w:spacing w:after="0" w:line="92"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20" w:type="dxa"/>
            <w:vAlign w:val="bottom"/>
          </w:tcPr>
          <w:p>
            <w:pPr>
              <w:spacing w:after="0"/>
              <w:rPr>
                <w:sz w:val="3"/>
                <w:szCs w:val="3"/>
                <w:color w:val="auto"/>
              </w:rPr>
            </w:pPr>
          </w:p>
        </w:tc>
        <w:tc>
          <w:tcPr>
            <w:tcW w:w="4800" w:type="dxa"/>
            <w:vAlign w:val="bottom"/>
            <w:tcBorders>
              <w:top w:val="single" w:sz="8" w:color="auto"/>
              <w:bottom w:val="single" w:sz="8" w:color="auto"/>
            </w:tcBorders>
          </w:tcPr>
          <w:p>
            <w:pPr>
              <w:spacing w:after="0"/>
              <w:rPr>
                <w:sz w:val="3"/>
                <w:szCs w:val="3"/>
                <w:color w:val="auto"/>
              </w:rPr>
            </w:pPr>
          </w:p>
        </w:tc>
        <w:tc>
          <w:tcPr>
            <w:tcW w:w="1840" w:type="dxa"/>
            <w:vAlign w:val="bottom"/>
            <w:tcBorders>
              <w:top w:val="single" w:sz="8" w:color="auto"/>
              <w:bottom w:val="single" w:sz="8" w:color="auto"/>
            </w:tcBorders>
          </w:tcPr>
          <w:p>
            <w:pPr>
              <w:spacing w:after="0"/>
              <w:rPr>
                <w:sz w:val="3"/>
                <w:szCs w:val="3"/>
                <w:color w:val="auto"/>
              </w:rPr>
            </w:pPr>
          </w:p>
        </w:tc>
        <w:tc>
          <w:tcPr>
            <w:tcW w:w="1600" w:type="dxa"/>
            <w:vAlign w:val="bottom"/>
            <w:tcBorders>
              <w:top w:val="single" w:sz="8" w:color="auto"/>
              <w:bottom w:val="single" w:sz="8" w:color="auto"/>
            </w:tcBorders>
          </w:tcPr>
          <w:p>
            <w:pPr>
              <w:spacing w:after="0"/>
              <w:rPr>
                <w:sz w:val="3"/>
                <w:szCs w:val="3"/>
                <w:color w:val="auto"/>
              </w:rPr>
            </w:pPr>
          </w:p>
        </w:tc>
        <w:tc>
          <w:tcPr>
            <w:tcW w:w="1600" w:type="dxa"/>
            <w:vAlign w:val="bottom"/>
            <w:tcBorders>
              <w:top w:val="single" w:sz="8" w:color="auto"/>
              <w:bottom w:val="single" w:sz="8" w:color="auto"/>
            </w:tcBorders>
          </w:tcPr>
          <w:p>
            <w:pPr>
              <w:spacing w:after="0"/>
              <w:rPr>
                <w:sz w:val="3"/>
                <w:szCs w:val="3"/>
                <w:color w:val="auto"/>
              </w:rPr>
            </w:pPr>
          </w:p>
        </w:tc>
        <w:tc>
          <w:tcPr>
            <w:tcW w:w="1560" w:type="dxa"/>
            <w:vAlign w:val="bottom"/>
            <w:tcBorders>
              <w:top w:val="single" w:sz="8" w:color="auto"/>
              <w:bottom w:val="single" w:sz="8" w:color="auto"/>
            </w:tcBorders>
          </w:tcPr>
          <w:p>
            <w:pPr>
              <w:spacing w:after="0"/>
              <w:rPr>
                <w:sz w:val="3"/>
                <w:szCs w:val="3"/>
                <w:color w:val="auto"/>
              </w:rPr>
            </w:pPr>
          </w:p>
        </w:tc>
        <w:tc>
          <w:tcPr>
            <w:tcW w:w="0" w:type="dxa"/>
            <w:vAlign w:val="bottom"/>
          </w:tcPr>
          <w:p>
            <w:pPr>
              <w:spacing w:after="0"/>
              <w:rPr>
                <w:sz w:val="1"/>
                <w:szCs w:val="1"/>
                <w:color w:val="auto"/>
              </w:rPr>
            </w:pPr>
          </w:p>
        </w:tc>
      </w:tr>
      <w:tr>
        <w:trPr>
          <w:trHeight w:val="104"/>
        </w:trPr>
        <w:tc>
          <w:tcPr>
            <w:tcW w:w="20" w:type="dxa"/>
            <w:vAlign w:val="bottom"/>
          </w:tcPr>
          <w:p>
            <w:pPr>
              <w:spacing w:after="0"/>
              <w:rPr>
                <w:sz w:val="9"/>
                <w:szCs w:val="9"/>
                <w:color w:val="auto"/>
              </w:rPr>
            </w:pPr>
          </w:p>
        </w:tc>
        <w:tc>
          <w:tcPr>
            <w:tcW w:w="4800" w:type="dxa"/>
            <w:vAlign w:val="bottom"/>
            <w:tcBorders>
              <w:right w:val="single" w:sz="8" w:color="auto"/>
            </w:tcBorders>
          </w:tcPr>
          <w:p>
            <w:pPr>
              <w:spacing w:after="0"/>
              <w:rPr>
                <w:sz w:val="9"/>
                <w:szCs w:val="9"/>
                <w:color w:val="auto"/>
              </w:rPr>
            </w:pPr>
          </w:p>
        </w:tc>
        <w:tc>
          <w:tcPr>
            <w:tcW w:w="1840" w:type="dxa"/>
            <w:vAlign w:val="bottom"/>
            <w:tcBorders>
              <w:right w:val="single" w:sz="8" w:color="auto"/>
            </w:tcBorders>
            <w:vMerge w:val="restart"/>
          </w:tcPr>
          <w:p>
            <w:pPr>
              <w:jc w:val="center"/>
              <w:ind w:left="4"/>
              <w:spacing w:after="0"/>
              <w:rPr>
                <w:sz w:val="20"/>
                <w:szCs w:val="20"/>
                <w:color w:val="auto"/>
              </w:rPr>
            </w:pPr>
            <w:r>
              <w:rPr>
                <w:rFonts w:ascii="Times New Roman" w:cs="Times New Roman" w:eastAsia="Times New Roman" w:hAnsi="Times New Roman"/>
                <w:sz w:val="14"/>
                <w:szCs w:val="14"/>
                <w:b w:val="1"/>
                <w:bCs w:val="1"/>
                <w:color w:val="auto"/>
              </w:rPr>
              <w:t>Amount</w:t>
            </w:r>
          </w:p>
        </w:tc>
        <w:tc>
          <w:tcPr>
            <w:tcW w:w="1600" w:type="dxa"/>
            <w:vAlign w:val="bottom"/>
            <w:tcBorders>
              <w:right w:val="single" w:sz="8" w:color="auto"/>
            </w:tcBorders>
          </w:tcPr>
          <w:p>
            <w:pPr>
              <w:jc w:val="center"/>
              <w:ind w:left="26"/>
              <w:spacing w:after="0" w:line="105" w:lineRule="exact"/>
              <w:rPr>
                <w:sz w:val="20"/>
                <w:szCs w:val="20"/>
                <w:color w:val="auto"/>
              </w:rPr>
            </w:pPr>
            <w:r>
              <w:rPr>
                <w:rFonts w:ascii="Times New Roman" w:cs="Times New Roman" w:eastAsia="Times New Roman" w:hAnsi="Times New Roman"/>
                <w:sz w:val="12"/>
                <w:szCs w:val="12"/>
                <w:b w:val="1"/>
                <w:bCs w:val="1"/>
                <w:color w:val="auto"/>
              </w:rPr>
              <w:t>Proposed</w:t>
            </w:r>
          </w:p>
        </w:tc>
        <w:tc>
          <w:tcPr>
            <w:tcW w:w="1600" w:type="dxa"/>
            <w:vAlign w:val="bottom"/>
            <w:tcBorders>
              <w:right w:val="single" w:sz="8" w:color="auto"/>
            </w:tcBorders>
          </w:tcPr>
          <w:p>
            <w:pPr>
              <w:jc w:val="center"/>
              <w:ind w:left="26"/>
              <w:spacing w:after="0" w:line="105" w:lineRule="exact"/>
              <w:rPr>
                <w:sz w:val="20"/>
                <w:szCs w:val="20"/>
                <w:color w:val="auto"/>
              </w:rPr>
            </w:pPr>
            <w:r>
              <w:rPr>
                <w:rFonts w:ascii="Times New Roman" w:cs="Times New Roman" w:eastAsia="Times New Roman" w:hAnsi="Times New Roman"/>
                <w:sz w:val="12"/>
                <w:szCs w:val="12"/>
                <w:b w:val="1"/>
                <w:bCs w:val="1"/>
                <w:color w:val="auto"/>
              </w:rPr>
              <w:t>Proposed</w:t>
            </w:r>
          </w:p>
        </w:tc>
        <w:tc>
          <w:tcPr>
            <w:tcW w:w="15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800" w:type="dxa"/>
            <w:vAlign w:val="bottom"/>
            <w:tcBorders>
              <w:right w:val="single" w:sz="8" w:color="auto"/>
            </w:tcBorders>
            <w:vMerge w:val="restart"/>
          </w:tcPr>
          <w:p>
            <w:pPr>
              <w:jc w:val="center"/>
              <w:spacing w:after="0"/>
              <w:rPr>
                <w:sz w:val="20"/>
                <w:szCs w:val="20"/>
                <w:color w:val="auto"/>
              </w:rPr>
            </w:pPr>
            <w:r>
              <w:rPr>
                <w:rFonts w:ascii="Times New Roman" w:cs="Times New Roman" w:eastAsia="Times New Roman" w:hAnsi="Times New Roman"/>
                <w:sz w:val="14"/>
                <w:szCs w:val="14"/>
                <w:b w:val="1"/>
                <w:bCs w:val="1"/>
                <w:color w:val="auto"/>
              </w:rPr>
              <w:t>Title of each class of</w:t>
            </w:r>
          </w:p>
        </w:tc>
        <w:tc>
          <w:tcPr>
            <w:tcW w:w="1840" w:type="dxa"/>
            <w:vAlign w:val="bottom"/>
            <w:tcBorders>
              <w:right w:val="single" w:sz="8" w:color="auto"/>
            </w:tcBorders>
            <w:vMerge w:val="continue"/>
          </w:tcPr>
          <w:p>
            <w:pPr>
              <w:spacing w:after="0"/>
              <w:rPr>
                <w:sz w:val="12"/>
                <w:szCs w:val="12"/>
                <w:color w:val="auto"/>
              </w:rPr>
            </w:pPr>
          </w:p>
        </w:tc>
        <w:tc>
          <w:tcPr>
            <w:tcW w:w="1600" w:type="dxa"/>
            <w:vAlign w:val="bottom"/>
            <w:tcBorders>
              <w:right w:val="single" w:sz="8" w:color="auto"/>
            </w:tcBorders>
          </w:tcPr>
          <w:p>
            <w:pPr>
              <w:jc w:val="center"/>
              <w:ind w:left="26"/>
              <w:spacing w:after="0" w:line="149" w:lineRule="exact"/>
              <w:rPr>
                <w:sz w:val="20"/>
                <w:szCs w:val="20"/>
                <w:color w:val="auto"/>
              </w:rPr>
            </w:pPr>
            <w:r>
              <w:rPr>
                <w:rFonts w:ascii="Times New Roman" w:cs="Times New Roman" w:eastAsia="Times New Roman" w:hAnsi="Times New Roman"/>
                <w:sz w:val="14"/>
                <w:szCs w:val="14"/>
                <w:b w:val="1"/>
                <w:bCs w:val="1"/>
                <w:color w:val="auto"/>
              </w:rPr>
              <w:t>maximum</w:t>
            </w:r>
          </w:p>
        </w:tc>
        <w:tc>
          <w:tcPr>
            <w:tcW w:w="1600" w:type="dxa"/>
            <w:vAlign w:val="bottom"/>
            <w:tcBorders>
              <w:right w:val="single" w:sz="8" w:color="auto"/>
            </w:tcBorders>
          </w:tcPr>
          <w:p>
            <w:pPr>
              <w:jc w:val="center"/>
              <w:ind w:left="26"/>
              <w:spacing w:after="0" w:line="149" w:lineRule="exact"/>
              <w:rPr>
                <w:sz w:val="20"/>
                <w:szCs w:val="20"/>
                <w:color w:val="auto"/>
              </w:rPr>
            </w:pPr>
            <w:r>
              <w:rPr>
                <w:rFonts w:ascii="Times New Roman" w:cs="Times New Roman" w:eastAsia="Times New Roman" w:hAnsi="Times New Roman"/>
                <w:sz w:val="14"/>
                <w:szCs w:val="14"/>
                <w:b w:val="1"/>
                <w:bCs w:val="1"/>
                <w:color w:val="auto"/>
              </w:rPr>
              <w:t>maximum</w:t>
            </w:r>
          </w:p>
        </w:tc>
        <w:tc>
          <w:tcPr>
            <w:tcW w:w="1560" w:type="dxa"/>
            <w:vAlign w:val="bottom"/>
            <w:vMerge w:val="restart"/>
          </w:tcPr>
          <w:p>
            <w:pPr>
              <w:jc w:val="center"/>
              <w:ind w:left="22"/>
              <w:spacing w:after="0"/>
              <w:rPr>
                <w:sz w:val="20"/>
                <w:szCs w:val="20"/>
                <w:color w:val="auto"/>
              </w:rPr>
            </w:pPr>
            <w:r>
              <w:rPr>
                <w:rFonts w:ascii="Times New Roman" w:cs="Times New Roman" w:eastAsia="Times New Roman" w:hAnsi="Times New Roman"/>
                <w:sz w:val="14"/>
                <w:szCs w:val="14"/>
                <w:b w:val="1"/>
                <w:bCs w:val="1"/>
                <w:color w:val="auto"/>
              </w:rPr>
              <w:t>Amount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800" w:type="dxa"/>
            <w:vAlign w:val="bottom"/>
            <w:tcBorders>
              <w:right w:val="single" w:sz="8" w:color="auto"/>
            </w:tcBorders>
            <w:vMerge w:val="continue"/>
          </w:tcPr>
          <w:p>
            <w:pPr>
              <w:spacing w:after="0"/>
              <w:rPr>
                <w:sz w:val="12"/>
                <w:szCs w:val="12"/>
                <w:color w:val="auto"/>
              </w:rPr>
            </w:pPr>
          </w:p>
        </w:tc>
        <w:tc>
          <w:tcPr>
            <w:tcW w:w="1840" w:type="dxa"/>
            <w:vAlign w:val="bottom"/>
            <w:tcBorders>
              <w:right w:val="single" w:sz="8" w:color="auto"/>
            </w:tcBorders>
          </w:tcPr>
          <w:p>
            <w:pPr>
              <w:jc w:val="center"/>
              <w:ind w:left="24"/>
              <w:spacing w:after="0" w:line="149" w:lineRule="exact"/>
              <w:rPr>
                <w:sz w:val="20"/>
                <w:szCs w:val="20"/>
                <w:color w:val="auto"/>
              </w:rPr>
            </w:pPr>
            <w:r>
              <w:rPr>
                <w:rFonts w:ascii="Times New Roman" w:cs="Times New Roman" w:eastAsia="Times New Roman" w:hAnsi="Times New Roman"/>
                <w:sz w:val="14"/>
                <w:szCs w:val="14"/>
                <w:b w:val="1"/>
                <w:bCs w:val="1"/>
                <w:color w:val="auto"/>
              </w:rPr>
              <w:t>to be</w:t>
            </w:r>
          </w:p>
        </w:tc>
        <w:tc>
          <w:tcPr>
            <w:tcW w:w="1600" w:type="dxa"/>
            <w:vAlign w:val="bottom"/>
            <w:tcBorders>
              <w:right w:val="single" w:sz="8" w:color="auto"/>
            </w:tcBorders>
          </w:tcPr>
          <w:p>
            <w:pPr>
              <w:jc w:val="center"/>
              <w:ind w:left="6"/>
              <w:spacing w:after="0" w:line="149" w:lineRule="exact"/>
              <w:rPr>
                <w:sz w:val="20"/>
                <w:szCs w:val="20"/>
                <w:color w:val="auto"/>
              </w:rPr>
            </w:pPr>
            <w:r>
              <w:rPr>
                <w:rFonts w:ascii="Times New Roman" w:cs="Times New Roman" w:eastAsia="Times New Roman" w:hAnsi="Times New Roman"/>
                <w:sz w:val="14"/>
                <w:szCs w:val="14"/>
                <w:b w:val="1"/>
                <w:bCs w:val="1"/>
                <w:color w:val="auto"/>
              </w:rPr>
              <w:t>offering price</w:t>
            </w:r>
          </w:p>
        </w:tc>
        <w:tc>
          <w:tcPr>
            <w:tcW w:w="1600" w:type="dxa"/>
            <w:vAlign w:val="bottom"/>
            <w:tcBorders>
              <w:right w:val="single" w:sz="8" w:color="auto"/>
            </w:tcBorders>
          </w:tcPr>
          <w:p>
            <w:pPr>
              <w:jc w:val="center"/>
              <w:ind w:left="6"/>
              <w:spacing w:after="0" w:line="149" w:lineRule="exact"/>
              <w:rPr>
                <w:sz w:val="20"/>
                <w:szCs w:val="20"/>
                <w:color w:val="auto"/>
              </w:rPr>
            </w:pPr>
            <w:r>
              <w:rPr>
                <w:rFonts w:ascii="Times New Roman" w:cs="Times New Roman" w:eastAsia="Times New Roman" w:hAnsi="Times New Roman"/>
                <w:sz w:val="14"/>
                <w:szCs w:val="14"/>
                <w:b w:val="1"/>
                <w:bCs w:val="1"/>
                <w:color w:val="auto"/>
              </w:rPr>
              <w:t>aggregate</w:t>
            </w:r>
          </w:p>
        </w:tc>
        <w:tc>
          <w:tcPr>
            <w:tcW w:w="156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480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4"/>
                <w:szCs w:val="14"/>
                <w:b w:val="1"/>
                <w:bCs w:val="1"/>
                <w:color w:val="auto"/>
              </w:rPr>
              <w:t>securities to be registered</w:t>
            </w:r>
          </w:p>
        </w:tc>
        <w:tc>
          <w:tcPr>
            <w:tcW w:w="1840" w:type="dxa"/>
            <w:vAlign w:val="bottom"/>
            <w:tcBorders>
              <w:bottom w:val="single" w:sz="8" w:color="auto"/>
              <w:right w:val="single" w:sz="8" w:color="auto"/>
            </w:tcBorders>
          </w:tcPr>
          <w:p>
            <w:pPr>
              <w:jc w:val="center"/>
              <w:ind w:left="4"/>
              <w:spacing w:after="0"/>
              <w:rPr>
                <w:sz w:val="20"/>
                <w:szCs w:val="20"/>
                <w:color w:val="auto"/>
              </w:rPr>
            </w:pPr>
            <w:r>
              <w:rPr>
                <w:rFonts w:ascii="Times New Roman" w:cs="Times New Roman" w:eastAsia="Times New Roman" w:hAnsi="Times New Roman"/>
                <w:sz w:val="14"/>
                <w:szCs w:val="14"/>
                <w:b w:val="1"/>
                <w:bCs w:val="1"/>
                <w:color w:val="auto"/>
              </w:rPr>
              <w:t>registered</w:t>
            </w:r>
          </w:p>
        </w:tc>
        <w:tc>
          <w:tcPr>
            <w:tcW w:w="1600" w:type="dxa"/>
            <w:vAlign w:val="bottom"/>
            <w:tcBorders>
              <w:bottom w:val="single" w:sz="8" w:color="auto"/>
              <w:right w:val="single" w:sz="8" w:color="auto"/>
            </w:tcBorders>
          </w:tcPr>
          <w:p>
            <w:pPr>
              <w:jc w:val="center"/>
              <w:ind w:left="26"/>
              <w:spacing w:after="0"/>
              <w:rPr>
                <w:sz w:val="20"/>
                <w:szCs w:val="20"/>
                <w:color w:val="auto"/>
              </w:rPr>
            </w:pPr>
            <w:r>
              <w:rPr>
                <w:rFonts w:ascii="Times New Roman" w:cs="Times New Roman" w:eastAsia="Times New Roman" w:hAnsi="Times New Roman"/>
                <w:sz w:val="14"/>
                <w:szCs w:val="14"/>
                <w:b w:val="1"/>
                <w:bCs w:val="1"/>
                <w:color w:val="auto"/>
              </w:rPr>
              <w:t>per share</w:t>
            </w:r>
          </w:p>
        </w:tc>
        <w:tc>
          <w:tcPr>
            <w:tcW w:w="1600" w:type="dxa"/>
            <w:vAlign w:val="bottom"/>
            <w:tcBorders>
              <w:bottom w:val="single" w:sz="8" w:color="auto"/>
              <w:right w:val="single" w:sz="8" w:color="auto"/>
            </w:tcBorders>
          </w:tcPr>
          <w:p>
            <w:pPr>
              <w:jc w:val="center"/>
              <w:ind w:left="6"/>
              <w:spacing w:after="0"/>
              <w:rPr>
                <w:sz w:val="20"/>
                <w:szCs w:val="20"/>
                <w:color w:val="auto"/>
              </w:rPr>
            </w:pPr>
            <w:r>
              <w:rPr>
                <w:rFonts w:ascii="Times New Roman" w:cs="Times New Roman" w:eastAsia="Times New Roman" w:hAnsi="Times New Roman"/>
                <w:sz w:val="14"/>
                <w:szCs w:val="14"/>
                <w:b w:val="1"/>
                <w:bCs w:val="1"/>
                <w:color w:val="auto"/>
              </w:rPr>
              <w:t>offering price</w:t>
            </w:r>
          </w:p>
        </w:tc>
        <w:tc>
          <w:tcPr>
            <w:tcW w:w="1560" w:type="dxa"/>
            <w:vAlign w:val="bottom"/>
            <w:tcBorders>
              <w:bottom w:val="single" w:sz="8" w:color="auto"/>
            </w:tcBorders>
          </w:tcPr>
          <w:p>
            <w:pPr>
              <w:jc w:val="center"/>
              <w:ind w:left="2"/>
              <w:spacing w:after="0"/>
              <w:rPr>
                <w:sz w:val="20"/>
                <w:szCs w:val="20"/>
                <w:color w:val="auto"/>
              </w:rPr>
            </w:pPr>
            <w:r>
              <w:rPr>
                <w:rFonts w:ascii="Times New Roman" w:cs="Times New Roman" w:eastAsia="Times New Roman" w:hAnsi="Times New Roman"/>
                <w:sz w:val="14"/>
                <w:szCs w:val="14"/>
                <w:b w:val="1"/>
                <w:bCs w:val="1"/>
                <w:color w:val="auto"/>
              </w:rPr>
              <w:t>registration fee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800" w:type="dxa"/>
            <w:vAlign w:val="bottom"/>
            <w:tcBorders>
              <w:bottom w:val="single" w:sz="8" w:color="auto"/>
              <w:right w:val="single" w:sz="8" w:color="auto"/>
            </w:tcBorders>
          </w:tcPr>
          <w:p>
            <w:pPr>
              <w:spacing w:after="0"/>
              <w:rPr>
                <w:sz w:val="20"/>
                <w:szCs w:val="20"/>
                <w:color w:val="auto"/>
              </w:rPr>
            </w:pPr>
            <w:r>
              <w:rPr>
                <w:rFonts w:ascii="Times New Roman" w:cs="Times New Roman" w:eastAsia="Times New Roman" w:hAnsi="Times New Roman"/>
                <w:sz w:val="18"/>
                <w:szCs w:val="18"/>
                <w:color w:val="auto"/>
              </w:rPr>
              <w:t>Common Shares, par value $0.002 per share</w:t>
            </w:r>
          </w:p>
        </w:tc>
        <w:tc>
          <w:tcPr>
            <w:tcW w:w="1840" w:type="dxa"/>
            <w:vAlign w:val="bottom"/>
            <w:tcBorders>
              <w:bottom w:val="single" w:sz="8" w:color="auto"/>
              <w:right w:val="single" w:sz="8" w:color="auto"/>
            </w:tcBorders>
          </w:tcPr>
          <w:p>
            <w:pPr>
              <w:jc w:val="center"/>
              <w:ind w:left="4"/>
              <w:spacing w:after="0"/>
              <w:rPr>
                <w:sz w:val="20"/>
                <w:szCs w:val="20"/>
                <w:color w:val="auto"/>
              </w:rPr>
            </w:pPr>
            <w:r>
              <w:rPr>
                <w:rFonts w:ascii="Times New Roman" w:cs="Times New Roman" w:eastAsia="Times New Roman" w:hAnsi="Times New Roman"/>
                <w:sz w:val="18"/>
                <w:szCs w:val="18"/>
                <w:color w:val="auto"/>
                <w:w w:val="98"/>
              </w:rPr>
              <w:t>489,813 shares (1)</w:t>
            </w:r>
          </w:p>
        </w:tc>
        <w:tc>
          <w:tcPr>
            <w:tcW w:w="1600" w:type="dxa"/>
            <w:vAlign w:val="bottom"/>
            <w:tcBorders>
              <w:bottom w:val="single" w:sz="8" w:color="auto"/>
              <w:right w:val="single" w:sz="8" w:color="auto"/>
            </w:tcBorders>
          </w:tcPr>
          <w:p>
            <w:pPr>
              <w:jc w:val="center"/>
              <w:ind w:left="6"/>
              <w:spacing w:after="0"/>
              <w:rPr>
                <w:sz w:val="20"/>
                <w:szCs w:val="20"/>
                <w:color w:val="auto"/>
              </w:rPr>
            </w:pPr>
            <w:r>
              <w:rPr>
                <w:rFonts w:ascii="Times New Roman" w:cs="Times New Roman" w:eastAsia="Times New Roman" w:hAnsi="Times New Roman"/>
                <w:sz w:val="18"/>
                <w:szCs w:val="18"/>
                <w:color w:val="auto"/>
              </w:rPr>
              <w:t>N/A</w:t>
            </w:r>
          </w:p>
        </w:tc>
        <w:tc>
          <w:tcPr>
            <w:tcW w:w="1600" w:type="dxa"/>
            <w:vAlign w:val="bottom"/>
            <w:tcBorders>
              <w:bottom w:val="single" w:sz="8" w:color="auto"/>
              <w:right w:val="single" w:sz="8" w:color="auto"/>
            </w:tcBorders>
          </w:tcPr>
          <w:p>
            <w:pPr>
              <w:jc w:val="center"/>
              <w:ind w:left="6"/>
              <w:spacing w:after="0"/>
              <w:rPr>
                <w:sz w:val="20"/>
                <w:szCs w:val="20"/>
                <w:color w:val="auto"/>
              </w:rPr>
            </w:pPr>
            <w:r>
              <w:rPr>
                <w:rFonts w:ascii="Times New Roman" w:cs="Times New Roman" w:eastAsia="Times New Roman" w:hAnsi="Times New Roman"/>
                <w:sz w:val="18"/>
                <w:szCs w:val="18"/>
                <w:color w:val="auto"/>
              </w:rPr>
              <w:t>N/A</w:t>
            </w:r>
          </w:p>
        </w:tc>
        <w:tc>
          <w:tcPr>
            <w:tcW w:w="1560" w:type="dxa"/>
            <w:vAlign w:val="bottom"/>
            <w:tcBorders>
              <w:bottom w:val="single" w:sz="8" w:color="auto"/>
            </w:tcBorders>
          </w:tcPr>
          <w:p>
            <w:pPr>
              <w:jc w:val="center"/>
              <w:ind w:left="2"/>
              <w:spacing w:after="0"/>
              <w:rPr>
                <w:sz w:val="20"/>
                <w:szCs w:val="20"/>
                <w:color w:val="auto"/>
              </w:rPr>
            </w:pPr>
            <w:r>
              <w:rPr>
                <w:rFonts w:ascii="Times New Roman" w:cs="Times New Roman" w:eastAsia="Times New Roman" w:hAnsi="Times New Roman"/>
                <w:sz w:val="18"/>
                <w:szCs w:val="18"/>
                <w:color w:val="auto"/>
                <w:w w:val="95"/>
              </w:rPr>
              <w:t>(2)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00" w:type="dxa"/>
            <w:vAlign w:val="bottom"/>
            <w:tcBorders>
              <w:bottom w:val="single" w:sz="8" w:color="auto"/>
            </w:tcBorders>
          </w:tcPr>
          <w:p>
            <w:pPr>
              <w:spacing w:after="0" w:line="20" w:lineRule="exact"/>
              <w:rPr>
                <w:sz w:val="1"/>
                <w:szCs w:val="1"/>
                <w:color w:val="auto"/>
              </w:rPr>
            </w:pPr>
          </w:p>
        </w:tc>
        <w:tc>
          <w:tcPr>
            <w:tcW w:w="1840" w:type="dxa"/>
            <w:vAlign w:val="bottom"/>
            <w:tcBorders>
              <w:bottom w:val="single" w:sz="8" w:color="auto"/>
            </w:tcBorders>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156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ind w:left="460" w:right="240" w:hanging="452"/>
        <w:spacing w:after="0" w:line="250" w:lineRule="auto"/>
        <w:tabs>
          <w:tab w:leader="none" w:pos="460"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Pursuant to Rule 416 of the Securities Act of 1933, as amended, this Registration Statement also covers such additional and indeterminate number of Common Shares as may become offered or issuable by reason of any stock dividend, stock split, recapitalization or other similar transaction.</w:t>
      </w:r>
    </w:p>
    <w:p>
      <w:pPr>
        <w:ind w:left="460" w:right="440" w:hanging="452"/>
        <w:spacing w:after="0" w:line="255" w:lineRule="auto"/>
        <w:tabs>
          <w:tab w:leader="none" w:pos="460"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registration fees in respect of such Common Shares were paid in connection with the original filing on December 21, 2017 of the Registrant’s Registration Statement on Form S-4 (File No. 333-222235), as amended. Such Registration Statement on Form S-4 was declared effective on February 5, 2018.</w:t>
      </w:r>
    </w:p>
    <w:p>
      <w:pPr>
        <w:spacing w:after="0" w:line="182" w:lineRule="exact"/>
        <w:rPr>
          <w:sz w:val="20"/>
          <w:szCs w:val="20"/>
          <w:color w:val="auto"/>
        </w:rPr>
      </w:pPr>
    </w:p>
    <w:p>
      <w:pPr>
        <w:ind w:right="260"/>
        <w:spacing w:after="0" w:line="262" w:lineRule="auto"/>
        <w:rPr>
          <w:sz w:val="20"/>
          <w:szCs w:val="20"/>
          <w:color w:val="auto"/>
        </w:rPr>
      </w:pPr>
      <w:r>
        <w:rPr>
          <w:rFonts w:ascii="Times New Roman" w:cs="Times New Roman" w:eastAsia="Times New Roman" w:hAnsi="Times New Roman"/>
          <w:sz w:val="18"/>
          <w:szCs w:val="18"/>
          <w:b w:val="1"/>
          <w:bCs w:val="1"/>
          <w:color w:val="auto"/>
        </w:rPr>
        <w:t>The Registrant hereby amends this registration statement on such date or dates as may be necessary to delay its effective date until the Registrant shall file a further amendment which specifically states that this registration statement shall thereafter become effective in accordance with Section 8(a) of the Securities Act of 1933, as amended, or until the registration statement shall become effective on such date as the Securities and Exchange Commission, acting pursuant to said Section 8(a), may determine.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134620</wp:posOffset>
            </wp:positionV>
            <wp:extent cx="724662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177800</wp:posOffset>
            </wp:positionV>
            <wp:extent cx="724662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70" w:right="239" w:bottom="1440" w:gutter="0" w:footer="0" w:header="0"/>
        </w:sectPr>
      </w:pPr>
    </w:p>
    <w:bookmarkStart w:id="2" w:name="page3"/>
    <w:bookmarkEnd w:id="2"/>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EXPLANATORY NOTE</w:t>
      </w:r>
    </w:p>
    <w:p>
      <w:pPr>
        <w:spacing w:after="0" w:line="2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Marvell Technology Group Ltd. (“Marvell,” the “Registrant,” “we” or “our”) hereby amends its Registration Statement on Form S-4 (Registration</w:t>
      </w:r>
    </w:p>
    <w:p>
      <w:pPr>
        <w:spacing w:after="0" w:line="27" w:lineRule="exact"/>
        <w:rPr>
          <w:sz w:val="20"/>
          <w:szCs w:val="20"/>
          <w:color w:val="auto"/>
        </w:rPr>
      </w:pPr>
    </w:p>
    <w:p>
      <w:pPr>
        <w:ind w:right="120"/>
        <w:spacing w:after="0" w:line="255" w:lineRule="auto"/>
        <w:rPr>
          <w:sz w:val="20"/>
          <w:szCs w:val="20"/>
          <w:color w:val="auto"/>
        </w:rPr>
      </w:pPr>
      <w:r>
        <w:rPr>
          <w:rFonts w:ascii="Times New Roman" w:cs="Times New Roman" w:eastAsia="Times New Roman" w:hAnsi="Times New Roman"/>
          <w:sz w:val="18"/>
          <w:szCs w:val="18"/>
          <w:color w:val="auto"/>
        </w:rPr>
        <w:t>No. 333-222235) filed on December 21, 2017 (as amended, the “Form S-4”), by filing this Post-Effective Amendment No. 2 to Form S-4 on Form S-3 (the “Form S-3”) containing an updated prospectus relating to the offer and sale of up to 489,813 common shares of Marvell issuable upon the exercise of outstanding stock options (the “Assumed Options”) issued by Cavium, Inc. (“Cavium”).</w:t>
      </w:r>
    </w:p>
    <w:p>
      <w:pPr>
        <w:spacing w:after="0" w:line="186" w:lineRule="exact"/>
        <w:rPr>
          <w:sz w:val="20"/>
          <w:szCs w:val="20"/>
          <w:color w:val="auto"/>
        </w:rPr>
      </w:pPr>
    </w:p>
    <w:p>
      <w:pPr>
        <w:spacing w:after="0" w:line="261" w:lineRule="auto"/>
        <w:rPr>
          <w:sz w:val="20"/>
          <w:szCs w:val="20"/>
          <w:color w:val="auto"/>
        </w:rPr>
      </w:pPr>
      <w:r>
        <w:rPr>
          <w:rFonts w:ascii="Times New Roman" w:cs="Times New Roman" w:eastAsia="Times New Roman" w:hAnsi="Times New Roman"/>
          <w:sz w:val="18"/>
          <w:szCs w:val="18"/>
          <w:color w:val="auto"/>
        </w:rPr>
        <w:t>The Assumed Options are held by former employees of Cavium and previously represented options to purchase shares of Cavium common stock (the “Cavium Options”). The Cavium Options were converted into the Assumed Options in connection with the merger contemplated by the Agreement and Plan of Merger, dated as of November 19, 2017 (the “Merger Agreement”), by and among Marvell, Kauai Acquisition Corp., a Delaware corporation and an indirect wholly owned subsidiary of Marvell (“Merger Sub”), and Cavium.</w:t>
      </w:r>
    </w:p>
    <w:p>
      <w:pPr>
        <w:spacing w:after="0" w:line="180" w:lineRule="exact"/>
        <w:rPr>
          <w:sz w:val="20"/>
          <w:szCs w:val="20"/>
          <w:color w:val="auto"/>
        </w:rPr>
      </w:pPr>
    </w:p>
    <w:p>
      <w:pPr>
        <w:spacing w:after="0" w:line="256" w:lineRule="auto"/>
        <w:rPr>
          <w:sz w:val="20"/>
          <w:szCs w:val="20"/>
          <w:color w:val="auto"/>
        </w:rPr>
      </w:pPr>
      <w:r>
        <w:rPr>
          <w:rFonts w:ascii="Times New Roman" w:cs="Times New Roman" w:eastAsia="Times New Roman" w:hAnsi="Times New Roman"/>
          <w:sz w:val="18"/>
          <w:szCs w:val="18"/>
          <w:color w:val="auto"/>
        </w:rPr>
        <w:t>On July 6, 2018, Merger Sub was merged with and into Cavium (the “Merger”), with Cavium continuing as the surviving corporation and an indirect wholly owned subsidiary of Marvell. Pursuant to the Merger Agreement, each Cavium Option that was outstanding immediately prior to the effective time of the Merger (the “Effective Time”) was converted into an option to purchase that number of Marvell’s common shares (rounded down to the nearest whole number) equal to the product of (a) the number of shares of Cavium common stock subject to such Cavium stock option and (b) 4.0339, at an exercise price per share (rounded up to the nearest whole cent) equal to the quotient obtained by dividing (1) the exercise price per share for such option immediately prior to the effective time of the Merger, by (2) 4.0339.</w:t>
      </w:r>
    </w:p>
    <w:p>
      <w:pPr>
        <w:spacing w:after="0" w:line="188" w:lineRule="exact"/>
        <w:rPr>
          <w:sz w:val="20"/>
          <w:szCs w:val="20"/>
          <w:color w:val="auto"/>
        </w:rPr>
      </w:pPr>
    </w:p>
    <w:p>
      <w:pPr>
        <w:ind w:right="300"/>
        <w:spacing w:after="0" w:line="282" w:lineRule="auto"/>
        <w:rPr>
          <w:sz w:val="20"/>
          <w:szCs w:val="20"/>
          <w:color w:val="auto"/>
        </w:rPr>
      </w:pPr>
      <w:r>
        <w:rPr>
          <w:rFonts w:ascii="Times New Roman" w:cs="Times New Roman" w:eastAsia="Times New Roman" w:hAnsi="Times New Roman"/>
          <w:sz w:val="18"/>
          <w:szCs w:val="18"/>
          <w:color w:val="auto"/>
        </w:rPr>
        <w:t>The Assumed Options were initially registered by Marvell on the Form S-4, which became effective on February 5, 2018. The Form S-3 is being filed to convert the Form S-4 into a Form S-3.</w:t>
      </w:r>
    </w:p>
    <w:p>
      <w:pPr>
        <w:sectPr>
          <w:pgSz w:w="11900" w:h="16838" w:orient="portrait"/>
          <w:cols w:equalWidth="0" w:num="1">
            <w:col w:w="11300"/>
          </w:cols>
          <w:pgMar w:left="240" w:top="266" w:right="359" w:bottom="1440" w:gutter="0" w:footer="0" w:header="0"/>
        </w:sectPr>
      </w:pPr>
    </w:p>
    <w:bookmarkStart w:id="3" w:name="page4"/>
    <w:bookmarkEnd w:id="3"/>
    <w:p>
      <w:pP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PROSPECTUS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3229610</wp:posOffset>
            </wp:positionH>
            <wp:positionV relativeFrom="paragraph">
              <wp:posOffset>174625</wp:posOffset>
            </wp:positionV>
            <wp:extent cx="805815" cy="42862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805815" cy="42862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4"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25"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Canon’s Court</w:t>
      </w:r>
    </w:p>
    <w:p>
      <w:pPr>
        <w:spacing w:after="0" w:line="31"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22 Victoria Street</w:t>
      </w:r>
    </w:p>
    <w:p>
      <w:pPr>
        <w:spacing w:after="0" w:line="9"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Hamilton HM 12, Bermuda</w:t>
      </w:r>
    </w:p>
    <w:p>
      <w:pPr>
        <w:spacing w:after="0" w:line="9"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(441) 296-6395</w:t>
      </w:r>
    </w:p>
    <w:p>
      <w:pPr>
        <w:spacing w:after="0" w:line="203"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489,813 Common Shares, $0.002 Par Value 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208915</wp:posOffset>
            </wp:positionV>
            <wp:extent cx="724662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12" w:lineRule="exact"/>
        <w:rPr>
          <w:sz w:val="20"/>
          <w:szCs w:val="20"/>
          <w:color w:val="auto"/>
        </w:rPr>
      </w:pPr>
    </w:p>
    <w:p>
      <w:pPr>
        <w:spacing w:after="0" w:line="255" w:lineRule="auto"/>
        <w:rPr>
          <w:sz w:val="20"/>
          <w:szCs w:val="20"/>
          <w:color w:val="auto"/>
        </w:rPr>
      </w:pPr>
      <w:r>
        <w:rPr>
          <w:rFonts w:ascii="Times New Roman" w:cs="Times New Roman" w:eastAsia="Times New Roman" w:hAnsi="Times New Roman"/>
          <w:sz w:val="18"/>
          <w:szCs w:val="18"/>
          <w:color w:val="auto"/>
        </w:rPr>
        <w:t>This prospectus relates to up to 489,813 common shares, par value $0.002 per share (“common shares”), of Marvell Technology Group Ltd. (“Marvell,” the “Registrant,” “we” or “our”) issuable upon the exercise of certain outstanding stock options to purchase common shares held by former employees of Cavium, Inc. (“Cavium”) under the Cavium, Inc. 2007 Equity Incentive Plan and the Cavium, Inc. 2016 Equity Incentive Plan (the “Assumed Options”). The Assumed Options were assumed by Marvell in connection with the Agreement and Plan of Merger, dated as of November 19, 2017 (the “Merger Agreement”), by and among Marvell, Kauai Acquisition Corp., a Delaware corporation and an indirect wholly owned subsidiary of Marvell (“Merger Sub”), and Cavium. On July 6, 2018, Merger Sub was merged with and into Cavium (the “Merger”), with Cavium continuing as the surviving corporation and an indirect wholly owned subsidiary of Marvell.</w:t>
      </w:r>
    </w:p>
    <w:p>
      <w:pPr>
        <w:spacing w:after="0" w:line="189" w:lineRule="exact"/>
        <w:rPr>
          <w:sz w:val="20"/>
          <w:szCs w:val="20"/>
          <w:color w:val="auto"/>
        </w:rPr>
      </w:pPr>
    </w:p>
    <w:p>
      <w:pPr>
        <w:ind w:right="80"/>
        <w:spacing w:after="0" w:line="266" w:lineRule="auto"/>
        <w:rPr>
          <w:sz w:val="20"/>
          <w:szCs w:val="20"/>
          <w:color w:val="auto"/>
        </w:rPr>
      </w:pPr>
      <w:r>
        <w:rPr>
          <w:rFonts w:ascii="Times New Roman" w:cs="Times New Roman" w:eastAsia="Times New Roman" w:hAnsi="Times New Roman"/>
          <w:sz w:val="18"/>
          <w:szCs w:val="18"/>
          <w:color w:val="auto"/>
        </w:rPr>
        <w:t>We will not receive any proceeds from the sale of the common shares covered by this prospectus other than proceeds from the exercise of the Assumed Options whose underlying common shares are covered by this prospectus. Our common shares are listed on the NASDAQ Global Select Market (“Nasdaq”) under the symbol “MRVL.” On July 18, 2018, the last reported sale price of our common shares on Nasdaq was $21.58 per share.</w:t>
      </w:r>
    </w:p>
    <w:p>
      <w:pPr>
        <w:spacing w:after="0" w:line="280" w:lineRule="exact"/>
        <w:rPr>
          <w:sz w:val="20"/>
          <w:szCs w:val="20"/>
          <w:color w:val="auto"/>
        </w:rPr>
      </w:pPr>
    </w:p>
    <w:p>
      <w:pPr>
        <w:ind w:right="200"/>
        <w:spacing w:after="0" w:line="286" w:lineRule="auto"/>
        <w:rPr>
          <w:sz w:val="20"/>
          <w:szCs w:val="20"/>
          <w:color w:val="auto"/>
        </w:rPr>
      </w:pPr>
      <w:r>
        <w:rPr>
          <w:rFonts w:ascii="Times New Roman" w:cs="Times New Roman" w:eastAsia="Times New Roman" w:hAnsi="Times New Roman"/>
          <w:sz w:val="18"/>
          <w:szCs w:val="18"/>
          <w:b w:val="1"/>
          <w:bCs w:val="1"/>
          <w:color w:val="auto"/>
        </w:rPr>
        <w:t>You should carefully read and consider the risk factors included in our periodic reports and other information that we file with the Securities and Exchange Commission before you invest in our securities. See “Risk Factors” on page 2 of this prospectus.</w:t>
      </w:r>
    </w:p>
    <w:p>
      <w:pPr>
        <w:spacing w:after="0" w:line="47" w:lineRule="exact"/>
        <w:rPr>
          <w:sz w:val="20"/>
          <w:szCs w:val="20"/>
          <w:color w:val="auto"/>
        </w:rPr>
      </w:pPr>
    </w:p>
    <w:p>
      <w:pPr>
        <w:spacing w:after="0" w:line="286" w:lineRule="auto"/>
        <w:rPr>
          <w:sz w:val="20"/>
          <w:szCs w:val="20"/>
          <w:color w:val="auto"/>
        </w:rPr>
      </w:pPr>
      <w:r>
        <w:rPr>
          <w:rFonts w:ascii="Times New Roman" w:cs="Times New Roman" w:eastAsia="Times New Roman" w:hAnsi="Times New Roman"/>
          <w:sz w:val="18"/>
          <w:szCs w:val="18"/>
          <w:b w:val="1"/>
          <w:bCs w:val="1"/>
          <w:color w:val="auto"/>
        </w:rPr>
        <w:t>Neither the Securities and Exchange Commission nor any state securities commission has approved or disapproved of these securities or determined if this prospectus is truthful or complete. Any representation to the contrary is a criminal offense.</w:t>
      </w:r>
    </w:p>
    <w:p>
      <w:pPr>
        <w:spacing w:after="0" w:line="200" w:lineRule="exact"/>
        <w:rPr>
          <w:sz w:val="20"/>
          <w:szCs w:val="20"/>
          <w:color w:val="auto"/>
        </w:rPr>
      </w:pPr>
    </w:p>
    <w:p>
      <w:pPr>
        <w:spacing w:after="0" w:line="387" w:lineRule="exact"/>
        <w:rPr>
          <w:sz w:val="20"/>
          <w:szCs w:val="20"/>
          <w:color w:val="auto"/>
        </w:rPr>
      </w:pPr>
    </w:p>
    <w:tbl>
      <w:tblPr>
        <w:tblLayout w:type="fixed"/>
        <w:tblInd w:w="4100" w:type="dxa"/>
        <w:tblCellMar>
          <w:top w:w="0" w:type="dxa"/>
          <w:left w:w="0" w:type="dxa"/>
          <w:bottom w:w="0" w:type="dxa"/>
          <w:right w:w="0" w:type="dxa"/>
        </w:tblCellMar>
      </w:tblPr>
      <w:tr>
        <w:trPr>
          <w:trHeight w:val="238"/>
        </w:trPr>
        <w:tc>
          <w:tcPr>
            <w:tcW w:w="232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This prospectus is dated</w:t>
            </w:r>
          </w:p>
        </w:tc>
        <w:tc>
          <w:tcPr>
            <w:tcW w:w="920" w:type="dxa"/>
            <w:vAlign w:val="bottom"/>
          </w:tcPr>
          <w:p>
            <w:pPr>
              <w:jc w:val="right"/>
              <w:spacing w:after="0"/>
              <w:rPr>
                <w:sz w:val="20"/>
                <w:szCs w:val="20"/>
                <w:color w:val="auto"/>
              </w:rPr>
            </w:pPr>
            <w:r>
              <w:rPr>
                <w:rFonts w:ascii="Times New Roman" w:cs="Times New Roman" w:eastAsia="Times New Roman" w:hAnsi="Times New Roman"/>
                <w:sz w:val="18"/>
                <w:szCs w:val="18"/>
                <w:b w:val="1"/>
                <w:bCs w:val="1"/>
                <w:color w:val="auto"/>
              </w:rPr>
              <w:t>, 2018</w:t>
            </w:r>
          </w:p>
        </w:tc>
      </w:tr>
    </w:tbl>
    <w:p>
      <w:pPr>
        <w:sectPr>
          <w:pgSz w:w="11900" w:h="16838" w:orient="portrait"/>
          <w:cols w:equalWidth="0" w:num="1">
            <w:col w:w="11360"/>
          </w:cols>
          <w:pgMar w:left="240" w:top="266" w:right="299" w:bottom="1440" w:gutter="0" w:footer="0" w:header="0"/>
        </w:sectPr>
      </w:pPr>
    </w:p>
    <w:bookmarkStart w:id="4" w:name="page5"/>
    <w:bookmarkEnd w:id="4"/>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tbl>
      <w:tblPr>
        <w:tblLayout w:type="fixed"/>
        <w:tblInd w:w="0" w:type="dxa"/>
        <w:tblCellMar>
          <w:top w:w="0" w:type="dxa"/>
          <w:left w:w="0" w:type="dxa"/>
          <w:bottom w:w="0" w:type="dxa"/>
          <w:right w:w="0" w:type="dxa"/>
        </w:tblCellMar>
      </w:tblPr>
      <w:tr>
        <w:trPr>
          <w:trHeight w:val="238"/>
        </w:trPr>
        <w:tc>
          <w:tcPr>
            <w:tcW w:w="7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1000" w:type="dxa"/>
            <w:vAlign w:val="bottom"/>
          </w:tcPr>
          <w:p>
            <w:pPr>
              <w:spacing w:after="0"/>
              <w:rPr>
                <w:sz w:val="20"/>
                <w:szCs w:val="20"/>
                <w:color w:val="auto"/>
              </w:rPr>
            </w:pPr>
          </w:p>
        </w:tc>
        <w:tc>
          <w:tcPr>
            <w:tcW w:w="5120" w:type="dxa"/>
            <w:vAlign w:val="bottom"/>
            <w:gridSpan w:val="3"/>
          </w:tcPr>
          <w:p>
            <w:pPr>
              <w:ind w:left="940"/>
              <w:spacing w:after="0"/>
              <w:rPr>
                <w:sz w:val="20"/>
                <w:szCs w:val="20"/>
                <w:color w:val="auto"/>
              </w:rPr>
            </w:pPr>
            <w:r>
              <w:rPr>
                <w:rFonts w:ascii="Times New Roman" w:cs="Times New Roman" w:eastAsia="Times New Roman" w:hAnsi="Times New Roman"/>
                <w:sz w:val="18"/>
                <w:szCs w:val="18"/>
                <w:b w:val="1"/>
                <w:bCs w:val="1"/>
                <w:color w:val="auto"/>
              </w:rPr>
              <w:t>TABLE OF CONTENTS</w:t>
            </w:r>
          </w:p>
        </w:tc>
        <w:tc>
          <w:tcPr>
            <w:tcW w:w="2420" w:type="dxa"/>
            <w:vAlign w:val="bottom"/>
          </w:tcPr>
          <w:p>
            <w:pPr>
              <w:spacing w:after="0"/>
              <w:rPr>
                <w:sz w:val="20"/>
                <w:szCs w:val="20"/>
                <w:color w:val="auto"/>
              </w:rPr>
            </w:pPr>
          </w:p>
        </w:tc>
      </w:tr>
      <w:tr>
        <w:trPr>
          <w:trHeight w:val="419"/>
        </w:trPr>
        <w:tc>
          <w:tcPr>
            <w:tcW w:w="2240" w:type="dxa"/>
            <w:vAlign w:val="bottom"/>
            <w:tcBorders>
              <w:bottom w:val="single" w:sz="8" w:color="0000EE"/>
            </w:tcBorders>
            <w:gridSpan w:val="8"/>
          </w:tcPr>
          <w:p>
            <w:pPr>
              <w:spacing w:after="0"/>
              <w:rPr>
                <w:rFonts w:ascii="Times New Roman" w:cs="Times New Roman" w:eastAsia="Times New Roman" w:hAnsi="Times New Roman"/>
                <w:sz w:val="18"/>
                <w:szCs w:val="18"/>
                <w:color w:val="0000EE"/>
                <w:w w:val="99"/>
              </w:rPr>
            </w:pPr>
            <w:hyperlink w:anchor="page6">
              <w:r>
                <w:rPr>
                  <w:rFonts w:ascii="Times New Roman" w:cs="Times New Roman" w:eastAsia="Times New Roman" w:hAnsi="Times New Roman"/>
                  <w:sz w:val="18"/>
                  <w:szCs w:val="18"/>
                  <w:color w:val="0000EE"/>
                  <w:w w:val="99"/>
                </w:rPr>
                <w:t>ABOUT THIS PROSPECTUS</w:t>
              </w:r>
            </w:hyperlink>
          </w:p>
        </w:tc>
        <w:tc>
          <w:tcPr>
            <w:tcW w:w="6700" w:type="dxa"/>
            <w:vAlign w:val="bottom"/>
            <w:gridSpan w:val="5"/>
          </w:tcPr>
          <w:p>
            <w:pPr>
              <w:spacing w:after="0"/>
              <w:rPr>
                <w:sz w:val="24"/>
                <w:szCs w:val="24"/>
                <w:color w:val="auto"/>
              </w:rPr>
            </w:pPr>
          </w:p>
        </w:tc>
        <w:tc>
          <w:tcPr>
            <w:tcW w:w="24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ii</w:t>
            </w:r>
          </w:p>
        </w:tc>
      </w:tr>
      <w:tr>
        <w:trPr>
          <w:trHeight w:val="196"/>
        </w:trPr>
        <w:tc>
          <w:tcPr>
            <w:tcW w:w="8940" w:type="dxa"/>
            <w:vAlign w:val="bottom"/>
            <w:gridSpan w:val="13"/>
          </w:tcPr>
          <w:p>
            <w:pPr>
              <w:spacing w:after="0" w:line="196" w:lineRule="exact"/>
              <w:rPr>
                <w:rFonts w:ascii="Times New Roman" w:cs="Times New Roman" w:eastAsia="Times New Roman" w:hAnsi="Times New Roman"/>
                <w:sz w:val="18"/>
                <w:szCs w:val="18"/>
                <w:color w:val="0000EE"/>
              </w:rPr>
            </w:pPr>
            <w:hyperlink w:anchor="page6">
              <w:r>
                <w:rPr>
                  <w:rFonts w:ascii="Times New Roman" w:cs="Times New Roman" w:eastAsia="Times New Roman" w:hAnsi="Times New Roman"/>
                  <w:sz w:val="18"/>
                  <w:szCs w:val="18"/>
                  <w:color w:val="0000EE"/>
                </w:rPr>
                <w:t>WHERE YOU CAN FIND MORE INFORMATION</w:t>
              </w:r>
            </w:hyperlink>
          </w:p>
        </w:tc>
        <w:tc>
          <w:tcPr>
            <w:tcW w:w="242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ii</w:t>
            </w:r>
          </w:p>
        </w:tc>
      </w:tr>
      <w:tr>
        <w:trPr>
          <w:trHeight w:val="20"/>
        </w:trPr>
        <w:tc>
          <w:tcPr>
            <w:tcW w:w="7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3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480" w:type="dxa"/>
            <w:vAlign w:val="bottom"/>
            <w:shd w:val="clear" w:color="auto" w:fill="0000EE"/>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1000" w:type="dxa"/>
            <w:vAlign w:val="bottom"/>
            <w:tcBorders>
              <w:right w:val="single" w:sz="8" w:color="0000EE"/>
            </w:tcBorders>
            <w:shd w:val="clear" w:color="auto" w:fill="0000EE"/>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2600" w:type="dxa"/>
            <w:vAlign w:val="bottom"/>
          </w:tcPr>
          <w:p>
            <w:pPr>
              <w:spacing w:after="0" w:line="20" w:lineRule="exact"/>
              <w:rPr>
                <w:sz w:val="1"/>
                <w:szCs w:val="1"/>
                <w:color w:val="auto"/>
              </w:rPr>
            </w:pPr>
          </w:p>
        </w:tc>
        <w:tc>
          <w:tcPr>
            <w:tcW w:w="2420" w:type="dxa"/>
            <w:vAlign w:val="bottom"/>
          </w:tcPr>
          <w:p>
            <w:pPr>
              <w:spacing w:after="0" w:line="20" w:lineRule="exact"/>
              <w:rPr>
                <w:sz w:val="1"/>
                <w:szCs w:val="1"/>
                <w:color w:val="auto"/>
              </w:rPr>
            </w:pPr>
          </w:p>
        </w:tc>
      </w:tr>
      <w:tr>
        <w:trPr>
          <w:trHeight w:val="196"/>
        </w:trPr>
        <w:tc>
          <w:tcPr>
            <w:tcW w:w="8940" w:type="dxa"/>
            <w:vAlign w:val="bottom"/>
            <w:gridSpan w:val="13"/>
          </w:tcPr>
          <w:p>
            <w:pPr>
              <w:spacing w:after="0" w:line="196" w:lineRule="exact"/>
              <w:rPr>
                <w:rFonts w:ascii="Times New Roman" w:cs="Times New Roman" w:eastAsia="Times New Roman" w:hAnsi="Times New Roman"/>
                <w:sz w:val="18"/>
                <w:szCs w:val="18"/>
                <w:color w:val="0000EE"/>
              </w:rPr>
            </w:pPr>
            <w:hyperlink w:anchor="page6">
              <w:r>
                <w:rPr>
                  <w:rFonts w:ascii="Times New Roman" w:cs="Times New Roman" w:eastAsia="Times New Roman" w:hAnsi="Times New Roman"/>
                  <w:sz w:val="18"/>
                  <w:szCs w:val="18"/>
                  <w:color w:val="0000EE"/>
                </w:rPr>
                <w:t>INCORPORATION OF CERTAIN DOCUMENTS BY REFERENCE</w:t>
              </w:r>
            </w:hyperlink>
          </w:p>
        </w:tc>
        <w:tc>
          <w:tcPr>
            <w:tcW w:w="242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ii</w:t>
            </w:r>
          </w:p>
        </w:tc>
      </w:tr>
      <w:tr>
        <w:trPr>
          <w:trHeight w:val="20"/>
        </w:trPr>
        <w:tc>
          <w:tcPr>
            <w:tcW w:w="7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3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480" w:type="dxa"/>
            <w:vAlign w:val="bottom"/>
            <w:shd w:val="clear" w:color="auto" w:fill="0000EE"/>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1000" w:type="dxa"/>
            <w:vAlign w:val="bottom"/>
            <w:tcBorders>
              <w:right w:val="single" w:sz="8" w:color="0000EE"/>
            </w:tcBorders>
            <w:shd w:val="clear" w:color="auto" w:fill="0000EE"/>
          </w:tcPr>
          <w:p>
            <w:pPr>
              <w:spacing w:after="0" w:line="20" w:lineRule="exact"/>
              <w:rPr>
                <w:sz w:val="1"/>
                <w:szCs w:val="1"/>
                <w:color w:val="auto"/>
              </w:rPr>
            </w:pPr>
          </w:p>
        </w:tc>
        <w:tc>
          <w:tcPr>
            <w:tcW w:w="1240" w:type="dxa"/>
            <w:vAlign w:val="bottom"/>
            <w:shd w:val="clear" w:color="auto" w:fill="0000EE"/>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2600" w:type="dxa"/>
            <w:vAlign w:val="bottom"/>
          </w:tcPr>
          <w:p>
            <w:pPr>
              <w:spacing w:after="0" w:line="20" w:lineRule="exact"/>
              <w:rPr>
                <w:sz w:val="1"/>
                <w:szCs w:val="1"/>
                <w:color w:val="auto"/>
              </w:rPr>
            </w:pPr>
          </w:p>
        </w:tc>
        <w:tc>
          <w:tcPr>
            <w:tcW w:w="2420" w:type="dxa"/>
            <w:vAlign w:val="bottom"/>
          </w:tcPr>
          <w:p>
            <w:pPr>
              <w:spacing w:after="0" w:line="20" w:lineRule="exact"/>
              <w:rPr>
                <w:sz w:val="1"/>
                <w:szCs w:val="1"/>
                <w:color w:val="auto"/>
              </w:rPr>
            </w:pPr>
          </w:p>
        </w:tc>
      </w:tr>
      <w:tr>
        <w:trPr>
          <w:trHeight w:val="196"/>
        </w:trPr>
        <w:tc>
          <w:tcPr>
            <w:tcW w:w="8940" w:type="dxa"/>
            <w:vAlign w:val="bottom"/>
            <w:gridSpan w:val="13"/>
          </w:tcPr>
          <w:p>
            <w:pPr>
              <w:spacing w:after="0" w:line="196" w:lineRule="exact"/>
              <w:rPr>
                <w:rFonts w:ascii="Times New Roman" w:cs="Times New Roman" w:eastAsia="Times New Roman" w:hAnsi="Times New Roman"/>
                <w:sz w:val="18"/>
                <w:szCs w:val="18"/>
                <w:color w:val="0000EE"/>
              </w:rPr>
            </w:pPr>
            <w:hyperlink w:anchor="page7">
              <w:r>
                <w:rPr>
                  <w:rFonts w:ascii="Times New Roman" w:cs="Times New Roman" w:eastAsia="Times New Roman" w:hAnsi="Times New Roman"/>
                  <w:sz w:val="18"/>
                  <w:szCs w:val="18"/>
                  <w:color w:val="0000EE"/>
                </w:rPr>
                <w:t>CAUTIONARY STATEMENT REGARDING FORWARD-LOOKING STATEMENTS</w:t>
              </w:r>
            </w:hyperlink>
          </w:p>
        </w:tc>
        <w:tc>
          <w:tcPr>
            <w:tcW w:w="242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iii</w:t>
            </w:r>
          </w:p>
        </w:tc>
      </w:tr>
      <w:tr>
        <w:trPr>
          <w:trHeight w:val="196"/>
        </w:trPr>
        <w:tc>
          <w:tcPr>
            <w:tcW w:w="6340" w:type="dxa"/>
            <w:vAlign w:val="bottom"/>
            <w:tcBorders>
              <w:top w:val="single" w:sz="8" w:color="0000EE"/>
            </w:tcBorders>
            <w:gridSpan w:val="12"/>
          </w:tcPr>
          <w:p>
            <w:pPr>
              <w:spacing w:after="0" w:line="196" w:lineRule="exact"/>
              <w:rPr>
                <w:rFonts w:ascii="Times New Roman" w:cs="Times New Roman" w:eastAsia="Times New Roman" w:hAnsi="Times New Roman"/>
                <w:sz w:val="18"/>
                <w:szCs w:val="18"/>
                <w:color w:val="0000EE"/>
              </w:rPr>
            </w:pPr>
            <w:hyperlink w:anchor="page8">
              <w:r>
                <w:rPr>
                  <w:rFonts w:ascii="Times New Roman" w:cs="Times New Roman" w:eastAsia="Times New Roman" w:hAnsi="Times New Roman"/>
                  <w:sz w:val="18"/>
                  <w:szCs w:val="18"/>
                  <w:color w:val="0000EE"/>
                </w:rPr>
                <w:t>SUMMARY</w:t>
              </w:r>
            </w:hyperlink>
          </w:p>
        </w:tc>
        <w:tc>
          <w:tcPr>
            <w:tcW w:w="2600" w:type="dxa"/>
            <w:vAlign w:val="bottom"/>
          </w:tcPr>
          <w:p>
            <w:pPr>
              <w:spacing w:after="0"/>
              <w:rPr>
                <w:sz w:val="17"/>
                <w:szCs w:val="17"/>
                <w:color w:val="auto"/>
              </w:rPr>
            </w:pPr>
          </w:p>
        </w:tc>
        <w:tc>
          <w:tcPr>
            <w:tcW w:w="242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1</w:t>
            </w:r>
          </w:p>
        </w:tc>
      </w:tr>
      <w:tr>
        <w:trPr>
          <w:trHeight w:val="20"/>
        </w:trPr>
        <w:tc>
          <w:tcPr>
            <w:tcW w:w="7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760" w:type="dxa"/>
            <w:vAlign w:val="bottom"/>
            <w:gridSpan w:val="2"/>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5120" w:type="dxa"/>
            <w:vAlign w:val="bottom"/>
            <w:gridSpan w:val="3"/>
          </w:tcPr>
          <w:p>
            <w:pPr>
              <w:spacing w:after="0" w:line="20" w:lineRule="exact"/>
              <w:rPr>
                <w:sz w:val="1"/>
                <w:szCs w:val="1"/>
                <w:color w:val="auto"/>
              </w:rPr>
            </w:pPr>
          </w:p>
        </w:tc>
        <w:tc>
          <w:tcPr>
            <w:tcW w:w="2420" w:type="dxa"/>
            <w:vAlign w:val="bottom"/>
          </w:tcPr>
          <w:p>
            <w:pPr>
              <w:spacing w:after="0" w:line="20" w:lineRule="exact"/>
              <w:rPr>
                <w:sz w:val="1"/>
                <w:szCs w:val="1"/>
                <w:color w:val="auto"/>
              </w:rPr>
            </w:pPr>
          </w:p>
        </w:tc>
      </w:tr>
      <w:tr>
        <w:trPr>
          <w:trHeight w:val="196"/>
        </w:trPr>
        <w:tc>
          <w:tcPr>
            <w:tcW w:w="8940" w:type="dxa"/>
            <w:vAlign w:val="bottom"/>
            <w:gridSpan w:val="13"/>
          </w:tcPr>
          <w:p>
            <w:pPr>
              <w:spacing w:after="0" w:line="196" w:lineRule="exact"/>
              <w:rPr>
                <w:rFonts w:ascii="Times New Roman" w:cs="Times New Roman" w:eastAsia="Times New Roman" w:hAnsi="Times New Roman"/>
                <w:sz w:val="18"/>
                <w:szCs w:val="18"/>
                <w:color w:val="0000EE"/>
              </w:rPr>
            </w:pPr>
            <w:hyperlink w:anchor="page9">
              <w:r>
                <w:rPr>
                  <w:rFonts w:ascii="Times New Roman" w:cs="Times New Roman" w:eastAsia="Times New Roman" w:hAnsi="Times New Roman"/>
                  <w:sz w:val="18"/>
                  <w:szCs w:val="18"/>
                  <w:color w:val="0000EE"/>
                </w:rPr>
                <w:t>THE OFFERING</w:t>
              </w:r>
            </w:hyperlink>
          </w:p>
        </w:tc>
        <w:tc>
          <w:tcPr>
            <w:tcW w:w="242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2</w:t>
            </w:r>
          </w:p>
        </w:tc>
      </w:tr>
      <w:tr>
        <w:trPr>
          <w:trHeight w:val="196"/>
        </w:trPr>
        <w:tc>
          <w:tcPr>
            <w:tcW w:w="1260" w:type="dxa"/>
            <w:vAlign w:val="bottom"/>
            <w:tcBorders>
              <w:top w:val="single" w:sz="8" w:color="0000EE"/>
              <w:bottom w:val="single" w:sz="8" w:color="0000EE"/>
            </w:tcBorders>
            <w:gridSpan w:val="3"/>
          </w:tcPr>
          <w:p>
            <w:pPr>
              <w:spacing w:after="0" w:line="196" w:lineRule="exact"/>
              <w:rPr>
                <w:rFonts w:ascii="Times New Roman" w:cs="Times New Roman" w:eastAsia="Times New Roman" w:hAnsi="Times New Roman"/>
                <w:sz w:val="18"/>
                <w:szCs w:val="18"/>
                <w:color w:val="0000EE"/>
                <w:w w:val="97"/>
              </w:rPr>
            </w:pPr>
            <w:hyperlink w:anchor="page9">
              <w:r>
                <w:rPr>
                  <w:rFonts w:ascii="Times New Roman" w:cs="Times New Roman" w:eastAsia="Times New Roman" w:hAnsi="Times New Roman"/>
                  <w:sz w:val="18"/>
                  <w:szCs w:val="18"/>
                  <w:color w:val="0000EE"/>
                  <w:w w:val="97"/>
                </w:rPr>
                <w:t>RISK FACTORS</w:t>
              </w:r>
            </w:hyperlink>
          </w:p>
        </w:tc>
        <w:tc>
          <w:tcPr>
            <w:tcW w:w="20" w:type="dxa"/>
            <w:vAlign w:val="bottom"/>
            <w:tcBorders>
              <w:top w:val="single" w:sz="8" w:color="0000EE"/>
            </w:tcBorders>
          </w:tcPr>
          <w:p>
            <w:pPr>
              <w:spacing w:after="0"/>
              <w:rPr>
                <w:sz w:val="17"/>
                <w:szCs w:val="17"/>
                <w:color w:val="auto"/>
              </w:rPr>
            </w:pPr>
          </w:p>
        </w:tc>
        <w:tc>
          <w:tcPr>
            <w:tcW w:w="7660" w:type="dxa"/>
            <w:vAlign w:val="bottom"/>
            <w:gridSpan w:val="9"/>
          </w:tcPr>
          <w:p>
            <w:pPr>
              <w:spacing w:after="0"/>
              <w:rPr>
                <w:sz w:val="17"/>
                <w:szCs w:val="17"/>
                <w:color w:val="auto"/>
              </w:rPr>
            </w:pPr>
          </w:p>
        </w:tc>
        <w:tc>
          <w:tcPr>
            <w:tcW w:w="242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2</w:t>
            </w:r>
          </w:p>
        </w:tc>
      </w:tr>
      <w:tr>
        <w:trPr>
          <w:trHeight w:val="196"/>
        </w:trPr>
        <w:tc>
          <w:tcPr>
            <w:tcW w:w="8940" w:type="dxa"/>
            <w:vAlign w:val="bottom"/>
            <w:gridSpan w:val="13"/>
          </w:tcPr>
          <w:p>
            <w:pPr>
              <w:spacing w:after="0" w:line="196" w:lineRule="exact"/>
              <w:rPr>
                <w:rFonts w:ascii="Times New Roman" w:cs="Times New Roman" w:eastAsia="Times New Roman" w:hAnsi="Times New Roman"/>
                <w:sz w:val="18"/>
                <w:szCs w:val="18"/>
                <w:color w:val="0000EE"/>
              </w:rPr>
            </w:pPr>
            <w:hyperlink w:anchor="page9">
              <w:r>
                <w:rPr>
                  <w:rFonts w:ascii="Times New Roman" w:cs="Times New Roman" w:eastAsia="Times New Roman" w:hAnsi="Times New Roman"/>
                  <w:sz w:val="18"/>
                  <w:szCs w:val="18"/>
                  <w:color w:val="0000EE"/>
                </w:rPr>
                <w:t>USE OF PROCEEDS</w:t>
              </w:r>
            </w:hyperlink>
          </w:p>
        </w:tc>
        <w:tc>
          <w:tcPr>
            <w:tcW w:w="242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2</w:t>
            </w:r>
          </w:p>
        </w:tc>
      </w:tr>
      <w:tr>
        <w:trPr>
          <w:trHeight w:val="20"/>
        </w:trPr>
        <w:tc>
          <w:tcPr>
            <w:tcW w:w="780" w:type="dxa"/>
            <w:vAlign w:val="bottom"/>
            <w:shd w:val="clear" w:color="auto" w:fill="0000EE"/>
          </w:tcPr>
          <w:p>
            <w:pPr>
              <w:spacing w:after="0" w:line="20" w:lineRule="exact"/>
              <w:rPr>
                <w:sz w:val="1"/>
                <w:szCs w:val="1"/>
                <w:color w:val="auto"/>
              </w:rPr>
            </w:pPr>
          </w:p>
        </w:tc>
        <w:tc>
          <w:tcPr>
            <w:tcW w:w="680" w:type="dxa"/>
            <w:vAlign w:val="bottom"/>
            <w:gridSpan w:val="4"/>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760" w:type="dxa"/>
            <w:vAlign w:val="bottom"/>
            <w:gridSpan w:val="2"/>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5120" w:type="dxa"/>
            <w:vAlign w:val="bottom"/>
            <w:gridSpan w:val="3"/>
          </w:tcPr>
          <w:p>
            <w:pPr>
              <w:spacing w:after="0" w:line="20" w:lineRule="exact"/>
              <w:rPr>
                <w:sz w:val="1"/>
                <w:szCs w:val="1"/>
                <w:color w:val="auto"/>
              </w:rPr>
            </w:pPr>
          </w:p>
        </w:tc>
        <w:tc>
          <w:tcPr>
            <w:tcW w:w="2420" w:type="dxa"/>
            <w:vAlign w:val="bottom"/>
          </w:tcPr>
          <w:p>
            <w:pPr>
              <w:spacing w:after="0" w:line="20" w:lineRule="exact"/>
              <w:rPr>
                <w:sz w:val="1"/>
                <w:szCs w:val="1"/>
                <w:color w:val="auto"/>
              </w:rPr>
            </w:pPr>
          </w:p>
        </w:tc>
      </w:tr>
      <w:tr>
        <w:trPr>
          <w:trHeight w:val="196"/>
        </w:trPr>
        <w:tc>
          <w:tcPr>
            <w:tcW w:w="2060" w:type="dxa"/>
            <w:vAlign w:val="bottom"/>
            <w:tcBorders>
              <w:bottom w:val="single" w:sz="8" w:color="0000EE"/>
            </w:tcBorders>
            <w:gridSpan w:val="7"/>
          </w:tcPr>
          <w:p>
            <w:pPr>
              <w:spacing w:after="0" w:line="196" w:lineRule="exact"/>
              <w:rPr>
                <w:rFonts w:ascii="Times New Roman" w:cs="Times New Roman" w:eastAsia="Times New Roman" w:hAnsi="Times New Roman"/>
                <w:sz w:val="18"/>
                <w:szCs w:val="18"/>
                <w:color w:val="0000EE"/>
                <w:w w:val="99"/>
              </w:rPr>
            </w:pPr>
            <w:hyperlink w:anchor="page9">
              <w:r>
                <w:rPr>
                  <w:rFonts w:ascii="Times New Roman" w:cs="Times New Roman" w:eastAsia="Times New Roman" w:hAnsi="Times New Roman"/>
                  <w:sz w:val="18"/>
                  <w:szCs w:val="18"/>
                  <w:color w:val="0000EE"/>
                  <w:w w:val="99"/>
                </w:rPr>
                <w:t>PLAN OF DISTRIBUTION</w:t>
              </w:r>
            </w:hyperlink>
          </w:p>
        </w:tc>
        <w:tc>
          <w:tcPr>
            <w:tcW w:w="6880" w:type="dxa"/>
            <w:vAlign w:val="bottom"/>
            <w:gridSpan w:val="6"/>
          </w:tcPr>
          <w:p>
            <w:pPr>
              <w:spacing w:after="0"/>
              <w:rPr>
                <w:sz w:val="17"/>
                <w:szCs w:val="17"/>
                <w:color w:val="auto"/>
              </w:rPr>
            </w:pPr>
          </w:p>
        </w:tc>
        <w:tc>
          <w:tcPr>
            <w:tcW w:w="242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2</w:t>
            </w:r>
          </w:p>
        </w:tc>
      </w:tr>
      <w:tr>
        <w:trPr>
          <w:trHeight w:val="196"/>
        </w:trPr>
        <w:tc>
          <w:tcPr>
            <w:tcW w:w="3820" w:type="dxa"/>
            <w:vAlign w:val="bottom"/>
            <w:tcBorders>
              <w:bottom w:val="single" w:sz="8" w:color="0000EE"/>
            </w:tcBorders>
            <w:gridSpan w:val="10"/>
          </w:tcPr>
          <w:p>
            <w:pPr>
              <w:spacing w:after="0" w:line="196" w:lineRule="exact"/>
              <w:rPr>
                <w:rFonts w:ascii="Times New Roman" w:cs="Times New Roman" w:eastAsia="Times New Roman" w:hAnsi="Times New Roman"/>
                <w:sz w:val="18"/>
                <w:szCs w:val="18"/>
                <w:color w:val="0000EE"/>
                <w:w w:val="99"/>
              </w:rPr>
            </w:pPr>
            <w:hyperlink w:anchor="page10">
              <w:r>
                <w:rPr>
                  <w:rFonts w:ascii="Times New Roman" w:cs="Times New Roman" w:eastAsia="Times New Roman" w:hAnsi="Times New Roman"/>
                  <w:sz w:val="18"/>
                  <w:szCs w:val="18"/>
                  <w:color w:val="0000EE"/>
                  <w:w w:val="99"/>
                </w:rPr>
                <w:t>DESCRIPTION OF MARVELL CAPITAL STOCK</w:t>
              </w:r>
            </w:hyperlink>
          </w:p>
        </w:tc>
        <w:tc>
          <w:tcPr>
            <w:tcW w:w="5120" w:type="dxa"/>
            <w:vAlign w:val="bottom"/>
            <w:gridSpan w:val="3"/>
          </w:tcPr>
          <w:p>
            <w:pPr>
              <w:spacing w:after="0"/>
              <w:rPr>
                <w:sz w:val="17"/>
                <w:szCs w:val="17"/>
                <w:color w:val="auto"/>
              </w:rPr>
            </w:pPr>
          </w:p>
        </w:tc>
        <w:tc>
          <w:tcPr>
            <w:tcW w:w="242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3</w:t>
            </w:r>
          </w:p>
        </w:tc>
      </w:tr>
      <w:tr>
        <w:trPr>
          <w:trHeight w:val="196"/>
        </w:trPr>
        <w:tc>
          <w:tcPr>
            <w:tcW w:w="8940" w:type="dxa"/>
            <w:vAlign w:val="bottom"/>
            <w:gridSpan w:val="13"/>
          </w:tcPr>
          <w:p>
            <w:pPr>
              <w:spacing w:after="0" w:line="196" w:lineRule="exact"/>
              <w:rPr>
                <w:rFonts w:ascii="Times New Roman" w:cs="Times New Roman" w:eastAsia="Times New Roman" w:hAnsi="Times New Roman"/>
                <w:sz w:val="18"/>
                <w:szCs w:val="18"/>
                <w:color w:val="0000EE"/>
              </w:rPr>
            </w:pPr>
            <w:hyperlink w:anchor="page15">
              <w:r>
                <w:rPr>
                  <w:rFonts w:ascii="Times New Roman" w:cs="Times New Roman" w:eastAsia="Times New Roman" w:hAnsi="Times New Roman"/>
                  <w:sz w:val="18"/>
                  <w:szCs w:val="18"/>
                  <w:color w:val="0000EE"/>
                </w:rPr>
                <w:t>DESCRIPTION OF CAVIUM PLANS</w:t>
              </w:r>
            </w:hyperlink>
          </w:p>
        </w:tc>
        <w:tc>
          <w:tcPr>
            <w:tcW w:w="242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8</w:t>
            </w:r>
          </w:p>
        </w:tc>
      </w:tr>
      <w:tr>
        <w:trPr>
          <w:trHeight w:val="196"/>
        </w:trPr>
        <w:tc>
          <w:tcPr>
            <w:tcW w:w="2820" w:type="dxa"/>
            <w:vAlign w:val="bottom"/>
            <w:tcBorders>
              <w:top w:val="single" w:sz="8" w:color="0000EE"/>
            </w:tcBorders>
            <w:gridSpan w:val="9"/>
          </w:tcPr>
          <w:p>
            <w:pPr>
              <w:spacing w:after="0" w:line="196" w:lineRule="exact"/>
              <w:rPr>
                <w:rFonts w:ascii="Times New Roman" w:cs="Times New Roman" w:eastAsia="Times New Roman" w:hAnsi="Times New Roman"/>
                <w:sz w:val="18"/>
                <w:szCs w:val="18"/>
                <w:color w:val="0000EE"/>
              </w:rPr>
            </w:pPr>
            <w:hyperlink w:anchor="page16">
              <w:r>
                <w:rPr>
                  <w:rFonts w:ascii="Times New Roman" w:cs="Times New Roman" w:eastAsia="Times New Roman" w:hAnsi="Times New Roman"/>
                  <w:sz w:val="18"/>
                  <w:szCs w:val="18"/>
                  <w:color w:val="0000EE"/>
                </w:rPr>
                <w:t>LEGAL MATTERS</w:t>
              </w:r>
            </w:hyperlink>
          </w:p>
        </w:tc>
        <w:tc>
          <w:tcPr>
            <w:tcW w:w="6120" w:type="dxa"/>
            <w:vAlign w:val="bottom"/>
            <w:gridSpan w:val="4"/>
          </w:tcPr>
          <w:p>
            <w:pPr>
              <w:spacing w:after="0"/>
              <w:rPr>
                <w:sz w:val="17"/>
                <w:szCs w:val="17"/>
                <w:color w:val="auto"/>
              </w:rPr>
            </w:pPr>
          </w:p>
        </w:tc>
        <w:tc>
          <w:tcPr>
            <w:tcW w:w="242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9</w:t>
            </w:r>
          </w:p>
        </w:tc>
      </w:tr>
      <w:tr>
        <w:trPr>
          <w:trHeight w:val="196"/>
        </w:trPr>
        <w:tc>
          <w:tcPr>
            <w:tcW w:w="780" w:type="dxa"/>
            <w:vAlign w:val="bottom"/>
            <w:tcBorders>
              <w:top w:val="single" w:sz="8" w:color="0000EE"/>
              <w:bottom w:val="single" w:sz="8" w:color="0000EE"/>
            </w:tcBorders>
          </w:tcPr>
          <w:p>
            <w:pPr>
              <w:spacing w:after="0" w:line="196" w:lineRule="exact"/>
              <w:rPr>
                <w:rFonts w:ascii="Times New Roman" w:cs="Times New Roman" w:eastAsia="Times New Roman" w:hAnsi="Times New Roman"/>
                <w:sz w:val="18"/>
                <w:szCs w:val="18"/>
                <w:color w:val="0000EE"/>
                <w:w w:val="97"/>
              </w:rPr>
            </w:pPr>
            <w:hyperlink w:anchor="page16">
              <w:r>
                <w:rPr>
                  <w:rFonts w:ascii="Times New Roman" w:cs="Times New Roman" w:eastAsia="Times New Roman" w:hAnsi="Times New Roman"/>
                  <w:sz w:val="18"/>
                  <w:szCs w:val="18"/>
                  <w:color w:val="0000EE"/>
                  <w:w w:val="97"/>
                </w:rPr>
                <w:t>EXPERTS</w:t>
              </w:r>
            </w:hyperlink>
          </w:p>
        </w:tc>
        <w:tc>
          <w:tcPr>
            <w:tcW w:w="680" w:type="dxa"/>
            <w:vAlign w:val="bottom"/>
            <w:tcBorders>
              <w:top w:val="single" w:sz="8" w:color="0000EE"/>
            </w:tcBorders>
            <w:gridSpan w:val="4"/>
          </w:tcPr>
          <w:p>
            <w:pPr>
              <w:spacing w:after="0"/>
              <w:rPr>
                <w:sz w:val="17"/>
                <w:szCs w:val="17"/>
                <w:color w:val="auto"/>
              </w:rPr>
            </w:pPr>
          </w:p>
        </w:tc>
        <w:tc>
          <w:tcPr>
            <w:tcW w:w="7480" w:type="dxa"/>
            <w:vAlign w:val="bottom"/>
            <w:gridSpan w:val="8"/>
          </w:tcPr>
          <w:p>
            <w:pPr>
              <w:spacing w:after="0"/>
              <w:rPr>
                <w:sz w:val="17"/>
                <w:szCs w:val="17"/>
                <w:color w:val="auto"/>
              </w:rPr>
            </w:pPr>
          </w:p>
        </w:tc>
        <w:tc>
          <w:tcPr>
            <w:tcW w:w="242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9</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2869565</wp:posOffset>
            </wp:positionH>
            <wp:positionV relativeFrom="paragraph">
              <wp:posOffset>240030</wp:posOffset>
            </wp:positionV>
            <wp:extent cx="151765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0"/>
          <w:szCs w:val="20"/>
          <w:color w:val="auto"/>
        </w:rPr>
      </w:pPr>
    </w:p>
    <w:p>
      <w:pPr>
        <w:spacing w:after="0" w:line="365" w:lineRule="exact"/>
        <w:rPr>
          <w:sz w:val="20"/>
          <w:szCs w:val="20"/>
          <w:color w:val="auto"/>
        </w:rPr>
      </w:pPr>
    </w:p>
    <w:p>
      <w:pPr>
        <w:spacing w:after="0" w:line="256" w:lineRule="auto"/>
        <w:rPr>
          <w:sz w:val="20"/>
          <w:szCs w:val="20"/>
          <w:color w:val="auto"/>
        </w:rPr>
      </w:pPr>
      <w:r>
        <w:rPr>
          <w:rFonts w:ascii="Times New Roman" w:cs="Times New Roman" w:eastAsia="Times New Roman" w:hAnsi="Times New Roman"/>
          <w:sz w:val="18"/>
          <w:szCs w:val="18"/>
          <w:b w:val="1"/>
          <w:bCs w:val="1"/>
          <w:color w:val="auto"/>
        </w:rPr>
        <w:t>We have not authorized any person to give any information or to represent anything not contained or incorporated by reference into this prospectus, any accompanying prospectus supplement or any free writing prospectus filed by us with the Securities and Exchange Commission, or SEC. We do not take any responsibility for, or provide any assurance as to the reliability of, any other information that others may provide. This prospectus and any accompanying prospectus supplement constitute an offer to sell only under circumstances and in jurisdictions where it is lawful to do so. The information contained or incorporated by reference into this prospectus, any accompanying prospectus supplement and any free writing prospectus filed by us with the SEC is current only as of the date of the document containing such information. Our business, financial condition, results of operations and prospects may have changed since any such date.</w:t>
      </w:r>
    </w:p>
    <w:p>
      <w:pPr>
        <w:spacing w:after="0" w:line="120"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i</w:t>
      </w:r>
    </w:p>
    <w:p>
      <w:pPr>
        <w:sectPr>
          <w:pgSz w:w="11900" w:h="16838" w:orient="portrait"/>
          <w:cols w:equalWidth="0" w:num="1">
            <w:col w:w="11400"/>
          </w:cols>
          <w:pgMar w:left="240" w:top="266" w:right="259" w:bottom="1440" w:gutter="0" w:footer="0" w:header="0"/>
        </w:sectPr>
      </w:pPr>
    </w:p>
    <w:bookmarkStart w:id="5" w:name="page6"/>
    <w:bookmarkEnd w:id="5"/>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ABOUT THIS PROSPECTUS</w:t>
      </w:r>
    </w:p>
    <w:p>
      <w:pPr>
        <w:spacing w:after="0" w:line="229" w:lineRule="exact"/>
        <w:rPr>
          <w:sz w:val="20"/>
          <w:szCs w:val="20"/>
          <w:color w:val="auto"/>
        </w:rPr>
      </w:pPr>
    </w:p>
    <w:p>
      <w:pPr>
        <w:ind w:right="460"/>
        <w:spacing w:after="0" w:line="266" w:lineRule="auto"/>
        <w:rPr>
          <w:sz w:val="20"/>
          <w:szCs w:val="20"/>
          <w:color w:val="auto"/>
        </w:rPr>
      </w:pPr>
      <w:r>
        <w:rPr>
          <w:rFonts w:ascii="Times New Roman" w:cs="Times New Roman" w:eastAsia="Times New Roman" w:hAnsi="Times New Roman"/>
          <w:sz w:val="18"/>
          <w:szCs w:val="18"/>
          <w:color w:val="auto"/>
        </w:rPr>
        <w:t>This prospectus contains an overview of plan participant’s rights under the Cavium, Inc. 2007 Equity Incentive Plan and the Cavium, Inc. 2016 Equity Incentive Plan (collectively, the “Cavium Plans”), each of which was assumed by Marvell upon completion of Merger. As a result of the Merger, certain assumed awards granted under the Cavium Plans relate to Marvell common shares instead of shares of Cavium common stock.</w:t>
      </w:r>
    </w:p>
    <w:p>
      <w:pPr>
        <w:spacing w:after="0" w:line="176" w:lineRule="exact"/>
        <w:rPr>
          <w:sz w:val="20"/>
          <w:szCs w:val="20"/>
          <w:color w:val="auto"/>
        </w:rPr>
      </w:pPr>
    </w:p>
    <w:p>
      <w:pPr>
        <w:ind w:right="220"/>
        <w:spacing w:after="0" w:line="261" w:lineRule="auto"/>
        <w:rPr>
          <w:sz w:val="20"/>
          <w:szCs w:val="20"/>
          <w:color w:val="auto"/>
        </w:rPr>
      </w:pPr>
      <w:r>
        <w:rPr>
          <w:rFonts w:ascii="Times New Roman" w:cs="Times New Roman" w:eastAsia="Times New Roman" w:hAnsi="Times New Roman"/>
          <w:sz w:val="18"/>
          <w:szCs w:val="18"/>
          <w:color w:val="auto"/>
        </w:rPr>
        <w:t>The description of the Cavium Plans in this prospectus is merely a summary of key terms and conditions of the Cavium Plans. This prospectus does not contain all of the terms and conditions of the official plan documents for the Cavium Plans, and is expressly qualified by reference to the Cavium Plan documents for the plans and the terms and conditions of a specific grant or award. See “Where You Can Find More Information” for instructions on how to obtain copies of the plan documents.</w:t>
      </w:r>
    </w:p>
    <w:p>
      <w:pPr>
        <w:spacing w:after="0" w:line="18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In this prospectus, unless otherwise specified, currency amounts in this prospectus and any prospectus supplement are stated in U.S. dollars, or “$.”</w:t>
      </w:r>
    </w:p>
    <w:p>
      <w:pPr>
        <w:spacing w:after="0" w:line="200" w:lineRule="exact"/>
        <w:rPr>
          <w:sz w:val="20"/>
          <w:szCs w:val="20"/>
          <w:color w:val="auto"/>
        </w:rPr>
      </w:pPr>
    </w:p>
    <w:p>
      <w:pPr>
        <w:spacing w:after="0" w:line="23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WHERE YOU CAN FIND MORE INFORMATION</w:t>
      </w:r>
    </w:p>
    <w:p>
      <w:pPr>
        <w:spacing w:after="0" w:line="229" w:lineRule="exact"/>
        <w:rPr>
          <w:sz w:val="20"/>
          <w:szCs w:val="20"/>
          <w:color w:val="auto"/>
        </w:rPr>
      </w:pPr>
    </w:p>
    <w:p>
      <w:pPr>
        <w:ind w:right="80"/>
        <w:spacing w:after="0" w:line="289" w:lineRule="auto"/>
        <w:rPr>
          <w:sz w:val="20"/>
          <w:szCs w:val="20"/>
          <w:color w:val="auto"/>
        </w:rPr>
      </w:pPr>
      <w:r>
        <w:rPr>
          <w:rFonts w:ascii="Times New Roman" w:cs="Times New Roman" w:eastAsia="Times New Roman" w:hAnsi="Times New Roman"/>
          <w:sz w:val="17"/>
          <w:szCs w:val="17"/>
          <w:color w:val="auto"/>
        </w:rPr>
        <w:t>We file annual, quarterly and current reports, proxy statements and other information with the SEC. You may read and copy any document that we file at the SEC’s public reference room located at 100 F Street, N.E., Washington, D.C. 20549. Please call the SEC at (800) SEC-0330 for further information on the operation of the public reference room. Our SEC filings are also available to the public from the SEC’s website at www.sec.gov, and at the offices of Nasdaq.</w:t>
      </w:r>
    </w:p>
    <w:p>
      <w:pPr>
        <w:spacing w:after="0" w:line="370"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INCORPORATION OF CERTAIN DOCUMENTS BY REFERENCE</w:t>
      </w:r>
    </w:p>
    <w:p>
      <w:pPr>
        <w:spacing w:after="0" w:line="229" w:lineRule="exact"/>
        <w:rPr>
          <w:sz w:val="20"/>
          <w:szCs w:val="20"/>
          <w:color w:val="auto"/>
        </w:rPr>
      </w:pPr>
    </w:p>
    <w:p>
      <w:pPr>
        <w:spacing w:after="0" w:line="256" w:lineRule="auto"/>
        <w:rPr>
          <w:sz w:val="20"/>
          <w:szCs w:val="20"/>
          <w:color w:val="auto"/>
        </w:rPr>
      </w:pPr>
      <w:r>
        <w:rPr>
          <w:rFonts w:ascii="Times New Roman" w:cs="Times New Roman" w:eastAsia="Times New Roman" w:hAnsi="Times New Roman"/>
          <w:sz w:val="18"/>
          <w:szCs w:val="18"/>
          <w:color w:val="auto"/>
        </w:rPr>
        <w:t>The SEC allows us to “incorporate by reference” the information we file with the SEC, which means that we can disclose important information to you by referring you to those documents. We are incorporating by reference certain information filed previously with the SEC into this prospectus. The information incorporated by reference is considered to be part of this prospectus, and later information that we file with the SEC will automatically update this prospectus. We incorporate by reference the documents listed below, and any filings we hereafter make with the SEC under Section 13(a), 13(c), 14 or 15(d) of the Securities Exchange Act of 1934, as amended, or the Exchange Act (in each case excluding any documents or information deemed to have been furnished and not filed in accordance with SEC rules), prior to the termination of the offering under this prospectus:</w:t>
      </w:r>
    </w:p>
    <w:p>
      <w:pPr>
        <w:spacing w:after="0" w:line="93" w:lineRule="exact"/>
        <w:rPr>
          <w:sz w:val="20"/>
          <w:szCs w:val="20"/>
          <w:color w:val="auto"/>
        </w:rPr>
      </w:pPr>
    </w:p>
    <w:p>
      <w:pPr>
        <w:ind w:left="900" w:hanging="325"/>
        <w:spacing w:after="0"/>
        <w:tabs>
          <w:tab w:leader="none" w:pos="90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Annual Report on Form 10-K for the fiscal year ended February 3, 2018 as filed with the SEC on March 29, 2018;</w:t>
      </w:r>
    </w:p>
    <w:p>
      <w:pPr>
        <w:spacing w:after="0" w:line="130"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Quarterly Report on Form 10-Q for the fiscal quarter ended May 5, 2018 as filed with the SEC on June 5, 2018;</w:t>
      </w:r>
    </w:p>
    <w:p>
      <w:pPr>
        <w:spacing w:after="0" w:line="130" w:lineRule="exact"/>
        <w:rPr>
          <w:rFonts w:ascii="Times New Roman" w:cs="Times New Roman" w:eastAsia="Times New Roman" w:hAnsi="Times New Roman"/>
          <w:sz w:val="18"/>
          <w:szCs w:val="18"/>
          <w:color w:val="auto"/>
        </w:rPr>
      </w:pPr>
    </w:p>
    <w:p>
      <w:pPr>
        <w:ind w:left="900" w:right="520" w:hanging="325"/>
        <w:spacing w:after="0" w:line="282" w:lineRule="auto"/>
        <w:tabs>
          <w:tab w:leader="none" w:pos="90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Current Reports on Form 8-K filed with the SEC on March 9, 2018, March 15, 2018, March 16, 2018, May 8, 2018, May 24, 2018, two on June 13, 2018, June 22, 2018, June 29, 2018 and July 6, 2018; and</w:t>
      </w:r>
    </w:p>
    <w:p>
      <w:pPr>
        <w:spacing w:after="0" w:line="67" w:lineRule="exact"/>
        <w:rPr>
          <w:rFonts w:ascii="Times New Roman" w:cs="Times New Roman" w:eastAsia="Times New Roman" w:hAnsi="Times New Roman"/>
          <w:sz w:val="18"/>
          <w:szCs w:val="18"/>
          <w:color w:val="auto"/>
        </w:rPr>
      </w:pPr>
    </w:p>
    <w:p>
      <w:pPr>
        <w:ind w:left="900" w:right="20" w:hanging="325"/>
        <w:spacing w:after="0" w:line="282" w:lineRule="auto"/>
        <w:tabs>
          <w:tab w:leader="none" w:pos="90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description of Marvell’s common shares contained in Marvell’s registration statement on Form 8-A filed under the Exchange Act on June 22, 2000, including any amendment or report filed for the purpose of updating such description.</w:t>
      </w:r>
    </w:p>
    <w:p>
      <w:pPr>
        <w:spacing w:after="0" w:line="9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ii</w:t>
      </w:r>
    </w:p>
    <w:p>
      <w:pPr>
        <w:sectPr>
          <w:pgSz w:w="11900" w:h="16838" w:orient="portrait"/>
          <w:cols w:equalWidth="0" w:num="1">
            <w:col w:w="11420"/>
          </w:cols>
          <w:pgMar w:left="240" w:top="266" w:right="239" w:bottom="1440" w:gutter="0" w:footer="0" w:header="0"/>
        </w:sectPr>
      </w:pPr>
    </w:p>
    <w:bookmarkStart w:id="6" w:name="page7"/>
    <w:bookmarkEnd w:id="6"/>
    <w:p>
      <w:pPr>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We will provide to each person, including any beneficial owner, to whom this prospectus is delivered copies of this prospectus and any of the documents incorporated by reference into this prospectus, excluding any exhibit to those documents unless the exhibit is specifically incorporated by reference into those documents, without charge, by written or oral request directed to:</w:t>
      </w:r>
    </w:p>
    <w:p>
      <w:pPr>
        <w:spacing w:after="0" w:line="176" w:lineRule="exact"/>
        <w:rPr>
          <w:sz w:val="20"/>
          <w:szCs w:val="20"/>
          <w:color w:val="auto"/>
        </w:rPr>
      </w:pPr>
    </w:p>
    <w:p>
      <w:pPr>
        <w:ind w:left="456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7" w:lineRule="exact"/>
        <w:rPr>
          <w:sz w:val="20"/>
          <w:szCs w:val="20"/>
          <w:color w:val="auto"/>
        </w:rPr>
      </w:pPr>
    </w:p>
    <w:p>
      <w:pPr>
        <w:ind w:left="4560"/>
        <w:spacing w:after="0"/>
        <w:rPr>
          <w:sz w:val="20"/>
          <w:szCs w:val="20"/>
          <w:color w:val="auto"/>
        </w:rPr>
      </w:pPr>
      <w:r>
        <w:rPr>
          <w:rFonts w:ascii="Times New Roman" w:cs="Times New Roman" w:eastAsia="Times New Roman" w:hAnsi="Times New Roman"/>
          <w:sz w:val="18"/>
          <w:szCs w:val="18"/>
          <w:color w:val="auto"/>
        </w:rPr>
        <w:t>c/o Marvell Semiconductor, Inc.</w:t>
      </w:r>
    </w:p>
    <w:p>
      <w:pPr>
        <w:spacing w:after="0" w:line="9"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5488 Marvell Lane</w:t>
      </w:r>
    </w:p>
    <w:p>
      <w:pPr>
        <w:spacing w:after="0" w:line="9" w:lineRule="exact"/>
        <w:rPr>
          <w:sz w:val="20"/>
          <w:szCs w:val="20"/>
          <w:color w:val="auto"/>
        </w:rPr>
      </w:pPr>
    </w:p>
    <w:p>
      <w:pPr>
        <w:ind w:left="4640"/>
        <w:spacing w:after="0"/>
        <w:rPr>
          <w:sz w:val="20"/>
          <w:szCs w:val="20"/>
          <w:color w:val="auto"/>
        </w:rPr>
      </w:pPr>
      <w:r>
        <w:rPr>
          <w:rFonts w:ascii="Times New Roman" w:cs="Times New Roman" w:eastAsia="Times New Roman" w:hAnsi="Times New Roman"/>
          <w:sz w:val="18"/>
          <w:szCs w:val="18"/>
          <w:color w:val="auto"/>
        </w:rPr>
        <w:t>Santa Clara, California 95054</w:t>
      </w:r>
    </w:p>
    <w:p>
      <w:pPr>
        <w:spacing w:after="0" w:line="9" w:lineRule="exact"/>
        <w:rPr>
          <w:sz w:val="20"/>
          <w:szCs w:val="20"/>
          <w:color w:val="auto"/>
        </w:rPr>
      </w:pPr>
    </w:p>
    <w:p>
      <w:pPr>
        <w:ind w:left="4660"/>
        <w:spacing w:after="0"/>
        <w:rPr>
          <w:sz w:val="20"/>
          <w:szCs w:val="20"/>
          <w:color w:val="auto"/>
        </w:rPr>
      </w:pPr>
      <w:r>
        <w:rPr>
          <w:rFonts w:ascii="Times New Roman" w:cs="Times New Roman" w:eastAsia="Times New Roman" w:hAnsi="Times New Roman"/>
          <w:sz w:val="18"/>
          <w:szCs w:val="18"/>
          <w:color w:val="auto"/>
        </w:rPr>
        <w:t>Attention: Investor Relations</w:t>
      </w:r>
    </w:p>
    <w:p>
      <w:pPr>
        <w:spacing w:after="0" w:line="9" w:lineRule="exact"/>
        <w:rPr>
          <w:sz w:val="20"/>
          <w:szCs w:val="20"/>
          <w:color w:val="auto"/>
        </w:rPr>
      </w:pPr>
    </w:p>
    <w:p>
      <w:pPr>
        <w:jc w:val="right"/>
        <w:ind w:left="5120" w:right="5080" w:firstLine="32"/>
        <w:spacing w:after="0" w:line="290" w:lineRule="auto"/>
        <w:tabs>
          <w:tab w:leader="none" w:pos="5583" w:val="left"/>
        </w:tabs>
        <w:numPr>
          <w:ilvl w:val="0"/>
          <w:numId w:val="3"/>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222-0777 ir@marvell.com</w:t>
      </w:r>
    </w:p>
    <w:p>
      <w:pPr>
        <w:spacing w:after="0" w:line="370"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CAUTIONARY STATEMENT REGARDING FORWARD-LOOKING STATEMENTS</w:t>
      </w:r>
    </w:p>
    <w:p>
      <w:pPr>
        <w:spacing w:after="0" w:line="229" w:lineRule="exact"/>
        <w:rPr>
          <w:sz w:val="20"/>
          <w:szCs w:val="20"/>
          <w:color w:val="auto"/>
        </w:rPr>
      </w:pPr>
    </w:p>
    <w:p>
      <w:pPr>
        <w:ind w:right="140"/>
        <w:spacing w:after="0" w:line="254" w:lineRule="auto"/>
        <w:rPr>
          <w:sz w:val="20"/>
          <w:szCs w:val="20"/>
          <w:color w:val="auto"/>
        </w:rPr>
      </w:pPr>
      <w:r>
        <w:rPr>
          <w:rFonts w:ascii="Times New Roman" w:cs="Times New Roman" w:eastAsia="Times New Roman" w:hAnsi="Times New Roman"/>
          <w:sz w:val="18"/>
          <w:szCs w:val="18"/>
          <w:color w:val="auto"/>
        </w:rPr>
        <w:t>This prospectus and the documents incorporated by reference into this prospectus contain certain “forward-looking statements” within the meaning of the “safe harbor” provisions of the Private Securities Litigation Reform Act of 1995, as amended. Forward-looking statements provide current expectations of future events based on certain assumptions and include any statement that does not directly relate to any historical or current fact. Words such as “anticipates,” “expects,” “intends,” “plans,” “predicts,” “believes,” “seeks,” “estimates,” “targets,” “goals,” “could,” “would,” “will,” “may,” “can,” “continue,” “potential,” “should,” and the negative of these terms or other comparable terminology often identify forward-looking statements. Forward-looking statements are not guarantees of future performance and our actual results may differ significantly from the results discussed in the forward-looking statements. Factors that might cause such differences include, but are not limited to, those discussed in Part I, Item 1A of our most recent Annual Report on Form 10-K and Part II, Item 1A of our most recent Quarterly Report on Form 10-Q under the heading “Risk Factors,” which are incorporated herein by reference. We assume no obligation to revise or update any forward-looking statements for any reason, except as required by law.</w:t>
      </w:r>
    </w:p>
    <w:p>
      <w:pPr>
        <w:spacing w:after="0" w:line="200" w:lineRule="exact"/>
        <w:rPr>
          <w:sz w:val="20"/>
          <w:szCs w:val="20"/>
          <w:color w:val="auto"/>
        </w:rPr>
      </w:pPr>
    </w:p>
    <w:p>
      <w:pPr>
        <w:spacing w:after="0" w:line="200" w:lineRule="exact"/>
        <w:rPr>
          <w:sz w:val="20"/>
          <w:szCs w:val="20"/>
          <w:color w:val="auto"/>
        </w:rPr>
      </w:pPr>
    </w:p>
    <w:p>
      <w:pPr>
        <w:spacing w:after="0" w:line="221"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iii</w:t>
      </w:r>
    </w:p>
    <w:p>
      <w:pPr>
        <w:sectPr>
          <w:pgSz w:w="11900" w:h="16838" w:orient="portrait"/>
          <w:cols w:equalWidth="0" w:num="1">
            <w:col w:w="11380"/>
          </w:cols>
          <w:pgMar w:left="240" w:top="270" w:right="279" w:bottom="1440" w:gutter="0" w:footer="0" w:header="0"/>
        </w:sectPr>
      </w:pPr>
    </w:p>
    <w:bookmarkStart w:id="7" w:name="page8"/>
    <w:bookmarkEnd w:id="7"/>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SUMMARY</w:t>
      </w:r>
    </w:p>
    <w:p>
      <w:pPr>
        <w:spacing w:after="0" w:line="227" w:lineRule="exact"/>
        <w:rPr>
          <w:sz w:val="20"/>
          <w:szCs w:val="20"/>
          <w:color w:val="auto"/>
        </w:rPr>
      </w:pPr>
    </w:p>
    <w:p>
      <w:pPr>
        <w:ind w:right="100"/>
        <w:spacing w:after="0" w:line="261" w:lineRule="auto"/>
        <w:rPr>
          <w:sz w:val="20"/>
          <w:szCs w:val="20"/>
          <w:color w:val="auto"/>
        </w:rPr>
      </w:pPr>
      <w:r>
        <w:rPr>
          <w:rFonts w:ascii="Times New Roman" w:cs="Times New Roman" w:eastAsia="Times New Roman" w:hAnsi="Times New Roman"/>
          <w:sz w:val="18"/>
          <w:szCs w:val="18"/>
          <w:i w:val="1"/>
          <w:iCs w:val="1"/>
          <w:color w:val="auto"/>
        </w:rPr>
        <w:t>This section summarizes selected information presented in greater detail elsewhere in this prospectus. However, this summary may not contain all of the information that may be important to you in determining whether to invest in our securities. You are urged to carefully read the remainder of this prospectus, any prospectus supplement and the other information incorporated by reference herein or therein which contain additional important information about Marvell.</w:t>
      </w:r>
    </w:p>
    <w:p>
      <w:pPr>
        <w:spacing w:after="0" w:line="39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29" w:lineRule="exact"/>
        <w:rPr>
          <w:sz w:val="20"/>
          <w:szCs w:val="20"/>
          <w:color w:val="auto"/>
        </w:rPr>
      </w:pPr>
    </w:p>
    <w:p>
      <w:pPr>
        <w:ind w:right="40" w:firstLine="456"/>
        <w:spacing w:after="0" w:line="255" w:lineRule="auto"/>
        <w:rPr>
          <w:sz w:val="20"/>
          <w:szCs w:val="20"/>
          <w:color w:val="auto"/>
        </w:rPr>
      </w:pPr>
      <w:r>
        <w:rPr>
          <w:rFonts w:ascii="Times New Roman" w:cs="Times New Roman" w:eastAsia="Times New Roman" w:hAnsi="Times New Roman"/>
          <w:sz w:val="18"/>
          <w:szCs w:val="18"/>
          <w:color w:val="auto"/>
        </w:rPr>
        <w:t>We are a fabless semiconductor provider of application-specific semiconductor products. As a fabless semiconductor company, we focus on the design, development and marketing of semiconductor products and form relationships with foundries, assembly and test facilities for the manufacture of these products. Our semiconductors perform analog, mixed-signal and digital signal processing, and we design both stand-alone and embedded semiconductors. Our core strength lies in the development of complex integrated circuits that incorporate all components of an electronic system in onechip—so-called SoC devices. Whereas electronic systems previously required multiple chips or systems to function, these electronic systems are increasingly performed by all-in-one devices. Our all-in-one devices, including its SoCs, microcontrollers, and embedded processors, are more efficient and cost-effective than multi-chip or multi-system products.</w:t>
      </w:r>
    </w:p>
    <w:p>
      <w:pPr>
        <w:spacing w:after="0" w:line="189" w:lineRule="exact"/>
        <w:rPr>
          <w:sz w:val="20"/>
          <w:szCs w:val="20"/>
          <w:color w:val="auto"/>
        </w:rPr>
      </w:pPr>
    </w:p>
    <w:p>
      <w:pPr>
        <w:ind w:right="20" w:firstLine="456"/>
        <w:spacing w:after="0" w:line="282" w:lineRule="auto"/>
        <w:rPr>
          <w:sz w:val="20"/>
          <w:szCs w:val="20"/>
          <w:color w:val="auto"/>
        </w:rPr>
      </w:pPr>
      <w:r>
        <w:rPr>
          <w:rFonts w:ascii="Times New Roman" w:cs="Times New Roman" w:eastAsia="Times New Roman" w:hAnsi="Times New Roman"/>
          <w:sz w:val="18"/>
          <w:szCs w:val="18"/>
          <w:color w:val="auto"/>
        </w:rPr>
        <w:t>Our broad product portfolio includes devices for storage, networking and connectivity, as further described below, and our market segments include the enterprise, cloud, automotive, industrial and consumer markets.</w:t>
      </w:r>
    </w:p>
    <w:p>
      <w:pPr>
        <w:spacing w:after="0" w:line="63" w:lineRule="exact"/>
        <w:rPr>
          <w:sz w:val="20"/>
          <w:szCs w:val="20"/>
          <w:color w:val="auto"/>
        </w:rPr>
      </w:pPr>
    </w:p>
    <w:p>
      <w:pPr>
        <w:ind w:left="900" w:hanging="325"/>
        <w:spacing w:after="0" w:line="259" w:lineRule="auto"/>
        <w:tabs>
          <w:tab w:leader="none" w:pos="90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Storage</w:t>
      </w:r>
      <w:r>
        <w:rPr>
          <w:rFonts w:ascii="Times New Roman" w:cs="Times New Roman" w:eastAsia="Times New Roman" w:hAnsi="Times New Roman"/>
          <w:sz w:val="18"/>
          <w:szCs w:val="18"/>
          <w:color w:val="auto"/>
        </w:rPr>
        <w:t>: We develop data storage products, with applications spanning consumer, client, cloud data center and enterprise markets. Products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include controllers for hard disk drives (HDDs) and solid-state drives (SSDs) that store and retrieve data at reduced energy consumption and with greater speed and reliability. These products are incorporated into HDDs and SSDs for many different applications, including cloud and enterprise servers, all flash arrays (AFAs), enterprise storage arrays, desktop and laptop personal computers, surveillance systems, game consoles, automotive and similar devices.</w:t>
      </w:r>
    </w:p>
    <w:p>
      <w:pPr>
        <w:spacing w:after="0" w:line="85" w:lineRule="exact"/>
        <w:rPr>
          <w:rFonts w:ascii="Times New Roman" w:cs="Times New Roman" w:eastAsia="Times New Roman" w:hAnsi="Times New Roman"/>
          <w:sz w:val="18"/>
          <w:szCs w:val="18"/>
          <w:color w:val="auto"/>
        </w:rPr>
      </w:pPr>
    </w:p>
    <w:p>
      <w:pPr>
        <w:ind w:left="900" w:right="400" w:hanging="325"/>
        <w:spacing w:after="0" w:line="262" w:lineRule="auto"/>
        <w:tabs>
          <w:tab w:leader="none" w:pos="90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Networking</w:t>
      </w:r>
      <w:r>
        <w:rPr>
          <w:rFonts w:ascii="Times New Roman" w:cs="Times New Roman" w:eastAsia="Times New Roman" w:hAnsi="Times New Roman"/>
          <w:sz w:val="18"/>
          <w:szCs w:val="18"/>
          <w:color w:val="auto"/>
        </w:rPr>
        <w:t>: We develop networking products that serve end-users in cloud, enterprise, small and medium business, and service provider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networks. Products include (i) physical layer transceivers that are used in a wide range of products, including switch systems, printers, game consoles, automobiles and other systems that require Ethernet connectivity; (ii) Ethernet switch integrated circuits to provide switching and packet processing; and (iii) embedded ARM-based processors.</w:t>
      </w:r>
    </w:p>
    <w:p>
      <w:pPr>
        <w:spacing w:after="0" w:line="82" w:lineRule="exact"/>
        <w:rPr>
          <w:rFonts w:ascii="Times New Roman" w:cs="Times New Roman" w:eastAsia="Times New Roman" w:hAnsi="Times New Roman"/>
          <w:sz w:val="18"/>
          <w:szCs w:val="18"/>
          <w:color w:val="auto"/>
        </w:rPr>
      </w:pPr>
    </w:p>
    <w:p>
      <w:pPr>
        <w:ind w:left="900" w:right="340" w:hanging="325"/>
        <w:spacing w:after="0" w:line="286" w:lineRule="auto"/>
        <w:tabs>
          <w:tab w:leader="none" w:pos="90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Connectivity</w:t>
      </w:r>
      <w:r>
        <w:rPr>
          <w:rFonts w:ascii="Times New Roman" w:cs="Times New Roman" w:eastAsia="Times New Roman" w:hAnsi="Times New Roman"/>
          <w:sz w:val="18"/>
          <w:szCs w:val="18"/>
          <w:color w:val="auto"/>
        </w:rPr>
        <w:t>: We develop wireless connectivity products that serve enterprise, service provider, automotive and high performance consumer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markets. Products include client and access point chips that enable wireless communication using WiFi and Bluetooth standards.</w:t>
      </w:r>
    </w:p>
    <w:p>
      <w:pPr>
        <w:spacing w:after="0" w:line="159" w:lineRule="exact"/>
        <w:rPr>
          <w:sz w:val="20"/>
          <w:szCs w:val="20"/>
          <w:color w:val="auto"/>
        </w:rPr>
      </w:pPr>
    </w:p>
    <w:p>
      <w:pPr>
        <w:ind w:right="220" w:firstLine="456"/>
        <w:spacing w:after="0" w:line="256" w:lineRule="auto"/>
        <w:rPr>
          <w:sz w:val="20"/>
          <w:szCs w:val="20"/>
          <w:color w:val="auto"/>
        </w:rPr>
      </w:pPr>
      <w:r>
        <w:rPr>
          <w:rFonts w:ascii="Times New Roman" w:cs="Times New Roman" w:eastAsia="Times New Roman" w:hAnsi="Times New Roman"/>
          <w:sz w:val="18"/>
          <w:szCs w:val="18"/>
          <w:color w:val="auto"/>
        </w:rPr>
        <w:t>We were incorporated in Bermuda in January 1995. Our registered and mailing address is Canon’s Court, 22 Victoria Street, Hamilton HM 12, Bermuda, and our telephone number there is (441) 296-6395. The address of our U.S. operating subsidiary is Marvell Semiconductor, Inc., 5488 Marvell Lane, Santa Clara, California 95054, and our telephone number there is (408) 222-2500. We also have subsidiaries and operations in many countries, including China, India, Israel, Japan, Singapore, South Korea, Taiwan and Vietnam. Our fiscal year is the 52- or 53-week period ending on the Saturday closest to January 31. Accordingly, every fifth or sixth fiscal year will have a 53-week period. The additional week in a 53-week year is added to the fourth quarter, making such quarter consist of 14 weeks. Fiscal 2017 had a 52-week year. Fiscal 2018 was a 53-week year.</w:t>
      </w:r>
    </w:p>
    <w:p>
      <w:pPr>
        <w:spacing w:after="0" w:line="188" w:lineRule="exact"/>
        <w:rPr>
          <w:sz w:val="20"/>
          <w:szCs w:val="20"/>
          <w:color w:val="auto"/>
        </w:rPr>
      </w:pPr>
    </w:p>
    <w:p>
      <w:pPr>
        <w:ind w:right="200" w:firstLine="456"/>
        <w:spacing w:after="0" w:line="266" w:lineRule="auto"/>
        <w:rPr>
          <w:sz w:val="20"/>
          <w:szCs w:val="20"/>
          <w:color w:val="auto"/>
        </w:rPr>
      </w:pPr>
      <w:r>
        <w:rPr>
          <w:rFonts w:ascii="Times New Roman" w:cs="Times New Roman" w:eastAsia="Times New Roman" w:hAnsi="Times New Roman"/>
          <w:sz w:val="18"/>
          <w:szCs w:val="18"/>
          <w:color w:val="auto"/>
        </w:rPr>
        <w:t>On July 6, 2018, we completed the merger contemplated by the Merger Agreement, by and among Marvell, Merger Sub and Cavium. Pursuant to the Merger Agreement, Merger Sub was merged with and into Cavium, with Cavium continuing as the surviving corporation and an indirect wholly owned subsidiary of Marvell.</w:t>
      </w:r>
    </w:p>
    <w:p>
      <w:pPr>
        <w:spacing w:after="0" w:line="176"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color w:val="auto"/>
        </w:rPr>
        <w:t>As of February 3, 2018, the end of our fiscal year 2018, we had a total of approximately 3,749 employees. As of May 5, 2018, we held approximately</w:t>
      </w:r>
    </w:p>
    <w:p>
      <w:pPr>
        <w:spacing w:after="0" w:line="27" w:lineRule="exact"/>
        <w:rPr>
          <w:sz w:val="20"/>
          <w:szCs w:val="20"/>
          <w:color w:val="auto"/>
        </w:rPr>
      </w:pPr>
    </w:p>
    <w:p>
      <w:pPr>
        <w:jc w:val="both"/>
        <w:ind w:right="560"/>
        <w:spacing w:after="0" w:line="255" w:lineRule="auto"/>
        <w:rPr>
          <w:sz w:val="20"/>
          <w:szCs w:val="20"/>
          <w:color w:val="auto"/>
        </w:rPr>
      </w:pPr>
      <w:r>
        <w:rPr>
          <w:rFonts w:ascii="Times New Roman" w:cs="Times New Roman" w:eastAsia="Times New Roman" w:hAnsi="Times New Roman"/>
          <w:sz w:val="18"/>
          <w:szCs w:val="18"/>
          <w:color w:val="auto"/>
        </w:rPr>
        <w:t>9,300 U.S. and foreign patents issued and approximately 1,650 U.S. and foreign patent applications pending on various aspects of our technology. We maintain a website at www.marvell.com where general information about us is available. We are not incorporating the contents of the website into this prospectus.</w:t>
      </w:r>
    </w:p>
    <w:p>
      <w:pPr>
        <w:spacing w:after="0" w:line="119"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w:t>
      </w:r>
    </w:p>
    <w:p>
      <w:pPr>
        <w:sectPr>
          <w:pgSz w:w="11900" w:h="16838" w:orient="portrait"/>
          <w:cols w:equalWidth="0" w:num="1">
            <w:col w:w="11400"/>
          </w:cols>
          <w:pgMar w:left="240" w:top="266" w:right="259" w:bottom="1440" w:gutter="0" w:footer="0" w:header="0"/>
        </w:sectPr>
      </w:pPr>
    </w:p>
    <w:bookmarkStart w:id="8" w:name="page9"/>
    <w:bookmarkEnd w:id="8"/>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OFFERING</w:t>
      </w:r>
    </w:p>
    <w:p>
      <w:pPr>
        <w:sectPr>
          <w:pgSz w:w="11900" w:h="16838" w:orient="portrait"/>
          <w:cols w:equalWidth="0" w:num="1">
            <w:col w:w="11380"/>
          </w:cols>
          <w:pgMar w:left="240" w:top="266" w:right="279" w:bottom="1440" w:gutter="0" w:footer="0" w:header="0"/>
        </w:sectPr>
      </w:pPr>
    </w:p>
    <w:p>
      <w:pPr>
        <w:spacing w:after="0" w:line="25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Issuer</w:t>
      </w:r>
    </w:p>
    <w:p>
      <w:pPr>
        <w:spacing w:after="0" w:line="20" w:lineRule="exact"/>
        <w:rPr>
          <w:sz w:val="20"/>
          <w:szCs w:val="20"/>
          <w:color w:val="auto"/>
        </w:rPr>
      </w:pPr>
      <w:r>
        <w:rPr>
          <w:sz w:val="20"/>
          <w:szCs w:val="20"/>
          <w:color w:val="auto"/>
        </w:rPr>
        <w:br w:type="column"/>
      </w:r>
    </w:p>
    <w:p>
      <w:pPr>
        <w:spacing w:after="0" w:line="236"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color w:val="auto"/>
        </w:rPr>
        <w:t>Marvell Technology Group, Ltd., an exempted Bermuda company</w:t>
      </w:r>
    </w:p>
    <w:p>
      <w:pPr>
        <w:spacing w:after="0" w:line="128" w:lineRule="exact"/>
        <w:rPr>
          <w:sz w:val="20"/>
          <w:szCs w:val="20"/>
          <w:color w:val="auto"/>
        </w:rPr>
      </w:pPr>
    </w:p>
    <w:p>
      <w:pPr>
        <w:sectPr>
          <w:pgSz w:w="11900" w:h="16838" w:orient="portrait"/>
          <w:cols w:equalWidth="0" w:num="2">
            <w:col w:w="3860" w:space="720"/>
            <w:col w:w="6800"/>
          </w:cols>
          <w:pgMar w:left="240" w:top="266" w:right="279" w:bottom="1440" w:gutter="0" w:footer="0" w:header="0"/>
          <w:type w:val="continuous"/>
        </w:sectPr>
      </w:pPr>
    </w:p>
    <w:p>
      <w:pPr>
        <w:spacing w:after="0"/>
        <w:rPr>
          <w:sz w:val="20"/>
          <w:szCs w:val="20"/>
          <w:color w:val="auto"/>
        </w:rPr>
      </w:pPr>
      <w:r>
        <w:rPr>
          <w:rFonts w:ascii="Times New Roman" w:cs="Times New Roman" w:eastAsia="Times New Roman" w:hAnsi="Times New Roman"/>
          <w:sz w:val="18"/>
          <w:szCs w:val="18"/>
          <w:color w:val="auto"/>
        </w:rPr>
        <w:t>Common shares offered</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Times New Roman" w:cs="Times New Roman" w:eastAsia="Times New Roman" w:hAnsi="Times New Roman"/>
          <w:sz w:val="17"/>
          <w:szCs w:val="17"/>
          <w:color w:val="auto"/>
        </w:rPr>
        <w:t>Up to 489,813 common shares of Marvell, par value $0.002 per share</w:t>
      </w:r>
    </w:p>
    <w:p>
      <w:pPr>
        <w:spacing w:after="0" w:line="128" w:lineRule="exact"/>
        <w:rPr>
          <w:sz w:val="20"/>
          <w:szCs w:val="20"/>
          <w:color w:val="auto"/>
        </w:rPr>
      </w:pPr>
    </w:p>
    <w:p>
      <w:pPr>
        <w:sectPr>
          <w:pgSz w:w="11900" w:h="16838" w:orient="portrait"/>
          <w:cols w:equalWidth="0" w:num="2">
            <w:col w:w="3860" w:space="720"/>
            <w:col w:w="6800"/>
          </w:cols>
          <w:pgMar w:left="240" w:top="266" w:right="279" w:bottom="1440" w:gutter="0" w:footer="0" w:header="0"/>
          <w:type w:val="continuous"/>
        </w:sectPr>
      </w:pPr>
    </w:p>
    <w:p>
      <w:pPr>
        <w:spacing w:after="0"/>
        <w:rPr>
          <w:sz w:val="20"/>
          <w:szCs w:val="20"/>
          <w:color w:val="auto"/>
        </w:rPr>
      </w:pPr>
      <w:r>
        <w:rPr>
          <w:rFonts w:ascii="Times New Roman" w:cs="Times New Roman" w:eastAsia="Times New Roman" w:hAnsi="Times New Roman"/>
          <w:sz w:val="17"/>
          <w:szCs w:val="17"/>
          <w:color w:val="auto"/>
        </w:rPr>
        <w:t>Use of proceeds</w:t>
      </w:r>
    </w:p>
    <w:p>
      <w:pPr>
        <w:spacing w:after="0" w:line="20" w:lineRule="exact"/>
        <w:rPr>
          <w:sz w:val="20"/>
          <w:szCs w:val="20"/>
          <w:color w:val="auto"/>
        </w:rPr>
      </w:pPr>
      <w:r>
        <w:rPr>
          <w:sz w:val="20"/>
          <w:szCs w:val="20"/>
          <w:color w:val="auto"/>
        </w:rPr>
        <w:br w:type="column"/>
      </w:r>
    </w:p>
    <w:p>
      <w:pPr>
        <w:ind w:right="160"/>
        <w:spacing w:after="0" w:line="261" w:lineRule="auto"/>
        <w:rPr>
          <w:sz w:val="20"/>
          <w:szCs w:val="20"/>
          <w:color w:val="auto"/>
        </w:rPr>
      </w:pPr>
      <w:r>
        <w:rPr>
          <w:rFonts w:ascii="Times New Roman" w:cs="Times New Roman" w:eastAsia="Times New Roman" w:hAnsi="Times New Roman"/>
          <w:sz w:val="18"/>
          <w:szCs w:val="18"/>
          <w:color w:val="auto"/>
        </w:rPr>
        <w:t>We will not receive any proceeds from the sale of our common shares covered by this prospectus other than proceeds from the exercise of the options whose underlying shares are covered by this prospectus. We have no plans for the application of any of these proceeds other than for general corporate purposes.</w:t>
      </w:r>
    </w:p>
    <w:p>
      <w:pPr>
        <w:spacing w:after="0" w:line="72" w:lineRule="exact"/>
        <w:rPr>
          <w:sz w:val="20"/>
          <w:szCs w:val="20"/>
          <w:color w:val="auto"/>
        </w:rPr>
      </w:pPr>
    </w:p>
    <w:p>
      <w:pPr>
        <w:sectPr>
          <w:pgSz w:w="11900" w:h="16838" w:orient="portrait"/>
          <w:cols w:equalWidth="0" w:num="2">
            <w:col w:w="3860" w:space="720"/>
            <w:col w:w="6800"/>
          </w:cols>
          <w:pgMar w:left="240" w:top="266" w:right="279" w:bottom="1440" w:gutter="0" w:footer="0" w:header="0"/>
          <w:type w:val="continuous"/>
        </w:sectPr>
      </w:pPr>
    </w:p>
    <w:p>
      <w:pPr>
        <w:spacing w:after="0"/>
        <w:rPr>
          <w:sz w:val="20"/>
          <w:szCs w:val="20"/>
          <w:color w:val="auto"/>
        </w:rPr>
      </w:pPr>
      <w:r>
        <w:rPr>
          <w:rFonts w:ascii="Times New Roman" w:cs="Times New Roman" w:eastAsia="Times New Roman" w:hAnsi="Times New Roman"/>
          <w:sz w:val="18"/>
          <w:szCs w:val="18"/>
          <w:color w:val="auto"/>
        </w:rPr>
        <w:t>NASDAQ Global Select Market symbol</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Times New Roman" w:cs="Times New Roman" w:eastAsia="Times New Roman" w:hAnsi="Times New Roman"/>
          <w:sz w:val="17"/>
          <w:szCs w:val="17"/>
          <w:color w:val="auto"/>
        </w:rPr>
        <w:t>MRVL</w:t>
      </w:r>
    </w:p>
    <w:p>
      <w:pPr>
        <w:spacing w:after="0" w:line="211" w:lineRule="exact"/>
        <w:rPr>
          <w:sz w:val="20"/>
          <w:szCs w:val="20"/>
          <w:color w:val="auto"/>
        </w:rPr>
      </w:pPr>
    </w:p>
    <w:p>
      <w:pPr>
        <w:sectPr>
          <w:pgSz w:w="11900" w:h="16838" w:orient="portrait"/>
          <w:cols w:equalWidth="0" w:num="2">
            <w:col w:w="3860" w:space="720"/>
            <w:col w:w="6800"/>
          </w:cols>
          <w:pgMar w:left="240" w:top="266" w:right="279" w:bottom="1440" w:gutter="0" w:footer="0" w:header="0"/>
          <w:type w:val="continuous"/>
        </w:sectPr>
      </w:pPr>
    </w:p>
    <w:p>
      <w:pPr>
        <w:spacing w:after="0" w:line="237"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RISK FACTORS</w:t>
      </w:r>
    </w:p>
    <w:p>
      <w:pPr>
        <w:spacing w:after="0" w:line="229" w:lineRule="exact"/>
        <w:rPr>
          <w:sz w:val="20"/>
          <w:szCs w:val="20"/>
          <w:color w:val="auto"/>
        </w:rPr>
      </w:pPr>
    </w:p>
    <w:p>
      <w:pPr>
        <w:spacing w:after="0" w:line="261" w:lineRule="auto"/>
        <w:rPr>
          <w:sz w:val="20"/>
          <w:szCs w:val="20"/>
          <w:color w:val="auto"/>
        </w:rPr>
      </w:pPr>
      <w:r>
        <w:rPr>
          <w:rFonts w:ascii="Times New Roman" w:cs="Times New Roman" w:eastAsia="Times New Roman" w:hAnsi="Times New Roman"/>
          <w:sz w:val="18"/>
          <w:szCs w:val="18"/>
          <w:color w:val="auto"/>
        </w:rPr>
        <w:t>Investing in our securities involves risks. Before making a decision to invest in our securities, in addition to the other information contained in this prospectus and any prospectus supplement, you should carefully consider the risks described under “Risk Factors” in Part I, Item 1A of our most recent Annual Report on Form 10-K and Part II, Item 1A of our Quarterly Report on Form 10-Q for the fiscal quarter ended May 5, 2018 and in other documents that we include or incorporate by reference in this prospectus. See “Where You Can Find More Information.”</w:t>
      </w:r>
    </w:p>
    <w:p>
      <w:pPr>
        <w:spacing w:after="0" w:line="392"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USE OF PROCEEDS</w:t>
      </w:r>
    </w:p>
    <w:p>
      <w:pPr>
        <w:spacing w:after="0" w:line="229" w:lineRule="exact"/>
        <w:rPr>
          <w:sz w:val="20"/>
          <w:szCs w:val="20"/>
          <w:color w:val="auto"/>
        </w:rPr>
      </w:pPr>
    </w:p>
    <w:p>
      <w:pPr>
        <w:ind w:right="460"/>
        <w:spacing w:after="0" w:line="266" w:lineRule="auto"/>
        <w:rPr>
          <w:sz w:val="20"/>
          <w:szCs w:val="20"/>
          <w:color w:val="auto"/>
        </w:rPr>
      </w:pPr>
      <w:r>
        <w:rPr>
          <w:rFonts w:ascii="Times New Roman" w:cs="Times New Roman" w:eastAsia="Times New Roman" w:hAnsi="Times New Roman"/>
          <w:sz w:val="18"/>
          <w:szCs w:val="18"/>
          <w:color w:val="auto"/>
        </w:rPr>
        <w:t>We will not receive any proceeds from the sale of our common shares covered by this prospectus other than proceeds from the exercise of the Assumed Options whose underlying shares are covered by this prospectus. We have no plans for the application of any of these proceeds other than for general corporate purposes. We have no assurance that any of the options will be exercised.</w:t>
      </w:r>
    </w:p>
    <w:p>
      <w:pPr>
        <w:spacing w:after="0" w:line="388"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PLAN OF DISTRIBUTION</w:t>
      </w:r>
    </w:p>
    <w:p>
      <w:pPr>
        <w:spacing w:after="0" w:line="2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We are registering 489,813 common shares issuable upon the exercise of the Assumed Options.</w:t>
      </w:r>
    </w:p>
    <w:p>
      <w:pPr>
        <w:spacing w:after="0" w:line="225" w:lineRule="exact"/>
        <w:rPr>
          <w:sz w:val="20"/>
          <w:szCs w:val="20"/>
          <w:color w:val="auto"/>
        </w:rPr>
      </w:pPr>
    </w:p>
    <w:p>
      <w:pPr>
        <w:ind w:right="260"/>
        <w:spacing w:after="0" w:line="266" w:lineRule="auto"/>
        <w:rPr>
          <w:sz w:val="20"/>
          <w:szCs w:val="20"/>
          <w:color w:val="auto"/>
        </w:rPr>
      </w:pPr>
      <w:r>
        <w:rPr>
          <w:rFonts w:ascii="Times New Roman" w:cs="Times New Roman" w:eastAsia="Times New Roman" w:hAnsi="Times New Roman"/>
          <w:sz w:val="18"/>
          <w:szCs w:val="18"/>
          <w:color w:val="auto"/>
        </w:rPr>
        <w:t>Pursuant to the terms of the applicable options, our shares will be issued to those option holders who elect to exercise and provide payment of the exercise price. We do not know if or when the options will be exercised. We also do not know whether any of the shares acquired upon exercise of any Assumed Options will subsequently be resold. We are not using an underwriter in connection with this offering.</w:t>
      </w:r>
    </w:p>
    <w:p>
      <w:pPr>
        <w:spacing w:after="0" w:line="109"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2</w:t>
      </w:r>
    </w:p>
    <w:p>
      <w:pPr>
        <w:sectPr>
          <w:pgSz w:w="11900" w:h="16838" w:orient="portrait"/>
          <w:cols w:equalWidth="0" w:num="1">
            <w:col w:w="11380"/>
          </w:cols>
          <w:pgMar w:left="240" w:top="266" w:right="279" w:bottom="1440" w:gutter="0" w:footer="0" w:header="0"/>
          <w:type w:val="continuous"/>
        </w:sectPr>
      </w:pPr>
    </w:p>
    <w:bookmarkStart w:id="9" w:name="page10"/>
    <w:bookmarkEnd w:id="9"/>
    <w:p>
      <w:pPr>
        <w:jc w:val="center"/>
        <w:ind w:right="-9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DESCRIPTION OF MARVELL CAPITAL STOCK</w:t>
      </w:r>
    </w:p>
    <w:p>
      <w:pPr>
        <w:spacing w:after="0" w:line="229"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color w:val="auto"/>
        </w:rPr>
        <w:t>Our authorized share capital consists of $2,000,000, divided into 1,000,000,000 common shares, and no preferred shares are currently issued.</w:t>
      </w:r>
    </w:p>
    <w:p>
      <w:pPr>
        <w:spacing w:after="0" w:line="225" w:lineRule="exact"/>
        <w:rPr>
          <w:sz w:val="20"/>
          <w:szCs w:val="20"/>
          <w:color w:val="auto"/>
        </w:rPr>
      </w:pPr>
    </w:p>
    <w:p>
      <w:pPr>
        <w:ind w:firstLine="456"/>
        <w:spacing w:after="0" w:line="282" w:lineRule="auto"/>
        <w:rPr>
          <w:sz w:val="20"/>
          <w:szCs w:val="20"/>
          <w:color w:val="auto"/>
        </w:rPr>
      </w:pPr>
      <w:r>
        <w:rPr>
          <w:rFonts w:ascii="Times New Roman" w:cs="Times New Roman" w:eastAsia="Times New Roman" w:hAnsi="Times New Roman"/>
          <w:sz w:val="18"/>
          <w:szCs w:val="18"/>
          <w:color w:val="auto"/>
        </w:rPr>
        <w:t>Pursuant to our bye-laws (“Bye-laws”), our board of directors is authorized to issue any of our authorized but unissued shares. There are no limitations on the right of non-Bermudians or non-residents of Bermuda to hold our common shares.</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Common Shares</w:t>
      </w:r>
    </w:p>
    <w:p>
      <w:pPr>
        <w:spacing w:after="0" w:line="121"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color w:val="auto"/>
        </w:rPr>
        <w:t>As of July 9, 2018, we had 655,278,780 common shares issued and outstanding.</w:t>
      </w:r>
    </w:p>
    <w:p>
      <w:pPr>
        <w:spacing w:after="0" w:line="225" w:lineRule="exact"/>
        <w:rPr>
          <w:sz w:val="20"/>
          <w:szCs w:val="20"/>
          <w:color w:val="auto"/>
        </w:rPr>
      </w:pPr>
    </w:p>
    <w:p>
      <w:pPr>
        <w:jc w:val="both"/>
        <w:ind w:right="480" w:firstLine="456"/>
        <w:spacing w:after="0" w:line="266" w:lineRule="auto"/>
        <w:rPr>
          <w:sz w:val="20"/>
          <w:szCs w:val="20"/>
          <w:color w:val="auto"/>
        </w:rPr>
      </w:pPr>
      <w:r>
        <w:rPr>
          <w:rFonts w:ascii="Times New Roman" w:cs="Times New Roman" w:eastAsia="Times New Roman" w:hAnsi="Times New Roman"/>
          <w:sz w:val="18"/>
          <w:szCs w:val="18"/>
          <w:color w:val="auto"/>
        </w:rPr>
        <w:t>In the event of our liquidation, dissolution or winding up, holders of common shares would be entitled to receive all of our assets, pro rata, after payment in full of all our debts and liabilities, and any liquidation payment that we may be required to pay to our preferred shareholders on the date of liquidation.</w:t>
      </w:r>
    </w:p>
    <w:p>
      <w:pPr>
        <w:spacing w:after="0" w:line="176" w:lineRule="exact"/>
        <w:rPr>
          <w:sz w:val="20"/>
          <w:szCs w:val="20"/>
          <w:color w:val="auto"/>
        </w:rPr>
      </w:pPr>
    </w:p>
    <w:p>
      <w:pPr>
        <w:jc w:val="both"/>
        <w:ind w:right="140" w:firstLine="456"/>
        <w:spacing w:after="0" w:line="266" w:lineRule="auto"/>
        <w:rPr>
          <w:sz w:val="20"/>
          <w:szCs w:val="20"/>
          <w:color w:val="auto"/>
        </w:rPr>
      </w:pPr>
      <w:r>
        <w:rPr>
          <w:rFonts w:ascii="Times New Roman" w:cs="Times New Roman" w:eastAsia="Times New Roman" w:hAnsi="Times New Roman"/>
          <w:sz w:val="18"/>
          <w:szCs w:val="18"/>
          <w:color w:val="auto"/>
        </w:rPr>
        <w:t>The common shares do not have preemptive or conversion rights or other subscription rights and there are no redemption or sinking fund provisions. The outstanding common shares are, and the common shares offered hereby, when issued and upon our receipt of the full purchase price therefore, will be, fully paid and nonassessable.</w:t>
      </w:r>
    </w:p>
    <w:p>
      <w:pPr>
        <w:spacing w:after="0" w:line="28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Preferred Shares</w:t>
      </w:r>
    </w:p>
    <w:p>
      <w:pPr>
        <w:spacing w:after="0" w:line="121" w:lineRule="exact"/>
        <w:rPr>
          <w:sz w:val="20"/>
          <w:szCs w:val="20"/>
          <w:color w:val="auto"/>
        </w:rPr>
      </w:pPr>
    </w:p>
    <w:p>
      <w:pPr>
        <w:ind w:right="260" w:firstLine="456"/>
        <w:spacing w:after="0" w:line="282" w:lineRule="auto"/>
        <w:rPr>
          <w:sz w:val="20"/>
          <w:szCs w:val="20"/>
          <w:color w:val="auto"/>
        </w:rPr>
      </w:pPr>
      <w:r>
        <w:rPr>
          <w:rFonts w:ascii="Times New Roman" w:cs="Times New Roman" w:eastAsia="Times New Roman" w:hAnsi="Times New Roman"/>
          <w:sz w:val="18"/>
          <w:szCs w:val="18"/>
          <w:color w:val="auto"/>
        </w:rPr>
        <w:t>Our board of directors is authorized to issue preferred shares in one or more series. Our board of directors may, without any further approval of our shareholders:</w:t>
      </w:r>
    </w:p>
    <w:p>
      <w:pPr>
        <w:spacing w:after="0" w:line="67" w:lineRule="exact"/>
        <w:rPr>
          <w:sz w:val="20"/>
          <w:szCs w:val="20"/>
          <w:color w:val="auto"/>
        </w:rPr>
      </w:pPr>
    </w:p>
    <w:p>
      <w:pPr>
        <w:ind w:left="900" w:hanging="325"/>
        <w:spacing w:after="0" w:line="282" w:lineRule="auto"/>
        <w:tabs>
          <w:tab w:leader="none" w:pos="90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determine or alter the rights, preferences, privileges and restrictions of the preferred shares, including dividend rights, dividend rates, conversion rights, voting rights, terms of redemption, redemption prices, and liquidation preferences; and</w:t>
      </w:r>
    </w:p>
    <w:p>
      <w:pPr>
        <w:spacing w:after="0" w:line="67"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fix the number of shares and designation of any series of preferred shares.</w:t>
      </w:r>
    </w:p>
    <w:p>
      <w:pPr>
        <w:spacing w:after="0" w:line="225" w:lineRule="exact"/>
        <w:rPr>
          <w:sz w:val="20"/>
          <w:szCs w:val="20"/>
          <w:color w:val="auto"/>
        </w:rPr>
      </w:pPr>
    </w:p>
    <w:p>
      <w:pPr>
        <w:ind w:right="140" w:firstLine="456"/>
        <w:spacing w:after="0" w:line="261" w:lineRule="auto"/>
        <w:rPr>
          <w:sz w:val="20"/>
          <w:szCs w:val="20"/>
          <w:color w:val="auto"/>
        </w:rPr>
      </w:pPr>
      <w:r>
        <w:rPr>
          <w:rFonts w:ascii="Times New Roman" w:cs="Times New Roman" w:eastAsia="Times New Roman" w:hAnsi="Times New Roman"/>
          <w:sz w:val="18"/>
          <w:szCs w:val="18"/>
          <w:color w:val="auto"/>
        </w:rPr>
        <w:t>Although our board of directors presently does not intend to do so, it could issue preferred shares with voting and conversion rights which could adversely affect the voting power and other rights of the holders of common shares, including the loss of voting control to others, without obtaining further approval of our shareholders. The issuance of preferred shares could delay or prevent a change in control of this company, without further action by our shareholders.</w:t>
      </w:r>
    </w:p>
    <w:p>
      <w:pPr>
        <w:spacing w:after="0" w:line="28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Bermuda Law</w:t>
      </w:r>
    </w:p>
    <w:p>
      <w:pPr>
        <w:spacing w:after="0" w:line="121" w:lineRule="exact"/>
        <w:rPr>
          <w:sz w:val="20"/>
          <w:szCs w:val="20"/>
          <w:color w:val="auto"/>
        </w:rPr>
      </w:pPr>
    </w:p>
    <w:p>
      <w:pPr>
        <w:ind w:right="220" w:firstLine="456"/>
        <w:spacing w:after="0" w:line="282" w:lineRule="auto"/>
        <w:rPr>
          <w:sz w:val="20"/>
          <w:szCs w:val="20"/>
          <w:color w:val="auto"/>
        </w:rPr>
      </w:pPr>
      <w:r>
        <w:rPr>
          <w:rFonts w:ascii="Times New Roman" w:cs="Times New Roman" w:eastAsia="Times New Roman" w:hAnsi="Times New Roman"/>
          <w:sz w:val="18"/>
          <w:szCs w:val="18"/>
          <w:color w:val="auto"/>
        </w:rPr>
        <w:t>We were incorporated as an exempted Bermuda company under The Companies Act, 1981 of Bermuda (“Companies Act”). This means that we are exempted from the provisions of Bermuda law which currently stipulate that at least 60% of our equity must be beneficially owned by Bermudians.</w:t>
      </w:r>
    </w:p>
    <w:p>
      <w:pPr>
        <w:spacing w:after="0" w:line="162" w:lineRule="exact"/>
        <w:rPr>
          <w:sz w:val="20"/>
          <w:szCs w:val="20"/>
          <w:color w:val="auto"/>
        </w:rPr>
      </w:pPr>
    </w:p>
    <w:p>
      <w:pPr>
        <w:ind w:right="100" w:firstLine="456"/>
        <w:spacing w:after="0" w:line="282" w:lineRule="auto"/>
        <w:rPr>
          <w:sz w:val="20"/>
          <w:szCs w:val="20"/>
          <w:color w:val="auto"/>
        </w:rPr>
      </w:pPr>
      <w:r>
        <w:rPr>
          <w:rFonts w:ascii="Times New Roman" w:cs="Times New Roman" w:eastAsia="Times New Roman" w:hAnsi="Times New Roman"/>
          <w:sz w:val="18"/>
          <w:szCs w:val="18"/>
          <w:color w:val="auto"/>
        </w:rPr>
        <w:t>The rights of our shareholders, including those persons who will become our shareholders in connection with this offering, are governed by Bermuda law, our Memorandum of Association and Bye-laws. The following is a summary of certain provisions of Bermuda law and our organizational documents.</w:t>
      </w:r>
    </w:p>
    <w:p>
      <w:pPr>
        <w:spacing w:after="0" w:line="162" w:lineRule="exact"/>
        <w:rPr>
          <w:sz w:val="20"/>
          <w:szCs w:val="20"/>
          <w:color w:val="auto"/>
        </w:rPr>
      </w:pPr>
    </w:p>
    <w:p>
      <w:pPr>
        <w:ind w:right="80" w:firstLine="456"/>
        <w:spacing w:after="0" w:line="282" w:lineRule="auto"/>
        <w:rPr>
          <w:sz w:val="20"/>
          <w:szCs w:val="20"/>
          <w:color w:val="auto"/>
        </w:rPr>
      </w:pPr>
      <w:r>
        <w:rPr>
          <w:rFonts w:ascii="Times New Roman" w:cs="Times New Roman" w:eastAsia="Times New Roman" w:hAnsi="Times New Roman"/>
          <w:sz w:val="18"/>
          <w:szCs w:val="18"/>
          <w:color w:val="auto"/>
        </w:rPr>
        <w:t>Because this summary does not contain all of the information set forth in the Bermuda law provisions or our organizational documents, we encourage you to read those documents.</w:t>
      </w:r>
    </w:p>
    <w:p>
      <w:pPr>
        <w:spacing w:after="0" w:line="158" w:lineRule="exact"/>
        <w:rPr>
          <w:sz w:val="20"/>
          <w:szCs w:val="20"/>
          <w:color w:val="auto"/>
        </w:rPr>
      </w:pPr>
    </w:p>
    <w:p>
      <w:pPr>
        <w:ind w:right="660" w:firstLine="456"/>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Dividends</w:t>
      </w:r>
      <w:r>
        <w:rPr>
          <w:rFonts w:ascii="Times New Roman" w:cs="Times New Roman" w:eastAsia="Times New Roman" w:hAnsi="Times New Roman"/>
          <w:sz w:val="18"/>
          <w:szCs w:val="18"/>
          <w:color w:val="auto"/>
        </w:rPr>
        <w:t>. Bermuda law authorizes a company to declare or pay a dividend or make a distribution out of contributed surplus, unless there are</w:t>
      </w:r>
      <w:r>
        <w:rPr>
          <w:rFonts w:ascii="Times New Roman" w:cs="Times New Roman" w:eastAsia="Times New Roman" w:hAnsi="Times New Roman"/>
          <w:sz w:val="18"/>
          <w:szCs w:val="18"/>
          <w:b w:val="1"/>
          <w:bCs w:val="1"/>
          <w:i w:val="1"/>
          <w:iCs w:val="1"/>
          <w:color w:val="auto"/>
        </w:rPr>
        <w:t xml:space="preserve"> </w:t>
      </w:r>
      <w:r>
        <w:rPr>
          <w:rFonts w:ascii="Times New Roman" w:cs="Times New Roman" w:eastAsia="Times New Roman" w:hAnsi="Times New Roman"/>
          <w:sz w:val="18"/>
          <w:szCs w:val="18"/>
          <w:color w:val="auto"/>
        </w:rPr>
        <w:t>reasonable grounds for believing that,</w:t>
      </w:r>
    </w:p>
    <w:p>
      <w:pPr>
        <w:spacing w:after="0" w:line="64" w:lineRule="exact"/>
        <w:rPr>
          <w:sz w:val="20"/>
          <w:szCs w:val="20"/>
          <w:color w:val="auto"/>
        </w:rPr>
      </w:pPr>
    </w:p>
    <w:p>
      <w:pPr>
        <w:ind w:left="900" w:hanging="325"/>
        <w:spacing w:after="0"/>
        <w:tabs>
          <w:tab w:leader="none" w:pos="90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would not be able to pay its debts as they become due; or</w:t>
      </w:r>
    </w:p>
    <w:p>
      <w:pPr>
        <w:spacing w:after="0" w:line="130" w:lineRule="exact"/>
        <w:rPr>
          <w:rFonts w:ascii="Times New Roman" w:cs="Times New Roman" w:eastAsia="Times New Roman" w:hAnsi="Times New Roman"/>
          <w:sz w:val="18"/>
          <w:szCs w:val="18"/>
          <w:color w:val="auto"/>
        </w:rPr>
      </w:pPr>
    </w:p>
    <w:p>
      <w:pPr>
        <w:ind w:left="5660" w:right="4340" w:hanging="5085"/>
        <w:spacing w:after="0" w:line="454" w:lineRule="auto"/>
        <w:tabs>
          <w:tab w:leader="none" w:pos="89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realizable value of the company’s assets would thereby be less than its liabilities. 3</w:t>
      </w:r>
    </w:p>
    <w:p>
      <w:pPr>
        <w:sectPr>
          <w:pgSz w:w="11900" w:h="16838" w:orient="portrait"/>
          <w:cols w:equalWidth="0" w:num="1">
            <w:col w:w="11320"/>
          </w:cols>
          <w:pgMar w:left="240" w:top="266" w:right="339" w:bottom="1440" w:gutter="0" w:footer="0" w:header="0"/>
        </w:sectPr>
      </w:pPr>
    </w:p>
    <w:bookmarkStart w:id="10" w:name="page11"/>
    <w:bookmarkEnd w:id="10"/>
    <w:p>
      <w:pPr>
        <w:ind w:right="220" w:firstLine="456"/>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Our Bye-laws provide that our board of directors may from time to time declare dividends or distributions out of contributed surplus to be paid to the shareholders according to their rights and interests, such dividend may be paid in cash or wholly or partly in specie.</w:t>
      </w:r>
    </w:p>
    <w:p>
      <w:pPr>
        <w:spacing w:after="0" w:line="158" w:lineRule="exact"/>
        <w:rPr>
          <w:sz w:val="20"/>
          <w:szCs w:val="20"/>
          <w:color w:val="auto"/>
        </w:rPr>
      </w:pPr>
    </w:p>
    <w:p>
      <w:pPr>
        <w:ind w:firstLine="456"/>
        <w:spacing w:after="0" w:line="262" w:lineRule="auto"/>
        <w:rPr>
          <w:sz w:val="20"/>
          <w:szCs w:val="20"/>
          <w:color w:val="auto"/>
        </w:rPr>
      </w:pPr>
      <w:r>
        <w:rPr>
          <w:rFonts w:ascii="Times New Roman" w:cs="Times New Roman" w:eastAsia="Times New Roman" w:hAnsi="Times New Roman"/>
          <w:sz w:val="18"/>
          <w:szCs w:val="18"/>
          <w:b w:val="1"/>
          <w:bCs w:val="1"/>
          <w:i w:val="1"/>
          <w:iCs w:val="1"/>
          <w:color w:val="auto"/>
        </w:rPr>
        <w:t>Voting Rights</w:t>
      </w:r>
      <w:r>
        <w:rPr>
          <w:rFonts w:ascii="Times New Roman" w:cs="Times New Roman" w:eastAsia="Times New Roman" w:hAnsi="Times New Roman"/>
          <w:sz w:val="18"/>
          <w:szCs w:val="18"/>
          <w:color w:val="auto"/>
        </w:rPr>
        <w:t>. Unless otherwise provided by the Companies Act or a company’s bye-laws, under Bermuda law, questions brought before a general</w:t>
      </w:r>
      <w:r>
        <w:rPr>
          <w:rFonts w:ascii="Times New Roman" w:cs="Times New Roman" w:eastAsia="Times New Roman" w:hAnsi="Times New Roman"/>
          <w:sz w:val="18"/>
          <w:szCs w:val="18"/>
          <w:b w:val="1"/>
          <w:bCs w:val="1"/>
          <w:i w:val="1"/>
          <w:iCs w:val="1"/>
          <w:color w:val="auto"/>
        </w:rPr>
        <w:t xml:space="preserve"> </w:t>
      </w:r>
      <w:r>
        <w:rPr>
          <w:rFonts w:ascii="Times New Roman" w:cs="Times New Roman" w:eastAsia="Times New Roman" w:hAnsi="Times New Roman"/>
          <w:sz w:val="18"/>
          <w:szCs w:val="18"/>
          <w:color w:val="auto"/>
        </w:rPr>
        <w:t>meeting of shareholders are decided by a simple majority vote of shareholders present at the meeting. Each shareholder has one vote, regardless of the number of shares held, unless a poll is requested. If a poll is requested, each shareholder present in person or by proxy has one vote for each share held. A poll may be requested by:</w:t>
      </w:r>
    </w:p>
    <w:p>
      <w:pPr>
        <w:spacing w:after="0" w:line="86" w:lineRule="exact"/>
        <w:rPr>
          <w:sz w:val="20"/>
          <w:szCs w:val="20"/>
          <w:color w:val="auto"/>
        </w:rPr>
      </w:pPr>
    </w:p>
    <w:p>
      <w:pPr>
        <w:ind w:left="900" w:hanging="325"/>
        <w:spacing w:after="0"/>
        <w:tabs>
          <w:tab w:leader="none" w:pos="90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chairman of the meeting;</w:t>
      </w:r>
    </w:p>
    <w:p>
      <w:pPr>
        <w:spacing w:after="0" w:line="130"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 least three shareholders present in person or by proxy;</w:t>
      </w:r>
    </w:p>
    <w:p>
      <w:pPr>
        <w:spacing w:after="0" w:line="130" w:lineRule="exact"/>
        <w:rPr>
          <w:rFonts w:ascii="Times New Roman" w:cs="Times New Roman" w:eastAsia="Times New Roman" w:hAnsi="Times New Roman"/>
          <w:sz w:val="18"/>
          <w:szCs w:val="18"/>
          <w:color w:val="auto"/>
        </w:rPr>
      </w:pPr>
    </w:p>
    <w:p>
      <w:pPr>
        <w:ind w:left="900" w:right="240" w:hanging="325"/>
        <w:spacing w:after="0" w:line="282" w:lineRule="auto"/>
        <w:tabs>
          <w:tab w:leader="none" w:pos="90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shareholder or shareholders present in person or represented by proxy and holding between them not less than one-tenth of the total voting rights of all the shareholders having the right to vote; or</w:t>
      </w:r>
    </w:p>
    <w:p>
      <w:pPr>
        <w:spacing w:after="0" w:line="67" w:lineRule="exact"/>
        <w:rPr>
          <w:rFonts w:ascii="Times New Roman" w:cs="Times New Roman" w:eastAsia="Times New Roman" w:hAnsi="Times New Roman"/>
          <w:sz w:val="18"/>
          <w:szCs w:val="18"/>
          <w:color w:val="auto"/>
        </w:rPr>
      </w:pPr>
    </w:p>
    <w:p>
      <w:pPr>
        <w:jc w:val="both"/>
        <w:ind w:left="900" w:right="80" w:hanging="325"/>
        <w:spacing w:after="0" w:line="313" w:lineRule="auto"/>
        <w:tabs>
          <w:tab w:leader="none" w:pos="900" w:val="left"/>
        </w:tabs>
        <w:numPr>
          <w:ilvl w:val="0"/>
          <w:numId w:val="7"/>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any shareholder or shareholders present in person or represented by proxy holding shares conferring the right to vote at the meeting, and the total paid up on those shares has been paid up equal to at least one-tenth of the total sum paid up on all shares conferring the right vote at the meeting.</w:t>
      </w:r>
    </w:p>
    <w:p>
      <w:pPr>
        <w:spacing w:after="0" w:line="138" w:lineRule="exact"/>
        <w:rPr>
          <w:sz w:val="20"/>
          <w:szCs w:val="20"/>
          <w:color w:val="auto"/>
        </w:rPr>
      </w:pPr>
    </w:p>
    <w:p>
      <w:pPr>
        <w:ind w:right="140" w:firstLine="456"/>
        <w:spacing w:after="0" w:line="266" w:lineRule="auto"/>
        <w:rPr>
          <w:sz w:val="20"/>
          <w:szCs w:val="20"/>
          <w:color w:val="auto"/>
        </w:rPr>
      </w:pPr>
      <w:r>
        <w:rPr>
          <w:rFonts w:ascii="Times New Roman" w:cs="Times New Roman" w:eastAsia="Times New Roman" w:hAnsi="Times New Roman"/>
          <w:sz w:val="18"/>
          <w:szCs w:val="18"/>
          <w:color w:val="auto"/>
        </w:rPr>
        <w:t>Our Bye-laws provide that, subject to the provisions of the Companies Act, any questions sent to a shareholder vote will be decided by the affirmative votes of a majority of the votes cast. In case of an equality of votes, the resolution shall fail. No shareholder shall (unless otherwise entitled under the Companies Act) be entitled to vote at any general meeting unless such shareholder has paid all the calls on all shares held by such shareholder.</w:t>
      </w:r>
    </w:p>
    <w:p>
      <w:pPr>
        <w:spacing w:after="0" w:line="172" w:lineRule="exact"/>
        <w:rPr>
          <w:sz w:val="20"/>
          <w:szCs w:val="20"/>
          <w:color w:val="auto"/>
        </w:rPr>
      </w:pPr>
    </w:p>
    <w:p>
      <w:pPr>
        <w:ind w:right="260" w:firstLine="456"/>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Rights in Litigation</w:t>
      </w:r>
      <w:r>
        <w:rPr>
          <w:rFonts w:ascii="Times New Roman" w:cs="Times New Roman" w:eastAsia="Times New Roman" w:hAnsi="Times New Roman"/>
          <w:sz w:val="18"/>
          <w:szCs w:val="18"/>
          <w:color w:val="auto"/>
        </w:rPr>
        <w:t>. Under Bermuda law, in the event of liquidation, dissolution or winding up of a company, the proceeds of such liquidation,</w:t>
      </w:r>
      <w:r>
        <w:rPr>
          <w:rFonts w:ascii="Times New Roman" w:cs="Times New Roman" w:eastAsia="Times New Roman" w:hAnsi="Times New Roman"/>
          <w:sz w:val="18"/>
          <w:szCs w:val="18"/>
          <w:b w:val="1"/>
          <w:bCs w:val="1"/>
          <w:i w:val="1"/>
          <w:iCs w:val="1"/>
          <w:color w:val="auto"/>
        </w:rPr>
        <w:t xml:space="preserve"> </w:t>
      </w:r>
      <w:r>
        <w:rPr>
          <w:rFonts w:ascii="Times New Roman" w:cs="Times New Roman" w:eastAsia="Times New Roman" w:hAnsi="Times New Roman"/>
          <w:sz w:val="18"/>
          <w:szCs w:val="18"/>
          <w:color w:val="auto"/>
        </w:rPr>
        <w:t>dissolution or winding up are distributed pro rata among the holders of common shares, after satisfaction in full of all claims of creditors and subject to the preferential rights accorded to any series of preferred stock.</w:t>
      </w:r>
    </w:p>
    <w:p>
      <w:pPr>
        <w:spacing w:after="0" w:line="171" w:lineRule="exact"/>
        <w:rPr>
          <w:sz w:val="20"/>
          <w:szCs w:val="20"/>
          <w:color w:val="auto"/>
        </w:rPr>
      </w:pPr>
    </w:p>
    <w:p>
      <w:pPr>
        <w:ind w:right="100" w:firstLine="456"/>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Repurchase of Shares</w:t>
      </w:r>
      <w:r>
        <w:rPr>
          <w:rFonts w:ascii="Times New Roman" w:cs="Times New Roman" w:eastAsia="Times New Roman" w:hAnsi="Times New Roman"/>
          <w:sz w:val="18"/>
          <w:szCs w:val="18"/>
          <w:color w:val="auto"/>
        </w:rPr>
        <w:t>. At its discretion and without the sanction of a resolution, our board of directors may authorize the purchase by our company of</w:t>
      </w:r>
      <w:r>
        <w:rPr>
          <w:rFonts w:ascii="Times New Roman" w:cs="Times New Roman" w:eastAsia="Times New Roman" w:hAnsi="Times New Roman"/>
          <w:sz w:val="18"/>
          <w:szCs w:val="18"/>
          <w:b w:val="1"/>
          <w:bCs w:val="1"/>
          <w:i w:val="1"/>
          <w:iCs w:val="1"/>
          <w:color w:val="auto"/>
        </w:rPr>
        <w:t xml:space="preserve"> </w:t>
      </w:r>
      <w:r>
        <w:rPr>
          <w:rFonts w:ascii="Times New Roman" w:cs="Times New Roman" w:eastAsia="Times New Roman" w:hAnsi="Times New Roman"/>
          <w:sz w:val="18"/>
          <w:szCs w:val="18"/>
          <w:color w:val="auto"/>
        </w:rPr>
        <w:t>our own shares, of any class, at any price. To the extent permitted by Bermuda law, the shares to be purchased may be selected in any manner whatsoever, upon such terms as our board of directors may determine in its discretion.</w:t>
      </w:r>
    </w:p>
    <w:p>
      <w:pPr>
        <w:spacing w:after="0" w:line="171" w:lineRule="exact"/>
        <w:rPr>
          <w:sz w:val="20"/>
          <w:szCs w:val="20"/>
          <w:color w:val="auto"/>
        </w:rPr>
      </w:pPr>
    </w:p>
    <w:p>
      <w:pPr>
        <w:ind w:firstLine="456"/>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Meetings of Shareholders</w:t>
      </w:r>
      <w:r>
        <w:rPr>
          <w:rFonts w:ascii="Times New Roman" w:cs="Times New Roman" w:eastAsia="Times New Roman" w:hAnsi="Times New Roman"/>
          <w:sz w:val="18"/>
          <w:szCs w:val="18"/>
          <w:color w:val="auto"/>
        </w:rPr>
        <w:t>. Under Bermuda law, a company is required to convene at least one general shareholders’ meeting per calendar year unless</w:t>
      </w:r>
      <w:r>
        <w:rPr>
          <w:rFonts w:ascii="Times New Roman" w:cs="Times New Roman" w:eastAsia="Times New Roman" w:hAnsi="Times New Roman"/>
          <w:sz w:val="18"/>
          <w:szCs w:val="18"/>
          <w:b w:val="1"/>
          <w:bCs w:val="1"/>
          <w:i w:val="1"/>
          <w:iCs w:val="1"/>
          <w:color w:val="auto"/>
        </w:rPr>
        <w:t xml:space="preserve"> </w:t>
      </w:r>
      <w:r>
        <w:rPr>
          <w:rFonts w:ascii="Times New Roman" w:cs="Times New Roman" w:eastAsia="Times New Roman" w:hAnsi="Times New Roman"/>
          <w:sz w:val="18"/>
          <w:szCs w:val="18"/>
          <w:color w:val="auto"/>
        </w:rPr>
        <w:t>waived by the shareholders. Bermuda law provides that a special general meeting must be called by our board of directors and must be called upon the request of shareholders holding not less than 10% of such of the paid-up capital of the company having the right to vote.</w:t>
      </w:r>
    </w:p>
    <w:p>
      <w:pPr>
        <w:spacing w:after="0" w:line="175" w:lineRule="exact"/>
        <w:rPr>
          <w:sz w:val="20"/>
          <w:szCs w:val="20"/>
          <w:color w:val="auto"/>
        </w:rPr>
      </w:pPr>
    </w:p>
    <w:p>
      <w:pPr>
        <w:ind w:right="240" w:firstLine="456"/>
        <w:spacing w:after="0" w:line="266" w:lineRule="auto"/>
        <w:rPr>
          <w:sz w:val="20"/>
          <w:szCs w:val="20"/>
          <w:color w:val="auto"/>
        </w:rPr>
      </w:pPr>
      <w:r>
        <w:rPr>
          <w:rFonts w:ascii="Times New Roman" w:cs="Times New Roman" w:eastAsia="Times New Roman" w:hAnsi="Times New Roman"/>
          <w:sz w:val="18"/>
          <w:szCs w:val="18"/>
          <w:color w:val="auto"/>
        </w:rPr>
        <w:t>Bermuda law also requires that shareholders be given at least five days’ advance notice of a general meeting, but the accidental omission of notice to any person does not invalidate the proceedings at such meeting. Our Bye-laws require at least five days’ notice be given to each shareholder of the annual general meeting and of any special general meeting.</w:t>
      </w:r>
    </w:p>
    <w:p>
      <w:pPr>
        <w:spacing w:after="0" w:line="176" w:lineRule="exact"/>
        <w:rPr>
          <w:sz w:val="20"/>
          <w:szCs w:val="20"/>
          <w:color w:val="auto"/>
        </w:rPr>
      </w:pPr>
    </w:p>
    <w:p>
      <w:pPr>
        <w:ind w:right="340" w:firstLine="456"/>
        <w:spacing w:after="0" w:line="266" w:lineRule="auto"/>
        <w:rPr>
          <w:sz w:val="20"/>
          <w:szCs w:val="20"/>
          <w:color w:val="auto"/>
        </w:rPr>
      </w:pPr>
      <w:r>
        <w:rPr>
          <w:rFonts w:ascii="Times New Roman" w:cs="Times New Roman" w:eastAsia="Times New Roman" w:hAnsi="Times New Roman"/>
          <w:sz w:val="18"/>
          <w:szCs w:val="18"/>
          <w:color w:val="auto"/>
        </w:rPr>
        <w:t>Under Bermuda law, the number of shareholders constituting a quorum at any general meeting of shareholders is determined by the bye-laws of the company. Our Bye-laws provide that two persons present in person and representing in person or by proxy at least 50% of the total issued voting shares throughout the meeting constitutes a quorum.</w:t>
      </w:r>
    </w:p>
    <w:p>
      <w:pPr>
        <w:spacing w:after="0" w:line="172" w:lineRule="exact"/>
        <w:rPr>
          <w:sz w:val="20"/>
          <w:szCs w:val="20"/>
          <w:color w:val="auto"/>
        </w:rPr>
      </w:pPr>
    </w:p>
    <w:p>
      <w:pPr>
        <w:jc w:val="both"/>
        <w:ind w:right="60" w:firstLine="456"/>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Shareholder Written Resolutions</w:t>
      </w:r>
      <w:r>
        <w:rPr>
          <w:rFonts w:ascii="Times New Roman" w:cs="Times New Roman" w:eastAsia="Times New Roman" w:hAnsi="Times New Roman"/>
          <w:sz w:val="18"/>
          <w:szCs w:val="18"/>
          <w:color w:val="auto"/>
        </w:rPr>
        <w:t>. Subject to certain exceptions in our Bye-laws and provisions of the Companies Act, anything which may be done by</w:t>
      </w:r>
      <w:r>
        <w:rPr>
          <w:rFonts w:ascii="Times New Roman" w:cs="Times New Roman" w:eastAsia="Times New Roman" w:hAnsi="Times New Roman"/>
          <w:sz w:val="18"/>
          <w:szCs w:val="18"/>
          <w:b w:val="1"/>
          <w:bCs w:val="1"/>
          <w:i w:val="1"/>
          <w:iCs w:val="1"/>
          <w:color w:val="auto"/>
        </w:rPr>
        <w:t xml:space="preserve"> </w:t>
      </w:r>
      <w:r>
        <w:rPr>
          <w:rFonts w:ascii="Times New Roman" w:cs="Times New Roman" w:eastAsia="Times New Roman" w:hAnsi="Times New Roman"/>
          <w:sz w:val="18"/>
          <w:szCs w:val="18"/>
          <w:color w:val="auto"/>
        </w:rPr>
        <w:t>resolution of us in general meeting may without a meeting and without any previous notice being required, be done by resolution in writing signed by all the shareholders who at the date of the resolution would be entitled to attend the meeting and vote on the resolution.</w:t>
      </w:r>
    </w:p>
    <w:p>
      <w:pPr>
        <w:spacing w:after="0" w:line="175" w:lineRule="exact"/>
        <w:rPr>
          <w:sz w:val="20"/>
          <w:szCs w:val="20"/>
          <w:color w:val="auto"/>
        </w:rPr>
      </w:pPr>
    </w:p>
    <w:p>
      <w:pPr>
        <w:jc w:val="both"/>
        <w:ind w:right="60" w:firstLine="456"/>
        <w:spacing w:after="0" w:line="282" w:lineRule="auto"/>
        <w:rPr>
          <w:sz w:val="20"/>
          <w:szCs w:val="20"/>
          <w:color w:val="auto"/>
        </w:rPr>
      </w:pPr>
      <w:r>
        <w:rPr>
          <w:rFonts w:ascii="Times New Roman" w:cs="Times New Roman" w:eastAsia="Times New Roman" w:hAnsi="Times New Roman"/>
          <w:sz w:val="18"/>
          <w:szCs w:val="18"/>
          <w:color w:val="auto"/>
        </w:rPr>
        <w:t>Such exceptions in our Bye-laws include resolutions passed for the purpose of (a) appointing and removing its auditors before the expiration of its term of office; or (b) removing a director before the expiration of his term of office.</w:t>
      </w:r>
    </w:p>
    <w:p>
      <w:pPr>
        <w:spacing w:after="0" w:line="9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w:t>
      </w:r>
    </w:p>
    <w:p>
      <w:pPr>
        <w:sectPr>
          <w:pgSz w:w="11900" w:h="16838" w:orient="portrait"/>
          <w:cols w:equalWidth="0" w:num="1">
            <w:col w:w="11420"/>
          </w:cols>
          <w:pgMar w:left="240" w:top="270" w:right="239" w:bottom="1440" w:gutter="0" w:footer="0" w:header="0"/>
        </w:sectPr>
      </w:pPr>
    </w:p>
    <w:bookmarkStart w:id="11" w:name="page12"/>
    <w:bookmarkEnd w:id="11"/>
    <w:p>
      <w:pPr>
        <w:ind w:right="220" w:firstLine="456"/>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Access to Books and Records and Dissemination of Information</w:t>
      </w:r>
      <w:r>
        <w:rPr>
          <w:rFonts w:ascii="Times New Roman" w:cs="Times New Roman" w:eastAsia="Times New Roman" w:hAnsi="Times New Roman"/>
          <w:sz w:val="18"/>
          <w:szCs w:val="18"/>
          <w:color w:val="auto"/>
        </w:rPr>
        <w:t>. Members of the general public have the right to inspect the public documents of a</w:t>
      </w:r>
      <w:r>
        <w:rPr>
          <w:rFonts w:ascii="Times New Roman" w:cs="Times New Roman" w:eastAsia="Times New Roman" w:hAnsi="Times New Roman"/>
          <w:sz w:val="18"/>
          <w:szCs w:val="18"/>
          <w:b w:val="1"/>
          <w:bCs w:val="1"/>
          <w:i w:val="1"/>
          <w:iCs w:val="1"/>
          <w:color w:val="auto"/>
        </w:rPr>
        <w:t xml:space="preserve"> </w:t>
      </w:r>
      <w:r>
        <w:rPr>
          <w:rFonts w:ascii="Times New Roman" w:cs="Times New Roman" w:eastAsia="Times New Roman" w:hAnsi="Times New Roman"/>
          <w:sz w:val="18"/>
          <w:szCs w:val="18"/>
          <w:color w:val="auto"/>
        </w:rPr>
        <w:t>company available at the office of the Registrar of Companies in Bermuda. These documents include:</w:t>
      </w:r>
    </w:p>
    <w:p>
      <w:pPr>
        <w:spacing w:after="0" w:line="64" w:lineRule="exact"/>
        <w:rPr>
          <w:sz w:val="20"/>
          <w:szCs w:val="20"/>
          <w:color w:val="auto"/>
        </w:rPr>
      </w:pPr>
    </w:p>
    <w:p>
      <w:pPr>
        <w:ind w:left="900" w:hanging="325"/>
        <w:spacing w:after="0"/>
        <w:tabs>
          <w:tab w:leader="none" w:pos="90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Memorandum of Association (including its objects and powers); and</w:t>
      </w:r>
    </w:p>
    <w:p>
      <w:pPr>
        <w:spacing w:after="0" w:line="130"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amendment of our Memorandum of Association.</w:t>
      </w:r>
    </w:p>
    <w:p>
      <w:pPr>
        <w:spacing w:after="0" w:line="225"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color w:val="auto"/>
        </w:rPr>
        <w:t>In addition, our shareholders have the right to inspect:</w:t>
      </w:r>
    </w:p>
    <w:p>
      <w:pPr>
        <w:spacing w:after="0" w:line="131" w:lineRule="exact"/>
        <w:rPr>
          <w:sz w:val="20"/>
          <w:szCs w:val="20"/>
          <w:color w:val="auto"/>
        </w:rPr>
      </w:pPr>
    </w:p>
    <w:p>
      <w:pPr>
        <w:ind w:left="900" w:hanging="325"/>
        <w:spacing w:after="0"/>
        <w:tabs>
          <w:tab w:leader="none" w:pos="90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Bye-laws;</w:t>
      </w:r>
    </w:p>
    <w:p>
      <w:pPr>
        <w:spacing w:after="0" w:line="130"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minutes of general meetings; and</w:t>
      </w:r>
    </w:p>
    <w:p>
      <w:pPr>
        <w:spacing w:after="0" w:line="130"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audited financial statements, which must be presented at the annual general meeting.</w:t>
      </w:r>
    </w:p>
    <w:p>
      <w:pPr>
        <w:spacing w:after="0" w:line="225"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color w:val="auto"/>
        </w:rPr>
        <w:t>Our register of shareholders is also open to inspection by our shareholders and to members of the general public without charge.</w:t>
      </w:r>
    </w:p>
    <w:p>
      <w:pPr>
        <w:spacing w:after="0" w:line="225" w:lineRule="exact"/>
        <w:rPr>
          <w:sz w:val="20"/>
          <w:szCs w:val="20"/>
          <w:color w:val="auto"/>
        </w:rPr>
      </w:pPr>
    </w:p>
    <w:p>
      <w:pPr>
        <w:ind w:right="100" w:firstLine="456"/>
        <w:spacing w:after="0" w:line="261" w:lineRule="auto"/>
        <w:rPr>
          <w:sz w:val="20"/>
          <w:szCs w:val="20"/>
          <w:color w:val="auto"/>
        </w:rPr>
      </w:pPr>
      <w:r>
        <w:rPr>
          <w:rFonts w:ascii="Times New Roman" w:cs="Times New Roman" w:eastAsia="Times New Roman" w:hAnsi="Times New Roman"/>
          <w:sz w:val="18"/>
          <w:szCs w:val="18"/>
          <w:color w:val="auto"/>
        </w:rPr>
        <w:t>We are required to maintain our share register in Bermuda but may, subject to the provisions of the Companies Act, establish a branch register outside Bermuda. We are required to keep at our registered office a register of our directors and officers which is open for inspection for not less than two hours each day by members of the public without charge. However, Bermuda law does not provide a general right for shareholders to inspect or obtain copies of any other corporate records.</w:t>
      </w:r>
    </w:p>
    <w:p>
      <w:pPr>
        <w:spacing w:after="0" w:line="176" w:lineRule="exact"/>
        <w:rPr>
          <w:sz w:val="20"/>
          <w:szCs w:val="20"/>
          <w:color w:val="auto"/>
        </w:rPr>
      </w:pPr>
    </w:p>
    <w:p>
      <w:pPr>
        <w:jc w:val="both"/>
        <w:ind w:right="140" w:firstLine="456"/>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Election or Removal of Directors</w:t>
      </w:r>
      <w:r>
        <w:rPr>
          <w:rFonts w:ascii="Times New Roman" w:cs="Times New Roman" w:eastAsia="Times New Roman" w:hAnsi="Times New Roman"/>
          <w:sz w:val="18"/>
          <w:szCs w:val="18"/>
          <w:color w:val="auto"/>
        </w:rPr>
        <w:t>. Under Bermuda law and our Bye-laws, directors are elected at the annual general meeting for a term of one year or</w:t>
      </w:r>
      <w:r>
        <w:rPr>
          <w:rFonts w:ascii="Times New Roman" w:cs="Times New Roman" w:eastAsia="Times New Roman" w:hAnsi="Times New Roman"/>
          <w:sz w:val="18"/>
          <w:szCs w:val="18"/>
          <w:b w:val="1"/>
          <w:bCs w:val="1"/>
          <w:i w:val="1"/>
          <w:iCs w:val="1"/>
          <w:color w:val="auto"/>
        </w:rPr>
        <w:t xml:space="preserve"> </w:t>
      </w:r>
      <w:r>
        <w:rPr>
          <w:rFonts w:ascii="Times New Roman" w:cs="Times New Roman" w:eastAsia="Times New Roman" w:hAnsi="Times New Roman"/>
          <w:sz w:val="18"/>
          <w:szCs w:val="18"/>
          <w:color w:val="auto"/>
        </w:rPr>
        <w:t>until their successors are elected or appointed, unless they resign or are earlier removed. Pursuant to our Bye-laws, our board of directors shall consist of not less than two directors or such number in excess thereof as our board of directors may from time to time determine.</w:t>
      </w:r>
    </w:p>
    <w:p>
      <w:pPr>
        <w:spacing w:after="0" w:line="175" w:lineRule="exact"/>
        <w:rPr>
          <w:sz w:val="20"/>
          <w:szCs w:val="20"/>
          <w:color w:val="auto"/>
        </w:rPr>
      </w:pPr>
    </w:p>
    <w:p>
      <w:pPr>
        <w:ind w:right="100" w:firstLine="456"/>
        <w:spacing w:after="0" w:line="261" w:lineRule="auto"/>
        <w:rPr>
          <w:sz w:val="20"/>
          <w:szCs w:val="20"/>
          <w:color w:val="auto"/>
        </w:rPr>
      </w:pPr>
      <w:r>
        <w:rPr>
          <w:rFonts w:ascii="Times New Roman" w:cs="Times New Roman" w:eastAsia="Times New Roman" w:hAnsi="Times New Roman"/>
          <w:sz w:val="18"/>
          <w:szCs w:val="18"/>
          <w:color w:val="auto"/>
        </w:rPr>
        <w:t>Under Bermuda law, unless otherwise provided in a company’s bye-laws, a director may be removed at a special general meeting of shareholders specifically called for that purpose, provided that the director was served with at least 14 days’ notice of the meeting. The director has a right to be heard at such meeting. Any vacancy created by the removal of a director at a special general meeting may be filled at such meeting by the election of another director in his or her place or, in the absence of any such election, by our board of directors.</w:t>
      </w:r>
    </w:p>
    <w:p>
      <w:pPr>
        <w:spacing w:after="0" w:line="176" w:lineRule="exact"/>
        <w:rPr>
          <w:sz w:val="20"/>
          <w:szCs w:val="20"/>
          <w:color w:val="auto"/>
        </w:rPr>
      </w:pPr>
    </w:p>
    <w:p>
      <w:pPr>
        <w:ind w:firstLine="456"/>
        <w:spacing w:after="0" w:line="257" w:lineRule="auto"/>
        <w:rPr>
          <w:sz w:val="20"/>
          <w:szCs w:val="20"/>
          <w:color w:val="auto"/>
        </w:rPr>
      </w:pPr>
      <w:r>
        <w:rPr>
          <w:rFonts w:ascii="Times New Roman" w:cs="Times New Roman" w:eastAsia="Times New Roman" w:hAnsi="Times New Roman"/>
          <w:sz w:val="18"/>
          <w:szCs w:val="18"/>
          <w:b w:val="1"/>
          <w:bCs w:val="1"/>
          <w:i w:val="1"/>
          <w:iCs w:val="1"/>
          <w:color w:val="auto"/>
        </w:rPr>
        <w:t>Amendment of Memorandum of Association and Bye-laws</w:t>
      </w:r>
      <w:r>
        <w:rPr>
          <w:rFonts w:ascii="Times New Roman" w:cs="Times New Roman" w:eastAsia="Times New Roman" w:hAnsi="Times New Roman"/>
          <w:sz w:val="18"/>
          <w:szCs w:val="18"/>
          <w:color w:val="auto"/>
        </w:rPr>
        <w:t>. Bermuda law provides that the memorandum of association of a company may be</w:t>
      </w:r>
      <w:r>
        <w:rPr>
          <w:rFonts w:ascii="Times New Roman" w:cs="Times New Roman" w:eastAsia="Times New Roman" w:hAnsi="Times New Roman"/>
          <w:sz w:val="18"/>
          <w:szCs w:val="18"/>
          <w:b w:val="1"/>
          <w:bCs w:val="1"/>
          <w:i w:val="1"/>
          <w:iCs w:val="1"/>
          <w:color w:val="auto"/>
        </w:rPr>
        <w:t xml:space="preserve"> </w:t>
      </w:r>
      <w:r>
        <w:rPr>
          <w:rFonts w:ascii="Times New Roman" w:cs="Times New Roman" w:eastAsia="Times New Roman" w:hAnsi="Times New Roman"/>
          <w:sz w:val="18"/>
          <w:szCs w:val="18"/>
          <w:color w:val="auto"/>
        </w:rPr>
        <w:t>amended by a resolution passed at a general meeting of shareholders after due notice has been given. An amendment to the memorandum of association, other than an amendment which alters or reduces a company’s share capital, also requires the approval of the Registrar of Companies, who may grant or withhold approval at his or her discretion. The directors may amend the bye-laws, but the amendment must be approved by the shareholders at a general meeting and approved by the affirmative votes of a majority of the votes cast in accordance with the provisions of the bye-laws and in case of an equality of votes the resolutions shall fail.</w:t>
      </w:r>
    </w:p>
    <w:p>
      <w:pPr>
        <w:spacing w:after="0" w:line="187" w:lineRule="exact"/>
        <w:rPr>
          <w:sz w:val="20"/>
          <w:szCs w:val="20"/>
          <w:color w:val="auto"/>
        </w:rPr>
      </w:pPr>
    </w:p>
    <w:p>
      <w:pPr>
        <w:ind w:firstLine="456"/>
        <w:spacing w:after="0" w:line="255" w:lineRule="auto"/>
        <w:rPr>
          <w:sz w:val="20"/>
          <w:szCs w:val="20"/>
          <w:color w:val="auto"/>
        </w:rPr>
      </w:pPr>
      <w:r>
        <w:rPr>
          <w:rFonts w:ascii="Times New Roman" w:cs="Times New Roman" w:eastAsia="Times New Roman" w:hAnsi="Times New Roman"/>
          <w:sz w:val="18"/>
          <w:szCs w:val="18"/>
          <w:color w:val="auto"/>
        </w:rPr>
        <w:t>Under Bermuda law, the holders of a total of at least 20% in par value of any class of a company’s issued share capital have the right to apply to the Bermuda courts for an annulment of any amendment of the memorandum of association adopted by shareholders at any general meeting, other than an amendment which alters or reduces a company’s share capital as provided in the Companies Act. Where such an application is made, the amendment becomes effective only to the extent that it is confirmed by the Bermuda courts. An application for annulment of any amendment of the memorandum of association must be made within 21 days after the date on which the resolution altering the company’s memorandum is passed and may be made on behalf of the persons entitled to make the application by one or more of their number as they may appoint in writing for that purpose. No such application may be made by persons voting in favor of the amendment.</w:t>
      </w:r>
    </w:p>
    <w:p>
      <w:pPr>
        <w:spacing w:after="0" w:line="185" w:lineRule="exact"/>
        <w:rPr>
          <w:sz w:val="20"/>
          <w:szCs w:val="20"/>
          <w:color w:val="auto"/>
        </w:rPr>
      </w:pPr>
    </w:p>
    <w:p>
      <w:pPr>
        <w:ind w:right="20" w:firstLine="456"/>
        <w:spacing w:after="0" w:line="262" w:lineRule="auto"/>
        <w:rPr>
          <w:sz w:val="20"/>
          <w:szCs w:val="20"/>
          <w:color w:val="auto"/>
        </w:rPr>
      </w:pPr>
      <w:r>
        <w:rPr>
          <w:rFonts w:ascii="Times New Roman" w:cs="Times New Roman" w:eastAsia="Times New Roman" w:hAnsi="Times New Roman"/>
          <w:sz w:val="18"/>
          <w:szCs w:val="18"/>
          <w:b w:val="1"/>
          <w:bCs w:val="1"/>
          <w:i w:val="1"/>
          <w:iCs w:val="1"/>
          <w:color w:val="auto"/>
        </w:rPr>
        <w:t>Appraisal Rights and Shareholder Suits</w:t>
      </w:r>
      <w:r>
        <w:rPr>
          <w:rFonts w:ascii="Times New Roman" w:cs="Times New Roman" w:eastAsia="Times New Roman" w:hAnsi="Times New Roman"/>
          <w:sz w:val="18"/>
          <w:szCs w:val="18"/>
          <w:color w:val="auto"/>
        </w:rPr>
        <w:t>. Under Bermuda law, in the event of a merger or amalgamation of a Bermuda company with another</w:t>
      </w:r>
      <w:r>
        <w:rPr>
          <w:rFonts w:ascii="Times New Roman" w:cs="Times New Roman" w:eastAsia="Times New Roman" w:hAnsi="Times New Roman"/>
          <w:sz w:val="18"/>
          <w:szCs w:val="18"/>
          <w:b w:val="1"/>
          <w:bCs w:val="1"/>
          <w:i w:val="1"/>
          <w:iCs w:val="1"/>
          <w:color w:val="auto"/>
        </w:rPr>
        <w:t xml:space="preserve"> </w:t>
      </w:r>
      <w:r>
        <w:rPr>
          <w:rFonts w:ascii="Times New Roman" w:cs="Times New Roman" w:eastAsia="Times New Roman" w:hAnsi="Times New Roman"/>
          <w:sz w:val="18"/>
          <w:szCs w:val="18"/>
          <w:color w:val="auto"/>
        </w:rPr>
        <w:t>company, a shareholder of the Bermuda company who is not satisfied that fair value has been offered for his or her shares may apply to the Bermuda courts to appraise the fair value of his or her shares. The merger or amalgamation of a company with another company requires the approval of the merger or amalgamation agreement by our board of directors and by the shareholders, and of the holders of each class of such shares.</w:t>
      </w:r>
    </w:p>
    <w:p>
      <w:pPr>
        <w:spacing w:after="0" w:line="11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5</w:t>
      </w:r>
    </w:p>
    <w:p>
      <w:pPr>
        <w:sectPr>
          <w:pgSz w:w="11900" w:h="16838" w:orient="portrait"/>
          <w:cols w:equalWidth="0" w:num="1">
            <w:col w:w="11420"/>
          </w:cols>
          <w:pgMar w:left="240" w:top="266" w:right="239" w:bottom="1440" w:gutter="0" w:footer="0" w:header="0"/>
        </w:sectPr>
      </w:pPr>
    </w:p>
    <w:bookmarkStart w:id="12" w:name="page13"/>
    <w:bookmarkEnd w:id="12"/>
    <w:p>
      <w:pPr>
        <w:jc w:val="both"/>
        <w:ind w:right="120" w:firstLine="456"/>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Class actions and derivative actions are generally not available to shareholders under Bermuda law. However, the Bermuda courts would ordinarily be expected to follow English case law precedent, which would permit a shareholder to commence an action in the name of a company to remedy a wrong done to the company where the act complained of is alleged:</w:t>
      </w:r>
    </w:p>
    <w:p>
      <w:pPr>
        <w:spacing w:after="0" w:line="82" w:lineRule="exact"/>
        <w:rPr>
          <w:sz w:val="20"/>
          <w:szCs w:val="20"/>
          <w:color w:val="auto"/>
        </w:rPr>
      </w:pPr>
    </w:p>
    <w:p>
      <w:pPr>
        <w:ind w:left="900" w:hanging="325"/>
        <w:spacing w:after="0"/>
        <w:tabs>
          <w:tab w:leader="none" w:pos="90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be beyond the corporate power of the company;</w:t>
      </w:r>
    </w:p>
    <w:p>
      <w:pPr>
        <w:spacing w:after="0" w:line="130"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be illegal; or</w:t>
      </w:r>
    </w:p>
    <w:p>
      <w:pPr>
        <w:spacing w:after="0" w:line="130"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violate the company’s memorandum of association or bye-laws.</w:t>
      </w:r>
    </w:p>
    <w:p>
      <w:pPr>
        <w:spacing w:after="0" w:line="225" w:lineRule="exact"/>
        <w:rPr>
          <w:sz w:val="20"/>
          <w:szCs w:val="20"/>
          <w:color w:val="auto"/>
        </w:rPr>
      </w:pPr>
    </w:p>
    <w:p>
      <w:pPr>
        <w:ind w:right="100" w:firstLine="456"/>
        <w:spacing w:after="0" w:line="282" w:lineRule="auto"/>
        <w:rPr>
          <w:sz w:val="20"/>
          <w:szCs w:val="20"/>
          <w:color w:val="auto"/>
        </w:rPr>
      </w:pPr>
      <w:r>
        <w:rPr>
          <w:rFonts w:ascii="Times New Roman" w:cs="Times New Roman" w:eastAsia="Times New Roman" w:hAnsi="Times New Roman"/>
          <w:sz w:val="18"/>
          <w:szCs w:val="18"/>
          <w:color w:val="auto"/>
        </w:rPr>
        <w:t>Furthermore, consideration would be given by the Bermuda courts to acts that are alleged to constitute a fraud against the minority shareholders or, for instance where an act requires the approval of a greater percentage of the company’s shareholders than those who actually approve it.</w:t>
      </w:r>
    </w:p>
    <w:p>
      <w:pPr>
        <w:spacing w:after="0" w:line="162" w:lineRule="exact"/>
        <w:rPr>
          <w:sz w:val="20"/>
          <w:szCs w:val="20"/>
          <w:color w:val="auto"/>
        </w:rPr>
      </w:pPr>
    </w:p>
    <w:p>
      <w:pPr>
        <w:ind w:right="280" w:firstLine="456"/>
        <w:spacing w:after="0" w:line="266" w:lineRule="auto"/>
        <w:rPr>
          <w:sz w:val="20"/>
          <w:szCs w:val="20"/>
          <w:color w:val="auto"/>
        </w:rPr>
      </w:pPr>
      <w:r>
        <w:rPr>
          <w:rFonts w:ascii="Times New Roman" w:cs="Times New Roman" w:eastAsia="Times New Roman" w:hAnsi="Times New Roman"/>
          <w:sz w:val="18"/>
          <w:szCs w:val="18"/>
          <w:color w:val="auto"/>
        </w:rPr>
        <w:t>When the affairs of a company are being conducted in a manner oppressive or prejudicial to the interests of some of the shareholders, one or more shareholders may apply to the Bermuda courts for an order to regulate the company’s conduct of affairs in the future or order the purchase of the shares by any shareholder, by other shareholders or by the company.</w:t>
      </w:r>
    </w:p>
    <w:p>
      <w:pPr>
        <w:spacing w:after="0" w:line="172" w:lineRule="exact"/>
        <w:rPr>
          <w:sz w:val="20"/>
          <w:szCs w:val="20"/>
          <w:color w:val="auto"/>
        </w:rPr>
      </w:pPr>
    </w:p>
    <w:p>
      <w:pPr>
        <w:ind w:right="220" w:firstLine="456"/>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Board Actions</w:t>
      </w:r>
      <w:r>
        <w:rPr>
          <w:rFonts w:ascii="Times New Roman" w:cs="Times New Roman" w:eastAsia="Times New Roman" w:hAnsi="Times New Roman"/>
          <w:sz w:val="18"/>
          <w:szCs w:val="18"/>
          <w:color w:val="auto"/>
        </w:rPr>
        <w:t>. Under Bermuda law, the directors of a Bermuda company owe their fiduciary duties to the company, rather than to individual</w:t>
      </w:r>
      <w:r>
        <w:rPr>
          <w:rFonts w:ascii="Times New Roman" w:cs="Times New Roman" w:eastAsia="Times New Roman" w:hAnsi="Times New Roman"/>
          <w:sz w:val="18"/>
          <w:szCs w:val="18"/>
          <w:b w:val="1"/>
          <w:bCs w:val="1"/>
          <w:i w:val="1"/>
          <w:iCs w:val="1"/>
          <w:color w:val="auto"/>
        </w:rPr>
        <w:t xml:space="preserve"> </w:t>
      </w:r>
      <w:r>
        <w:rPr>
          <w:rFonts w:ascii="Times New Roman" w:cs="Times New Roman" w:eastAsia="Times New Roman" w:hAnsi="Times New Roman"/>
          <w:sz w:val="18"/>
          <w:szCs w:val="18"/>
          <w:color w:val="auto"/>
        </w:rPr>
        <w:t>shareholders. Our Bye-laws provide that some actions are required to be approved by our board of directors. Actions must be approved by a majority of the votes present and entitled to be cast at a properly convened meeting of our board of directors.</w:t>
      </w:r>
    </w:p>
    <w:p>
      <w:pPr>
        <w:spacing w:after="0" w:line="175" w:lineRule="exact"/>
        <w:rPr>
          <w:sz w:val="20"/>
          <w:szCs w:val="20"/>
          <w:color w:val="auto"/>
        </w:rPr>
      </w:pPr>
    </w:p>
    <w:p>
      <w:pPr>
        <w:ind w:right="80" w:firstLine="456"/>
        <w:spacing w:after="0" w:line="258" w:lineRule="auto"/>
        <w:rPr>
          <w:sz w:val="20"/>
          <w:szCs w:val="20"/>
          <w:color w:val="auto"/>
        </w:rPr>
      </w:pPr>
      <w:r>
        <w:rPr>
          <w:rFonts w:ascii="Times New Roman" w:cs="Times New Roman" w:eastAsia="Times New Roman" w:hAnsi="Times New Roman"/>
          <w:sz w:val="18"/>
          <w:szCs w:val="18"/>
          <w:color w:val="auto"/>
        </w:rPr>
        <w:t>Our Bye-laws contain a provision by virtue of which our shareholders waive any claim or right of action that they have, both individually and on our behalf, against any director or officer in relation to any action or failure to take action by such director or officer, except in respect of any fraud or dishonesty of such director or officer. Our Bye-laws also indemnify our directors and officers in respect of their actions and omissions, except in respect of their fraud or dishonesty. The indemnification provided in our Bye-laws is not exclusive of other indemnification rights to which a director or officer may be entitled, provided these rights do not extend to his or her fraud or dishonesty.</w:t>
      </w:r>
    </w:p>
    <w:p>
      <w:pPr>
        <w:spacing w:after="0" w:line="184" w:lineRule="exact"/>
        <w:rPr>
          <w:sz w:val="20"/>
          <w:szCs w:val="20"/>
          <w:color w:val="auto"/>
        </w:rPr>
      </w:pPr>
    </w:p>
    <w:p>
      <w:pPr>
        <w:ind w:right="160" w:firstLine="456"/>
        <w:spacing w:after="0" w:line="266" w:lineRule="auto"/>
        <w:rPr>
          <w:sz w:val="20"/>
          <w:szCs w:val="20"/>
          <w:color w:val="auto"/>
        </w:rPr>
      </w:pPr>
      <w:r>
        <w:rPr>
          <w:rFonts w:ascii="Times New Roman" w:cs="Times New Roman" w:eastAsia="Times New Roman" w:hAnsi="Times New Roman"/>
          <w:sz w:val="18"/>
          <w:szCs w:val="18"/>
          <w:color w:val="auto"/>
        </w:rPr>
        <w:t>Our Bye-laws provide that our business is to be managed and conducted by our board of directors. Bermuda law does not require that our directors be individuals, and there is no requirement in our Bye-laws or Bermuda law that directors hold any of our shares. There is also no requirement in our Bye-laws or Bermuda law that our directors must retire at a certain age.</w:t>
      </w:r>
    </w:p>
    <w:p>
      <w:pPr>
        <w:spacing w:after="0" w:line="172" w:lineRule="exact"/>
        <w:rPr>
          <w:sz w:val="20"/>
          <w:szCs w:val="20"/>
          <w:color w:val="auto"/>
        </w:rPr>
      </w:pPr>
    </w:p>
    <w:p>
      <w:pPr>
        <w:ind w:right="220" w:firstLine="456"/>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Related Party Transactions and Loans</w:t>
      </w:r>
      <w:r>
        <w:rPr>
          <w:rFonts w:ascii="Times New Roman" w:cs="Times New Roman" w:eastAsia="Times New Roman" w:hAnsi="Times New Roman"/>
          <w:sz w:val="18"/>
          <w:szCs w:val="18"/>
          <w:color w:val="auto"/>
        </w:rPr>
        <w:t>. Pursuant to our Bye-laws, provided a director discloses a direct or indirect interest in any contract or</w:t>
      </w:r>
      <w:r>
        <w:rPr>
          <w:rFonts w:ascii="Times New Roman" w:cs="Times New Roman" w:eastAsia="Times New Roman" w:hAnsi="Times New Roman"/>
          <w:sz w:val="18"/>
          <w:szCs w:val="18"/>
          <w:b w:val="1"/>
          <w:bCs w:val="1"/>
          <w:i w:val="1"/>
          <w:iCs w:val="1"/>
          <w:color w:val="auto"/>
        </w:rPr>
        <w:t xml:space="preserve"> </w:t>
      </w:r>
      <w:r>
        <w:rPr>
          <w:rFonts w:ascii="Times New Roman" w:cs="Times New Roman" w:eastAsia="Times New Roman" w:hAnsi="Times New Roman"/>
          <w:sz w:val="18"/>
          <w:szCs w:val="18"/>
          <w:color w:val="auto"/>
        </w:rPr>
        <w:t>arrangement with us as required by Bermuda law, such director is may be counted in the quorum and vote in respect of any such contract or arrangement in which he or she is interested unless he or she is disqualified from voting by the chairman of the relevant board meeting.</w:t>
      </w:r>
    </w:p>
    <w:p>
      <w:pPr>
        <w:spacing w:after="0" w:line="171" w:lineRule="exact"/>
        <w:rPr>
          <w:sz w:val="20"/>
          <w:szCs w:val="20"/>
          <w:color w:val="auto"/>
        </w:rPr>
      </w:pPr>
    </w:p>
    <w:p>
      <w:pPr>
        <w:ind w:right="120" w:firstLine="456"/>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Discontinuance/Continuation</w:t>
      </w:r>
      <w:r>
        <w:rPr>
          <w:rFonts w:ascii="Times New Roman" w:cs="Times New Roman" w:eastAsia="Times New Roman" w:hAnsi="Times New Roman"/>
          <w:sz w:val="18"/>
          <w:szCs w:val="18"/>
          <w:color w:val="auto"/>
        </w:rPr>
        <w:t>. Under Bermuda law, an exempted company may be discontinued in Bermuda and continued in a jurisdiction outside</w:t>
      </w:r>
      <w:r>
        <w:rPr>
          <w:rFonts w:ascii="Times New Roman" w:cs="Times New Roman" w:eastAsia="Times New Roman" w:hAnsi="Times New Roman"/>
          <w:sz w:val="18"/>
          <w:szCs w:val="18"/>
          <w:b w:val="1"/>
          <w:bCs w:val="1"/>
          <w:i w:val="1"/>
          <w:iCs w:val="1"/>
          <w:color w:val="auto"/>
        </w:rPr>
        <w:t xml:space="preserve"> </w:t>
      </w:r>
      <w:r>
        <w:rPr>
          <w:rFonts w:ascii="Times New Roman" w:cs="Times New Roman" w:eastAsia="Times New Roman" w:hAnsi="Times New Roman"/>
          <w:sz w:val="18"/>
          <w:szCs w:val="18"/>
          <w:color w:val="auto"/>
        </w:rPr>
        <w:t>Bermuda as if it had been incorporated under the laws of that other jurisdiction. Our Bye-laws provide that our board of directors may exercise all our power to discontinue to another jurisdiction.</w:t>
      </w:r>
    </w:p>
    <w:p>
      <w:pPr>
        <w:spacing w:after="0" w:line="171" w:lineRule="exact"/>
        <w:rPr>
          <w:sz w:val="20"/>
          <w:szCs w:val="20"/>
          <w:color w:val="auto"/>
        </w:rPr>
      </w:pPr>
    </w:p>
    <w:p>
      <w:pPr>
        <w:ind w:firstLine="456"/>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Foreign Exchange Controls</w:t>
      </w:r>
      <w:r>
        <w:rPr>
          <w:rFonts w:ascii="Times New Roman" w:cs="Times New Roman" w:eastAsia="Times New Roman" w:hAnsi="Times New Roman"/>
          <w:sz w:val="18"/>
          <w:szCs w:val="18"/>
          <w:color w:val="auto"/>
        </w:rPr>
        <w:t>. We have been designated as a “non-resident” of Bermuda by the Bermuda Monetary Authority for the purposes of the</w:t>
      </w:r>
      <w:r>
        <w:rPr>
          <w:rFonts w:ascii="Times New Roman" w:cs="Times New Roman" w:eastAsia="Times New Roman" w:hAnsi="Times New Roman"/>
          <w:sz w:val="18"/>
          <w:szCs w:val="18"/>
          <w:b w:val="1"/>
          <w:bCs w:val="1"/>
          <w:i w:val="1"/>
          <w:iCs w:val="1"/>
          <w:color w:val="auto"/>
        </w:rPr>
        <w:t xml:space="preserve"> </w:t>
      </w:r>
      <w:r>
        <w:rPr>
          <w:rFonts w:ascii="Times New Roman" w:cs="Times New Roman" w:eastAsia="Times New Roman" w:hAnsi="Times New Roman"/>
          <w:sz w:val="18"/>
          <w:szCs w:val="18"/>
          <w:color w:val="auto"/>
        </w:rPr>
        <w:t>Exchange Control Act, 1972 and regulations made under it and there is no restriction or requirement of Bermuda binding on us which limits the availability or transfer of foreign exchange (i.e. monies denominated in currencies other than Bermuda dollars).</w:t>
      </w:r>
    </w:p>
    <w:p>
      <w:pPr>
        <w:spacing w:after="0" w:line="171" w:lineRule="exact"/>
        <w:rPr>
          <w:sz w:val="20"/>
          <w:szCs w:val="20"/>
          <w:color w:val="auto"/>
        </w:rPr>
      </w:pPr>
    </w:p>
    <w:p>
      <w:pPr>
        <w:ind w:right="120" w:firstLine="456"/>
        <w:spacing w:after="0" w:line="257" w:lineRule="auto"/>
        <w:rPr>
          <w:sz w:val="20"/>
          <w:szCs w:val="20"/>
          <w:color w:val="auto"/>
        </w:rPr>
      </w:pPr>
      <w:r>
        <w:rPr>
          <w:rFonts w:ascii="Times New Roman" w:cs="Times New Roman" w:eastAsia="Times New Roman" w:hAnsi="Times New Roman"/>
          <w:sz w:val="18"/>
          <w:szCs w:val="18"/>
          <w:b w:val="1"/>
          <w:bCs w:val="1"/>
          <w:i w:val="1"/>
          <w:iCs w:val="1"/>
          <w:color w:val="auto"/>
        </w:rPr>
        <w:t>Transfer of Common Shares to Non-Residents of Bermuda</w:t>
      </w:r>
      <w:r>
        <w:rPr>
          <w:rFonts w:ascii="Times New Roman" w:cs="Times New Roman" w:eastAsia="Times New Roman" w:hAnsi="Times New Roman"/>
          <w:sz w:val="18"/>
          <w:szCs w:val="18"/>
          <w:color w:val="auto"/>
        </w:rPr>
        <w:t>. The Bermuda Monetary Authority has given its general permission for the issue and free</w:t>
      </w:r>
      <w:r>
        <w:rPr>
          <w:rFonts w:ascii="Times New Roman" w:cs="Times New Roman" w:eastAsia="Times New Roman" w:hAnsi="Times New Roman"/>
          <w:sz w:val="18"/>
          <w:szCs w:val="18"/>
          <w:b w:val="1"/>
          <w:bCs w:val="1"/>
          <w:i w:val="1"/>
          <w:iCs w:val="1"/>
          <w:color w:val="auto"/>
        </w:rPr>
        <w:t xml:space="preserve"> </w:t>
      </w:r>
      <w:r>
        <w:rPr>
          <w:rFonts w:ascii="Times New Roman" w:cs="Times New Roman" w:eastAsia="Times New Roman" w:hAnsi="Times New Roman"/>
          <w:sz w:val="18"/>
          <w:szCs w:val="18"/>
          <w:color w:val="auto"/>
        </w:rPr>
        <w:t>transferability of securities of Bermuda companies, which would include the common shares that are the subject of this offering, to and between non-residents of Bermuda for exchange control purposes, provided that our common shares remain listed on an appointed stock exchange, which includes NASDAQ. Approvals or permissions given by the Bermuda Monetary Authority do not constitute a guarantee by the Bermuda Monetary Authority as to our performance or our creditworthiness. Accordingly, in giving such consent or permissions, the Bermuda Monetary Authority shall not be liable for the financial soundness, performance or default of our business or for the correctness of any opinions or statements expressed in this prospectus.</w:t>
      </w:r>
    </w:p>
    <w:p>
      <w:pPr>
        <w:spacing w:after="0" w:line="119"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6</w:t>
      </w:r>
    </w:p>
    <w:p>
      <w:pPr>
        <w:sectPr>
          <w:pgSz w:w="11900" w:h="16838" w:orient="portrait"/>
          <w:cols w:equalWidth="0" w:num="1">
            <w:col w:w="11420"/>
          </w:cols>
          <w:pgMar w:left="240" w:top="270" w:right="239" w:bottom="1440" w:gutter="0" w:footer="0" w:header="0"/>
        </w:sectPr>
      </w:pPr>
    </w:p>
    <w:bookmarkStart w:id="13" w:name="page14"/>
    <w:bookmarkEnd w:id="13"/>
    <w:p>
      <w:pPr>
        <w:ind w:firstLine="456"/>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 accordance with Bermuda law, share certificates are only issued in the names of companies, partnerships or individuals. In the case of a shareholder acting in a special capacity (for example as a trustee), certificates may, at the request of the shareholder, record the capacity in which the shareholder is acting. Notwithstanding such recording of any special capacity, we are not bound to investigate or see to the execution of any such trust. We will take no notice of any trust applicable to any of our common shares, whether or not we have been notified of such trust.</w:t>
      </w:r>
    </w:p>
    <w:p>
      <w:pPr>
        <w:spacing w:after="0" w:line="113"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7</w:t>
      </w:r>
    </w:p>
    <w:p>
      <w:pPr>
        <w:sectPr>
          <w:pgSz w:w="11900" w:h="16838" w:orient="portrait"/>
          <w:cols w:equalWidth="0" w:num="1">
            <w:col w:w="11400"/>
          </w:cols>
          <w:pgMar w:left="240" w:top="270" w:right="259" w:bottom="1440" w:gutter="0" w:footer="0" w:header="0"/>
        </w:sectPr>
      </w:pPr>
    </w:p>
    <w:bookmarkStart w:id="14" w:name="page15"/>
    <w:bookmarkEnd w:id="14"/>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DESCRIPTION OF CAVIUM PLANS</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Introduction</w:t>
      </w:r>
    </w:p>
    <w:p>
      <w:pPr>
        <w:spacing w:after="0" w:line="121" w:lineRule="exact"/>
        <w:rPr>
          <w:sz w:val="20"/>
          <w:szCs w:val="20"/>
          <w:color w:val="auto"/>
        </w:rPr>
      </w:pPr>
    </w:p>
    <w:p>
      <w:pPr>
        <w:jc w:val="both"/>
        <w:ind w:right="20"/>
        <w:spacing w:after="0" w:line="266" w:lineRule="auto"/>
        <w:rPr>
          <w:sz w:val="20"/>
          <w:szCs w:val="20"/>
          <w:color w:val="auto"/>
        </w:rPr>
      </w:pPr>
      <w:r>
        <w:rPr>
          <w:rFonts w:ascii="Times New Roman" w:cs="Times New Roman" w:eastAsia="Times New Roman" w:hAnsi="Times New Roman"/>
          <w:sz w:val="18"/>
          <w:szCs w:val="18"/>
          <w:color w:val="auto"/>
        </w:rPr>
        <w:t>This prospectus contains an overview of eligible individuals’ rights under the Cavium Plans, which were assumed by Marvell upon completion of the Merger. As a result of that Merger, the assumed stock options granted under the Cavium Plans relate to Marvell common shares instead of shares of Cavium common stock.</w:t>
      </w:r>
    </w:p>
    <w:p>
      <w:pPr>
        <w:spacing w:after="0" w:line="176" w:lineRule="exact"/>
        <w:rPr>
          <w:sz w:val="20"/>
          <w:szCs w:val="20"/>
          <w:color w:val="auto"/>
        </w:rPr>
      </w:pPr>
    </w:p>
    <w:p>
      <w:pPr>
        <w:ind w:right="40"/>
        <w:spacing w:after="0" w:line="258" w:lineRule="auto"/>
        <w:rPr>
          <w:sz w:val="20"/>
          <w:szCs w:val="20"/>
          <w:color w:val="auto"/>
        </w:rPr>
      </w:pPr>
      <w:r>
        <w:rPr>
          <w:rFonts w:ascii="Times New Roman" w:cs="Times New Roman" w:eastAsia="Times New Roman" w:hAnsi="Times New Roman"/>
          <w:sz w:val="18"/>
          <w:szCs w:val="18"/>
          <w:color w:val="auto"/>
        </w:rPr>
        <w:t>The description of the Cavium Plans in this prospectus is merely a summary of key terms and conditions of the Cavium Plans. This prospectus does not contain all of the terms and conditions of the official plan documents for the Cavium Plans, and is expressly qualified by reference to the plan documents for the Cavium Plans and the terms and conditions of a specific grant or award. In the event of any inconsistency between this prospectus, any plan documents or the terms and conditions of a grant or award, the plan documents and the terms and conditions of the grant or award will govern. See “Where You Can Find More Information” for instructions on how to obtain copies of the official plan documents.</w:t>
      </w:r>
    </w:p>
    <w:p>
      <w:pPr>
        <w:spacing w:after="0" w:line="28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Administration of the Cavium Plans</w:t>
      </w:r>
    </w:p>
    <w:p>
      <w:pPr>
        <w:spacing w:after="0" w:line="121" w:lineRule="exact"/>
        <w:rPr>
          <w:sz w:val="20"/>
          <w:szCs w:val="20"/>
          <w:color w:val="auto"/>
        </w:rPr>
      </w:pPr>
    </w:p>
    <w:p>
      <w:pPr>
        <w:ind w:right="40"/>
        <w:spacing w:after="0" w:line="258" w:lineRule="auto"/>
        <w:rPr>
          <w:sz w:val="20"/>
          <w:szCs w:val="20"/>
          <w:color w:val="auto"/>
        </w:rPr>
      </w:pPr>
      <w:r>
        <w:rPr>
          <w:rFonts w:ascii="Times New Roman" w:cs="Times New Roman" w:eastAsia="Times New Roman" w:hAnsi="Times New Roman"/>
          <w:sz w:val="18"/>
          <w:szCs w:val="18"/>
          <w:color w:val="auto"/>
        </w:rPr>
        <w:t>Since the Merger, the Cavium Plans are being administered by the Executive Compensation Committee of Marvell’s Board of Directors (the “ECC”). Subject to the terms of the Cavium Plans, the ECC has the authority to interpret the terms of the Cavium Plans and make all decisions related to the operation of the Cavium Plans. The ECC may delegate the power to make all determinations under the Cavium Plans with respect to those awards to one or more executive officers of Marvell to the extent permitted by law. The ECC’s determinations under the Cavium Plans need not be uniform. All determinations and decisions that the ECC makes pursuant to the provisions of the Cavium Plans are final, conclusive and binding on all parties.</w:t>
      </w:r>
    </w:p>
    <w:p>
      <w:pPr>
        <w:spacing w:after="0" w:line="28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Governing Law</w:t>
      </w:r>
    </w:p>
    <w:p>
      <w:pPr>
        <w:spacing w:after="0" w:line="1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The Cavium Plans and the terms of all outstanding stock options are governed by and administered in accordance with the laws of the State of California.</w:t>
      </w: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Types of Awards Outstanding</w:t>
      </w:r>
    </w:p>
    <w:p>
      <w:pPr>
        <w:spacing w:after="0" w:line="121" w:lineRule="exact"/>
        <w:rPr>
          <w:sz w:val="20"/>
          <w:szCs w:val="20"/>
          <w:color w:val="auto"/>
        </w:rPr>
      </w:pPr>
    </w:p>
    <w:p>
      <w:pPr>
        <w:ind w:right="100"/>
        <w:spacing w:after="0" w:line="282" w:lineRule="auto"/>
        <w:rPr>
          <w:sz w:val="20"/>
          <w:szCs w:val="20"/>
          <w:color w:val="auto"/>
        </w:rPr>
      </w:pPr>
      <w:r>
        <w:rPr>
          <w:rFonts w:ascii="Times New Roman" w:cs="Times New Roman" w:eastAsia="Times New Roman" w:hAnsi="Times New Roman"/>
          <w:sz w:val="18"/>
          <w:szCs w:val="18"/>
          <w:color w:val="auto"/>
        </w:rPr>
        <w:t>The Cavium Plans permit the grant of various types of awards. This prospectus relates only to the offering of Marvell common shares relating to outstanding stock options held by former Cavium employees.</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Option Awards</w:t>
      </w:r>
    </w:p>
    <w:p>
      <w:pPr>
        <w:spacing w:after="0" w:line="121" w:lineRule="exact"/>
        <w:rPr>
          <w:sz w:val="20"/>
          <w:szCs w:val="20"/>
          <w:color w:val="auto"/>
        </w:rPr>
      </w:pPr>
    </w:p>
    <w:p>
      <w:pPr>
        <w:spacing w:after="0" w:line="255" w:lineRule="auto"/>
        <w:rPr>
          <w:sz w:val="20"/>
          <w:szCs w:val="20"/>
          <w:color w:val="auto"/>
        </w:rPr>
      </w:pPr>
      <w:r>
        <w:rPr>
          <w:rFonts w:ascii="Times New Roman" w:cs="Times New Roman" w:eastAsia="Times New Roman" w:hAnsi="Times New Roman"/>
          <w:sz w:val="18"/>
          <w:szCs w:val="18"/>
          <w:color w:val="auto"/>
        </w:rPr>
        <w:t>In general, an option is a contractual right granted to an individual to purchase up to a specified number of common shares at a specified exercise price within a specified period of time, subject to certain conditions. The shares subject to an option may be purchased (referred to generally as the “exercise</w:t>
      </w:r>
      <w:r>
        <w:rPr>
          <w:rFonts w:ascii="Times New Roman" w:cs="Times New Roman" w:eastAsia="Times New Roman" w:hAnsi="Times New Roman"/>
          <w:sz w:val="18"/>
          <w:szCs w:val="18"/>
          <w:i w:val="1"/>
          <w:iCs w:val="1"/>
          <w:color w:val="auto"/>
        </w:rPr>
        <w:t>”</w:t>
      </w:r>
      <w:r>
        <w:rPr>
          <w:rFonts w:ascii="Times New Roman" w:cs="Times New Roman" w:eastAsia="Times New Roman" w:hAnsi="Times New Roman"/>
          <w:sz w:val="18"/>
          <w:szCs w:val="18"/>
          <w:color w:val="auto"/>
        </w:rPr>
        <w:t xml:space="preserve"> of the option) as allowed by the vesting and exercisability rules set forth in the award agreement. The award agreement will provide that the option is exercisable in accordance with a vesting schedule. In addition, the right to exercise might terminate when certain events occur, such as termination of employment, as specified in the award agreement. An option holder is not required to exercise an option when it first becomes exercisable. The option holder may exercise the option (or the exercisable portion of the option, as the case may be) at any time within the remaining term of the option, subject to the rules in the award agreement.</w:t>
      </w:r>
    </w:p>
    <w:p>
      <w:pPr>
        <w:spacing w:after="0" w:line="189" w:lineRule="exact"/>
        <w:rPr>
          <w:sz w:val="20"/>
          <w:szCs w:val="20"/>
          <w:color w:val="auto"/>
        </w:rPr>
      </w:pPr>
    </w:p>
    <w:p>
      <w:pPr>
        <w:ind w:right="300"/>
        <w:spacing w:after="0" w:line="282" w:lineRule="auto"/>
        <w:rPr>
          <w:sz w:val="20"/>
          <w:szCs w:val="20"/>
          <w:color w:val="auto"/>
        </w:rPr>
      </w:pPr>
      <w:r>
        <w:rPr>
          <w:rFonts w:ascii="Times New Roman" w:cs="Times New Roman" w:eastAsia="Times New Roman" w:hAnsi="Times New Roman"/>
          <w:sz w:val="18"/>
          <w:szCs w:val="18"/>
          <w:color w:val="auto"/>
        </w:rPr>
        <w:t>To exercise an option, the option holder must deliver written notice of exercise to Marvell in a form designated by Marvell (or follow any other method of notice set forth in the award agreement) and pay the exercise price and any applicable withholding taxes.</w:t>
      </w:r>
    </w:p>
    <w:p>
      <w:pPr>
        <w:spacing w:after="0" w:line="162" w:lineRule="exact"/>
        <w:rPr>
          <w:sz w:val="20"/>
          <w:szCs w:val="20"/>
          <w:color w:val="auto"/>
        </w:rPr>
      </w:pPr>
    </w:p>
    <w:p>
      <w:pPr>
        <w:jc w:val="both"/>
        <w:ind w:right="80"/>
        <w:spacing w:after="0" w:line="266" w:lineRule="auto"/>
        <w:rPr>
          <w:sz w:val="20"/>
          <w:szCs w:val="20"/>
          <w:color w:val="auto"/>
        </w:rPr>
      </w:pPr>
      <w:r>
        <w:rPr>
          <w:rFonts w:ascii="Times New Roman" w:cs="Times New Roman" w:eastAsia="Times New Roman" w:hAnsi="Times New Roman"/>
          <w:sz w:val="18"/>
          <w:szCs w:val="18"/>
          <w:color w:val="auto"/>
        </w:rPr>
        <w:t>Shares purchased upon exercise of an option must be paid in full at the time of purchase in accordance with the terms of the award agreement evidencing the option. No shares will be issued pursuant to any option until full payment of the exercise price has been made to Marvell. An option holder will have none of the rights of a shareholder of Marvell until the shares are issued.</w:t>
      </w:r>
    </w:p>
    <w:p>
      <w:pPr>
        <w:spacing w:after="0" w:line="109"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8</w:t>
      </w:r>
    </w:p>
    <w:p>
      <w:pPr>
        <w:sectPr>
          <w:pgSz w:w="11900" w:h="16838" w:orient="portrait"/>
          <w:cols w:equalWidth="0" w:num="1">
            <w:col w:w="11400"/>
          </w:cols>
          <w:pgMar w:left="240" w:top="266" w:right="259" w:bottom="1440" w:gutter="0" w:footer="0" w:header="0"/>
        </w:sectPr>
      </w:pPr>
    </w:p>
    <w:bookmarkStart w:id="15" w:name="page16"/>
    <w:bookmarkEnd w:id="15"/>
    <w:p>
      <w:pPr>
        <w:ind w:right="80"/>
        <w:spacing w:after="0" w:line="253"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An award agreement might provide that the purchase price is to be paid (i) in cash, check, bank draft or money order payable to Marvell, (ii) pursuant to a program developed under Regulation T as promulgated by the Federal Reserve Board that, prior to the issuance of the common shares subject to the option, resulting in either the receipt of cash (or check) by Marvell or the receipt of irrevocable instructions to pay the aggregate exercise price to the Marvell from the sales proceeds, (iii) by delivery to Marvell (either by actual delivery or attestation) of common shares; (iv) by a “net exercise” arrangement pursuant to which Marvell will reduce the number of common shares issued upon exercise by the largest whole number of shares with a Fair Market Value (as defined in the Cavium Plans) that does not exceed the aggregate exercise price; provided, however, that Marvell shall accept a cash or other payment from the option holder to the extent of any remaining balance of the aggregate exercise price not satisfied by such reduction in the number of whole shares to be issued; provided, further, that common shares will no longer be outstanding under an option and will not be exercisable thereafter to the extent that (A) shares are used to pay the exercise price pursuant to the “net exercise,” (B) shares are delivered to the option holder as a result of such exercise, and (C) shares are withheld to satisfy tax withholding obligations; or (v) in any other form of legal consideration that may be acceptable to the ECC and specified in the applicable award agreement.</w:t>
      </w:r>
    </w:p>
    <w:p>
      <w:pPr>
        <w:spacing w:after="0" w:line="29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Transfer of Awards</w:t>
      </w:r>
    </w:p>
    <w:p>
      <w:pPr>
        <w:spacing w:after="0" w:line="121" w:lineRule="exact"/>
        <w:rPr>
          <w:sz w:val="20"/>
          <w:szCs w:val="20"/>
          <w:color w:val="auto"/>
        </w:rPr>
      </w:pPr>
    </w:p>
    <w:p>
      <w:pPr>
        <w:ind w:right="60"/>
        <w:spacing w:after="0" w:line="266" w:lineRule="auto"/>
        <w:rPr>
          <w:sz w:val="20"/>
          <w:szCs w:val="20"/>
          <w:color w:val="auto"/>
        </w:rPr>
      </w:pPr>
      <w:r>
        <w:rPr>
          <w:rFonts w:ascii="Times New Roman" w:cs="Times New Roman" w:eastAsia="Times New Roman" w:hAnsi="Times New Roman"/>
          <w:sz w:val="18"/>
          <w:szCs w:val="18"/>
          <w:color w:val="auto"/>
        </w:rPr>
        <w:t>Except as otherwise determined by the ECC, no award granted under the Cavium Plans is transferable by an award recipient otherwise than by will or the laws of descent and distribution or pursuant to the terms of a domestic relations order. Unless otherwise determined by the ECC in accord with the provisions of the immediately preceding sentence, an award may be exercised during the lifetime of the recipient only by the recipient.</w:t>
      </w:r>
    </w:p>
    <w:p>
      <w:pPr>
        <w:spacing w:after="0" w:line="388"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LEGAL MATTERS</w:t>
      </w:r>
    </w:p>
    <w:p>
      <w:pPr>
        <w:spacing w:after="0" w:line="2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The validity of the Marvell common shares offered by this prospectus has been passed upon for Marvell by Appleby (Bermuda) Limited, Hamilton, Bermuda.</w:t>
      </w:r>
    </w:p>
    <w:p>
      <w:pPr>
        <w:spacing w:after="0" w:line="200" w:lineRule="exact"/>
        <w:rPr>
          <w:sz w:val="20"/>
          <w:szCs w:val="20"/>
          <w:color w:val="auto"/>
        </w:rPr>
      </w:pPr>
    </w:p>
    <w:p>
      <w:pPr>
        <w:spacing w:after="0" w:line="237"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EXPERTS</w:t>
      </w:r>
    </w:p>
    <w:p>
      <w:pPr>
        <w:spacing w:after="0" w:line="229" w:lineRule="exact"/>
        <w:rPr>
          <w:sz w:val="20"/>
          <w:szCs w:val="20"/>
          <w:color w:val="auto"/>
        </w:rPr>
      </w:pPr>
    </w:p>
    <w:p>
      <w:pPr>
        <w:ind w:right="240"/>
        <w:spacing w:after="0" w:line="258" w:lineRule="auto"/>
        <w:rPr>
          <w:sz w:val="20"/>
          <w:szCs w:val="20"/>
          <w:color w:val="auto"/>
        </w:rPr>
      </w:pPr>
      <w:r>
        <w:rPr>
          <w:rFonts w:ascii="Times New Roman" w:cs="Times New Roman" w:eastAsia="Times New Roman" w:hAnsi="Times New Roman"/>
          <w:sz w:val="18"/>
          <w:szCs w:val="18"/>
          <w:color w:val="auto"/>
        </w:rPr>
        <w:t>The consolidated financial statements and the related consolidated financial statement schedule, incorporated in this prospectus by reference from Marvell Technology Group Ltd.’s Annual Report on Form 10-K, and the effectiveness of Marvell Technology Group Ltd.’s internal control over financial reporting have been audited by Deloitte &amp; Touche LLP, an independent registered public accounting firm, as stated in their reports, which are incorporated herein by reference. Such financial statements and financial statement schedule have been so incorporated in reliance on the reports of such firm given upon their authority as experts in accounting and auditing.</w:t>
      </w:r>
    </w:p>
    <w:p>
      <w:pPr>
        <w:spacing w:after="0" w:line="184" w:lineRule="exact"/>
        <w:rPr>
          <w:sz w:val="20"/>
          <w:szCs w:val="20"/>
          <w:color w:val="auto"/>
        </w:rPr>
      </w:pPr>
    </w:p>
    <w:p>
      <w:pPr>
        <w:ind w:right="20"/>
        <w:spacing w:after="0" w:line="261" w:lineRule="auto"/>
        <w:rPr>
          <w:sz w:val="20"/>
          <w:szCs w:val="20"/>
          <w:color w:val="auto"/>
        </w:rPr>
      </w:pPr>
      <w:r>
        <w:rPr>
          <w:rFonts w:ascii="Times New Roman" w:cs="Times New Roman" w:eastAsia="Times New Roman" w:hAnsi="Times New Roman"/>
          <w:sz w:val="18"/>
          <w:szCs w:val="18"/>
          <w:color w:val="auto"/>
        </w:rPr>
        <w:t>The financial statements of Cavium, Inc. and management’s assessment of the effectiveness of internal control over financial reporting (which is included in Management’s Report on Internal Control over Financial Reporting) incorporated in this prospectus by reference to Marvell Technology Group Ltd.’s Current Report on Form 8-K dated June 13, 2018 have been so incorporated in reliance on the report of PricewaterhouseCoopers LLP, an independent registered public accounting firm, given on the authority of said firm as experts in auditing and accounting.</w:t>
      </w:r>
    </w:p>
    <w:p>
      <w:pPr>
        <w:spacing w:after="0" w:line="200" w:lineRule="exact"/>
        <w:rPr>
          <w:sz w:val="20"/>
          <w:szCs w:val="20"/>
          <w:color w:val="auto"/>
        </w:rPr>
      </w:pPr>
    </w:p>
    <w:p>
      <w:pPr>
        <w:spacing w:after="0" w:line="277"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9</w:t>
      </w:r>
    </w:p>
    <w:p>
      <w:pPr>
        <w:sectPr>
          <w:pgSz w:w="11900" w:h="16838" w:orient="portrait"/>
          <w:cols w:equalWidth="0" w:num="1">
            <w:col w:w="11400"/>
          </w:cols>
          <w:pgMar w:left="240" w:top="270" w:right="259" w:bottom="1440" w:gutter="0" w:footer="0" w:header="0"/>
        </w:sectPr>
      </w:pPr>
    </w:p>
    <w:bookmarkStart w:id="16" w:name="page17"/>
    <w:bookmarkEnd w:id="16"/>
    <w:p>
      <w:pPr>
        <w:ind w:left="3120"/>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PART II — INFORMATION NOT REQUIRED IN PROSPECTUS</w:t>
      </w:r>
    </w:p>
    <w:p>
      <w:pPr>
        <w:spacing w:after="0" w:line="252" w:lineRule="exact"/>
        <w:rPr>
          <w:sz w:val="20"/>
          <w:szCs w:val="20"/>
          <w:color w:val="auto"/>
        </w:rPr>
      </w:pPr>
    </w:p>
    <w:p>
      <w:pPr>
        <w:spacing w:after="0"/>
        <w:tabs>
          <w:tab w:leader="none" w:pos="1020" w:val="left"/>
        </w:tabs>
        <w:rPr>
          <w:sz w:val="20"/>
          <w:szCs w:val="20"/>
          <w:color w:val="auto"/>
        </w:rPr>
      </w:pPr>
      <w:r>
        <w:rPr>
          <w:rFonts w:ascii="Times New Roman" w:cs="Times New Roman" w:eastAsia="Times New Roman" w:hAnsi="Times New Roman"/>
          <w:sz w:val="18"/>
          <w:szCs w:val="18"/>
          <w:b w:val="1"/>
          <w:bCs w:val="1"/>
          <w:color w:val="auto"/>
        </w:rPr>
        <w:t>Item 14.</w:t>
      </w:r>
      <w:r>
        <w:rPr>
          <w:sz w:val="20"/>
          <w:szCs w:val="20"/>
          <w:color w:val="auto"/>
        </w:rPr>
        <w:tab/>
      </w:r>
      <w:r>
        <w:rPr>
          <w:rFonts w:ascii="Times New Roman" w:cs="Times New Roman" w:eastAsia="Times New Roman" w:hAnsi="Times New Roman"/>
          <w:sz w:val="17"/>
          <w:szCs w:val="17"/>
          <w:b w:val="1"/>
          <w:bCs w:val="1"/>
          <w:color w:val="auto"/>
        </w:rPr>
        <w:t>Other Expenses of Issuance and Distribution</w:t>
      </w:r>
    </w:p>
    <w:p>
      <w:pPr>
        <w:spacing w:after="0" w:line="1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The following table sets forth the estimated costs and expenses payable by Marvell in connection with the sale of the securities being registered hereby.</w:t>
      </w:r>
    </w:p>
    <w:p>
      <w:pPr>
        <w:spacing w:after="0" w:line="246" w:lineRule="exact"/>
        <w:rPr>
          <w:sz w:val="20"/>
          <w:szCs w:val="20"/>
          <w:color w:val="auto"/>
        </w:rPr>
      </w:pPr>
    </w:p>
    <w:tbl>
      <w:tblPr>
        <w:tblLayout w:type="fixed"/>
        <w:tblInd w:w="920" w:type="dxa"/>
        <w:tblCellMar>
          <w:top w:w="0" w:type="dxa"/>
          <w:left w:w="0" w:type="dxa"/>
          <w:bottom w:w="0" w:type="dxa"/>
          <w:right w:w="0" w:type="dxa"/>
        </w:tblCellMar>
      </w:tblPr>
      <w:tr>
        <w:trPr>
          <w:trHeight w:val="173"/>
        </w:trPr>
        <w:tc>
          <w:tcPr>
            <w:tcW w:w="8360" w:type="dxa"/>
            <w:vAlign w:val="bottom"/>
          </w:tcPr>
          <w:p>
            <w:pPr>
              <w:spacing w:after="0"/>
              <w:rPr>
                <w:sz w:val="15"/>
                <w:szCs w:val="15"/>
                <w:color w:val="auto"/>
              </w:rPr>
            </w:pPr>
          </w:p>
        </w:tc>
        <w:tc>
          <w:tcPr>
            <w:tcW w:w="1220" w:type="dxa"/>
            <w:vAlign w:val="bottom"/>
            <w:gridSpan w:val="3"/>
          </w:tcPr>
          <w:p>
            <w:pPr>
              <w:spacing w:after="0"/>
              <w:rPr>
                <w:sz w:val="20"/>
                <w:szCs w:val="20"/>
                <w:color w:val="auto"/>
              </w:rPr>
            </w:pPr>
            <w:r>
              <w:rPr>
                <w:rFonts w:ascii="Times New Roman" w:cs="Times New Roman" w:eastAsia="Times New Roman" w:hAnsi="Times New Roman"/>
                <w:sz w:val="14"/>
                <w:szCs w:val="14"/>
                <w:b w:val="1"/>
                <w:bCs w:val="1"/>
                <w:color w:val="auto"/>
              </w:rPr>
              <w:t>Amount to be Paid</w:t>
            </w:r>
          </w:p>
        </w:tc>
      </w:tr>
      <w:tr>
        <w:trPr>
          <w:trHeight w:val="210"/>
        </w:trPr>
        <w:tc>
          <w:tcPr>
            <w:tcW w:w="836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SEC registration fee</w:t>
            </w:r>
          </w:p>
        </w:tc>
        <w:tc>
          <w:tcPr>
            <w:tcW w:w="38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78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 w:type="dxa"/>
            <w:vAlign w:val="bottom"/>
            <w:tcBorders>
              <w:top w:val="single" w:sz="8" w:color="CCEEFF"/>
            </w:tcBorders>
            <w:shd w:val="clear" w:color="auto" w:fill="CCEEFF"/>
          </w:tcPr>
          <w:p>
            <w:pPr>
              <w:spacing w:after="0"/>
              <w:rPr>
                <w:sz w:val="18"/>
                <w:szCs w:val="18"/>
                <w:color w:val="auto"/>
              </w:rPr>
            </w:pPr>
          </w:p>
        </w:tc>
      </w:tr>
      <w:tr>
        <w:trPr>
          <w:trHeight w:val="216"/>
        </w:trPr>
        <w:tc>
          <w:tcPr>
            <w:tcW w:w="8360" w:type="dxa"/>
            <w:vAlign w:val="bottom"/>
          </w:tcPr>
          <w:p>
            <w:pPr>
              <w:spacing w:after="0"/>
              <w:rPr>
                <w:sz w:val="20"/>
                <w:szCs w:val="20"/>
                <w:color w:val="auto"/>
              </w:rPr>
            </w:pPr>
            <w:r>
              <w:rPr>
                <w:rFonts w:ascii="Times New Roman" w:cs="Times New Roman" w:eastAsia="Times New Roman" w:hAnsi="Times New Roman"/>
                <w:sz w:val="18"/>
                <w:szCs w:val="18"/>
                <w:color w:val="auto"/>
              </w:rPr>
              <w:t>Accounting fees and expenses</w:t>
            </w:r>
          </w:p>
        </w:tc>
        <w:tc>
          <w:tcPr>
            <w:tcW w:w="380" w:type="dxa"/>
            <w:vAlign w:val="bottom"/>
          </w:tcPr>
          <w:p>
            <w:pPr>
              <w:spacing w:after="0"/>
              <w:rPr>
                <w:sz w:val="18"/>
                <w:szCs w:val="18"/>
                <w:color w:val="auto"/>
              </w:rPr>
            </w:pPr>
          </w:p>
        </w:tc>
        <w:tc>
          <w:tcPr>
            <w:tcW w:w="84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22,500</w:t>
            </w:r>
          </w:p>
        </w:tc>
      </w:tr>
      <w:tr>
        <w:trPr>
          <w:trHeight w:val="216"/>
        </w:trPr>
        <w:tc>
          <w:tcPr>
            <w:tcW w:w="83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Legal fees and expenses</w:t>
            </w:r>
          </w:p>
        </w:tc>
        <w:tc>
          <w:tcPr>
            <w:tcW w:w="38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30,000</w:t>
            </w:r>
          </w:p>
        </w:tc>
      </w:tr>
      <w:tr>
        <w:trPr>
          <w:trHeight w:val="216"/>
        </w:trPr>
        <w:tc>
          <w:tcPr>
            <w:tcW w:w="8360" w:type="dxa"/>
            <w:vAlign w:val="bottom"/>
          </w:tcPr>
          <w:p>
            <w:pPr>
              <w:spacing w:after="0"/>
              <w:rPr>
                <w:sz w:val="20"/>
                <w:szCs w:val="20"/>
                <w:color w:val="auto"/>
              </w:rPr>
            </w:pPr>
            <w:r>
              <w:rPr>
                <w:rFonts w:ascii="Times New Roman" w:cs="Times New Roman" w:eastAsia="Times New Roman" w:hAnsi="Times New Roman"/>
                <w:sz w:val="18"/>
                <w:szCs w:val="18"/>
                <w:color w:val="auto"/>
              </w:rPr>
              <w:t>Printing fees</w:t>
            </w:r>
          </w:p>
        </w:tc>
        <w:tc>
          <w:tcPr>
            <w:tcW w:w="380" w:type="dxa"/>
            <w:vAlign w:val="bottom"/>
          </w:tcPr>
          <w:p>
            <w:pPr>
              <w:spacing w:after="0"/>
              <w:rPr>
                <w:sz w:val="18"/>
                <w:szCs w:val="18"/>
                <w:color w:val="auto"/>
              </w:rPr>
            </w:pPr>
          </w:p>
        </w:tc>
        <w:tc>
          <w:tcPr>
            <w:tcW w:w="84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5,000</w:t>
            </w:r>
          </w:p>
        </w:tc>
      </w:tr>
      <w:tr>
        <w:trPr>
          <w:trHeight w:val="216"/>
        </w:trPr>
        <w:tc>
          <w:tcPr>
            <w:tcW w:w="83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TOTAL</w:t>
            </w:r>
          </w:p>
        </w:tc>
        <w:tc>
          <w:tcPr>
            <w:tcW w:w="3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84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57,500</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85725</wp:posOffset>
            </wp:positionV>
            <wp:extent cx="728980" cy="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51" w:lineRule="exact"/>
        <w:rPr>
          <w:sz w:val="20"/>
          <w:szCs w:val="20"/>
          <w:color w:val="auto"/>
        </w:rPr>
      </w:pPr>
    </w:p>
    <w:p>
      <w:pPr>
        <w:ind w:left="460" w:hanging="452"/>
        <w:spacing w:after="0"/>
        <w:tabs>
          <w:tab w:leader="none" w:pos="46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Previously paid in connection with the original filing of this Registration Statement on Form S-4.</w:t>
      </w:r>
    </w:p>
    <w:p>
      <w:pPr>
        <w:spacing w:after="0" w:line="370" w:lineRule="exact"/>
        <w:rPr>
          <w:sz w:val="20"/>
          <w:szCs w:val="20"/>
          <w:color w:val="auto"/>
        </w:rPr>
      </w:pPr>
    </w:p>
    <w:p>
      <w:pPr>
        <w:spacing w:after="0"/>
        <w:tabs>
          <w:tab w:leader="none" w:pos="1020" w:val="left"/>
        </w:tabs>
        <w:rPr>
          <w:sz w:val="20"/>
          <w:szCs w:val="20"/>
          <w:color w:val="auto"/>
        </w:rPr>
      </w:pPr>
      <w:r>
        <w:rPr>
          <w:rFonts w:ascii="Times New Roman" w:cs="Times New Roman" w:eastAsia="Times New Roman" w:hAnsi="Times New Roman"/>
          <w:sz w:val="18"/>
          <w:szCs w:val="18"/>
          <w:b w:val="1"/>
          <w:bCs w:val="1"/>
          <w:color w:val="auto"/>
        </w:rPr>
        <w:t>Item 15.</w:t>
      </w:r>
      <w:r>
        <w:rPr>
          <w:sz w:val="20"/>
          <w:szCs w:val="20"/>
          <w:color w:val="auto"/>
        </w:rPr>
        <w:tab/>
      </w:r>
      <w:r>
        <w:rPr>
          <w:rFonts w:ascii="Times New Roman" w:cs="Times New Roman" w:eastAsia="Times New Roman" w:hAnsi="Times New Roman"/>
          <w:sz w:val="17"/>
          <w:szCs w:val="17"/>
          <w:b w:val="1"/>
          <w:bCs w:val="1"/>
          <w:color w:val="auto"/>
        </w:rPr>
        <w:t>Indemnification of Directors and Officers</w:t>
      </w:r>
    </w:p>
    <w:p>
      <w:pPr>
        <w:spacing w:after="0" w:line="121" w:lineRule="exact"/>
        <w:rPr>
          <w:sz w:val="20"/>
          <w:szCs w:val="20"/>
          <w:color w:val="auto"/>
        </w:rPr>
      </w:pPr>
    </w:p>
    <w:p>
      <w:pPr>
        <w:ind w:right="280" w:firstLine="456"/>
        <w:spacing w:after="0" w:line="261" w:lineRule="auto"/>
        <w:rPr>
          <w:sz w:val="20"/>
          <w:szCs w:val="20"/>
          <w:color w:val="auto"/>
        </w:rPr>
      </w:pPr>
      <w:r>
        <w:rPr>
          <w:rFonts w:ascii="Times New Roman" w:cs="Times New Roman" w:eastAsia="Times New Roman" w:hAnsi="Times New Roman"/>
          <w:sz w:val="18"/>
          <w:szCs w:val="18"/>
          <w:color w:val="auto"/>
        </w:rPr>
        <w:t>Marvell was incorporated under the laws of Bermuda. Set forth below is a description of certain provisions of the Companies Act, 1981 of Bermuda (the “Companies Act”), Marvell’s Memorandum of Association, and Marvell’s Bye-laws, as such provisions relate to the indemnification of Marvell’s directors and officers. This description is intended only as a summary and is qualified in its entirety by reference to the applicable provisions of the Companies Act, Marvell’s Memorandum of Association, and Marvell’s Bye-laws, which are incorporated herein by reference.</w:t>
      </w:r>
    </w:p>
    <w:p>
      <w:pPr>
        <w:spacing w:after="0" w:line="180" w:lineRule="exact"/>
        <w:rPr>
          <w:sz w:val="20"/>
          <w:szCs w:val="20"/>
          <w:color w:val="auto"/>
        </w:rPr>
      </w:pPr>
    </w:p>
    <w:p>
      <w:pPr>
        <w:jc w:val="both"/>
        <w:ind w:right="40" w:firstLine="456"/>
        <w:spacing w:after="0" w:line="266" w:lineRule="auto"/>
        <w:rPr>
          <w:sz w:val="20"/>
          <w:szCs w:val="20"/>
          <w:color w:val="auto"/>
        </w:rPr>
      </w:pPr>
      <w:r>
        <w:rPr>
          <w:rFonts w:ascii="Times New Roman" w:cs="Times New Roman" w:eastAsia="Times New Roman" w:hAnsi="Times New Roman"/>
          <w:sz w:val="18"/>
          <w:szCs w:val="18"/>
          <w:color w:val="auto"/>
        </w:rPr>
        <w:t>The Companies Act permits Marvell to indemnify its directors or officers in their capacity as such in respect of any loss arising or liability attaching to them by virtue of any rule of law in respect of any negligence, default, breach of duty or breach of trust of which a director or officer may be guilty in relation to Marvell other than in respect of his or her own fraud or dishonesty.</w:t>
      </w:r>
    </w:p>
    <w:p>
      <w:pPr>
        <w:spacing w:after="0" w:line="176" w:lineRule="exact"/>
        <w:rPr>
          <w:sz w:val="20"/>
          <w:szCs w:val="20"/>
          <w:color w:val="auto"/>
        </w:rPr>
      </w:pPr>
    </w:p>
    <w:p>
      <w:pPr>
        <w:ind w:right="160" w:firstLine="456"/>
        <w:spacing w:after="0" w:line="258" w:lineRule="auto"/>
        <w:rPr>
          <w:sz w:val="20"/>
          <w:szCs w:val="20"/>
          <w:color w:val="auto"/>
        </w:rPr>
      </w:pPr>
      <w:r>
        <w:rPr>
          <w:rFonts w:ascii="Times New Roman" w:cs="Times New Roman" w:eastAsia="Times New Roman" w:hAnsi="Times New Roman"/>
          <w:sz w:val="18"/>
          <w:szCs w:val="18"/>
          <w:color w:val="auto"/>
        </w:rPr>
        <w:t>Marvell’s Bye-laws provide that every director, secretary and other officers (including any committee member appointed by Marvell’s board of directors (“Committee Member”)) of Marvell be indemnified and secured harmless out of the assets of Marvell from and against all actions, costs, charges, losses, damages or expenses incurred or sustained in such capacity, and none of them shall be answerable for the acts, receipts, neglects or defaults of the others of them subject to limitations imposed in the Companies Act and provided that the indemnity shall not extend to any matter in respect of any fraud or dishonesty which may attach to any of said persons.</w:t>
      </w:r>
    </w:p>
    <w:p>
      <w:pPr>
        <w:spacing w:after="0" w:line="184" w:lineRule="exact"/>
        <w:rPr>
          <w:sz w:val="20"/>
          <w:szCs w:val="20"/>
          <w:color w:val="auto"/>
        </w:rPr>
      </w:pPr>
    </w:p>
    <w:p>
      <w:pPr>
        <w:ind w:firstLine="456"/>
        <w:spacing w:after="0" w:line="261" w:lineRule="auto"/>
        <w:rPr>
          <w:sz w:val="20"/>
          <w:szCs w:val="20"/>
          <w:color w:val="auto"/>
        </w:rPr>
      </w:pPr>
      <w:r>
        <w:rPr>
          <w:rFonts w:ascii="Times New Roman" w:cs="Times New Roman" w:eastAsia="Times New Roman" w:hAnsi="Times New Roman"/>
          <w:sz w:val="18"/>
          <w:szCs w:val="18"/>
          <w:color w:val="auto"/>
        </w:rPr>
        <w:t>Bye-law 32 of Marvell’s Bye-laws stipulates that each shareholder and Marvell agree to waive any claim or right of action against any director, officer or Committee Member, in respect of any failure to act or any action taken by such director, officer or Committee Member in the performance of his or her duties with or for Marvell. The waiver does not extend to claims arising under United States federal securities laws or any claims, rights of action arising from the fraud or dishonesty of such director, officer or Committee Member.</w:t>
      </w:r>
    </w:p>
    <w:p>
      <w:pPr>
        <w:spacing w:after="0" w:line="113"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II-1</w:t>
      </w:r>
    </w:p>
    <w:p>
      <w:pPr>
        <w:sectPr>
          <w:pgSz w:w="11900" w:h="16838" w:orient="portrait"/>
          <w:cols w:equalWidth="0" w:num="1">
            <w:col w:w="11420"/>
          </w:cols>
          <w:pgMar w:left="240" w:top="266" w:right="239" w:bottom="1440" w:gutter="0" w:footer="0" w:header="0"/>
        </w:sectPr>
      </w:pPr>
    </w:p>
    <w:bookmarkStart w:id="17" w:name="page18"/>
    <w:bookmarkEnd w:id="17"/>
    <w:p>
      <w:pPr>
        <w:spacing w:after="0"/>
        <w:tabs>
          <w:tab w:leader="none" w:pos="1020" w:val="left"/>
        </w:tabs>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16.</w:t>
      </w:r>
      <w:r>
        <w:rPr>
          <w:sz w:val="20"/>
          <w:szCs w:val="20"/>
          <w:color w:val="auto"/>
        </w:rPr>
        <w:tab/>
      </w:r>
      <w:r>
        <w:rPr>
          <w:rFonts w:ascii="Times New Roman" w:cs="Times New Roman" w:eastAsia="Times New Roman" w:hAnsi="Times New Roman"/>
          <w:sz w:val="17"/>
          <w:szCs w:val="17"/>
          <w:b w:val="1"/>
          <w:bCs w:val="1"/>
          <w:color w:val="auto"/>
        </w:rPr>
        <w:t>Exhibits</w:t>
      </w:r>
    </w:p>
    <w:p>
      <w:pPr>
        <w:spacing w:after="0" w:line="1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See the exhibit index attached to this registration statement and incorporated by reference herein.</w:t>
      </w:r>
    </w:p>
    <w:p>
      <w:pPr>
        <w:spacing w:after="0" w:line="370" w:lineRule="exact"/>
        <w:rPr>
          <w:sz w:val="20"/>
          <w:szCs w:val="20"/>
          <w:color w:val="auto"/>
        </w:rPr>
      </w:pPr>
    </w:p>
    <w:p>
      <w:pPr>
        <w:spacing w:after="0"/>
        <w:tabs>
          <w:tab w:leader="none" w:pos="1020" w:val="left"/>
        </w:tabs>
        <w:rPr>
          <w:sz w:val="20"/>
          <w:szCs w:val="20"/>
          <w:color w:val="auto"/>
        </w:rPr>
      </w:pPr>
      <w:r>
        <w:rPr>
          <w:rFonts w:ascii="Times New Roman" w:cs="Times New Roman" w:eastAsia="Times New Roman" w:hAnsi="Times New Roman"/>
          <w:sz w:val="18"/>
          <w:szCs w:val="18"/>
          <w:b w:val="1"/>
          <w:bCs w:val="1"/>
          <w:color w:val="auto"/>
        </w:rPr>
        <w:t>Item 17.</w:t>
      </w:r>
      <w:r>
        <w:rPr>
          <w:sz w:val="20"/>
          <w:szCs w:val="20"/>
          <w:color w:val="auto"/>
        </w:rPr>
        <w:tab/>
      </w:r>
      <w:r>
        <w:rPr>
          <w:rFonts w:ascii="Times New Roman" w:cs="Times New Roman" w:eastAsia="Times New Roman" w:hAnsi="Times New Roman"/>
          <w:sz w:val="17"/>
          <w:szCs w:val="17"/>
          <w:b w:val="1"/>
          <w:bCs w:val="1"/>
          <w:color w:val="auto"/>
        </w:rPr>
        <w:t>Undertakings</w:t>
      </w:r>
    </w:p>
    <w:p>
      <w:pPr>
        <w:spacing w:after="0" w:line="135" w:lineRule="exact"/>
        <w:rPr>
          <w:sz w:val="20"/>
          <w:szCs w:val="20"/>
          <w:color w:val="auto"/>
        </w:rPr>
      </w:pPr>
    </w:p>
    <w:p>
      <w:pPr>
        <w:ind w:left="460" w:hanging="452"/>
        <w:spacing w:after="0"/>
        <w:tabs>
          <w:tab w:leader="none" w:pos="46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undersigned registrant hereby undertakes:</w:t>
      </w:r>
    </w:p>
    <w:p>
      <w:pPr>
        <w:spacing w:after="0" w:line="130" w:lineRule="exact"/>
        <w:rPr>
          <w:rFonts w:ascii="Times New Roman" w:cs="Times New Roman" w:eastAsia="Times New Roman" w:hAnsi="Times New Roman"/>
          <w:sz w:val="18"/>
          <w:szCs w:val="18"/>
          <w:color w:val="auto"/>
        </w:rPr>
      </w:pPr>
    </w:p>
    <w:p>
      <w:pPr>
        <w:ind w:left="900" w:hanging="446"/>
        <w:spacing w:after="0"/>
        <w:tabs>
          <w:tab w:leader="none" w:pos="900" w:val="left"/>
        </w:tabs>
        <w:numPr>
          <w:ilvl w:val="1"/>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file, during any period in which offers or sales are being made, a post-effective amendment to this registration statement:</w:t>
      </w:r>
    </w:p>
    <w:p>
      <w:pPr>
        <w:spacing w:after="0" w:line="130" w:lineRule="exact"/>
        <w:rPr>
          <w:rFonts w:ascii="Times New Roman" w:cs="Times New Roman" w:eastAsia="Times New Roman" w:hAnsi="Times New Roman"/>
          <w:sz w:val="18"/>
          <w:szCs w:val="18"/>
          <w:color w:val="auto"/>
        </w:rPr>
      </w:pPr>
    </w:p>
    <w:p>
      <w:pPr>
        <w:ind w:left="1480" w:hanging="567"/>
        <w:spacing w:after="0"/>
        <w:tabs>
          <w:tab w:leader="none" w:pos="1480" w:val="left"/>
        </w:tabs>
        <w:numPr>
          <w:ilvl w:val="2"/>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include any prospectus required by Section 10(a)(3) of the Securities Act of 1933;</w:t>
      </w:r>
    </w:p>
    <w:p>
      <w:pPr>
        <w:spacing w:after="0" w:line="130" w:lineRule="exact"/>
        <w:rPr>
          <w:rFonts w:ascii="Times New Roman" w:cs="Times New Roman" w:eastAsia="Times New Roman" w:hAnsi="Times New Roman"/>
          <w:sz w:val="18"/>
          <w:szCs w:val="18"/>
          <w:color w:val="auto"/>
        </w:rPr>
      </w:pPr>
    </w:p>
    <w:p>
      <w:pPr>
        <w:ind w:left="1480" w:hanging="567"/>
        <w:spacing w:after="0" w:line="255" w:lineRule="auto"/>
        <w:tabs>
          <w:tab w:leader="none" w:pos="1480" w:val="left"/>
        </w:tabs>
        <w:numPr>
          <w:ilvl w:val="2"/>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reflect in the prospectus any facts or events arising after the effective date of the registration statement (or the most recent post-effective amendment thereof) which, individually or in the aggregate, represent a fundamental change in the information set forth in the registration statement. Notwithstanding the foregoing, any increase or decrease in volume of securities offered (if the total dollar value of securities offered would not exceed that which was registered) and any deviation from the low or high end of the estimated maximum offering range may be reflected in the form of prospectus filed with the Commission pursuant to Rule 424(b) if, in the aggregate, the changes in volume and price represent no more than 20% change in the maximum aggregate offering price set forth in the “Calculation of Registration Fee” table in the effective registration statement; and</w:t>
      </w:r>
    </w:p>
    <w:p>
      <w:pPr>
        <w:spacing w:after="0" w:line="94" w:lineRule="exact"/>
        <w:rPr>
          <w:rFonts w:ascii="Times New Roman" w:cs="Times New Roman" w:eastAsia="Times New Roman" w:hAnsi="Times New Roman"/>
          <w:sz w:val="18"/>
          <w:szCs w:val="18"/>
          <w:color w:val="auto"/>
        </w:rPr>
      </w:pPr>
    </w:p>
    <w:p>
      <w:pPr>
        <w:ind w:left="1480" w:right="180" w:hanging="567"/>
        <w:spacing w:after="0" w:line="282" w:lineRule="auto"/>
        <w:tabs>
          <w:tab w:leader="none" w:pos="1480" w:val="left"/>
        </w:tabs>
        <w:numPr>
          <w:ilvl w:val="2"/>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include any material information with respect to the plan of distribution not previously disclosed in the registration statement or any material change to such information in the registration statement;</w:t>
      </w:r>
    </w:p>
    <w:p>
      <w:pPr>
        <w:spacing w:after="0" w:line="160" w:lineRule="exact"/>
        <w:rPr>
          <w:sz w:val="20"/>
          <w:szCs w:val="20"/>
          <w:color w:val="auto"/>
        </w:rPr>
      </w:pPr>
    </w:p>
    <w:p>
      <w:pPr>
        <w:ind w:right="240"/>
        <w:spacing w:after="0" w:line="261" w:lineRule="auto"/>
        <w:rPr>
          <w:sz w:val="20"/>
          <w:szCs w:val="20"/>
          <w:color w:val="auto"/>
        </w:rPr>
      </w:pPr>
      <w:r>
        <w:rPr>
          <w:rFonts w:ascii="Times New Roman" w:cs="Times New Roman" w:eastAsia="Times New Roman" w:hAnsi="Times New Roman"/>
          <w:sz w:val="18"/>
          <w:szCs w:val="18"/>
          <w:i w:val="1"/>
          <w:iCs w:val="1"/>
          <w:color w:val="auto"/>
        </w:rPr>
        <w:t>provided, however</w:t>
      </w:r>
      <w:r>
        <w:rPr>
          <w:rFonts w:ascii="Times New Roman" w:cs="Times New Roman" w:eastAsia="Times New Roman" w:hAnsi="Times New Roman"/>
          <w:sz w:val="18"/>
          <w:szCs w:val="18"/>
          <w:color w:val="auto"/>
        </w:rPr>
        <w:t>, that paragraphs (1)(i), (1)(ii) and (1)(iii) do not apply if the information required to be included in a post-effective amendment by those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paragraphs is contained in reports filed with or furnished to the Commission by the registrant pursuant to section 13 or section 15(d) of the Securities Exchange Act of 1934 that are incorporated by reference in the registration statement, or is contained in a form of prospectus filed pursuant to Rule 424(b) that is part of the registration statement.</w:t>
      </w:r>
    </w:p>
    <w:p>
      <w:pPr>
        <w:spacing w:after="0" w:line="88" w:lineRule="exact"/>
        <w:rPr>
          <w:sz w:val="20"/>
          <w:szCs w:val="20"/>
          <w:color w:val="auto"/>
        </w:rPr>
      </w:pPr>
    </w:p>
    <w:p>
      <w:pPr>
        <w:ind w:left="900" w:hanging="446"/>
        <w:spacing w:after="0" w:line="266" w:lineRule="auto"/>
        <w:tabs>
          <w:tab w:leader="none" w:pos="900"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for the purpose of determining any liability under the Securities Act of 1933, each such post-effective amendment shall be deemed to be a new registration statement relating to the securities offered therein, and the offering of such securities at that time shall be deemed to be the initial bona fide offering thereof.</w:t>
      </w:r>
    </w:p>
    <w:p>
      <w:pPr>
        <w:spacing w:after="0" w:line="81" w:lineRule="exact"/>
        <w:rPr>
          <w:rFonts w:ascii="Times New Roman" w:cs="Times New Roman" w:eastAsia="Times New Roman" w:hAnsi="Times New Roman"/>
          <w:sz w:val="18"/>
          <w:szCs w:val="18"/>
          <w:color w:val="auto"/>
        </w:rPr>
      </w:pPr>
    </w:p>
    <w:p>
      <w:pPr>
        <w:ind w:left="900" w:right="820" w:hanging="446"/>
        <w:spacing w:after="0" w:line="282" w:lineRule="auto"/>
        <w:tabs>
          <w:tab w:leader="none" w:pos="900"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remove from registration by means of a post-effective amendment any of the securities being registered which remain unsold at the termination of the offering.</w:t>
      </w:r>
    </w:p>
    <w:p>
      <w:pPr>
        <w:spacing w:after="0" w:line="67" w:lineRule="exact"/>
        <w:rPr>
          <w:rFonts w:ascii="Times New Roman" w:cs="Times New Roman" w:eastAsia="Times New Roman" w:hAnsi="Times New Roman"/>
          <w:sz w:val="18"/>
          <w:szCs w:val="18"/>
          <w:color w:val="auto"/>
        </w:rPr>
      </w:pPr>
    </w:p>
    <w:p>
      <w:pPr>
        <w:ind w:left="900" w:hanging="446"/>
        <w:spacing w:after="0"/>
        <w:tabs>
          <w:tab w:leader="none" w:pos="900"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for the purpose of determining liability under the Securities Act of 1933 to any purchaser:</w:t>
      </w:r>
    </w:p>
    <w:p>
      <w:pPr>
        <w:spacing w:after="0" w:line="130" w:lineRule="exact"/>
        <w:rPr>
          <w:rFonts w:ascii="Times New Roman" w:cs="Times New Roman" w:eastAsia="Times New Roman" w:hAnsi="Times New Roman"/>
          <w:sz w:val="18"/>
          <w:szCs w:val="18"/>
          <w:color w:val="auto"/>
        </w:rPr>
      </w:pPr>
    </w:p>
    <w:p>
      <w:pPr>
        <w:ind w:left="1480" w:right="200" w:hanging="567"/>
        <w:spacing w:after="0" w:line="282" w:lineRule="auto"/>
        <w:tabs>
          <w:tab w:leader="none" w:pos="1480" w:val="left"/>
        </w:tabs>
        <w:numPr>
          <w:ilvl w:val="1"/>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Each prospectus filed by the registrant pursuant to Rule 424(b)(3) shall be deemed to be part of the registration statement as of the date the filed prospectus was deemed part of and included in the registration statement; and</w:t>
      </w:r>
    </w:p>
    <w:p>
      <w:pPr>
        <w:spacing w:after="0" w:line="9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II-2</w:t>
      </w:r>
    </w:p>
    <w:p>
      <w:pPr>
        <w:sectPr>
          <w:pgSz w:w="11900" w:h="16838" w:orient="portrait"/>
          <w:cols w:equalWidth="0" w:num="1">
            <w:col w:w="11400"/>
          </w:cols>
          <w:pgMar w:left="240" w:top="266" w:right="259" w:bottom="1440" w:gutter="0" w:footer="0" w:header="0"/>
        </w:sectPr>
      </w:pPr>
    </w:p>
    <w:bookmarkStart w:id="18" w:name="page19"/>
    <w:bookmarkEnd w:id="18"/>
    <w:p>
      <w:pPr>
        <w:ind w:left="1026" w:hanging="567"/>
        <w:spacing w:after="0" w:line="253" w:lineRule="auto"/>
        <w:tabs>
          <w:tab w:leader="none" w:pos="1026" w:val="left"/>
        </w:tabs>
        <w:numPr>
          <w:ilvl w:val="1"/>
          <w:numId w:val="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Each prospectus required to be filed pursuant to Rule 424(b)(2), (b)(5), or (b)(7) as part of a registration statement in reliance on Rule 430B relating to an offering made pursuant to Rule 415(a)(1)(i), (vii) or (x) for the purpose of providing the information required by Section 10(a) of the Securities Act of 1933 shall be deemed to be part of and included in the registration statement as of the earlier of the date such form of prospectus is first used after effectiveness or the date of the first contract of sale of securities in the offering described in the prospectus. As provided in Rule 430B, for liability purposes of the issuer and any person that is at that date an underwriter, such date shall be deemed to be a new effective date of the registration statement relating to the securities in the registration statement to which that prospectus relates, and the offering of such securities at that time shall be deemed to be the initial bona fide offering thereof. Provided, however, that no statement made in a registration statement or prospectus that is part of the registration statement or made in a document incorporated or deemed incorporated by reference into the registration statement or prospectus that is part of the registration statement will, as to a purchaser with a time of contract of sale prior to such effective date, supersede or modify any statement that was made in the registration statement or prospectus that was part of the registration statement or made in any such document immediately prior to such effective date.</w:t>
      </w:r>
    </w:p>
    <w:p>
      <w:pPr>
        <w:spacing w:after="0" w:line="96" w:lineRule="exact"/>
        <w:rPr>
          <w:rFonts w:ascii="Times New Roman" w:cs="Times New Roman" w:eastAsia="Times New Roman" w:hAnsi="Times New Roman"/>
          <w:sz w:val="18"/>
          <w:szCs w:val="18"/>
          <w:color w:val="auto"/>
        </w:rPr>
      </w:pPr>
    </w:p>
    <w:p>
      <w:pPr>
        <w:ind w:left="446" w:right="100" w:hanging="446"/>
        <w:spacing w:after="0" w:line="258" w:lineRule="auto"/>
        <w:tabs>
          <w:tab w:leader="none" w:pos="446"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for the purpose of determining liability of the registrant under the Securities Act of 1933 to any purchaser in the initial distribution of the securities, the undersigned registrant undertakes that in a primary offering of securities of the undersigned registrant pursuant to this registration statement, regardless of the underwriting method used to sell the securities to the purchaser, if the securities are offered or sold to such purchaser by means of any of the following communications, the undersigned registrant will be a seller to the purchaser and will be considered to offer or sell such securities to such purchaser:</w:t>
      </w:r>
    </w:p>
    <w:p>
      <w:pPr>
        <w:spacing w:after="0" w:line="89" w:lineRule="exact"/>
        <w:rPr>
          <w:rFonts w:ascii="Times New Roman" w:cs="Times New Roman" w:eastAsia="Times New Roman" w:hAnsi="Times New Roman"/>
          <w:sz w:val="18"/>
          <w:szCs w:val="18"/>
          <w:color w:val="auto"/>
        </w:rPr>
      </w:pPr>
    </w:p>
    <w:p>
      <w:pPr>
        <w:ind w:left="1026" w:hanging="567"/>
        <w:spacing w:after="0"/>
        <w:tabs>
          <w:tab w:leader="none" w:pos="1026" w:val="left"/>
        </w:tabs>
        <w:numPr>
          <w:ilvl w:val="1"/>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preliminary prospectus or prospectus of the undersigned registrant relating to the offering required to be filed pursuant to Rule 424;</w:t>
      </w:r>
    </w:p>
    <w:p>
      <w:pPr>
        <w:spacing w:after="0" w:line="130" w:lineRule="exact"/>
        <w:rPr>
          <w:rFonts w:ascii="Times New Roman" w:cs="Times New Roman" w:eastAsia="Times New Roman" w:hAnsi="Times New Roman"/>
          <w:sz w:val="18"/>
          <w:szCs w:val="18"/>
          <w:color w:val="auto"/>
        </w:rPr>
      </w:pPr>
    </w:p>
    <w:p>
      <w:pPr>
        <w:ind w:left="1026" w:right="280" w:hanging="567"/>
        <w:spacing w:after="0" w:line="282" w:lineRule="auto"/>
        <w:tabs>
          <w:tab w:leader="none" w:pos="1026" w:val="left"/>
        </w:tabs>
        <w:numPr>
          <w:ilvl w:val="1"/>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free writing prospectus relating to the offering prepared by or on behalf of the undersigned registrant or used or referred to by the undersigned registrant;</w:t>
      </w:r>
    </w:p>
    <w:p>
      <w:pPr>
        <w:spacing w:after="0" w:line="67" w:lineRule="exact"/>
        <w:rPr>
          <w:rFonts w:ascii="Times New Roman" w:cs="Times New Roman" w:eastAsia="Times New Roman" w:hAnsi="Times New Roman"/>
          <w:sz w:val="18"/>
          <w:szCs w:val="18"/>
          <w:color w:val="auto"/>
        </w:rPr>
      </w:pPr>
    </w:p>
    <w:p>
      <w:pPr>
        <w:ind w:left="1026" w:right="120" w:hanging="567"/>
        <w:spacing w:after="0" w:line="282" w:lineRule="auto"/>
        <w:tabs>
          <w:tab w:leader="none" w:pos="1026" w:val="left"/>
        </w:tabs>
        <w:numPr>
          <w:ilvl w:val="1"/>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portion of any other free writing prospectus relating to the offering containing material information about the undersigned registrant or its securities provided by or on behalf of the undersigned registrant; and</w:t>
      </w:r>
    </w:p>
    <w:p>
      <w:pPr>
        <w:spacing w:after="0" w:line="67" w:lineRule="exact"/>
        <w:rPr>
          <w:rFonts w:ascii="Times New Roman" w:cs="Times New Roman" w:eastAsia="Times New Roman" w:hAnsi="Times New Roman"/>
          <w:sz w:val="18"/>
          <w:szCs w:val="18"/>
          <w:color w:val="auto"/>
        </w:rPr>
      </w:pPr>
    </w:p>
    <w:p>
      <w:pPr>
        <w:ind w:left="1026" w:hanging="567"/>
        <w:spacing w:after="0"/>
        <w:tabs>
          <w:tab w:leader="none" w:pos="1026" w:val="left"/>
        </w:tabs>
        <w:numPr>
          <w:ilvl w:val="1"/>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other communication that is an offer in the offering made by the undersigned registrant to the purchaser.</w:t>
      </w:r>
    </w:p>
    <w:p>
      <w:pPr>
        <w:spacing w:after="0" w:line="131" w:lineRule="exact"/>
        <w:rPr>
          <w:sz w:val="20"/>
          <w:szCs w:val="20"/>
          <w:color w:val="auto"/>
        </w:rPr>
      </w:pPr>
    </w:p>
    <w:p>
      <w:pPr>
        <w:ind w:left="446" w:right="100" w:hanging="446"/>
        <w:spacing w:after="0" w:line="258" w:lineRule="auto"/>
        <w:tabs>
          <w:tab w:leader="none" w:pos="446"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undersigned registrant hereby undertakes that, for purposes of determining any liability under the Securities Act of 1933, each filing of the registrant’s annual report pursuant to section 13(a) or section 15(d) of the Securities Exchange Act of 1934 (and, where applicable, each filing of an employee benefit plan’s annual report pursuant to section 15(d) of the Securities Exchange Act of 1934) that is incorporated by reference in the registration statement shall be deemed to be a new registration statement relating to the securities offered therein, and the offering of such securities at that time shall be deemed to be the initial bona fide offering thereof.</w:t>
      </w:r>
    </w:p>
    <w:p>
      <w:pPr>
        <w:spacing w:after="0" w:line="89" w:lineRule="exact"/>
        <w:rPr>
          <w:rFonts w:ascii="Times New Roman" w:cs="Times New Roman" w:eastAsia="Times New Roman" w:hAnsi="Times New Roman"/>
          <w:sz w:val="18"/>
          <w:szCs w:val="18"/>
          <w:color w:val="auto"/>
        </w:rPr>
      </w:pPr>
    </w:p>
    <w:p>
      <w:pPr>
        <w:ind w:left="446" w:hanging="446"/>
        <w:spacing w:after="0" w:line="255" w:lineRule="auto"/>
        <w:tabs>
          <w:tab w:leader="none" w:pos="446"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Insofar as indemnification for liabilities arising under the Securities Act of 1933 may be permitted to directors, officers and controlling persons of the registrant pursuant to the foregoing provisions, or otherwise, the registrant has been advised that in the opinion of the Securities and Exchange Commission such indemnification is against public policy as expressed in the Act and is, therefore, unenforceable. In the event that a claim for indemnification against such liabilities (other than the payment by the registrant of expenses incurred or paid by a director, officer or controlling person of the registrant in the successful defense of any action, suit or proceeding) is asserted by such director, officer or controlling person in connection with the securities being registered, the registrant will, unless in the opinion of its counsel the matter has been settled by controlling precedent, submit to a court of appropriate jurisdiction the question whether such indemnification by it is against public policy as expressed in the Act and will be governed by the final adjudication of such issue.</w:t>
      </w:r>
    </w:p>
    <w:p>
      <w:pPr>
        <w:spacing w:after="0" w:line="118" w:lineRule="exact"/>
        <w:rPr>
          <w:sz w:val="20"/>
          <w:szCs w:val="20"/>
          <w:color w:val="auto"/>
        </w:rPr>
      </w:pPr>
    </w:p>
    <w:p>
      <w:pPr>
        <w:jc w:val="center"/>
        <w:ind w:right="434"/>
        <w:spacing w:after="0"/>
        <w:rPr>
          <w:sz w:val="20"/>
          <w:szCs w:val="20"/>
          <w:color w:val="auto"/>
        </w:rPr>
      </w:pPr>
      <w:r>
        <w:rPr>
          <w:rFonts w:ascii="Times New Roman" w:cs="Times New Roman" w:eastAsia="Times New Roman" w:hAnsi="Times New Roman"/>
          <w:sz w:val="18"/>
          <w:szCs w:val="18"/>
          <w:color w:val="auto"/>
        </w:rPr>
        <w:t>II-3</w:t>
      </w:r>
    </w:p>
    <w:p>
      <w:pPr>
        <w:sectPr>
          <w:pgSz w:w="11900" w:h="16838" w:orient="portrait"/>
          <w:cols w:equalWidth="0" w:num="1">
            <w:col w:w="10966"/>
          </w:cols>
          <w:pgMar w:left="694" w:top="270" w:right="239" w:bottom="1440" w:gutter="0" w:footer="0" w:header="0"/>
        </w:sectPr>
      </w:pPr>
    </w:p>
    <w:bookmarkStart w:id="19" w:name="page20"/>
    <w:bookmarkEnd w:id="19"/>
    <w:tbl>
      <w:tblPr>
        <w:tblLayout w:type="fixed"/>
        <w:tblInd w:w="0" w:type="dxa"/>
        <w:tblCellMar>
          <w:top w:w="0" w:type="dxa"/>
          <w:left w:w="0" w:type="dxa"/>
          <w:bottom w:w="0" w:type="dxa"/>
          <w:right w:w="0" w:type="dxa"/>
        </w:tblCellMar>
      </w:tblPr>
      <w:tr>
        <w:trPr>
          <w:trHeight w:val="238"/>
        </w:trPr>
        <w:tc>
          <w:tcPr>
            <w:tcW w:w="52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6780" w:type="dxa"/>
            <w:vAlign w:val="bottom"/>
            <w:gridSpan w:val="14"/>
          </w:tcPr>
          <w:p>
            <w:pPr>
              <w:ind w:left="380"/>
              <w:spacing w:after="0"/>
              <w:rPr>
                <w:sz w:val="20"/>
                <w:szCs w:val="20"/>
                <w:color w:val="auto"/>
              </w:rPr>
            </w:pPr>
            <w:r>
              <w:rPr>
                <w:rFonts w:ascii="Times New Roman" w:cs="Times New Roman" w:eastAsia="Times New Roman" w:hAnsi="Times New Roman"/>
                <w:sz w:val="18"/>
                <w:szCs w:val="18"/>
                <w:b w:val="1"/>
                <w:bCs w:val="1"/>
                <w:color w:val="auto"/>
              </w:rPr>
              <w:t>EXHIBIT INDEX</w:t>
            </w:r>
          </w:p>
        </w:tc>
        <w:tc>
          <w:tcPr>
            <w:tcW w:w="0" w:type="dxa"/>
            <w:vAlign w:val="bottom"/>
          </w:tcPr>
          <w:p>
            <w:pPr>
              <w:spacing w:after="0"/>
              <w:rPr>
                <w:sz w:val="1"/>
                <w:szCs w:val="1"/>
                <w:color w:val="auto"/>
              </w:rPr>
            </w:pPr>
          </w:p>
        </w:tc>
      </w:tr>
      <w:tr>
        <w:trPr>
          <w:trHeight w:val="367"/>
        </w:trPr>
        <w:tc>
          <w:tcPr>
            <w:tcW w:w="520" w:type="dxa"/>
            <w:vAlign w:val="bottom"/>
          </w:tcPr>
          <w:p>
            <w:pPr>
              <w:spacing w:after="0"/>
              <w:rPr>
                <w:sz w:val="20"/>
                <w:szCs w:val="20"/>
                <w:color w:val="auto"/>
              </w:rPr>
            </w:pPr>
            <w:r>
              <w:rPr>
                <w:rFonts w:ascii="Times New Roman" w:cs="Times New Roman" w:eastAsia="Times New Roman" w:hAnsi="Times New Roman"/>
                <w:sz w:val="14"/>
                <w:szCs w:val="14"/>
                <w:b w:val="1"/>
                <w:bCs w:val="1"/>
                <w:color w:val="auto"/>
              </w:rPr>
              <w:t>Exhibit</w:t>
            </w:r>
          </w:p>
        </w:tc>
        <w:tc>
          <w:tcPr>
            <w:tcW w:w="6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6780" w:type="dxa"/>
            <w:vAlign w:val="bottom"/>
            <w:gridSpan w:val="14"/>
            <w:vMerge w:val="restart"/>
          </w:tcPr>
          <w:p>
            <w:pPr>
              <w:ind w:left="980"/>
              <w:spacing w:after="0"/>
              <w:rPr>
                <w:sz w:val="20"/>
                <w:szCs w:val="20"/>
                <w:color w:val="auto"/>
              </w:rPr>
            </w:pPr>
            <w:r>
              <w:rPr>
                <w:rFonts w:ascii="Times New Roman" w:cs="Times New Roman" w:eastAsia="Times New Roman" w:hAnsi="Times New Roman"/>
                <w:sz w:val="14"/>
                <w:szCs w:val="14"/>
                <w:b w:val="1"/>
                <w:bCs w:val="1"/>
                <w:color w:val="auto"/>
              </w:rPr>
              <w:t>Description of Exhibit</w:t>
            </w:r>
          </w:p>
        </w:tc>
        <w:tc>
          <w:tcPr>
            <w:tcW w:w="0" w:type="dxa"/>
            <w:vAlign w:val="bottom"/>
          </w:tcPr>
          <w:p>
            <w:pPr>
              <w:spacing w:after="0"/>
              <w:rPr>
                <w:sz w:val="1"/>
                <w:szCs w:val="1"/>
                <w:color w:val="auto"/>
              </w:rPr>
            </w:pPr>
          </w:p>
        </w:tc>
      </w:tr>
      <w:tr>
        <w:trPr>
          <w:trHeight w:val="173"/>
        </w:trPr>
        <w:tc>
          <w:tcPr>
            <w:tcW w:w="52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4"/>
                <w:szCs w:val="14"/>
                <w:b w:val="1"/>
                <w:bCs w:val="1"/>
                <w:color w:val="auto"/>
              </w:rPr>
              <w:t>Number</w:t>
            </w:r>
          </w:p>
        </w:tc>
        <w:tc>
          <w:tcPr>
            <w:tcW w:w="640" w:type="dxa"/>
            <w:vAlign w:val="bottom"/>
          </w:tcPr>
          <w:p>
            <w:pPr>
              <w:spacing w:after="0"/>
              <w:rPr>
                <w:sz w:val="15"/>
                <w:szCs w:val="15"/>
                <w:color w:val="auto"/>
              </w:rPr>
            </w:pPr>
          </w:p>
        </w:tc>
        <w:tc>
          <w:tcPr>
            <w:tcW w:w="740" w:type="dxa"/>
            <w:vAlign w:val="bottom"/>
            <w:tcBorders>
              <w:bottom w:val="single" w:sz="8" w:color="auto"/>
            </w:tcBorders>
          </w:tcPr>
          <w:p>
            <w:pPr>
              <w:spacing w:after="0"/>
              <w:rPr>
                <w:sz w:val="15"/>
                <w:szCs w:val="15"/>
                <w:color w:val="auto"/>
              </w:rPr>
            </w:pPr>
          </w:p>
        </w:tc>
        <w:tc>
          <w:tcPr>
            <w:tcW w:w="600" w:type="dxa"/>
            <w:vAlign w:val="bottom"/>
            <w:tcBorders>
              <w:bottom w:val="single" w:sz="8" w:color="auto"/>
            </w:tcBorders>
          </w:tcPr>
          <w:p>
            <w:pPr>
              <w:spacing w:after="0"/>
              <w:rPr>
                <w:sz w:val="15"/>
                <w:szCs w:val="15"/>
                <w:color w:val="auto"/>
              </w:rPr>
            </w:pPr>
          </w:p>
        </w:tc>
        <w:tc>
          <w:tcPr>
            <w:tcW w:w="880" w:type="dxa"/>
            <w:vAlign w:val="bottom"/>
            <w:tcBorders>
              <w:bottom w:val="single" w:sz="8" w:color="auto"/>
            </w:tcBorders>
          </w:tcPr>
          <w:p>
            <w:pPr>
              <w:spacing w:after="0"/>
              <w:rPr>
                <w:sz w:val="15"/>
                <w:szCs w:val="15"/>
                <w:color w:val="auto"/>
              </w:rPr>
            </w:pPr>
          </w:p>
        </w:tc>
        <w:tc>
          <w:tcPr>
            <w:tcW w:w="1260" w:type="dxa"/>
            <w:vAlign w:val="bottom"/>
            <w:tcBorders>
              <w:bottom w:val="single" w:sz="8" w:color="auto"/>
            </w:tcBorders>
          </w:tcPr>
          <w:p>
            <w:pPr>
              <w:spacing w:after="0"/>
              <w:rPr>
                <w:sz w:val="15"/>
                <w:szCs w:val="15"/>
                <w:color w:val="auto"/>
              </w:rPr>
            </w:pPr>
          </w:p>
        </w:tc>
        <w:tc>
          <w:tcPr>
            <w:tcW w:w="6780" w:type="dxa"/>
            <w:vAlign w:val="bottom"/>
            <w:tcBorders>
              <w:bottom w:val="single" w:sz="8" w:color="auto"/>
            </w:tcBorders>
            <w:gridSpan w:val="14"/>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264"/>
        </w:trPr>
        <w:tc>
          <w:tcPr>
            <w:tcW w:w="520" w:type="dxa"/>
            <w:vAlign w:val="bottom"/>
          </w:tcPr>
          <w:p>
            <w:pPr>
              <w:spacing w:after="0"/>
              <w:rPr>
                <w:sz w:val="20"/>
                <w:szCs w:val="20"/>
                <w:color w:val="auto"/>
              </w:rPr>
            </w:pPr>
            <w:r>
              <w:rPr>
                <w:rFonts w:ascii="Times New Roman" w:cs="Times New Roman" w:eastAsia="Times New Roman" w:hAnsi="Times New Roman"/>
                <w:sz w:val="18"/>
                <w:szCs w:val="18"/>
                <w:color w:val="auto"/>
              </w:rPr>
              <w:t>3.1</w:t>
            </w:r>
          </w:p>
        </w:tc>
        <w:tc>
          <w:tcPr>
            <w:tcW w:w="640" w:type="dxa"/>
            <w:vAlign w:val="bottom"/>
          </w:tcPr>
          <w:p>
            <w:pPr>
              <w:spacing w:after="0"/>
              <w:rPr>
                <w:sz w:val="22"/>
                <w:szCs w:val="22"/>
                <w:color w:val="auto"/>
              </w:rPr>
            </w:pPr>
          </w:p>
        </w:tc>
        <w:tc>
          <w:tcPr>
            <w:tcW w:w="10260" w:type="dxa"/>
            <w:vAlign w:val="bottom"/>
            <w:gridSpan w:val="18"/>
          </w:tcPr>
          <w:p>
            <w:pPr>
              <w:spacing w:after="0"/>
              <w:rPr>
                <w:rFonts w:ascii="Times New Roman" w:cs="Times New Roman" w:eastAsia="Times New Roman" w:hAnsi="Times New Roman"/>
                <w:sz w:val="18"/>
                <w:szCs w:val="18"/>
                <w:color w:val="0000EE"/>
              </w:rPr>
            </w:pPr>
            <w:hyperlink r:id="rId41">
              <w:r>
                <w:rPr>
                  <w:rFonts w:ascii="Times New Roman" w:cs="Times New Roman" w:eastAsia="Times New Roman" w:hAnsi="Times New Roman"/>
                  <w:sz w:val="18"/>
                  <w:szCs w:val="18"/>
                  <w:color w:val="0000EE"/>
                </w:rPr>
                <w:t>Certificate of Incorporation of Marvell Technology Group Ltd. (incorporated by reference to Exhibit 3.2 to Registrant’s Quarterly Report on</w:t>
              </w:r>
            </w:hyperlink>
          </w:p>
        </w:tc>
        <w:tc>
          <w:tcPr>
            <w:tcW w:w="0" w:type="dxa"/>
            <w:vAlign w:val="bottom"/>
          </w:tcPr>
          <w:p>
            <w:pPr>
              <w:spacing w:after="0"/>
              <w:rPr>
                <w:sz w:val="1"/>
                <w:szCs w:val="1"/>
                <w:color w:val="auto"/>
              </w:rPr>
            </w:pPr>
          </w:p>
        </w:tc>
      </w:tr>
      <w:tr>
        <w:trPr>
          <w:trHeight w:val="196"/>
        </w:trPr>
        <w:tc>
          <w:tcPr>
            <w:tcW w:w="52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0100" w:type="dxa"/>
            <w:vAlign w:val="bottom"/>
            <w:tcBorders>
              <w:top w:val="single" w:sz="8" w:color="0000EE"/>
            </w:tcBorders>
            <w:gridSpan w:val="16"/>
          </w:tcPr>
          <w:p>
            <w:pPr>
              <w:spacing w:after="0" w:line="196" w:lineRule="exact"/>
              <w:rPr>
                <w:rFonts w:ascii="Times New Roman" w:cs="Times New Roman" w:eastAsia="Times New Roman" w:hAnsi="Times New Roman"/>
                <w:sz w:val="18"/>
                <w:szCs w:val="18"/>
                <w:color w:val="0000EE"/>
              </w:rPr>
            </w:pPr>
            <w:hyperlink r:id="rId41">
              <w:r>
                <w:rPr>
                  <w:rFonts w:ascii="Times New Roman" w:cs="Times New Roman" w:eastAsia="Times New Roman" w:hAnsi="Times New Roman"/>
                  <w:sz w:val="18"/>
                  <w:szCs w:val="18"/>
                  <w:color w:val="0000EE"/>
                </w:rPr>
                <w:t>Form 10-Q filed with the SEC on June 5, 2018).</w:t>
              </w:r>
            </w:hyperlink>
          </w:p>
        </w:tc>
        <w:tc>
          <w:tcPr>
            <w:tcW w:w="160" w:type="dxa"/>
            <w:vAlign w:val="bottom"/>
            <w:gridSpan w:val="2"/>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5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740" w:type="dxa"/>
            <w:vAlign w:val="bottom"/>
            <w:shd w:val="clear" w:color="auto" w:fill="0000EE"/>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880" w:type="dxa"/>
            <w:vAlign w:val="bottom"/>
            <w:shd w:val="clear" w:color="auto" w:fill="0000EE"/>
          </w:tcPr>
          <w:p>
            <w:pPr>
              <w:spacing w:after="0" w:line="20" w:lineRule="exact"/>
              <w:rPr>
                <w:sz w:val="1"/>
                <w:szCs w:val="1"/>
                <w:color w:val="auto"/>
              </w:rPr>
            </w:pPr>
          </w:p>
        </w:tc>
        <w:tc>
          <w:tcPr>
            <w:tcW w:w="1260" w:type="dxa"/>
            <w:vAlign w:val="bottom"/>
            <w:shd w:val="clear" w:color="auto" w:fill="0000EE"/>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212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520" w:type="dxa"/>
            <w:vAlign w:val="bottom"/>
          </w:tcPr>
          <w:p>
            <w:pPr>
              <w:spacing w:after="0"/>
              <w:rPr>
                <w:sz w:val="20"/>
                <w:szCs w:val="20"/>
                <w:color w:val="auto"/>
              </w:rPr>
            </w:pPr>
            <w:r>
              <w:rPr>
                <w:rFonts w:ascii="Times New Roman" w:cs="Times New Roman" w:eastAsia="Times New Roman" w:hAnsi="Times New Roman"/>
                <w:sz w:val="18"/>
                <w:szCs w:val="18"/>
                <w:color w:val="auto"/>
              </w:rPr>
              <w:t>3.2</w:t>
            </w:r>
          </w:p>
        </w:tc>
        <w:tc>
          <w:tcPr>
            <w:tcW w:w="640" w:type="dxa"/>
            <w:vAlign w:val="bottom"/>
          </w:tcPr>
          <w:p>
            <w:pPr>
              <w:spacing w:after="0"/>
              <w:rPr>
                <w:sz w:val="24"/>
                <w:szCs w:val="24"/>
                <w:color w:val="auto"/>
              </w:rPr>
            </w:pPr>
          </w:p>
        </w:tc>
        <w:tc>
          <w:tcPr>
            <w:tcW w:w="10080" w:type="dxa"/>
            <w:vAlign w:val="bottom"/>
            <w:tcBorders>
              <w:bottom w:val="single" w:sz="8" w:color="0000EE"/>
            </w:tcBorders>
            <w:gridSpan w:val="15"/>
          </w:tcPr>
          <w:p>
            <w:pPr>
              <w:spacing w:after="0"/>
              <w:rPr>
                <w:rFonts w:ascii="Times New Roman" w:cs="Times New Roman" w:eastAsia="Times New Roman" w:hAnsi="Times New Roman"/>
                <w:sz w:val="18"/>
                <w:szCs w:val="18"/>
                <w:color w:val="0000EE"/>
                <w:w w:val="99"/>
              </w:rPr>
            </w:pPr>
            <w:hyperlink r:id="rId42">
              <w:r>
                <w:rPr>
                  <w:rFonts w:ascii="Times New Roman" w:cs="Times New Roman" w:eastAsia="Times New Roman" w:hAnsi="Times New Roman"/>
                  <w:sz w:val="18"/>
                  <w:szCs w:val="18"/>
                  <w:color w:val="0000EE"/>
                  <w:w w:val="99"/>
                </w:rPr>
                <w:t>Memorandum of Association of Marvell Technology Group Ltd. (incorporated by reference to Exhibit 3.1 to Registrant’s Annual Report on</w:t>
              </w:r>
            </w:hyperlink>
          </w:p>
        </w:tc>
        <w:tc>
          <w:tcPr>
            <w:tcW w:w="180" w:type="dxa"/>
            <w:vAlign w:val="bottom"/>
            <w:gridSpan w:val="3"/>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52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5220" w:type="dxa"/>
            <w:vAlign w:val="bottom"/>
            <w:tcBorders>
              <w:bottom w:val="single" w:sz="8" w:color="0000EE"/>
            </w:tcBorders>
            <w:gridSpan w:val="7"/>
          </w:tcPr>
          <w:p>
            <w:pPr>
              <w:spacing w:after="0" w:line="196" w:lineRule="exact"/>
              <w:rPr>
                <w:rFonts w:ascii="Times New Roman" w:cs="Times New Roman" w:eastAsia="Times New Roman" w:hAnsi="Times New Roman"/>
                <w:sz w:val="18"/>
                <w:szCs w:val="18"/>
                <w:color w:val="0000EE"/>
                <w:w w:val="99"/>
              </w:rPr>
            </w:pPr>
            <w:hyperlink r:id="rId42">
              <w:r>
                <w:rPr>
                  <w:rFonts w:ascii="Times New Roman" w:cs="Times New Roman" w:eastAsia="Times New Roman" w:hAnsi="Times New Roman"/>
                  <w:sz w:val="18"/>
                  <w:szCs w:val="18"/>
                  <w:color w:val="0000EE"/>
                  <w:w w:val="99"/>
                </w:rPr>
                <w:t>Form 10-K filed with the SEC on March 29, 2018, File No. 000-30877).</w:t>
              </w:r>
            </w:hyperlink>
          </w:p>
        </w:tc>
        <w:tc>
          <w:tcPr>
            <w:tcW w:w="5040" w:type="dxa"/>
            <w:vAlign w:val="bottom"/>
            <w:gridSpan w:val="11"/>
          </w:tcPr>
          <w:p>
            <w:pPr>
              <w:spacing w:after="0"/>
              <w:rPr>
                <w:sz w:val="17"/>
                <w:szCs w:val="17"/>
                <w:color w:val="auto"/>
              </w:rPr>
            </w:pPr>
          </w:p>
        </w:tc>
        <w:tc>
          <w:tcPr>
            <w:tcW w:w="0" w:type="dxa"/>
            <w:vAlign w:val="bottom"/>
          </w:tcPr>
          <w:p>
            <w:pPr>
              <w:spacing w:after="0"/>
              <w:rPr>
                <w:sz w:val="1"/>
                <w:szCs w:val="1"/>
                <w:color w:val="auto"/>
              </w:rPr>
            </w:pPr>
          </w:p>
        </w:tc>
      </w:tr>
      <w:tr>
        <w:trPr>
          <w:trHeight w:val="304"/>
        </w:trPr>
        <w:tc>
          <w:tcPr>
            <w:tcW w:w="520" w:type="dxa"/>
            <w:vAlign w:val="bottom"/>
          </w:tcPr>
          <w:p>
            <w:pPr>
              <w:spacing w:after="0"/>
              <w:rPr>
                <w:sz w:val="20"/>
                <w:szCs w:val="20"/>
                <w:color w:val="auto"/>
              </w:rPr>
            </w:pPr>
            <w:r>
              <w:rPr>
                <w:rFonts w:ascii="Times New Roman" w:cs="Times New Roman" w:eastAsia="Times New Roman" w:hAnsi="Times New Roman"/>
                <w:sz w:val="18"/>
                <w:szCs w:val="18"/>
                <w:color w:val="auto"/>
              </w:rPr>
              <w:t>3.3</w:t>
            </w:r>
          </w:p>
        </w:tc>
        <w:tc>
          <w:tcPr>
            <w:tcW w:w="640" w:type="dxa"/>
            <w:vAlign w:val="bottom"/>
          </w:tcPr>
          <w:p>
            <w:pPr>
              <w:spacing w:after="0"/>
              <w:rPr>
                <w:sz w:val="24"/>
                <w:szCs w:val="24"/>
                <w:color w:val="auto"/>
              </w:rPr>
            </w:pPr>
          </w:p>
        </w:tc>
        <w:tc>
          <w:tcPr>
            <w:tcW w:w="10260" w:type="dxa"/>
            <w:vAlign w:val="bottom"/>
            <w:gridSpan w:val="18"/>
          </w:tcPr>
          <w:p>
            <w:pPr>
              <w:spacing w:after="0"/>
              <w:rPr>
                <w:rFonts w:ascii="Times New Roman" w:cs="Times New Roman" w:eastAsia="Times New Roman" w:hAnsi="Times New Roman"/>
                <w:sz w:val="18"/>
                <w:szCs w:val="18"/>
                <w:color w:val="0000EE"/>
              </w:rPr>
            </w:pPr>
            <w:hyperlink r:id="rId43">
              <w:r>
                <w:rPr>
                  <w:rFonts w:ascii="Times New Roman" w:cs="Times New Roman" w:eastAsia="Times New Roman" w:hAnsi="Times New Roman"/>
                  <w:sz w:val="18"/>
                  <w:szCs w:val="18"/>
                  <w:color w:val="0000EE"/>
                </w:rPr>
                <w:t>Memorandum of Reduction of Share Premium of Marvell Technology Group Ltd. (incorporated by reference to Exhibit 3.4 to Registrant’s</w:t>
              </w:r>
            </w:hyperlink>
          </w:p>
        </w:tc>
        <w:tc>
          <w:tcPr>
            <w:tcW w:w="0" w:type="dxa"/>
            <w:vAlign w:val="bottom"/>
          </w:tcPr>
          <w:p>
            <w:pPr>
              <w:spacing w:after="0"/>
              <w:rPr>
                <w:sz w:val="1"/>
                <w:szCs w:val="1"/>
                <w:color w:val="auto"/>
              </w:rPr>
            </w:pPr>
          </w:p>
        </w:tc>
      </w:tr>
      <w:tr>
        <w:trPr>
          <w:trHeight w:val="196"/>
        </w:trPr>
        <w:tc>
          <w:tcPr>
            <w:tcW w:w="52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4980" w:type="dxa"/>
            <w:vAlign w:val="bottom"/>
            <w:tcBorders>
              <w:top w:val="single" w:sz="8" w:color="0000EE"/>
              <w:bottom w:val="single" w:sz="8" w:color="0000EE"/>
            </w:tcBorders>
            <w:gridSpan w:val="6"/>
          </w:tcPr>
          <w:p>
            <w:pPr>
              <w:spacing w:after="0" w:line="196" w:lineRule="exact"/>
              <w:rPr>
                <w:rFonts w:ascii="Times New Roman" w:cs="Times New Roman" w:eastAsia="Times New Roman" w:hAnsi="Times New Roman"/>
                <w:sz w:val="18"/>
                <w:szCs w:val="18"/>
                <w:color w:val="0000EE"/>
                <w:w w:val="99"/>
              </w:rPr>
            </w:pPr>
            <w:hyperlink r:id="rId43">
              <w:r>
                <w:rPr>
                  <w:rFonts w:ascii="Times New Roman" w:cs="Times New Roman" w:eastAsia="Times New Roman" w:hAnsi="Times New Roman"/>
                  <w:sz w:val="18"/>
                  <w:szCs w:val="18"/>
                  <w:color w:val="0000EE"/>
                  <w:w w:val="99"/>
                </w:rPr>
                <w:t>Quarterly Report on Form 10-Q filed with the SEC on June 5, 2018).</w:t>
              </w:r>
            </w:hyperlink>
          </w:p>
        </w:tc>
        <w:tc>
          <w:tcPr>
            <w:tcW w:w="5000" w:type="dxa"/>
            <w:vAlign w:val="bottom"/>
            <w:tcBorders>
              <w:top w:val="single" w:sz="8" w:color="0000EE"/>
            </w:tcBorders>
            <w:gridSpan w:val="7"/>
          </w:tcPr>
          <w:p>
            <w:pPr>
              <w:spacing w:after="0"/>
              <w:rPr>
                <w:sz w:val="17"/>
                <w:szCs w:val="17"/>
                <w:color w:val="auto"/>
              </w:rPr>
            </w:pPr>
          </w:p>
        </w:tc>
        <w:tc>
          <w:tcPr>
            <w:tcW w:w="280" w:type="dxa"/>
            <w:vAlign w:val="bottom"/>
            <w:gridSpan w:val="5"/>
          </w:tcPr>
          <w:p>
            <w:pPr>
              <w:spacing w:after="0"/>
              <w:rPr>
                <w:sz w:val="17"/>
                <w:szCs w:val="17"/>
                <w:color w:val="auto"/>
              </w:rPr>
            </w:pPr>
          </w:p>
        </w:tc>
        <w:tc>
          <w:tcPr>
            <w:tcW w:w="0" w:type="dxa"/>
            <w:vAlign w:val="bottom"/>
          </w:tcPr>
          <w:p>
            <w:pPr>
              <w:spacing w:after="0"/>
              <w:rPr>
                <w:sz w:val="1"/>
                <w:szCs w:val="1"/>
                <w:color w:val="auto"/>
              </w:rPr>
            </w:pPr>
          </w:p>
        </w:tc>
      </w:tr>
      <w:tr>
        <w:trPr>
          <w:trHeight w:val="304"/>
        </w:trPr>
        <w:tc>
          <w:tcPr>
            <w:tcW w:w="520" w:type="dxa"/>
            <w:vAlign w:val="bottom"/>
          </w:tcPr>
          <w:p>
            <w:pPr>
              <w:spacing w:after="0"/>
              <w:rPr>
                <w:sz w:val="20"/>
                <w:szCs w:val="20"/>
                <w:color w:val="auto"/>
              </w:rPr>
            </w:pPr>
            <w:r>
              <w:rPr>
                <w:rFonts w:ascii="Times New Roman" w:cs="Times New Roman" w:eastAsia="Times New Roman" w:hAnsi="Times New Roman"/>
                <w:sz w:val="18"/>
                <w:szCs w:val="18"/>
                <w:color w:val="auto"/>
              </w:rPr>
              <w:t>3.4</w:t>
            </w:r>
          </w:p>
        </w:tc>
        <w:tc>
          <w:tcPr>
            <w:tcW w:w="640" w:type="dxa"/>
            <w:vAlign w:val="bottom"/>
          </w:tcPr>
          <w:p>
            <w:pPr>
              <w:spacing w:after="0"/>
              <w:rPr>
                <w:sz w:val="24"/>
                <w:szCs w:val="24"/>
                <w:color w:val="auto"/>
              </w:rPr>
            </w:pPr>
          </w:p>
        </w:tc>
        <w:tc>
          <w:tcPr>
            <w:tcW w:w="10260" w:type="dxa"/>
            <w:vAlign w:val="bottom"/>
            <w:gridSpan w:val="18"/>
          </w:tcPr>
          <w:p>
            <w:pPr>
              <w:spacing w:after="0"/>
              <w:rPr>
                <w:rFonts w:ascii="Times New Roman" w:cs="Times New Roman" w:eastAsia="Times New Roman" w:hAnsi="Times New Roman"/>
                <w:sz w:val="18"/>
                <w:szCs w:val="18"/>
                <w:color w:val="0000EE"/>
              </w:rPr>
            </w:pPr>
            <w:hyperlink r:id="rId44">
              <w:r>
                <w:rPr>
                  <w:rFonts w:ascii="Times New Roman" w:cs="Times New Roman" w:eastAsia="Times New Roman" w:hAnsi="Times New Roman"/>
                  <w:sz w:val="18"/>
                  <w:szCs w:val="18"/>
                  <w:color w:val="0000EE"/>
                </w:rPr>
                <w:t>Memorandum of Increase of Share Capital of Marvell Technology Group Ltd. dated June 29, 2006, June 7, 2004, April 25, 2000, July 16,</w:t>
              </w:r>
            </w:hyperlink>
          </w:p>
        </w:tc>
        <w:tc>
          <w:tcPr>
            <w:tcW w:w="0" w:type="dxa"/>
            <w:vAlign w:val="bottom"/>
          </w:tcPr>
          <w:p>
            <w:pPr>
              <w:spacing w:after="0"/>
              <w:rPr>
                <w:sz w:val="1"/>
                <w:szCs w:val="1"/>
                <w:color w:val="auto"/>
              </w:rPr>
            </w:pPr>
          </w:p>
        </w:tc>
      </w:tr>
      <w:tr>
        <w:trPr>
          <w:trHeight w:val="20"/>
        </w:trPr>
        <w:tc>
          <w:tcPr>
            <w:tcW w:w="5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740" w:type="dxa"/>
            <w:vAlign w:val="bottom"/>
            <w:shd w:val="clear" w:color="auto" w:fill="0000EE"/>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880" w:type="dxa"/>
            <w:vAlign w:val="bottom"/>
            <w:shd w:val="clear" w:color="auto" w:fill="0000EE"/>
          </w:tcPr>
          <w:p>
            <w:pPr>
              <w:spacing w:after="0" w:line="20" w:lineRule="exact"/>
              <w:rPr>
                <w:sz w:val="1"/>
                <w:szCs w:val="1"/>
                <w:color w:val="auto"/>
              </w:rPr>
            </w:pPr>
          </w:p>
        </w:tc>
        <w:tc>
          <w:tcPr>
            <w:tcW w:w="2460" w:type="dxa"/>
            <w:vAlign w:val="bottom"/>
            <w:gridSpan w:val="2"/>
            <w:shd w:val="clear" w:color="auto" w:fill="0000EE"/>
          </w:tcPr>
          <w:p>
            <w:pPr>
              <w:spacing w:after="0" w:line="20" w:lineRule="exact"/>
              <w:rPr>
                <w:sz w:val="1"/>
                <w:szCs w:val="1"/>
                <w:color w:val="auto"/>
              </w:rPr>
            </w:pPr>
          </w:p>
        </w:tc>
        <w:tc>
          <w:tcPr>
            <w:tcW w:w="1260" w:type="dxa"/>
            <w:vAlign w:val="bottom"/>
            <w:gridSpan w:val="3"/>
            <w:shd w:val="clear" w:color="auto" w:fill="0000EE"/>
          </w:tcPr>
          <w:p>
            <w:pPr>
              <w:spacing w:after="0" w:line="20" w:lineRule="exact"/>
              <w:rPr>
                <w:sz w:val="1"/>
                <w:szCs w:val="1"/>
                <w:color w:val="auto"/>
              </w:rPr>
            </w:pPr>
          </w:p>
        </w:tc>
        <w:tc>
          <w:tcPr>
            <w:tcW w:w="440" w:type="dxa"/>
            <w:vAlign w:val="bottom"/>
            <w:shd w:val="clear" w:color="auto" w:fill="0000EE"/>
          </w:tcPr>
          <w:p>
            <w:pPr>
              <w:spacing w:after="0" w:line="20" w:lineRule="exact"/>
              <w:rPr>
                <w:sz w:val="1"/>
                <w:szCs w:val="1"/>
                <w:color w:val="auto"/>
              </w:rPr>
            </w:pPr>
          </w:p>
        </w:tc>
        <w:tc>
          <w:tcPr>
            <w:tcW w:w="2120" w:type="dxa"/>
            <w:vAlign w:val="bottom"/>
            <w:shd w:val="clear" w:color="auto" w:fill="0000EE"/>
          </w:tcPr>
          <w:p>
            <w:pPr>
              <w:spacing w:after="0" w:line="20" w:lineRule="exact"/>
              <w:rPr>
                <w:sz w:val="1"/>
                <w:szCs w:val="1"/>
                <w:color w:val="auto"/>
              </w:rPr>
            </w:pPr>
          </w:p>
        </w:tc>
        <w:tc>
          <w:tcPr>
            <w:tcW w:w="1000" w:type="dxa"/>
            <w:vAlign w:val="bottom"/>
            <w:shd w:val="clear" w:color="auto" w:fill="0000EE"/>
          </w:tcPr>
          <w:p>
            <w:pPr>
              <w:spacing w:after="0" w:line="20" w:lineRule="exact"/>
              <w:rPr>
                <w:sz w:val="1"/>
                <w:szCs w:val="1"/>
                <w:color w:val="auto"/>
              </w:rPr>
            </w:pPr>
          </w:p>
        </w:tc>
        <w:tc>
          <w:tcPr>
            <w:tcW w:w="460" w:type="dxa"/>
            <w:vAlign w:val="bottom"/>
            <w:shd w:val="clear" w:color="auto" w:fill="0000EE"/>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52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0080" w:type="dxa"/>
            <w:vAlign w:val="bottom"/>
            <w:tcBorders>
              <w:bottom w:val="single" w:sz="8" w:color="0000EE"/>
            </w:tcBorders>
            <w:gridSpan w:val="15"/>
          </w:tcPr>
          <w:p>
            <w:pPr>
              <w:spacing w:after="0" w:line="196" w:lineRule="exact"/>
              <w:rPr>
                <w:rFonts w:ascii="Times New Roman" w:cs="Times New Roman" w:eastAsia="Times New Roman" w:hAnsi="Times New Roman"/>
                <w:sz w:val="18"/>
                <w:szCs w:val="18"/>
                <w:color w:val="0000EE"/>
              </w:rPr>
            </w:pPr>
            <w:hyperlink r:id="rId44">
              <w:r>
                <w:rPr>
                  <w:rFonts w:ascii="Times New Roman" w:cs="Times New Roman" w:eastAsia="Times New Roman" w:hAnsi="Times New Roman"/>
                  <w:sz w:val="18"/>
                  <w:szCs w:val="18"/>
                  <w:color w:val="0000EE"/>
                </w:rPr>
                <w:t>1999, July 22, 1998, September 26, 1996 and March 10, 1995 (incorporated by reference to Exhibit 3.5 to Registrant’s Quarterly Report on</w:t>
              </w:r>
            </w:hyperlink>
          </w:p>
        </w:tc>
        <w:tc>
          <w:tcPr>
            <w:tcW w:w="180" w:type="dxa"/>
            <w:vAlign w:val="bottom"/>
            <w:gridSpan w:val="3"/>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52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0260" w:type="dxa"/>
            <w:vAlign w:val="bottom"/>
            <w:gridSpan w:val="18"/>
          </w:tcPr>
          <w:p>
            <w:pPr>
              <w:spacing w:after="0" w:line="196" w:lineRule="exact"/>
              <w:rPr>
                <w:rFonts w:ascii="Times New Roman" w:cs="Times New Roman" w:eastAsia="Times New Roman" w:hAnsi="Times New Roman"/>
                <w:sz w:val="18"/>
                <w:szCs w:val="18"/>
                <w:color w:val="0000EE"/>
              </w:rPr>
            </w:pPr>
            <w:hyperlink r:id="rId44">
              <w:r>
                <w:rPr>
                  <w:rFonts w:ascii="Times New Roman" w:cs="Times New Roman" w:eastAsia="Times New Roman" w:hAnsi="Times New Roman"/>
                  <w:sz w:val="18"/>
                  <w:szCs w:val="18"/>
                  <w:color w:val="0000EE"/>
                </w:rPr>
                <w:t>Form 10-Q filed with the SEC on June 5, 2018).</w:t>
              </w:r>
            </w:hyperlink>
          </w:p>
        </w:tc>
        <w:tc>
          <w:tcPr>
            <w:tcW w:w="0" w:type="dxa"/>
            <w:vAlign w:val="bottom"/>
          </w:tcPr>
          <w:p>
            <w:pPr>
              <w:spacing w:after="0"/>
              <w:rPr>
                <w:sz w:val="1"/>
                <w:szCs w:val="1"/>
                <w:color w:val="auto"/>
              </w:rPr>
            </w:pPr>
          </w:p>
        </w:tc>
      </w:tr>
      <w:tr>
        <w:trPr>
          <w:trHeight w:val="20"/>
        </w:trPr>
        <w:tc>
          <w:tcPr>
            <w:tcW w:w="5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740" w:type="dxa"/>
            <w:vAlign w:val="bottom"/>
            <w:shd w:val="clear" w:color="auto" w:fill="0000EE"/>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880" w:type="dxa"/>
            <w:vAlign w:val="bottom"/>
            <w:shd w:val="clear" w:color="auto" w:fill="0000EE"/>
          </w:tcPr>
          <w:p>
            <w:pPr>
              <w:spacing w:after="0" w:line="20" w:lineRule="exact"/>
              <w:rPr>
                <w:sz w:val="1"/>
                <w:szCs w:val="1"/>
                <w:color w:val="auto"/>
              </w:rPr>
            </w:pPr>
          </w:p>
        </w:tc>
        <w:tc>
          <w:tcPr>
            <w:tcW w:w="1260" w:type="dxa"/>
            <w:vAlign w:val="bottom"/>
            <w:shd w:val="clear" w:color="auto" w:fill="0000EE"/>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1260" w:type="dxa"/>
            <w:vAlign w:val="bottom"/>
            <w:gridSpan w:val="3"/>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212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540" w:type="dxa"/>
            <w:vAlign w:val="bottom"/>
            <w:gridSpan w:val="3"/>
          </w:tcPr>
          <w:p>
            <w:pPr>
              <w:spacing w:after="0" w:line="20" w:lineRule="exact"/>
              <w:rPr>
                <w:sz w:val="1"/>
                <w:szCs w:val="1"/>
                <w:color w:val="auto"/>
              </w:rPr>
            </w:pPr>
          </w:p>
        </w:tc>
        <w:tc>
          <w:tcPr>
            <w:tcW w:w="100" w:type="dxa"/>
            <w:vAlign w:val="bottom"/>
            <w:gridSpan w:val="3"/>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520" w:type="dxa"/>
            <w:vAlign w:val="bottom"/>
          </w:tcPr>
          <w:p>
            <w:pPr>
              <w:spacing w:after="0"/>
              <w:rPr>
                <w:sz w:val="20"/>
                <w:szCs w:val="20"/>
                <w:color w:val="auto"/>
              </w:rPr>
            </w:pPr>
            <w:r>
              <w:rPr>
                <w:rFonts w:ascii="Times New Roman" w:cs="Times New Roman" w:eastAsia="Times New Roman" w:hAnsi="Times New Roman"/>
                <w:sz w:val="18"/>
                <w:szCs w:val="18"/>
                <w:color w:val="auto"/>
              </w:rPr>
              <w:t>3.5</w:t>
            </w:r>
          </w:p>
        </w:tc>
        <w:tc>
          <w:tcPr>
            <w:tcW w:w="640" w:type="dxa"/>
            <w:vAlign w:val="bottom"/>
          </w:tcPr>
          <w:p>
            <w:pPr>
              <w:spacing w:after="0"/>
              <w:rPr>
                <w:sz w:val="24"/>
                <w:szCs w:val="24"/>
                <w:color w:val="auto"/>
              </w:rPr>
            </w:pPr>
          </w:p>
        </w:tc>
        <w:tc>
          <w:tcPr>
            <w:tcW w:w="10260" w:type="dxa"/>
            <w:vAlign w:val="bottom"/>
            <w:gridSpan w:val="18"/>
          </w:tcPr>
          <w:p>
            <w:pPr>
              <w:spacing w:after="0"/>
              <w:rPr>
                <w:rFonts w:ascii="Times New Roman" w:cs="Times New Roman" w:eastAsia="Times New Roman" w:hAnsi="Times New Roman"/>
                <w:sz w:val="18"/>
                <w:szCs w:val="18"/>
                <w:color w:val="0000EE"/>
              </w:rPr>
            </w:pPr>
            <w:hyperlink r:id="rId45">
              <w:r>
                <w:rPr>
                  <w:rFonts w:ascii="Times New Roman" w:cs="Times New Roman" w:eastAsia="Times New Roman" w:hAnsi="Times New Roman"/>
                  <w:sz w:val="18"/>
                  <w:szCs w:val="18"/>
                  <w:color w:val="0000EE"/>
                </w:rPr>
                <w:t>Fourth Amended and Restated Bye-laws of Marvell Technology Group Ltd. (incorporated by reference to Exhibit 3.1 to Registrant’s Current</w:t>
              </w:r>
            </w:hyperlink>
          </w:p>
        </w:tc>
        <w:tc>
          <w:tcPr>
            <w:tcW w:w="0" w:type="dxa"/>
            <w:vAlign w:val="bottom"/>
          </w:tcPr>
          <w:p>
            <w:pPr>
              <w:spacing w:after="0"/>
              <w:rPr>
                <w:sz w:val="1"/>
                <w:szCs w:val="1"/>
                <w:color w:val="auto"/>
              </w:rPr>
            </w:pPr>
          </w:p>
        </w:tc>
      </w:tr>
      <w:tr>
        <w:trPr>
          <w:trHeight w:val="196"/>
        </w:trPr>
        <w:tc>
          <w:tcPr>
            <w:tcW w:w="52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4680" w:type="dxa"/>
            <w:vAlign w:val="bottom"/>
            <w:tcBorders>
              <w:top w:val="single" w:sz="8" w:color="0000EE"/>
              <w:bottom w:val="single" w:sz="8" w:color="0000EE"/>
            </w:tcBorders>
            <w:gridSpan w:val="5"/>
          </w:tcPr>
          <w:p>
            <w:pPr>
              <w:spacing w:after="0" w:line="196" w:lineRule="exact"/>
              <w:rPr>
                <w:rFonts w:ascii="Times New Roman" w:cs="Times New Roman" w:eastAsia="Times New Roman" w:hAnsi="Times New Roman"/>
                <w:sz w:val="18"/>
                <w:szCs w:val="18"/>
                <w:color w:val="0000EE"/>
                <w:w w:val="99"/>
              </w:rPr>
            </w:pPr>
            <w:hyperlink r:id="rId45">
              <w:r>
                <w:rPr>
                  <w:rFonts w:ascii="Times New Roman" w:cs="Times New Roman" w:eastAsia="Times New Roman" w:hAnsi="Times New Roman"/>
                  <w:sz w:val="18"/>
                  <w:szCs w:val="18"/>
                  <w:color w:val="0000EE"/>
                  <w:w w:val="99"/>
                </w:rPr>
                <w:t>Report on Form 8-K filed with the SEC on November 10, 2016).</w:t>
              </w:r>
            </w:hyperlink>
          </w:p>
        </w:tc>
        <w:tc>
          <w:tcPr>
            <w:tcW w:w="5460" w:type="dxa"/>
            <w:vAlign w:val="bottom"/>
            <w:tcBorders>
              <w:top w:val="single" w:sz="8" w:color="0000EE"/>
            </w:tcBorders>
            <w:gridSpan w:val="12"/>
          </w:tcPr>
          <w:p>
            <w:pPr>
              <w:spacing w:after="0"/>
              <w:rPr>
                <w:sz w:val="17"/>
                <w:szCs w:val="17"/>
                <w:color w:val="auto"/>
              </w:rPr>
            </w:pP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04"/>
        </w:trPr>
        <w:tc>
          <w:tcPr>
            <w:tcW w:w="520" w:type="dxa"/>
            <w:vAlign w:val="bottom"/>
          </w:tcPr>
          <w:p>
            <w:pPr>
              <w:spacing w:after="0"/>
              <w:rPr>
                <w:sz w:val="20"/>
                <w:szCs w:val="20"/>
                <w:color w:val="auto"/>
              </w:rPr>
            </w:pPr>
            <w:r>
              <w:rPr>
                <w:rFonts w:ascii="Times New Roman" w:cs="Times New Roman" w:eastAsia="Times New Roman" w:hAnsi="Times New Roman"/>
                <w:sz w:val="18"/>
                <w:szCs w:val="18"/>
                <w:color w:val="auto"/>
              </w:rPr>
              <w:t>5.1*</w:t>
            </w:r>
          </w:p>
        </w:tc>
        <w:tc>
          <w:tcPr>
            <w:tcW w:w="640" w:type="dxa"/>
            <w:vAlign w:val="bottom"/>
          </w:tcPr>
          <w:p>
            <w:pPr>
              <w:spacing w:after="0"/>
              <w:rPr>
                <w:sz w:val="24"/>
                <w:szCs w:val="24"/>
                <w:color w:val="auto"/>
              </w:rPr>
            </w:pPr>
          </w:p>
        </w:tc>
        <w:tc>
          <w:tcPr>
            <w:tcW w:w="10260" w:type="dxa"/>
            <w:vAlign w:val="bottom"/>
            <w:gridSpan w:val="18"/>
          </w:tcPr>
          <w:p>
            <w:pPr>
              <w:spacing w:after="0"/>
              <w:rPr>
                <w:sz w:val="20"/>
                <w:szCs w:val="20"/>
                <w:color w:val="auto"/>
              </w:rPr>
            </w:pPr>
            <w:r>
              <w:rPr>
                <w:rFonts w:ascii="Times New Roman" w:cs="Times New Roman" w:eastAsia="Times New Roman" w:hAnsi="Times New Roman"/>
                <w:sz w:val="18"/>
                <w:szCs w:val="18"/>
                <w:color w:val="0000EE"/>
              </w:rPr>
              <w:t>Opinion of Appleby (Bermuda) Limited regarding the validity of the Marvell common shares being registered hereby.</w:t>
            </w:r>
          </w:p>
        </w:tc>
        <w:tc>
          <w:tcPr>
            <w:tcW w:w="0" w:type="dxa"/>
            <w:vAlign w:val="bottom"/>
          </w:tcPr>
          <w:p>
            <w:pPr>
              <w:spacing w:after="0"/>
              <w:rPr>
                <w:sz w:val="1"/>
                <w:szCs w:val="1"/>
                <w:color w:val="auto"/>
              </w:rPr>
            </w:pPr>
          </w:p>
        </w:tc>
      </w:tr>
      <w:tr>
        <w:trPr>
          <w:trHeight w:val="20"/>
        </w:trPr>
        <w:tc>
          <w:tcPr>
            <w:tcW w:w="5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740" w:type="dxa"/>
            <w:vAlign w:val="bottom"/>
            <w:shd w:val="clear" w:color="auto" w:fill="0000EE"/>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880" w:type="dxa"/>
            <w:vAlign w:val="bottom"/>
            <w:shd w:val="clear" w:color="auto" w:fill="0000EE"/>
          </w:tcPr>
          <w:p>
            <w:pPr>
              <w:spacing w:after="0" w:line="20" w:lineRule="exact"/>
              <w:rPr>
                <w:sz w:val="1"/>
                <w:szCs w:val="1"/>
                <w:color w:val="auto"/>
              </w:rPr>
            </w:pPr>
          </w:p>
        </w:tc>
        <w:tc>
          <w:tcPr>
            <w:tcW w:w="3720" w:type="dxa"/>
            <w:vAlign w:val="bottom"/>
            <w:gridSpan w:val="5"/>
            <w:shd w:val="clear" w:color="auto" w:fill="0000EE"/>
          </w:tcPr>
          <w:p>
            <w:pPr>
              <w:spacing w:after="0" w:line="20" w:lineRule="exact"/>
              <w:rPr>
                <w:sz w:val="1"/>
                <w:szCs w:val="1"/>
                <w:color w:val="auto"/>
              </w:rPr>
            </w:pPr>
          </w:p>
        </w:tc>
        <w:tc>
          <w:tcPr>
            <w:tcW w:w="440" w:type="dxa"/>
            <w:vAlign w:val="bottom"/>
            <w:shd w:val="clear" w:color="auto" w:fill="0000EE"/>
          </w:tcPr>
          <w:p>
            <w:pPr>
              <w:spacing w:after="0" w:line="20" w:lineRule="exact"/>
              <w:rPr>
                <w:sz w:val="1"/>
                <w:szCs w:val="1"/>
                <w:color w:val="auto"/>
              </w:rPr>
            </w:pPr>
          </w:p>
        </w:tc>
        <w:tc>
          <w:tcPr>
            <w:tcW w:w="2120" w:type="dxa"/>
            <w:vAlign w:val="bottom"/>
            <w:shd w:val="clear" w:color="auto" w:fill="0000EE"/>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540" w:type="dxa"/>
            <w:vAlign w:val="bottom"/>
            <w:gridSpan w:val="3"/>
          </w:tcPr>
          <w:p>
            <w:pPr>
              <w:spacing w:after="0" w:line="20" w:lineRule="exact"/>
              <w:rPr>
                <w:sz w:val="1"/>
                <w:szCs w:val="1"/>
                <w:color w:val="auto"/>
              </w:rPr>
            </w:pPr>
          </w:p>
        </w:tc>
        <w:tc>
          <w:tcPr>
            <w:tcW w:w="220" w:type="dxa"/>
            <w:vAlign w:val="bottom"/>
            <w:gridSpan w:val="4"/>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520" w:type="dxa"/>
            <w:vAlign w:val="bottom"/>
          </w:tcPr>
          <w:p>
            <w:pPr>
              <w:spacing w:after="0"/>
              <w:rPr>
                <w:sz w:val="20"/>
                <w:szCs w:val="20"/>
                <w:color w:val="auto"/>
              </w:rPr>
            </w:pPr>
            <w:r>
              <w:rPr>
                <w:rFonts w:ascii="Times New Roman" w:cs="Times New Roman" w:eastAsia="Times New Roman" w:hAnsi="Times New Roman"/>
                <w:sz w:val="18"/>
                <w:szCs w:val="18"/>
                <w:color w:val="auto"/>
              </w:rPr>
              <w:t>10.1</w:t>
            </w:r>
          </w:p>
        </w:tc>
        <w:tc>
          <w:tcPr>
            <w:tcW w:w="640" w:type="dxa"/>
            <w:vAlign w:val="bottom"/>
          </w:tcPr>
          <w:p>
            <w:pPr>
              <w:spacing w:after="0"/>
              <w:rPr>
                <w:sz w:val="24"/>
                <w:szCs w:val="24"/>
                <w:color w:val="auto"/>
              </w:rPr>
            </w:pPr>
          </w:p>
        </w:tc>
        <w:tc>
          <w:tcPr>
            <w:tcW w:w="10260" w:type="dxa"/>
            <w:vAlign w:val="bottom"/>
            <w:gridSpan w:val="18"/>
          </w:tcPr>
          <w:p>
            <w:pPr>
              <w:spacing w:after="0"/>
              <w:rPr>
                <w:rFonts w:ascii="Times New Roman" w:cs="Times New Roman" w:eastAsia="Times New Roman" w:hAnsi="Times New Roman"/>
                <w:sz w:val="18"/>
                <w:szCs w:val="18"/>
                <w:color w:val="0000EE"/>
              </w:rPr>
            </w:pPr>
            <w:hyperlink r:id="rId46">
              <w:r>
                <w:rPr>
                  <w:rFonts w:ascii="Times New Roman" w:cs="Times New Roman" w:eastAsia="Times New Roman" w:hAnsi="Times New Roman"/>
                  <w:sz w:val="18"/>
                  <w:szCs w:val="18"/>
                  <w:color w:val="0000EE"/>
                </w:rPr>
                <w:t>Cavium, Inc. 2016 Equity Incentive Plan (incorporated by reference to Exhibit 4.1 to Registrant’s Registration Statement on Form S-8 filed</w:t>
              </w:r>
            </w:hyperlink>
          </w:p>
        </w:tc>
        <w:tc>
          <w:tcPr>
            <w:tcW w:w="0" w:type="dxa"/>
            <w:vAlign w:val="bottom"/>
          </w:tcPr>
          <w:p>
            <w:pPr>
              <w:spacing w:after="0"/>
              <w:rPr>
                <w:sz w:val="1"/>
                <w:szCs w:val="1"/>
                <w:color w:val="auto"/>
              </w:rPr>
            </w:pPr>
          </w:p>
        </w:tc>
      </w:tr>
      <w:tr>
        <w:trPr>
          <w:trHeight w:val="196"/>
        </w:trPr>
        <w:tc>
          <w:tcPr>
            <w:tcW w:w="52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0040" w:type="dxa"/>
            <w:vAlign w:val="bottom"/>
            <w:tcBorders>
              <w:top w:val="single" w:sz="8" w:color="0000EE"/>
            </w:tcBorders>
            <w:gridSpan w:val="14"/>
          </w:tcPr>
          <w:p>
            <w:pPr>
              <w:spacing w:after="0" w:line="196" w:lineRule="exact"/>
              <w:rPr>
                <w:rFonts w:ascii="Times New Roman" w:cs="Times New Roman" w:eastAsia="Times New Roman" w:hAnsi="Times New Roman"/>
                <w:sz w:val="18"/>
                <w:szCs w:val="18"/>
                <w:color w:val="0000EE"/>
              </w:rPr>
            </w:pPr>
            <w:hyperlink r:id="rId46">
              <w:r>
                <w:rPr>
                  <w:rFonts w:ascii="Times New Roman" w:cs="Times New Roman" w:eastAsia="Times New Roman" w:hAnsi="Times New Roman"/>
                  <w:sz w:val="18"/>
                  <w:szCs w:val="18"/>
                  <w:color w:val="0000EE"/>
                </w:rPr>
                <w:t>with the SEC on July 6, 2018).</w:t>
              </w:r>
            </w:hyperlink>
          </w:p>
        </w:tc>
        <w:tc>
          <w:tcPr>
            <w:tcW w:w="220" w:type="dxa"/>
            <w:vAlign w:val="bottom"/>
            <w:gridSpan w:val="4"/>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5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740" w:type="dxa"/>
            <w:vAlign w:val="bottom"/>
            <w:shd w:val="clear" w:color="auto" w:fill="0000EE"/>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880" w:type="dxa"/>
            <w:vAlign w:val="bottom"/>
            <w:shd w:val="clear" w:color="auto" w:fill="0000EE"/>
          </w:tcPr>
          <w:p>
            <w:pPr>
              <w:spacing w:after="0" w:line="20" w:lineRule="exact"/>
              <w:rPr>
                <w:sz w:val="1"/>
                <w:szCs w:val="1"/>
                <w:color w:val="auto"/>
              </w:rPr>
            </w:pPr>
          </w:p>
        </w:tc>
        <w:tc>
          <w:tcPr>
            <w:tcW w:w="3720" w:type="dxa"/>
            <w:vAlign w:val="bottom"/>
            <w:gridSpan w:val="5"/>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120" w:type="dxa"/>
            <w:vAlign w:val="bottom"/>
            <w:gridSpan w:val="2"/>
          </w:tcPr>
          <w:p>
            <w:pPr>
              <w:spacing w:after="0" w:line="20" w:lineRule="exact"/>
              <w:rPr>
                <w:sz w:val="1"/>
                <w:szCs w:val="1"/>
                <w:color w:val="auto"/>
              </w:rPr>
            </w:pPr>
          </w:p>
        </w:tc>
        <w:tc>
          <w:tcPr>
            <w:tcW w:w="760" w:type="dxa"/>
            <w:vAlign w:val="bottom"/>
            <w:gridSpan w:val="7"/>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520" w:type="dxa"/>
            <w:vAlign w:val="bottom"/>
          </w:tcPr>
          <w:p>
            <w:pPr>
              <w:spacing w:after="0"/>
              <w:rPr>
                <w:sz w:val="20"/>
                <w:szCs w:val="20"/>
                <w:color w:val="auto"/>
              </w:rPr>
            </w:pPr>
            <w:r>
              <w:rPr>
                <w:rFonts w:ascii="Times New Roman" w:cs="Times New Roman" w:eastAsia="Times New Roman" w:hAnsi="Times New Roman"/>
                <w:sz w:val="18"/>
                <w:szCs w:val="18"/>
                <w:color w:val="auto"/>
              </w:rPr>
              <w:t>10.2</w:t>
            </w:r>
          </w:p>
        </w:tc>
        <w:tc>
          <w:tcPr>
            <w:tcW w:w="640" w:type="dxa"/>
            <w:vAlign w:val="bottom"/>
          </w:tcPr>
          <w:p>
            <w:pPr>
              <w:spacing w:after="0"/>
              <w:rPr>
                <w:sz w:val="24"/>
                <w:szCs w:val="24"/>
                <w:color w:val="auto"/>
              </w:rPr>
            </w:pPr>
          </w:p>
        </w:tc>
        <w:tc>
          <w:tcPr>
            <w:tcW w:w="10260" w:type="dxa"/>
            <w:vAlign w:val="bottom"/>
            <w:gridSpan w:val="18"/>
          </w:tcPr>
          <w:p>
            <w:pPr>
              <w:spacing w:after="0"/>
              <w:rPr>
                <w:rFonts w:ascii="Times New Roman" w:cs="Times New Roman" w:eastAsia="Times New Roman" w:hAnsi="Times New Roman"/>
                <w:sz w:val="18"/>
                <w:szCs w:val="18"/>
                <w:color w:val="0000EE"/>
              </w:rPr>
            </w:pPr>
            <w:hyperlink r:id="rId47">
              <w:r>
                <w:rPr>
                  <w:rFonts w:ascii="Times New Roman" w:cs="Times New Roman" w:eastAsia="Times New Roman" w:hAnsi="Times New Roman"/>
                  <w:sz w:val="18"/>
                  <w:szCs w:val="18"/>
                  <w:color w:val="0000EE"/>
                </w:rPr>
                <w:t>Cavium, Inc. 2007 Equity Incentive Plan (incorporated by reference to Exhibit 4.2 to Registrant’s Registration Statement on Form S-8 filed</w:t>
              </w:r>
            </w:hyperlink>
          </w:p>
        </w:tc>
        <w:tc>
          <w:tcPr>
            <w:tcW w:w="0" w:type="dxa"/>
            <w:vAlign w:val="bottom"/>
          </w:tcPr>
          <w:p>
            <w:pPr>
              <w:spacing w:after="0"/>
              <w:rPr>
                <w:sz w:val="1"/>
                <w:szCs w:val="1"/>
                <w:color w:val="auto"/>
              </w:rPr>
            </w:pPr>
          </w:p>
        </w:tc>
      </w:tr>
      <w:tr>
        <w:trPr>
          <w:trHeight w:val="196"/>
        </w:trPr>
        <w:tc>
          <w:tcPr>
            <w:tcW w:w="52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0040" w:type="dxa"/>
            <w:vAlign w:val="bottom"/>
            <w:tcBorders>
              <w:top w:val="single" w:sz="8" w:color="0000EE"/>
            </w:tcBorders>
            <w:gridSpan w:val="14"/>
          </w:tcPr>
          <w:p>
            <w:pPr>
              <w:spacing w:after="0" w:line="196" w:lineRule="exact"/>
              <w:rPr>
                <w:rFonts w:ascii="Times New Roman" w:cs="Times New Roman" w:eastAsia="Times New Roman" w:hAnsi="Times New Roman"/>
                <w:sz w:val="18"/>
                <w:szCs w:val="18"/>
                <w:color w:val="0000EE"/>
              </w:rPr>
            </w:pPr>
            <w:hyperlink r:id="rId47">
              <w:r>
                <w:rPr>
                  <w:rFonts w:ascii="Times New Roman" w:cs="Times New Roman" w:eastAsia="Times New Roman" w:hAnsi="Times New Roman"/>
                  <w:sz w:val="18"/>
                  <w:szCs w:val="18"/>
                  <w:color w:val="0000EE"/>
                </w:rPr>
                <w:t>with the SEC on July 6, 2018).</w:t>
              </w:r>
            </w:hyperlink>
          </w:p>
        </w:tc>
        <w:tc>
          <w:tcPr>
            <w:tcW w:w="220" w:type="dxa"/>
            <w:vAlign w:val="bottom"/>
            <w:gridSpan w:val="4"/>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5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740" w:type="dxa"/>
            <w:vAlign w:val="bottom"/>
            <w:shd w:val="clear" w:color="auto" w:fill="0000EE"/>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880" w:type="dxa"/>
            <w:vAlign w:val="bottom"/>
            <w:shd w:val="clear" w:color="auto" w:fill="0000EE"/>
          </w:tcPr>
          <w:p>
            <w:pPr>
              <w:spacing w:after="0" w:line="20" w:lineRule="exact"/>
              <w:rPr>
                <w:sz w:val="1"/>
                <w:szCs w:val="1"/>
                <w:color w:val="auto"/>
              </w:rPr>
            </w:pPr>
          </w:p>
        </w:tc>
        <w:tc>
          <w:tcPr>
            <w:tcW w:w="3720" w:type="dxa"/>
            <w:vAlign w:val="bottom"/>
            <w:gridSpan w:val="5"/>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120" w:type="dxa"/>
            <w:vAlign w:val="bottom"/>
            <w:gridSpan w:val="2"/>
          </w:tcPr>
          <w:p>
            <w:pPr>
              <w:spacing w:after="0" w:line="20" w:lineRule="exact"/>
              <w:rPr>
                <w:sz w:val="1"/>
                <w:szCs w:val="1"/>
                <w:color w:val="auto"/>
              </w:rPr>
            </w:pPr>
          </w:p>
        </w:tc>
        <w:tc>
          <w:tcPr>
            <w:tcW w:w="760" w:type="dxa"/>
            <w:vAlign w:val="bottom"/>
            <w:gridSpan w:val="7"/>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520" w:type="dxa"/>
            <w:vAlign w:val="bottom"/>
          </w:tcPr>
          <w:p>
            <w:pPr>
              <w:spacing w:after="0"/>
              <w:rPr>
                <w:sz w:val="20"/>
                <w:szCs w:val="20"/>
                <w:color w:val="auto"/>
              </w:rPr>
            </w:pPr>
            <w:r>
              <w:rPr>
                <w:rFonts w:ascii="Times New Roman" w:cs="Times New Roman" w:eastAsia="Times New Roman" w:hAnsi="Times New Roman"/>
                <w:sz w:val="18"/>
                <w:szCs w:val="18"/>
                <w:color w:val="auto"/>
              </w:rPr>
              <w:t>23.1*</w:t>
            </w:r>
          </w:p>
        </w:tc>
        <w:tc>
          <w:tcPr>
            <w:tcW w:w="640" w:type="dxa"/>
            <w:vAlign w:val="bottom"/>
          </w:tcPr>
          <w:p>
            <w:pPr>
              <w:spacing w:after="0"/>
              <w:rPr>
                <w:sz w:val="24"/>
                <w:szCs w:val="24"/>
                <w:color w:val="auto"/>
              </w:rPr>
            </w:pPr>
          </w:p>
        </w:tc>
        <w:tc>
          <w:tcPr>
            <w:tcW w:w="5940" w:type="dxa"/>
            <w:vAlign w:val="bottom"/>
            <w:tcBorders>
              <w:bottom w:val="single" w:sz="8" w:color="0000EE"/>
            </w:tcBorders>
            <w:gridSpan w:val="8"/>
          </w:tcPr>
          <w:p>
            <w:pPr>
              <w:spacing w:after="0"/>
              <w:rPr>
                <w:sz w:val="20"/>
                <w:szCs w:val="20"/>
                <w:color w:val="auto"/>
              </w:rPr>
            </w:pPr>
            <w:r>
              <w:rPr>
                <w:rFonts w:ascii="Times New Roman" w:cs="Times New Roman" w:eastAsia="Times New Roman" w:hAnsi="Times New Roman"/>
                <w:sz w:val="18"/>
                <w:szCs w:val="18"/>
                <w:color w:val="0000EE"/>
                <w:w w:val="99"/>
              </w:rPr>
              <w:t>Consent of Deloitte &amp; Touche LLP, independent registered public accounting firm</w:t>
            </w:r>
          </w:p>
        </w:tc>
        <w:tc>
          <w:tcPr>
            <w:tcW w:w="4320" w:type="dxa"/>
            <w:vAlign w:val="bottom"/>
            <w:gridSpan w:val="10"/>
          </w:tcPr>
          <w:p>
            <w:pPr>
              <w:spacing w:after="0"/>
              <w:rPr>
                <w:sz w:val="24"/>
                <w:szCs w:val="24"/>
                <w:color w:val="auto"/>
              </w:rPr>
            </w:pPr>
          </w:p>
        </w:tc>
        <w:tc>
          <w:tcPr>
            <w:tcW w:w="0" w:type="dxa"/>
            <w:vAlign w:val="bottom"/>
          </w:tcPr>
          <w:p>
            <w:pPr>
              <w:spacing w:after="0"/>
              <w:rPr>
                <w:sz w:val="1"/>
                <w:szCs w:val="1"/>
                <w:color w:val="auto"/>
              </w:rPr>
            </w:pPr>
          </w:p>
        </w:tc>
      </w:tr>
      <w:tr>
        <w:trPr>
          <w:trHeight w:val="304"/>
        </w:trPr>
        <w:tc>
          <w:tcPr>
            <w:tcW w:w="520" w:type="dxa"/>
            <w:vAlign w:val="bottom"/>
          </w:tcPr>
          <w:p>
            <w:pPr>
              <w:spacing w:after="0"/>
              <w:rPr>
                <w:sz w:val="20"/>
                <w:szCs w:val="20"/>
                <w:color w:val="auto"/>
              </w:rPr>
            </w:pPr>
            <w:r>
              <w:rPr>
                <w:rFonts w:ascii="Times New Roman" w:cs="Times New Roman" w:eastAsia="Times New Roman" w:hAnsi="Times New Roman"/>
                <w:sz w:val="18"/>
                <w:szCs w:val="18"/>
                <w:color w:val="auto"/>
              </w:rPr>
              <w:t>23.2*</w:t>
            </w:r>
          </w:p>
        </w:tc>
        <w:tc>
          <w:tcPr>
            <w:tcW w:w="640" w:type="dxa"/>
            <w:vAlign w:val="bottom"/>
          </w:tcPr>
          <w:p>
            <w:pPr>
              <w:spacing w:after="0"/>
              <w:rPr>
                <w:sz w:val="24"/>
                <w:szCs w:val="24"/>
                <w:color w:val="auto"/>
              </w:rPr>
            </w:pPr>
          </w:p>
        </w:tc>
        <w:tc>
          <w:tcPr>
            <w:tcW w:w="10260" w:type="dxa"/>
            <w:vAlign w:val="bottom"/>
            <w:gridSpan w:val="18"/>
          </w:tcPr>
          <w:p>
            <w:pPr>
              <w:spacing w:after="0"/>
              <w:rPr>
                <w:sz w:val="20"/>
                <w:szCs w:val="20"/>
                <w:color w:val="auto"/>
              </w:rPr>
            </w:pPr>
            <w:r>
              <w:rPr>
                <w:rFonts w:ascii="Times New Roman" w:cs="Times New Roman" w:eastAsia="Times New Roman" w:hAnsi="Times New Roman"/>
                <w:sz w:val="18"/>
                <w:szCs w:val="18"/>
                <w:color w:val="0000EE"/>
              </w:rPr>
              <w:t>Consent of PricewaterhouseCoopers LLP, independent registered public accounting firm</w:t>
            </w:r>
          </w:p>
        </w:tc>
        <w:tc>
          <w:tcPr>
            <w:tcW w:w="0" w:type="dxa"/>
            <w:vAlign w:val="bottom"/>
          </w:tcPr>
          <w:p>
            <w:pPr>
              <w:spacing w:after="0"/>
              <w:rPr>
                <w:sz w:val="1"/>
                <w:szCs w:val="1"/>
                <w:color w:val="auto"/>
              </w:rPr>
            </w:pPr>
          </w:p>
        </w:tc>
      </w:tr>
      <w:tr>
        <w:trPr>
          <w:trHeight w:val="20"/>
        </w:trPr>
        <w:tc>
          <w:tcPr>
            <w:tcW w:w="5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740" w:type="dxa"/>
            <w:vAlign w:val="bottom"/>
            <w:shd w:val="clear" w:color="auto" w:fill="0000EE"/>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5040" w:type="dxa"/>
            <w:vAlign w:val="bottom"/>
            <w:gridSpan w:val="7"/>
            <w:shd w:val="clear" w:color="auto" w:fill="0000EE"/>
          </w:tcPr>
          <w:p>
            <w:pPr>
              <w:spacing w:after="0" w:line="20" w:lineRule="exact"/>
              <w:rPr>
                <w:sz w:val="1"/>
                <w:szCs w:val="1"/>
                <w:color w:val="auto"/>
              </w:rPr>
            </w:pPr>
          </w:p>
        </w:tc>
        <w:tc>
          <w:tcPr>
            <w:tcW w:w="3120" w:type="dxa"/>
            <w:vAlign w:val="bottom"/>
            <w:gridSpan w:val="2"/>
          </w:tcPr>
          <w:p>
            <w:pPr>
              <w:spacing w:after="0" w:line="20" w:lineRule="exact"/>
              <w:rPr>
                <w:sz w:val="1"/>
                <w:szCs w:val="1"/>
                <w:color w:val="auto"/>
              </w:rPr>
            </w:pPr>
          </w:p>
        </w:tc>
        <w:tc>
          <w:tcPr>
            <w:tcW w:w="760" w:type="dxa"/>
            <w:vAlign w:val="bottom"/>
            <w:gridSpan w:val="7"/>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520" w:type="dxa"/>
            <w:vAlign w:val="bottom"/>
          </w:tcPr>
          <w:p>
            <w:pPr>
              <w:spacing w:after="0"/>
              <w:rPr>
                <w:sz w:val="20"/>
                <w:szCs w:val="20"/>
                <w:color w:val="auto"/>
              </w:rPr>
            </w:pPr>
            <w:r>
              <w:rPr>
                <w:rFonts w:ascii="Times New Roman" w:cs="Times New Roman" w:eastAsia="Times New Roman" w:hAnsi="Times New Roman"/>
                <w:sz w:val="18"/>
                <w:szCs w:val="18"/>
                <w:color w:val="auto"/>
              </w:rPr>
              <w:t>23.3*</w:t>
            </w:r>
          </w:p>
        </w:tc>
        <w:tc>
          <w:tcPr>
            <w:tcW w:w="640" w:type="dxa"/>
            <w:vAlign w:val="bottom"/>
          </w:tcPr>
          <w:p>
            <w:pPr>
              <w:spacing w:after="0"/>
              <w:rPr>
                <w:sz w:val="24"/>
                <w:szCs w:val="24"/>
                <w:color w:val="auto"/>
              </w:rPr>
            </w:pPr>
          </w:p>
        </w:tc>
        <w:tc>
          <w:tcPr>
            <w:tcW w:w="9500" w:type="dxa"/>
            <w:vAlign w:val="bottom"/>
            <w:tcBorders>
              <w:bottom w:val="single" w:sz="8" w:color="0000EE"/>
            </w:tcBorders>
            <w:gridSpan w:val="11"/>
          </w:tcPr>
          <w:p>
            <w:pPr>
              <w:spacing w:after="0"/>
              <w:rPr>
                <w:sz w:val="20"/>
                <w:szCs w:val="20"/>
                <w:color w:val="auto"/>
              </w:rPr>
            </w:pPr>
            <w:r>
              <w:rPr>
                <w:rFonts w:ascii="Times New Roman" w:cs="Times New Roman" w:eastAsia="Times New Roman" w:hAnsi="Times New Roman"/>
                <w:sz w:val="18"/>
                <w:szCs w:val="18"/>
                <w:color w:val="0000EE"/>
                <w:w w:val="99"/>
              </w:rPr>
              <w:t>Consent of Appleby (Bermuda) Limited for legality opinion (included in the opinion filed as Exhibit 5.1 and incorporated herein by</w:t>
            </w:r>
          </w:p>
        </w:tc>
        <w:tc>
          <w:tcPr>
            <w:tcW w:w="760" w:type="dxa"/>
            <w:vAlign w:val="bottom"/>
            <w:gridSpan w:val="7"/>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52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740" w:type="dxa"/>
            <w:vAlign w:val="bottom"/>
            <w:tcBorders>
              <w:bottom w:val="single" w:sz="8" w:color="0000EE"/>
            </w:tcBorders>
          </w:tcPr>
          <w:p>
            <w:pPr>
              <w:spacing w:after="0" w:line="196" w:lineRule="exact"/>
              <w:rPr>
                <w:sz w:val="20"/>
                <w:szCs w:val="20"/>
                <w:color w:val="auto"/>
              </w:rPr>
            </w:pPr>
            <w:r>
              <w:rPr>
                <w:rFonts w:ascii="Times New Roman" w:cs="Times New Roman" w:eastAsia="Times New Roman" w:hAnsi="Times New Roman"/>
                <w:sz w:val="18"/>
                <w:szCs w:val="18"/>
                <w:color w:val="0000EE"/>
                <w:w w:val="98"/>
              </w:rPr>
              <w:t>reference)</w:t>
            </w:r>
          </w:p>
        </w:tc>
        <w:tc>
          <w:tcPr>
            <w:tcW w:w="9520" w:type="dxa"/>
            <w:vAlign w:val="bottom"/>
            <w:gridSpan w:val="17"/>
          </w:tcPr>
          <w:p>
            <w:pPr>
              <w:spacing w:after="0"/>
              <w:rPr>
                <w:sz w:val="17"/>
                <w:szCs w:val="17"/>
                <w:color w:val="auto"/>
              </w:rPr>
            </w:pPr>
          </w:p>
        </w:tc>
        <w:tc>
          <w:tcPr>
            <w:tcW w:w="0" w:type="dxa"/>
            <w:vAlign w:val="bottom"/>
          </w:tcPr>
          <w:p>
            <w:pPr>
              <w:spacing w:after="0"/>
              <w:rPr>
                <w:sz w:val="1"/>
                <w:szCs w:val="1"/>
                <w:color w:val="auto"/>
              </w:rPr>
            </w:pPr>
          </w:p>
        </w:tc>
      </w:tr>
      <w:tr>
        <w:trPr>
          <w:trHeight w:val="304"/>
        </w:trPr>
        <w:tc>
          <w:tcPr>
            <w:tcW w:w="520" w:type="dxa"/>
            <w:vAlign w:val="bottom"/>
          </w:tcPr>
          <w:p>
            <w:pPr>
              <w:spacing w:after="0"/>
              <w:rPr>
                <w:sz w:val="20"/>
                <w:szCs w:val="20"/>
                <w:color w:val="auto"/>
              </w:rPr>
            </w:pPr>
            <w:r>
              <w:rPr>
                <w:rFonts w:ascii="Times New Roman" w:cs="Times New Roman" w:eastAsia="Times New Roman" w:hAnsi="Times New Roman"/>
                <w:sz w:val="18"/>
                <w:szCs w:val="18"/>
                <w:color w:val="auto"/>
              </w:rPr>
              <w:t>24.1**</w:t>
            </w:r>
          </w:p>
        </w:tc>
        <w:tc>
          <w:tcPr>
            <w:tcW w:w="640" w:type="dxa"/>
            <w:vAlign w:val="bottom"/>
          </w:tcPr>
          <w:p>
            <w:pPr>
              <w:spacing w:after="0"/>
              <w:rPr>
                <w:sz w:val="24"/>
                <w:szCs w:val="24"/>
                <w:color w:val="auto"/>
              </w:rPr>
            </w:pPr>
          </w:p>
        </w:tc>
        <w:tc>
          <w:tcPr>
            <w:tcW w:w="10260" w:type="dxa"/>
            <w:vAlign w:val="bottom"/>
            <w:gridSpan w:val="18"/>
          </w:tcPr>
          <w:p>
            <w:pPr>
              <w:spacing w:after="0"/>
              <w:rPr>
                <w:rFonts w:ascii="Times New Roman" w:cs="Times New Roman" w:eastAsia="Times New Roman" w:hAnsi="Times New Roman"/>
                <w:sz w:val="18"/>
                <w:szCs w:val="18"/>
                <w:color w:val="0000EE"/>
              </w:rPr>
            </w:pPr>
            <w:hyperlink r:id="rId48">
              <w:r>
                <w:rPr>
                  <w:rFonts w:ascii="Times New Roman" w:cs="Times New Roman" w:eastAsia="Times New Roman" w:hAnsi="Times New Roman"/>
                  <w:sz w:val="18"/>
                  <w:szCs w:val="18"/>
                  <w:color w:val="0000EE"/>
                </w:rPr>
                <w:t>Power of Attorney</w:t>
              </w:r>
            </w:hyperlink>
          </w:p>
        </w:tc>
        <w:tc>
          <w:tcPr>
            <w:tcW w:w="0" w:type="dxa"/>
            <w:vAlign w:val="bottom"/>
          </w:tcPr>
          <w:p>
            <w:pPr>
              <w:spacing w:after="0"/>
              <w:rPr>
                <w:sz w:val="1"/>
                <w:szCs w:val="1"/>
                <w:color w:val="auto"/>
              </w:rPr>
            </w:pPr>
          </w:p>
        </w:tc>
      </w:tr>
      <w:tr>
        <w:trPr>
          <w:trHeight w:val="20"/>
        </w:trPr>
        <w:tc>
          <w:tcPr>
            <w:tcW w:w="5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740" w:type="dxa"/>
            <w:vAlign w:val="bottom"/>
            <w:shd w:val="clear" w:color="auto" w:fill="0000EE"/>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212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9">
                      <a:extLst>
                        <a:ext uri="{28A0092B-C50C-407E-A947-70E740481C1C}"/>
                      </a:extLst>
                    </a:blip>
                    <a:srcRect/>
                    <a:stretch>
                      <a:fillRect/>
                    </a:stretch>
                  </pic:blipFill>
                  <pic:spPr bwMode="auto">
                    <a:xfrm>
                      <a:off x="0" y="0"/>
                      <a:ext cx="7289165" cy="3810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257175</wp:posOffset>
            </wp:positionV>
            <wp:extent cx="728980" cy="88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0">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200" w:lineRule="exact"/>
        <w:rPr>
          <w:sz w:val="20"/>
          <w:szCs w:val="20"/>
          <w:color w:val="auto"/>
        </w:rPr>
      </w:pPr>
    </w:p>
    <w:p>
      <w:pPr>
        <w:spacing w:after="0" w:line="221" w:lineRule="exact"/>
        <w:rPr>
          <w:sz w:val="20"/>
          <w:szCs w:val="20"/>
          <w:color w:val="auto"/>
        </w:rPr>
      </w:pPr>
    </w:p>
    <w:p>
      <w:pPr>
        <w:ind w:left="460" w:hanging="452"/>
        <w:spacing w:after="0"/>
        <w:tabs>
          <w:tab w:leader="none" w:pos="460" w:val="left"/>
        </w:tabs>
        <w:numPr>
          <w:ilvl w:val="0"/>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Filed herewith.</w:t>
      </w:r>
    </w:p>
    <w:p>
      <w:pPr>
        <w:spacing w:after="0" w:line="27" w:lineRule="exact"/>
        <w:rPr>
          <w:sz w:val="20"/>
          <w:szCs w:val="20"/>
          <w:color w:val="auto"/>
        </w:rPr>
      </w:pPr>
    </w:p>
    <w:p>
      <w:pPr>
        <w:ind w:left="460" w:hanging="452"/>
        <w:spacing w:after="0"/>
        <w:tabs>
          <w:tab w:leader="none" w:pos="460" w:val="left"/>
        </w:tabs>
        <w:numPr>
          <w:ilvl w:val="0"/>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Previously filed as an exhibit to the Registration Statement on Form S-4 filed with the SEC on December 21, 2017.</w:t>
      </w:r>
    </w:p>
    <w:p>
      <w:pPr>
        <w:sectPr>
          <w:pgSz w:w="11900" w:h="16838" w:orient="portrait"/>
          <w:cols w:equalWidth="0" w:num="1">
            <w:col w:w="11420"/>
          </w:cols>
          <w:pgMar w:left="240" w:top="266" w:right="239" w:bottom="1440" w:gutter="0" w:footer="0" w:header="0"/>
        </w:sectPr>
      </w:pPr>
    </w:p>
    <w:bookmarkStart w:id="20" w:name="page21"/>
    <w:bookmarkEnd w:id="20"/>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SIGNATURES</w:t>
      </w:r>
    </w:p>
    <w:p>
      <w:pPr>
        <w:spacing w:after="0" w:line="229" w:lineRule="exact"/>
        <w:rPr>
          <w:sz w:val="20"/>
          <w:szCs w:val="20"/>
          <w:color w:val="auto"/>
        </w:rPr>
      </w:pPr>
    </w:p>
    <w:p>
      <w:pPr>
        <w:ind w:right="60" w:firstLine="456"/>
        <w:spacing w:after="0" w:line="266" w:lineRule="auto"/>
        <w:rPr>
          <w:sz w:val="20"/>
          <w:szCs w:val="20"/>
          <w:color w:val="auto"/>
        </w:rPr>
      </w:pPr>
      <w:r>
        <w:rPr>
          <w:rFonts w:ascii="Times New Roman" w:cs="Times New Roman" w:eastAsia="Times New Roman" w:hAnsi="Times New Roman"/>
          <w:sz w:val="18"/>
          <w:szCs w:val="18"/>
          <w:color w:val="auto"/>
        </w:rPr>
        <w:t>Pursuant to the requirements of the Securities Act of 1933, the Registrant certifies that it has reasonable grounds to believe that it meets all of the requirements for filing on Form S-3 and has duly caused this registration statement to be signed on its behalf by the undersigned, thereunto duly authorized, in the City of Santa Clara, State of California, on July 19, 2018.</w:t>
      </w:r>
    </w:p>
    <w:p>
      <w:pPr>
        <w:spacing w:after="0" w:line="321" w:lineRule="exact"/>
        <w:rPr>
          <w:sz w:val="20"/>
          <w:szCs w:val="20"/>
          <w:color w:val="auto"/>
        </w:rPr>
      </w:pPr>
    </w:p>
    <w:p>
      <w:pPr>
        <w:ind w:left="6860"/>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29" w:lineRule="exact"/>
        <w:rPr>
          <w:sz w:val="20"/>
          <w:szCs w:val="20"/>
          <w:color w:val="auto"/>
        </w:rPr>
      </w:pPr>
    </w:p>
    <w:p>
      <w:pPr>
        <w:ind w:left="6860"/>
        <w:spacing w:after="0"/>
        <w:rPr>
          <w:sz w:val="20"/>
          <w:szCs w:val="20"/>
          <w:color w:val="auto"/>
        </w:rPr>
      </w:pPr>
      <w:r>
        <w:rPr>
          <w:rFonts w:ascii="Times New Roman" w:cs="Times New Roman" w:eastAsia="Times New Roman" w:hAnsi="Times New Roman"/>
          <w:sz w:val="18"/>
          <w:szCs w:val="18"/>
          <w:color w:val="auto"/>
        </w:rPr>
        <w:t>By: /s/ JEAN HU</w:t>
      </w:r>
    </w:p>
    <w:p>
      <w:pPr>
        <w:spacing w:after="0" w:line="27" w:lineRule="exact"/>
        <w:rPr>
          <w:sz w:val="20"/>
          <w:szCs w:val="20"/>
          <w:color w:val="auto"/>
        </w:rPr>
      </w:pPr>
    </w:p>
    <w:p>
      <w:pPr>
        <w:ind w:left="7180"/>
        <w:spacing w:after="0"/>
        <w:tabs>
          <w:tab w:leader="none" w:pos="7800" w:val="left"/>
        </w:tabs>
        <w:rPr>
          <w:sz w:val="20"/>
          <w:szCs w:val="20"/>
          <w:color w:val="auto"/>
        </w:rPr>
      </w:pPr>
      <w:r>
        <w:rPr>
          <w:rFonts w:ascii="Times New Roman" w:cs="Times New Roman" w:eastAsia="Times New Roman" w:hAnsi="Times New Roman"/>
          <w:sz w:val="18"/>
          <w:szCs w:val="18"/>
          <w:color w:val="auto"/>
        </w:rPr>
        <w:t>Name:</w:t>
      </w:r>
      <w:r>
        <w:rPr>
          <w:sz w:val="20"/>
          <w:szCs w:val="20"/>
          <w:color w:val="auto"/>
        </w:rPr>
        <w:tab/>
      </w:r>
      <w:r>
        <w:rPr>
          <w:rFonts w:ascii="Times New Roman" w:cs="Times New Roman" w:eastAsia="Times New Roman" w:hAnsi="Times New Roman"/>
          <w:sz w:val="17"/>
          <w:szCs w:val="17"/>
          <w:color w:val="auto"/>
        </w:rPr>
        <w:t>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4524375</wp:posOffset>
            </wp:positionH>
            <wp:positionV relativeFrom="paragraph">
              <wp:posOffset>-130810</wp:posOffset>
            </wp:positionV>
            <wp:extent cx="2727325" cy="88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2">
                      <a:extLst>
                        <a:ext uri="{28A0092B-C50C-407E-A947-70E740481C1C}"/>
                      </a:extLst>
                    </a:blip>
                    <a:srcRect/>
                    <a:stretch>
                      <a:fillRect/>
                    </a:stretch>
                  </pic:blipFill>
                  <pic:spPr bwMode="auto">
                    <a:xfrm>
                      <a:off x="0" y="0"/>
                      <a:ext cx="2727325" cy="8890"/>
                    </a:xfrm>
                    <a:prstGeom prst="rect">
                      <a:avLst/>
                    </a:prstGeom>
                    <a:noFill/>
                  </pic:spPr>
                </pic:pic>
              </a:graphicData>
            </a:graphic>
          </wp:anchor>
        </w:drawing>
      </w:r>
    </w:p>
    <w:p>
      <w:pPr>
        <w:spacing w:after="0" w:line="3" w:lineRule="exact"/>
        <w:rPr>
          <w:sz w:val="20"/>
          <w:szCs w:val="20"/>
          <w:color w:val="auto"/>
        </w:rPr>
      </w:pPr>
    </w:p>
    <w:p>
      <w:pPr>
        <w:ind w:left="7180"/>
        <w:spacing w:after="0"/>
        <w:tabs>
          <w:tab w:leader="none" w:pos="7800" w:val="left"/>
        </w:tabs>
        <w:rPr>
          <w:sz w:val="20"/>
          <w:szCs w:val="20"/>
          <w:color w:val="auto"/>
        </w:rPr>
      </w:pPr>
      <w:r>
        <w:rPr>
          <w:rFonts w:ascii="Times New Roman" w:cs="Times New Roman" w:eastAsia="Times New Roman" w:hAnsi="Times New Roman"/>
          <w:sz w:val="18"/>
          <w:szCs w:val="18"/>
          <w:color w:val="auto"/>
        </w:rPr>
        <w:t>Title:</w:t>
        <w:tab/>
        <w:t>Chief Financial Officer</w:t>
      </w:r>
    </w:p>
    <w:p>
      <w:pPr>
        <w:spacing w:after="0" w:line="207" w:lineRule="exact"/>
        <w:rPr>
          <w:sz w:val="20"/>
          <w:szCs w:val="20"/>
          <w:color w:val="auto"/>
        </w:rPr>
      </w:pPr>
    </w:p>
    <w:p>
      <w:pPr>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Act of 1933, this registration statement has been signed by the following persons in the capacities indicated on July 19, 2018.</w:t>
      </w:r>
    </w:p>
    <w:p>
      <w:pPr>
        <w:spacing w:after="0" w:line="182" w:lineRule="exact"/>
        <w:rPr>
          <w:sz w:val="20"/>
          <w:szCs w:val="20"/>
          <w:color w:val="auto"/>
        </w:rPr>
      </w:pPr>
    </w:p>
    <w:tbl>
      <w:tblPr>
        <w:tblLayout w:type="fixed"/>
        <w:tblInd w:w="0" w:type="dxa"/>
        <w:tblCellMar>
          <w:top w:w="0" w:type="dxa"/>
          <w:left w:w="0" w:type="dxa"/>
          <w:bottom w:w="0" w:type="dxa"/>
          <w:right w:w="0" w:type="dxa"/>
        </w:tblCellMar>
      </w:tblPr>
      <w:tr>
        <w:trPr>
          <w:trHeight w:val="173"/>
        </w:trPr>
        <w:tc>
          <w:tcPr>
            <w:tcW w:w="1500" w:type="dxa"/>
            <w:vAlign w:val="bottom"/>
          </w:tcPr>
          <w:p>
            <w:pPr>
              <w:spacing w:after="0"/>
              <w:rPr>
                <w:sz w:val="15"/>
                <w:szCs w:val="15"/>
                <w:color w:val="auto"/>
              </w:rPr>
            </w:pPr>
          </w:p>
        </w:tc>
        <w:tc>
          <w:tcPr>
            <w:tcW w:w="128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4"/>
                <w:szCs w:val="14"/>
                <w:b w:val="1"/>
                <w:bCs w:val="1"/>
                <w:color w:val="auto"/>
              </w:rPr>
              <w:t>Name and Signature</w:t>
            </w:r>
          </w:p>
        </w:tc>
        <w:tc>
          <w:tcPr>
            <w:tcW w:w="1500" w:type="dxa"/>
            <w:vAlign w:val="bottom"/>
          </w:tcPr>
          <w:p>
            <w:pPr>
              <w:spacing w:after="0"/>
              <w:rPr>
                <w:sz w:val="15"/>
                <w:szCs w:val="15"/>
                <w:color w:val="auto"/>
              </w:rPr>
            </w:pPr>
          </w:p>
        </w:tc>
        <w:tc>
          <w:tcPr>
            <w:tcW w:w="2500" w:type="dxa"/>
            <w:vAlign w:val="bottom"/>
          </w:tcPr>
          <w:p>
            <w:pPr>
              <w:spacing w:after="0"/>
              <w:rPr>
                <w:sz w:val="15"/>
                <w:szCs w:val="15"/>
                <w:color w:val="auto"/>
              </w:rPr>
            </w:pPr>
          </w:p>
        </w:tc>
        <w:tc>
          <w:tcPr>
            <w:tcW w:w="30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4"/>
                <w:szCs w:val="14"/>
                <w:b w:val="1"/>
                <w:bCs w:val="1"/>
                <w:color w:val="auto"/>
                <w:w w:val="99"/>
              </w:rPr>
              <w:t>Title</w:t>
            </w:r>
          </w:p>
        </w:tc>
        <w:tc>
          <w:tcPr>
            <w:tcW w:w="226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30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4"/>
                <w:szCs w:val="14"/>
                <w:b w:val="1"/>
                <w:bCs w:val="1"/>
                <w:color w:val="auto"/>
              </w:rPr>
              <w:t>Date</w:t>
            </w:r>
          </w:p>
        </w:tc>
        <w:tc>
          <w:tcPr>
            <w:tcW w:w="340" w:type="dxa"/>
            <w:vAlign w:val="bottom"/>
          </w:tcPr>
          <w:p>
            <w:pPr>
              <w:spacing w:after="0"/>
              <w:rPr>
                <w:sz w:val="15"/>
                <w:szCs w:val="15"/>
                <w:color w:val="auto"/>
              </w:rPr>
            </w:pPr>
          </w:p>
        </w:tc>
      </w:tr>
      <w:tr>
        <w:trPr>
          <w:trHeight w:val="412"/>
        </w:trPr>
        <w:tc>
          <w:tcPr>
            <w:tcW w:w="4280" w:type="dxa"/>
            <w:vAlign w:val="bottom"/>
            <w:tcBorders>
              <w:bottom w:val="single" w:sz="8" w:color="auto"/>
            </w:tcBorders>
            <w:gridSpan w:val="3"/>
          </w:tcPr>
          <w:p>
            <w:pPr>
              <w:jc w:val="center"/>
              <w:spacing w:after="0"/>
              <w:rPr>
                <w:sz w:val="20"/>
                <w:szCs w:val="20"/>
                <w:color w:val="auto"/>
              </w:rPr>
            </w:pPr>
            <w:r>
              <w:rPr>
                <w:rFonts w:ascii="Times New Roman" w:cs="Times New Roman" w:eastAsia="Times New Roman" w:hAnsi="Times New Roman"/>
                <w:sz w:val="18"/>
                <w:szCs w:val="18"/>
                <w:color w:val="auto"/>
                <w:w w:val="98"/>
              </w:rPr>
              <w:t>/s/ MATTHEW J. MURPHY</w:t>
            </w:r>
          </w:p>
        </w:tc>
        <w:tc>
          <w:tcPr>
            <w:tcW w:w="5060" w:type="dxa"/>
            <w:vAlign w:val="bottom"/>
            <w:gridSpan w:val="3"/>
          </w:tcPr>
          <w:p>
            <w:pPr>
              <w:jc w:val="center"/>
              <w:ind w:left="130"/>
              <w:spacing w:after="0"/>
              <w:rPr>
                <w:sz w:val="20"/>
                <w:szCs w:val="20"/>
                <w:color w:val="auto"/>
              </w:rPr>
            </w:pPr>
            <w:r>
              <w:rPr>
                <w:rFonts w:ascii="Times New Roman" w:cs="Times New Roman" w:eastAsia="Times New Roman" w:hAnsi="Times New Roman"/>
                <w:sz w:val="18"/>
                <w:szCs w:val="18"/>
                <w:color w:val="auto"/>
              </w:rPr>
              <w:t>Director, President and Chief Executive Officer</w:t>
            </w:r>
          </w:p>
        </w:tc>
        <w:tc>
          <w:tcPr>
            <w:tcW w:w="1700" w:type="dxa"/>
            <w:vAlign w:val="bottom"/>
            <w:gridSpan w:val="3"/>
          </w:tcPr>
          <w:p>
            <w:pPr>
              <w:jc w:val="center"/>
              <w:ind w:left="630"/>
              <w:spacing w:after="0"/>
              <w:rPr>
                <w:sz w:val="20"/>
                <w:szCs w:val="20"/>
                <w:color w:val="auto"/>
              </w:rPr>
            </w:pPr>
            <w:r>
              <w:rPr>
                <w:rFonts w:ascii="Times New Roman" w:cs="Times New Roman" w:eastAsia="Times New Roman" w:hAnsi="Times New Roman"/>
                <w:sz w:val="18"/>
                <w:szCs w:val="18"/>
                <w:color w:val="auto"/>
              </w:rPr>
              <w:t>July 19, 2018</w:t>
            </w:r>
          </w:p>
        </w:tc>
      </w:tr>
      <w:tr>
        <w:trPr>
          <w:trHeight w:val="232"/>
        </w:trPr>
        <w:tc>
          <w:tcPr>
            <w:tcW w:w="4280" w:type="dxa"/>
            <w:vAlign w:val="bottom"/>
            <w:gridSpan w:val="3"/>
          </w:tcPr>
          <w:p>
            <w:pPr>
              <w:jc w:val="center"/>
              <w:spacing w:after="0"/>
              <w:rPr>
                <w:sz w:val="20"/>
                <w:szCs w:val="20"/>
                <w:color w:val="auto"/>
              </w:rPr>
            </w:pPr>
            <w:r>
              <w:rPr>
                <w:rFonts w:ascii="Times New Roman" w:cs="Times New Roman" w:eastAsia="Times New Roman" w:hAnsi="Times New Roman"/>
                <w:sz w:val="18"/>
                <w:szCs w:val="18"/>
                <w:b w:val="1"/>
                <w:bCs w:val="1"/>
                <w:color w:val="auto"/>
              </w:rPr>
              <w:t>Matthew J. Murphy</w:t>
            </w:r>
          </w:p>
        </w:tc>
        <w:tc>
          <w:tcPr>
            <w:tcW w:w="5060" w:type="dxa"/>
            <w:vAlign w:val="bottom"/>
            <w:gridSpan w:val="3"/>
          </w:tcPr>
          <w:p>
            <w:pPr>
              <w:jc w:val="center"/>
              <w:ind w:left="150"/>
              <w:spacing w:after="0"/>
              <w:rPr>
                <w:sz w:val="20"/>
                <w:szCs w:val="20"/>
                <w:color w:val="auto"/>
              </w:rPr>
            </w:pPr>
            <w:r>
              <w:rPr>
                <w:rFonts w:ascii="Times New Roman" w:cs="Times New Roman" w:eastAsia="Times New Roman" w:hAnsi="Times New Roman"/>
                <w:sz w:val="18"/>
                <w:szCs w:val="18"/>
                <w:color w:val="auto"/>
              </w:rPr>
              <w:t>(Principal Executive Officer)</w:t>
            </w:r>
          </w:p>
        </w:tc>
        <w:tc>
          <w:tcPr>
            <w:tcW w:w="10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340" w:type="dxa"/>
            <w:vAlign w:val="bottom"/>
          </w:tcPr>
          <w:p>
            <w:pPr>
              <w:spacing w:after="0"/>
              <w:rPr>
                <w:sz w:val="20"/>
                <w:szCs w:val="20"/>
                <w:color w:val="auto"/>
              </w:rPr>
            </w:pPr>
          </w:p>
        </w:tc>
      </w:tr>
      <w:tr>
        <w:trPr>
          <w:trHeight w:val="423"/>
        </w:trPr>
        <w:tc>
          <w:tcPr>
            <w:tcW w:w="1500" w:type="dxa"/>
            <w:vAlign w:val="bottom"/>
            <w:tcBorders>
              <w:bottom w:val="single" w:sz="8" w:color="auto"/>
            </w:tcBorders>
          </w:tcPr>
          <w:p>
            <w:pPr>
              <w:spacing w:after="0"/>
              <w:rPr>
                <w:sz w:val="24"/>
                <w:szCs w:val="24"/>
                <w:color w:val="auto"/>
              </w:rPr>
            </w:pPr>
          </w:p>
        </w:tc>
        <w:tc>
          <w:tcPr>
            <w:tcW w:w="2780" w:type="dxa"/>
            <w:vAlign w:val="bottom"/>
            <w:tcBorders>
              <w:bottom w:val="single" w:sz="8" w:color="auto"/>
            </w:tcBorders>
            <w:gridSpan w:val="2"/>
          </w:tcPr>
          <w:p>
            <w:pPr>
              <w:jc w:val="center"/>
              <w:ind w:right="1500"/>
              <w:spacing w:after="0"/>
              <w:rPr>
                <w:sz w:val="20"/>
                <w:szCs w:val="20"/>
                <w:color w:val="auto"/>
              </w:rPr>
            </w:pPr>
            <w:r>
              <w:rPr>
                <w:rFonts w:ascii="Times New Roman" w:cs="Times New Roman" w:eastAsia="Times New Roman" w:hAnsi="Times New Roman"/>
                <w:sz w:val="18"/>
                <w:szCs w:val="18"/>
                <w:color w:val="auto"/>
                <w:w w:val="99"/>
              </w:rPr>
              <w:t>/s/ JEAN HU</w:t>
            </w:r>
          </w:p>
        </w:tc>
        <w:tc>
          <w:tcPr>
            <w:tcW w:w="5060" w:type="dxa"/>
            <w:vAlign w:val="bottom"/>
            <w:gridSpan w:val="3"/>
          </w:tcPr>
          <w:p>
            <w:pPr>
              <w:jc w:val="center"/>
              <w:ind w:left="130"/>
              <w:spacing w:after="0"/>
              <w:rPr>
                <w:sz w:val="20"/>
                <w:szCs w:val="20"/>
                <w:color w:val="auto"/>
              </w:rPr>
            </w:pPr>
            <w:r>
              <w:rPr>
                <w:rFonts w:ascii="Times New Roman" w:cs="Times New Roman" w:eastAsia="Times New Roman" w:hAnsi="Times New Roman"/>
                <w:sz w:val="18"/>
                <w:szCs w:val="18"/>
                <w:color w:val="auto"/>
                <w:w w:val="99"/>
              </w:rPr>
              <w:t>Chief Financial Officer</w:t>
            </w:r>
          </w:p>
        </w:tc>
        <w:tc>
          <w:tcPr>
            <w:tcW w:w="1700" w:type="dxa"/>
            <w:vAlign w:val="bottom"/>
            <w:gridSpan w:val="3"/>
          </w:tcPr>
          <w:p>
            <w:pPr>
              <w:jc w:val="center"/>
              <w:ind w:left="630"/>
              <w:spacing w:after="0"/>
              <w:rPr>
                <w:sz w:val="20"/>
                <w:szCs w:val="20"/>
                <w:color w:val="auto"/>
              </w:rPr>
            </w:pPr>
            <w:r>
              <w:rPr>
                <w:rFonts w:ascii="Times New Roman" w:cs="Times New Roman" w:eastAsia="Times New Roman" w:hAnsi="Times New Roman"/>
                <w:sz w:val="18"/>
                <w:szCs w:val="18"/>
                <w:color w:val="auto"/>
              </w:rPr>
              <w:t>July 19, 2018</w:t>
            </w:r>
          </w:p>
        </w:tc>
      </w:tr>
      <w:tr>
        <w:trPr>
          <w:trHeight w:val="232"/>
        </w:trPr>
        <w:tc>
          <w:tcPr>
            <w:tcW w:w="1500" w:type="dxa"/>
            <w:vAlign w:val="bottom"/>
          </w:tcPr>
          <w:p>
            <w:pPr>
              <w:spacing w:after="0"/>
              <w:rPr>
                <w:sz w:val="20"/>
                <w:szCs w:val="20"/>
                <w:color w:val="auto"/>
              </w:rPr>
            </w:pPr>
          </w:p>
        </w:tc>
        <w:tc>
          <w:tcPr>
            <w:tcW w:w="2780" w:type="dxa"/>
            <w:vAlign w:val="bottom"/>
            <w:gridSpan w:val="2"/>
          </w:tcPr>
          <w:p>
            <w:pPr>
              <w:jc w:val="center"/>
              <w:ind w:right="1500"/>
              <w:spacing w:after="0"/>
              <w:rPr>
                <w:sz w:val="20"/>
                <w:szCs w:val="20"/>
                <w:color w:val="auto"/>
              </w:rPr>
            </w:pPr>
            <w:r>
              <w:rPr>
                <w:rFonts w:ascii="Times New Roman" w:cs="Times New Roman" w:eastAsia="Times New Roman" w:hAnsi="Times New Roman"/>
                <w:sz w:val="18"/>
                <w:szCs w:val="18"/>
                <w:b w:val="1"/>
                <w:bCs w:val="1"/>
                <w:color w:val="auto"/>
                <w:w w:val="99"/>
              </w:rPr>
              <w:t>Jean Hu</w:t>
            </w:r>
          </w:p>
        </w:tc>
        <w:tc>
          <w:tcPr>
            <w:tcW w:w="5060" w:type="dxa"/>
            <w:vAlign w:val="bottom"/>
            <w:gridSpan w:val="3"/>
          </w:tcPr>
          <w:p>
            <w:pPr>
              <w:jc w:val="center"/>
              <w:ind w:left="130"/>
              <w:spacing w:after="0"/>
              <w:rPr>
                <w:sz w:val="20"/>
                <w:szCs w:val="20"/>
                <w:color w:val="auto"/>
              </w:rPr>
            </w:pPr>
            <w:r>
              <w:rPr>
                <w:rFonts w:ascii="Times New Roman" w:cs="Times New Roman" w:eastAsia="Times New Roman" w:hAnsi="Times New Roman"/>
                <w:sz w:val="18"/>
                <w:szCs w:val="18"/>
                <w:color w:val="auto"/>
                <w:w w:val="99"/>
              </w:rPr>
              <w:t>(Principal Financial Officer)</w:t>
            </w:r>
          </w:p>
        </w:tc>
        <w:tc>
          <w:tcPr>
            <w:tcW w:w="10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340" w:type="dxa"/>
            <w:vAlign w:val="bottom"/>
          </w:tcPr>
          <w:p>
            <w:pPr>
              <w:spacing w:after="0"/>
              <w:rPr>
                <w:sz w:val="20"/>
                <w:szCs w:val="20"/>
                <w:color w:val="auto"/>
              </w:rPr>
            </w:pPr>
          </w:p>
        </w:tc>
      </w:tr>
      <w:tr>
        <w:trPr>
          <w:trHeight w:val="423"/>
        </w:trPr>
        <w:tc>
          <w:tcPr>
            <w:tcW w:w="4280" w:type="dxa"/>
            <w:vAlign w:val="bottom"/>
            <w:tcBorders>
              <w:bottom w:val="single" w:sz="8" w:color="auto"/>
            </w:tcBorders>
            <w:gridSpan w:val="3"/>
          </w:tcPr>
          <w:p>
            <w:pPr>
              <w:jc w:val="center"/>
              <w:spacing w:after="0"/>
              <w:rPr>
                <w:sz w:val="20"/>
                <w:szCs w:val="20"/>
                <w:color w:val="auto"/>
              </w:rPr>
            </w:pPr>
            <w:r>
              <w:rPr>
                <w:rFonts w:ascii="Times New Roman" w:cs="Times New Roman" w:eastAsia="Times New Roman" w:hAnsi="Times New Roman"/>
                <w:sz w:val="18"/>
                <w:szCs w:val="18"/>
                <w:color w:val="auto"/>
              </w:rPr>
              <w:t>/s/ WILLEM MEINTJES</w:t>
            </w:r>
          </w:p>
        </w:tc>
        <w:tc>
          <w:tcPr>
            <w:tcW w:w="5060" w:type="dxa"/>
            <w:vAlign w:val="bottom"/>
            <w:gridSpan w:val="3"/>
          </w:tcPr>
          <w:p>
            <w:pPr>
              <w:jc w:val="center"/>
              <w:ind w:left="130"/>
              <w:spacing w:after="0"/>
              <w:rPr>
                <w:sz w:val="20"/>
                <w:szCs w:val="20"/>
                <w:color w:val="auto"/>
              </w:rPr>
            </w:pPr>
            <w:r>
              <w:rPr>
                <w:rFonts w:ascii="Times New Roman" w:cs="Times New Roman" w:eastAsia="Times New Roman" w:hAnsi="Times New Roman"/>
                <w:sz w:val="18"/>
                <w:szCs w:val="18"/>
                <w:color w:val="auto"/>
                <w:w w:val="99"/>
              </w:rPr>
              <w:t>Chief Accounting Officer</w:t>
            </w:r>
          </w:p>
        </w:tc>
        <w:tc>
          <w:tcPr>
            <w:tcW w:w="1700" w:type="dxa"/>
            <w:vAlign w:val="bottom"/>
            <w:gridSpan w:val="3"/>
          </w:tcPr>
          <w:p>
            <w:pPr>
              <w:jc w:val="center"/>
              <w:ind w:left="630"/>
              <w:spacing w:after="0"/>
              <w:rPr>
                <w:sz w:val="20"/>
                <w:szCs w:val="20"/>
                <w:color w:val="auto"/>
              </w:rPr>
            </w:pPr>
            <w:r>
              <w:rPr>
                <w:rFonts w:ascii="Times New Roman" w:cs="Times New Roman" w:eastAsia="Times New Roman" w:hAnsi="Times New Roman"/>
                <w:sz w:val="18"/>
                <w:szCs w:val="18"/>
                <w:color w:val="auto"/>
              </w:rPr>
              <w:t>July 19, 2018</w:t>
            </w:r>
          </w:p>
        </w:tc>
      </w:tr>
      <w:tr>
        <w:trPr>
          <w:trHeight w:val="232"/>
        </w:trPr>
        <w:tc>
          <w:tcPr>
            <w:tcW w:w="4280" w:type="dxa"/>
            <w:vAlign w:val="bottom"/>
            <w:gridSpan w:val="3"/>
          </w:tcPr>
          <w:p>
            <w:pPr>
              <w:jc w:val="center"/>
              <w:spacing w:after="0"/>
              <w:rPr>
                <w:sz w:val="20"/>
                <w:szCs w:val="20"/>
                <w:color w:val="auto"/>
              </w:rPr>
            </w:pPr>
            <w:r>
              <w:rPr>
                <w:rFonts w:ascii="Times New Roman" w:cs="Times New Roman" w:eastAsia="Times New Roman" w:hAnsi="Times New Roman"/>
                <w:sz w:val="18"/>
                <w:szCs w:val="18"/>
                <w:b w:val="1"/>
                <w:bCs w:val="1"/>
                <w:color w:val="auto"/>
              </w:rPr>
              <w:t>Willem Meintjes</w:t>
            </w:r>
          </w:p>
        </w:tc>
        <w:tc>
          <w:tcPr>
            <w:tcW w:w="5060" w:type="dxa"/>
            <w:vAlign w:val="bottom"/>
            <w:gridSpan w:val="3"/>
          </w:tcPr>
          <w:p>
            <w:pPr>
              <w:jc w:val="center"/>
              <w:ind w:left="150"/>
              <w:spacing w:after="0"/>
              <w:rPr>
                <w:sz w:val="20"/>
                <w:szCs w:val="20"/>
                <w:color w:val="auto"/>
              </w:rPr>
            </w:pPr>
            <w:r>
              <w:rPr>
                <w:rFonts w:ascii="Times New Roman" w:cs="Times New Roman" w:eastAsia="Times New Roman" w:hAnsi="Times New Roman"/>
                <w:sz w:val="18"/>
                <w:szCs w:val="18"/>
                <w:color w:val="auto"/>
              </w:rPr>
              <w:t>(Principal Accounting Officer)</w:t>
            </w:r>
          </w:p>
        </w:tc>
        <w:tc>
          <w:tcPr>
            <w:tcW w:w="10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340" w:type="dxa"/>
            <w:vAlign w:val="bottom"/>
          </w:tcPr>
          <w:p>
            <w:pPr>
              <w:spacing w:after="0"/>
              <w:rPr>
                <w:sz w:val="20"/>
                <w:szCs w:val="20"/>
                <w:color w:val="auto"/>
              </w:rPr>
            </w:pPr>
          </w:p>
        </w:tc>
      </w:tr>
      <w:tr>
        <w:trPr>
          <w:trHeight w:val="423"/>
        </w:trPr>
        <w:tc>
          <w:tcPr>
            <w:tcW w:w="2780" w:type="dxa"/>
            <w:vAlign w:val="bottom"/>
            <w:tcBorders>
              <w:bottom w:val="single" w:sz="8" w:color="auto"/>
            </w:tcBorders>
            <w:gridSpan w:val="2"/>
          </w:tcPr>
          <w:p>
            <w:pPr>
              <w:jc w:val="center"/>
              <w:ind w:left="1430"/>
              <w:spacing w:after="0"/>
              <w:rPr>
                <w:sz w:val="20"/>
                <w:szCs w:val="20"/>
                <w:color w:val="auto"/>
              </w:rPr>
            </w:pPr>
            <w:r>
              <w:rPr>
                <w:rFonts w:ascii="Times New Roman" w:cs="Times New Roman" w:eastAsia="Times New Roman" w:hAnsi="Times New Roman"/>
                <w:sz w:val="18"/>
                <w:szCs w:val="18"/>
                <w:color w:val="auto"/>
                <w:w w:val="99"/>
              </w:rPr>
              <w:t>**</w:t>
            </w:r>
          </w:p>
        </w:tc>
        <w:tc>
          <w:tcPr>
            <w:tcW w:w="1500" w:type="dxa"/>
            <w:vAlign w:val="bottom"/>
            <w:tcBorders>
              <w:bottom w:val="single" w:sz="8" w:color="auto"/>
            </w:tcBorders>
          </w:tcPr>
          <w:p>
            <w:pPr>
              <w:spacing w:after="0"/>
              <w:rPr>
                <w:sz w:val="24"/>
                <w:szCs w:val="24"/>
                <w:color w:val="auto"/>
              </w:rPr>
            </w:pPr>
          </w:p>
        </w:tc>
        <w:tc>
          <w:tcPr>
            <w:tcW w:w="5060" w:type="dxa"/>
            <w:vAlign w:val="bottom"/>
            <w:gridSpan w:val="3"/>
          </w:tcPr>
          <w:p>
            <w:pPr>
              <w:jc w:val="center"/>
              <w:ind w:left="150"/>
              <w:spacing w:after="0"/>
              <w:rPr>
                <w:sz w:val="20"/>
                <w:szCs w:val="20"/>
                <w:color w:val="auto"/>
              </w:rPr>
            </w:pPr>
            <w:r>
              <w:rPr>
                <w:rFonts w:ascii="Times New Roman" w:cs="Times New Roman" w:eastAsia="Times New Roman" w:hAnsi="Times New Roman"/>
                <w:sz w:val="18"/>
                <w:szCs w:val="18"/>
                <w:color w:val="auto"/>
              </w:rPr>
              <w:t>Chairman of the Board</w:t>
            </w:r>
          </w:p>
        </w:tc>
        <w:tc>
          <w:tcPr>
            <w:tcW w:w="1700" w:type="dxa"/>
            <w:vAlign w:val="bottom"/>
            <w:gridSpan w:val="3"/>
          </w:tcPr>
          <w:p>
            <w:pPr>
              <w:jc w:val="center"/>
              <w:ind w:left="630"/>
              <w:spacing w:after="0"/>
              <w:rPr>
                <w:sz w:val="20"/>
                <w:szCs w:val="20"/>
                <w:color w:val="auto"/>
              </w:rPr>
            </w:pPr>
            <w:r>
              <w:rPr>
                <w:rFonts w:ascii="Times New Roman" w:cs="Times New Roman" w:eastAsia="Times New Roman" w:hAnsi="Times New Roman"/>
                <w:sz w:val="18"/>
                <w:szCs w:val="18"/>
                <w:color w:val="auto"/>
              </w:rPr>
              <w:t>July 19, 2018</w:t>
            </w:r>
          </w:p>
        </w:tc>
      </w:tr>
      <w:tr>
        <w:trPr>
          <w:trHeight w:val="232"/>
        </w:trPr>
        <w:tc>
          <w:tcPr>
            <w:tcW w:w="1500" w:type="dxa"/>
            <w:vAlign w:val="bottom"/>
          </w:tcPr>
          <w:p>
            <w:pPr>
              <w:spacing w:after="0"/>
              <w:rPr>
                <w:sz w:val="20"/>
                <w:szCs w:val="20"/>
                <w:color w:val="auto"/>
              </w:rPr>
            </w:pPr>
          </w:p>
        </w:tc>
        <w:tc>
          <w:tcPr>
            <w:tcW w:w="2780" w:type="dxa"/>
            <w:vAlign w:val="bottom"/>
            <w:gridSpan w:val="2"/>
          </w:tcPr>
          <w:p>
            <w:pPr>
              <w:jc w:val="center"/>
              <w:ind w:right="1500"/>
              <w:spacing w:after="0"/>
              <w:rPr>
                <w:sz w:val="20"/>
                <w:szCs w:val="20"/>
                <w:color w:val="auto"/>
              </w:rPr>
            </w:pPr>
            <w:r>
              <w:rPr>
                <w:rFonts w:ascii="Times New Roman" w:cs="Times New Roman" w:eastAsia="Times New Roman" w:hAnsi="Times New Roman"/>
                <w:sz w:val="18"/>
                <w:szCs w:val="18"/>
                <w:b w:val="1"/>
                <w:bCs w:val="1"/>
                <w:color w:val="auto"/>
                <w:w w:val="99"/>
              </w:rPr>
              <w:t>Richard Hill</w:t>
            </w:r>
          </w:p>
        </w:tc>
        <w:tc>
          <w:tcPr>
            <w:tcW w:w="25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2260" w:type="dxa"/>
            <w:vAlign w:val="bottom"/>
          </w:tcPr>
          <w:p>
            <w:pPr>
              <w:spacing w:after="0"/>
              <w:rPr>
                <w:sz w:val="20"/>
                <w:szCs w:val="20"/>
                <w:color w:val="auto"/>
              </w:rPr>
            </w:pPr>
          </w:p>
        </w:tc>
        <w:tc>
          <w:tcPr>
            <w:tcW w:w="10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340" w:type="dxa"/>
            <w:vAlign w:val="bottom"/>
          </w:tcPr>
          <w:p>
            <w:pPr>
              <w:spacing w:after="0"/>
              <w:rPr>
                <w:sz w:val="20"/>
                <w:szCs w:val="20"/>
                <w:color w:val="auto"/>
              </w:rPr>
            </w:pPr>
          </w:p>
        </w:tc>
      </w:tr>
      <w:tr>
        <w:trPr>
          <w:trHeight w:val="423"/>
        </w:trPr>
        <w:tc>
          <w:tcPr>
            <w:tcW w:w="2780" w:type="dxa"/>
            <w:vAlign w:val="bottom"/>
            <w:tcBorders>
              <w:bottom w:val="single" w:sz="8" w:color="auto"/>
            </w:tcBorders>
            <w:gridSpan w:val="2"/>
          </w:tcPr>
          <w:p>
            <w:pPr>
              <w:jc w:val="center"/>
              <w:ind w:left="1430"/>
              <w:spacing w:after="0"/>
              <w:rPr>
                <w:sz w:val="20"/>
                <w:szCs w:val="20"/>
                <w:color w:val="auto"/>
              </w:rPr>
            </w:pPr>
            <w:r>
              <w:rPr>
                <w:rFonts w:ascii="Times New Roman" w:cs="Times New Roman" w:eastAsia="Times New Roman" w:hAnsi="Times New Roman"/>
                <w:sz w:val="18"/>
                <w:szCs w:val="18"/>
                <w:color w:val="auto"/>
                <w:w w:val="99"/>
              </w:rPr>
              <w:t>**</w:t>
            </w:r>
          </w:p>
        </w:tc>
        <w:tc>
          <w:tcPr>
            <w:tcW w:w="1500" w:type="dxa"/>
            <w:vAlign w:val="bottom"/>
            <w:tcBorders>
              <w:bottom w:val="single" w:sz="8" w:color="auto"/>
            </w:tcBorders>
          </w:tcPr>
          <w:p>
            <w:pPr>
              <w:spacing w:after="0"/>
              <w:rPr>
                <w:sz w:val="24"/>
                <w:szCs w:val="24"/>
                <w:color w:val="auto"/>
              </w:rPr>
            </w:pPr>
          </w:p>
        </w:tc>
        <w:tc>
          <w:tcPr>
            <w:tcW w:w="5060" w:type="dxa"/>
            <w:vAlign w:val="bottom"/>
            <w:gridSpan w:val="3"/>
          </w:tcPr>
          <w:p>
            <w:pPr>
              <w:jc w:val="center"/>
              <w:ind w:left="130"/>
              <w:spacing w:after="0"/>
              <w:rPr>
                <w:sz w:val="20"/>
                <w:szCs w:val="20"/>
                <w:color w:val="auto"/>
              </w:rPr>
            </w:pPr>
            <w:r>
              <w:rPr>
                <w:rFonts w:ascii="Times New Roman" w:cs="Times New Roman" w:eastAsia="Times New Roman" w:hAnsi="Times New Roman"/>
                <w:sz w:val="18"/>
                <w:szCs w:val="18"/>
                <w:color w:val="auto"/>
                <w:w w:val="99"/>
              </w:rPr>
              <w:t>Director</w:t>
            </w:r>
          </w:p>
        </w:tc>
        <w:tc>
          <w:tcPr>
            <w:tcW w:w="1700" w:type="dxa"/>
            <w:vAlign w:val="bottom"/>
            <w:gridSpan w:val="3"/>
          </w:tcPr>
          <w:p>
            <w:pPr>
              <w:jc w:val="center"/>
              <w:ind w:left="630"/>
              <w:spacing w:after="0"/>
              <w:rPr>
                <w:sz w:val="20"/>
                <w:szCs w:val="20"/>
                <w:color w:val="auto"/>
              </w:rPr>
            </w:pPr>
            <w:r>
              <w:rPr>
                <w:rFonts w:ascii="Times New Roman" w:cs="Times New Roman" w:eastAsia="Times New Roman" w:hAnsi="Times New Roman"/>
                <w:sz w:val="18"/>
                <w:szCs w:val="18"/>
                <w:color w:val="auto"/>
              </w:rPr>
              <w:t>July 19, 2018</w:t>
            </w:r>
          </w:p>
        </w:tc>
      </w:tr>
      <w:tr>
        <w:trPr>
          <w:trHeight w:val="232"/>
        </w:trPr>
        <w:tc>
          <w:tcPr>
            <w:tcW w:w="1500" w:type="dxa"/>
            <w:vAlign w:val="bottom"/>
          </w:tcPr>
          <w:p>
            <w:pPr>
              <w:spacing w:after="0"/>
              <w:rPr>
                <w:sz w:val="20"/>
                <w:szCs w:val="20"/>
                <w:color w:val="auto"/>
              </w:rPr>
            </w:pPr>
          </w:p>
        </w:tc>
        <w:tc>
          <w:tcPr>
            <w:tcW w:w="2780" w:type="dxa"/>
            <w:vAlign w:val="bottom"/>
            <w:gridSpan w:val="2"/>
          </w:tcPr>
          <w:p>
            <w:pPr>
              <w:jc w:val="center"/>
              <w:ind w:right="1500"/>
              <w:spacing w:after="0"/>
              <w:rPr>
                <w:sz w:val="20"/>
                <w:szCs w:val="20"/>
                <w:color w:val="auto"/>
              </w:rPr>
            </w:pPr>
            <w:r>
              <w:rPr>
                <w:rFonts w:ascii="Times New Roman" w:cs="Times New Roman" w:eastAsia="Times New Roman" w:hAnsi="Times New Roman"/>
                <w:sz w:val="18"/>
                <w:szCs w:val="18"/>
                <w:b w:val="1"/>
                <w:bCs w:val="1"/>
                <w:color w:val="auto"/>
                <w:w w:val="98"/>
              </w:rPr>
              <w:t>Tudor Brown</w:t>
            </w:r>
          </w:p>
        </w:tc>
        <w:tc>
          <w:tcPr>
            <w:tcW w:w="25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2260" w:type="dxa"/>
            <w:vAlign w:val="bottom"/>
          </w:tcPr>
          <w:p>
            <w:pPr>
              <w:spacing w:after="0"/>
              <w:rPr>
                <w:sz w:val="20"/>
                <w:szCs w:val="20"/>
                <w:color w:val="auto"/>
              </w:rPr>
            </w:pPr>
          </w:p>
        </w:tc>
        <w:tc>
          <w:tcPr>
            <w:tcW w:w="10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340" w:type="dxa"/>
            <w:vAlign w:val="bottom"/>
          </w:tcPr>
          <w:p>
            <w:pPr>
              <w:spacing w:after="0"/>
              <w:rPr>
                <w:sz w:val="20"/>
                <w:szCs w:val="20"/>
                <w:color w:val="auto"/>
              </w:rPr>
            </w:pPr>
          </w:p>
        </w:tc>
      </w:tr>
      <w:tr>
        <w:trPr>
          <w:trHeight w:val="423"/>
        </w:trPr>
        <w:tc>
          <w:tcPr>
            <w:tcW w:w="2780" w:type="dxa"/>
            <w:vAlign w:val="bottom"/>
            <w:tcBorders>
              <w:bottom w:val="single" w:sz="8" w:color="auto"/>
            </w:tcBorders>
            <w:gridSpan w:val="2"/>
          </w:tcPr>
          <w:p>
            <w:pPr>
              <w:jc w:val="center"/>
              <w:ind w:left="1430"/>
              <w:spacing w:after="0"/>
              <w:rPr>
                <w:sz w:val="20"/>
                <w:szCs w:val="20"/>
                <w:color w:val="auto"/>
              </w:rPr>
            </w:pPr>
            <w:r>
              <w:rPr>
                <w:rFonts w:ascii="Times New Roman" w:cs="Times New Roman" w:eastAsia="Times New Roman" w:hAnsi="Times New Roman"/>
                <w:sz w:val="18"/>
                <w:szCs w:val="18"/>
                <w:color w:val="auto"/>
                <w:w w:val="99"/>
              </w:rPr>
              <w:t>**</w:t>
            </w:r>
          </w:p>
        </w:tc>
        <w:tc>
          <w:tcPr>
            <w:tcW w:w="1500" w:type="dxa"/>
            <w:vAlign w:val="bottom"/>
            <w:tcBorders>
              <w:bottom w:val="single" w:sz="8" w:color="auto"/>
            </w:tcBorders>
          </w:tcPr>
          <w:p>
            <w:pPr>
              <w:spacing w:after="0"/>
              <w:rPr>
                <w:sz w:val="24"/>
                <w:szCs w:val="24"/>
                <w:color w:val="auto"/>
              </w:rPr>
            </w:pPr>
          </w:p>
        </w:tc>
        <w:tc>
          <w:tcPr>
            <w:tcW w:w="5060" w:type="dxa"/>
            <w:vAlign w:val="bottom"/>
            <w:gridSpan w:val="3"/>
          </w:tcPr>
          <w:p>
            <w:pPr>
              <w:jc w:val="center"/>
              <w:ind w:left="130"/>
              <w:spacing w:after="0"/>
              <w:rPr>
                <w:sz w:val="20"/>
                <w:szCs w:val="20"/>
                <w:color w:val="auto"/>
              </w:rPr>
            </w:pPr>
            <w:r>
              <w:rPr>
                <w:rFonts w:ascii="Times New Roman" w:cs="Times New Roman" w:eastAsia="Times New Roman" w:hAnsi="Times New Roman"/>
                <w:sz w:val="18"/>
                <w:szCs w:val="18"/>
                <w:color w:val="auto"/>
                <w:w w:val="99"/>
              </w:rPr>
              <w:t>Director</w:t>
            </w:r>
          </w:p>
        </w:tc>
        <w:tc>
          <w:tcPr>
            <w:tcW w:w="1700" w:type="dxa"/>
            <w:vAlign w:val="bottom"/>
            <w:gridSpan w:val="3"/>
          </w:tcPr>
          <w:p>
            <w:pPr>
              <w:jc w:val="center"/>
              <w:ind w:left="630"/>
              <w:spacing w:after="0"/>
              <w:rPr>
                <w:sz w:val="20"/>
                <w:szCs w:val="20"/>
                <w:color w:val="auto"/>
              </w:rPr>
            </w:pPr>
            <w:r>
              <w:rPr>
                <w:rFonts w:ascii="Times New Roman" w:cs="Times New Roman" w:eastAsia="Times New Roman" w:hAnsi="Times New Roman"/>
                <w:sz w:val="18"/>
                <w:szCs w:val="18"/>
                <w:color w:val="auto"/>
              </w:rPr>
              <w:t>July 19, 2018</w:t>
            </w:r>
          </w:p>
        </w:tc>
      </w:tr>
      <w:tr>
        <w:trPr>
          <w:trHeight w:val="232"/>
        </w:trPr>
        <w:tc>
          <w:tcPr>
            <w:tcW w:w="1500" w:type="dxa"/>
            <w:vAlign w:val="bottom"/>
          </w:tcPr>
          <w:p>
            <w:pPr>
              <w:spacing w:after="0"/>
              <w:rPr>
                <w:sz w:val="20"/>
                <w:szCs w:val="20"/>
                <w:color w:val="auto"/>
              </w:rPr>
            </w:pPr>
          </w:p>
        </w:tc>
        <w:tc>
          <w:tcPr>
            <w:tcW w:w="2780" w:type="dxa"/>
            <w:vAlign w:val="bottom"/>
            <w:gridSpan w:val="2"/>
          </w:tcPr>
          <w:p>
            <w:pPr>
              <w:jc w:val="center"/>
              <w:ind w:right="1500"/>
              <w:spacing w:after="0"/>
              <w:rPr>
                <w:sz w:val="20"/>
                <w:szCs w:val="20"/>
                <w:color w:val="auto"/>
              </w:rPr>
            </w:pPr>
            <w:r>
              <w:rPr>
                <w:rFonts w:ascii="Times New Roman" w:cs="Times New Roman" w:eastAsia="Times New Roman" w:hAnsi="Times New Roman"/>
                <w:sz w:val="18"/>
                <w:szCs w:val="18"/>
                <w:b w:val="1"/>
                <w:bCs w:val="1"/>
                <w:color w:val="auto"/>
              </w:rPr>
              <w:t>Oleg Khaykin</w:t>
            </w:r>
          </w:p>
        </w:tc>
        <w:tc>
          <w:tcPr>
            <w:tcW w:w="25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2260" w:type="dxa"/>
            <w:vAlign w:val="bottom"/>
          </w:tcPr>
          <w:p>
            <w:pPr>
              <w:spacing w:after="0"/>
              <w:rPr>
                <w:sz w:val="20"/>
                <w:szCs w:val="20"/>
                <w:color w:val="auto"/>
              </w:rPr>
            </w:pPr>
          </w:p>
        </w:tc>
        <w:tc>
          <w:tcPr>
            <w:tcW w:w="10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340" w:type="dxa"/>
            <w:vAlign w:val="bottom"/>
          </w:tcPr>
          <w:p>
            <w:pPr>
              <w:spacing w:after="0"/>
              <w:rPr>
                <w:sz w:val="20"/>
                <w:szCs w:val="20"/>
                <w:color w:val="auto"/>
              </w:rPr>
            </w:pPr>
          </w:p>
        </w:tc>
      </w:tr>
      <w:tr>
        <w:trPr>
          <w:trHeight w:val="423"/>
        </w:trPr>
        <w:tc>
          <w:tcPr>
            <w:tcW w:w="4280" w:type="dxa"/>
            <w:vAlign w:val="bottom"/>
            <w:tcBorders>
              <w:bottom w:val="single" w:sz="8" w:color="auto"/>
            </w:tcBorders>
            <w:gridSpan w:val="3"/>
          </w:tcPr>
          <w:p>
            <w:pPr>
              <w:jc w:val="center"/>
              <w:spacing w:after="0"/>
              <w:rPr>
                <w:sz w:val="20"/>
                <w:szCs w:val="20"/>
                <w:color w:val="auto"/>
              </w:rPr>
            </w:pPr>
            <w:r>
              <w:rPr>
                <w:rFonts w:ascii="Times New Roman" w:cs="Times New Roman" w:eastAsia="Times New Roman" w:hAnsi="Times New Roman"/>
                <w:sz w:val="18"/>
                <w:szCs w:val="18"/>
                <w:color w:val="auto"/>
                <w:w w:val="99"/>
              </w:rPr>
              <w:t>/s/ BETHANY MAYER</w:t>
            </w:r>
          </w:p>
        </w:tc>
        <w:tc>
          <w:tcPr>
            <w:tcW w:w="5060" w:type="dxa"/>
            <w:vAlign w:val="bottom"/>
            <w:gridSpan w:val="3"/>
          </w:tcPr>
          <w:p>
            <w:pPr>
              <w:jc w:val="center"/>
              <w:ind w:left="130"/>
              <w:spacing w:after="0"/>
              <w:rPr>
                <w:sz w:val="20"/>
                <w:szCs w:val="20"/>
                <w:color w:val="auto"/>
              </w:rPr>
            </w:pPr>
            <w:r>
              <w:rPr>
                <w:rFonts w:ascii="Times New Roman" w:cs="Times New Roman" w:eastAsia="Times New Roman" w:hAnsi="Times New Roman"/>
                <w:sz w:val="18"/>
                <w:szCs w:val="18"/>
                <w:color w:val="auto"/>
                <w:w w:val="99"/>
              </w:rPr>
              <w:t>Director</w:t>
            </w:r>
          </w:p>
        </w:tc>
        <w:tc>
          <w:tcPr>
            <w:tcW w:w="1700" w:type="dxa"/>
            <w:vAlign w:val="bottom"/>
            <w:gridSpan w:val="3"/>
          </w:tcPr>
          <w:p>
            <w:pPr>
              <w:jc w:val="center"/>
              <w:ind w:left="630"/>
              <w:spacing w:after="0"/>
              <w:rPr>
                <w:sz w:val="20"/>
                <w:szCs w:val="20"/>
                <w:color w:val="auto"/>
              </w:rPr>
            </w:pPr>
            <w:r>
              <w:rPr>
                <w:rFonts w:ascii="Times New Roman" w:cs="Times New Roman" w:eastAsia="Times New Roman" w:hAnsi="Times New Roman"/>
                <w:sz w:val="18"/>
                <w:szCs w:val="18"/>
                <w:color w:val="auto"/>
              </w:rPr>
              <w:t>July 19, 2018</w:t>
            </w:r>
          </w:p>
        </w:tc>
      </w:tr>
      <w:tr>
        <w:trPr>
          <w:trHeight w:val="232"/>
        </w:trPr>
        <w:tc>
          <w:tcPr>
            <w:tcW w:w="1500" w:type="dxa"/>
            <w:vAlign w:val="bottom"/>
          </w:tcPr>
          <w:p>
            <w:pPr>
              <w:spacing w:after="0"/>
              <w:rPr>
                <w:sz w:val="20"/>
                <w:szCs w:val="20"/>
                <w:color w:val="auto"/>
              </w:rPr>
            </w:pPr>
          </w:p>
        </w:tc>
        <w:tc>
          <w:tcPr>
            <w:tcW w:w="2780" w:type="dxa"/>
            <w:vAlign w:val="bottom"/>
            <w:gridSpan w:val="2"/>
          </w:tcPr>
          <w:p>
            <w:pPr>
              <w:jc w:val="center"/>
              <w:ind w:right="1500"/>
              <w:spacing w:after="0"/>
              <w:rPr>
                <w:sz w:val="20"/>
                <w:szCs w:val="20"/>
                <w:color w:val="auto"/>
              </w:rPr>
            </w:pPr>
            <w:r>
              <w:rPr>
                <w:rFonts w:ascii="Times New Roman" w:cs="Times New Roman" w:eastAsia="Times New Roman" w:hAnsi="Times New Roman"/>
                <w:sz w:val="18"/>
                <w:szCs w:val="18"/>
                <w:b w:val="1"/>
                <w:bCs w:val="1"/>
                <w:color w:val="auto"/>
              </w:rPr>
              <w:t>Bethany Mayer</w:t>
            </w:r>
          </w:p>
        </w:tc>
        <w:tc>
          <w:tcPr>
            <w:tcW w:w="25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2260" w:type="dxa"/>
            <w:vAlign w:val="bottom"/>
          </w:tcPr>
          <w:p>
            <w:pPr>
              <w:spacing w:after="0"/>
              <w:rPr>
                <w:sz w:val="20"/>
                <w:szCs w:val="20"/>
                <w:color w:val="auto"/>
              </w:rPr>
            </w:pPr>
          </w:p>
        </w:tc>
        <w:tc>
          <w:tcPr>
            <w:tcW w:w="10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340" w:type="dxa"/>
            <w:vAlign w:val="bottom"/>
          </w:tcPr>
          <w:p>
            <w:pPr>
              <w:spacing w:after="0"/>
              <w:rPr>
                <w:sz w:val="20"/>
                <w:szCs w:val="20"/>
                <w:color w:val="auto"/>
              </w:rPr>
            </w:pPr>
          </w:p>
        </w:tc>
      </w:tr>
      <w:tr>
        <w:trPr>
          <w:trHeight w:val="423"/>
        </w:trPr>
        <w:tc>
          <w:tcPr>
            <w:tcW w:w="4280" w:type="dxa"/>
            <w:vAlign w:val="bottom"/>
            <w:tcBorders>
              <w:bottom w:val="single" w:sz="8" w:color="auto"/>
            </w:tcBorders>
            <w:gridSpan w:val="3"/>
          </w:tcPr>
          <w:p>
            <w:pPr>
              <w:jc w:val="center"/>
              <w:spacing w:after="0"/>
              <w:rPr>
                <w:sz w:val="20"/>
                <w:szCs w:val="20"/>
                <w:color w:val="auto"/>
              </w:rPr>
            </w:pPr>
            <w:r>
              <w:rPr>
                <w:rFonts w:ascii="Times New Roman" w:cs="Times New Roman" w:eastAsia="Times New Roman" w:hAnsi="Times New Roman"/>
                <w:sz w:val="18"/>
                <w:szCs w:val="18"/>
                <w:color w:val="auto"/>
                <w:w w:val="99"/>
              </w:rPr>
              <w:t>/s/ DONNA MORRIS</w:t>
            </w:r>
          </w:p>
        </w:tc>
        <w:tc>
          <w:tcPr>
            <w:tcW w:w="5060" w:type="dxa"/>
            <w:vAlign w:val="bottom"/>
            <w:gridSpan w:val="3"/>
          </w:tcPr>
          <w:p>
            <w:pPr>
              <w:jc w:val="center"/>
              <w:ind w:left="130"/>
              <w:spacing w:after="0"/>
              <w:rPr>
                <w:sz w:val="20"/>
                <w:szCs w:val="20"/>
                <w:color w:val="auto"/>
              </w:rPr>
            </w:pPr>
            <w:r>
              <w:rPr>
                <w:rFonts w:ascii="Times New Roman" w:cs="Times New Roman" w:eastAsia="Times New Roman" w:hAnsi="Times New Roman"/>
                <w:sz w:val="18"/>
                <w:szCs w:val="18"/>
                <w:color w:val="auto"/>
                <w:w w:val="99"/>
              </w:rPr>
              <w:t>Director</w:t>
            </w:r>
          </w:p>
        </w:tc>
        <w:tc>
          <w:tcPr>
            <w:tcW w:w="1700" w:type="dxa"/>
            <w:vAlign w:val="bottom"/>
            <w:gridSpan w:val="3"/>
          </w:tcPr>
          <w:p>
            <w:pPr>
              <w:jc w:val="center"/>
              <w:ind w:left="630"/>
              <w:spacing w:after="0"/>
              <w:rPr>
                <w:sz w:val="20"/>
                <w:szCs w:val="20"/>
                <w:color w:val="auto"/>
              </w:rPr>
            </w:pPr>
            <w:r>
              <w:rPr>
                <w:rFonts w:ascii="Times New Roman" w:cs="Times New Roman" w:eastAsia="Times New Roman" w:hAnsi="Times New Roman"/>
                <w:sz w:val="18"/>
                <w:szCs w:val="18"/>
                <w:color w:val="auto"/>
              </w:rPr>
              <w:t>July 19, 2018</w:t>
            </w:r>
          </w:p>
        </w:tc>
      </w:tr>
      <w:tr>
        <w:trPr>
          <w:trHeight w:val="232"/>
        </w:trPr>
        <w:tc>
          <w:tcPr>
            <w:tcW w:w="1500" w:type="dxa"/>
            <w:vAlign w:val="bottom"/>
          </w:tcPr>
          <w:p>
            <w:pPr>
              <w:spacing w:after="0"/>
              <w:rPr>
                <w:sz w:val="20"/>
                <w:szCs w:val="20"/>
                <w:color w:val="auto"/>
              </w:rPr>
            </w:pPr>
          </w:p>
        </w:tc>
        <w:tc>
          <w:tcPr>
            <w:tcW w:w="2780" w:type="dxa"/>
            <w:vAlign w:val="bottom"/>
            <w:gridSpan w:val="2"/>
          </w:tcPr>
          <w:p>
            <w:pPr>
              <w:jc w:val="center"/>
              <w:ind w:right="1500"/>
              <w:spacing w:after="0"/>
              <w:rPr>
                <w:sz w:val="20"/>
                <w:szCs w:val="20"/>
                <w:color w:val="auto"/>
              </w:rPr>
            </w:pPr>
            <w:r>
              <w:rPr>
                <w:rFonts w:ascii="Times New Roman" w:cs="Times New Roman" w:eastAsia="Times New Roman" w:hAnsi="Times New Roman"/>
                <w:sz w:val="18"/>
                <w:szCs w:val="18"/>
                <w:b w:val="1"/>
                <w:bCs w:val="1"/>
                <w:color w:val="auto"/>
                <w:w w:val="98"/>
              </w:rPr>
              <w:t>Donna Morris</w:t>
            </w:r>
          </w:p>
        </w:tc>
        <w:tc>
          <w:tcPr>
            <w:tcW w:w="25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2260" w:type="dxa"/>
            <w:vAlign w:val="bottom"/>
          </w:tcPr>
          <w:p>
            <w:pPr>
              <w:spacing w:after="0"/>
              <w:rPr>
                <w:sz w:val="20"/>
                <w:szCs w:val="20"/>
                <w:color w:val="auto"/>
              </w:rPr>
            </w:pPr>
          </w:p>
        </w:tc>
        <w:tc>
          <w:tcPr>
            <w:tcW w:w="10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340" w:type="dxa"/>
            <w:vAlign w:val="bottom"/>
          </w:tcPr>
          <w:p>
            <w:pPr>
              <w:spacing w:after="0"/>
              <w:rPr>
                <w:sz w:val="20"/>
                <w:szCs w:val="20"/>
                <w:color w:val="auto"/>
              </w:rPr>
            </w:pPr>
          </w:p>
        </w:tc>
      </w:tr>
      <w:tr>
        <w:trPr>
          <w:trHeight w:val="423"/>
        </w:trPr>
        <w:tc>
          <w:tcPr>
            <w:tcW w:w="2780" w:type="dxa"/>
            <w:vAlign w:val="bottom"/>
            <w:tcBorders>
              <w:bottom w:val="single" w:sz="8" w:color="auto"/>
            </w:tcBorders>
            <w:gridSpan w:val="2"/>
          </w:tcPr>
          <w:p>
            <w:pPr>
              <w:jc w:val="center"/>
              <w:ind w:left="1430"/>
              <w:spacing w:after="0"/>
              <w:rPr>
                <w:sz w:val="20"/>
                <w:szCs w:val="20"/>
                <w:color w:val="auto"/>
              </w:rPr>
            </w:pPr>
            <w:r>
              <w:rPr>
                <w:rFonts w:ascii="Times New Roman" w:cs="Times New Roman" w:eastAsia="Times New Roman" w:hAnsi="Times New Roman"/>
                <w:sz w:val="18"/>
                <w:szCs w:val="18"/>
                <w:color w:val="auto"/>
                <w:w w:val="99"/>
              </w:rPr>
              <w:t>**</w:t>
            </w:r>
          </w:p>
        </w:tc>
        <w:tc>
          <w:tcPr>
            <w:tcW w:w="1500" w:type="dxa"/>
            <w:vAlign w:val="bottom"/>
            <w:tcBorders>
              <w:bottom w:val="single" w:sz="8" w:color="auto"/>
            </w:tcBorders>
          </w:tcPr>
          <w:p>
            <w:pPr>
              <w:spacing w:after="0"/>
              <w:rPr>
                <w:sz w:val="24"/>
                <w:szCs w:val="24"/>
                <w:color w:val="auto"/>
              </w:rPr>
            </w:pPr>
          </w:p>
        </w:tc>
        <w:tc>
          <w:tcPr>
            <w:tcW w:w="5060" w:type="dxa"/>
            <w:vAlign w:val="bottom"/>
            <w:gridSpan w:val="3"/>
          </w:tcPr>
          <w:p>
            <w:pPr>
              <w:jc w:val="center"/>
              <w:ind w:left="130"/>
              <w:spacing w:after="0"/>
              <w:rPr>
                <w:sz w:val="20"/>
                <w:szCs w:val="20"/>
                <w:color w:val="auto"/>
              </w:rPr>
            </w:pPr>
            <w:r>
              <w:rPr>
                <w:rFonts w:ascii="Times New Roman" w:cs="Times New Roman" w:eastAsia="Times New Roman" w:hAnsi="Times New Roman"/>
                <w:sz w:val="18"/>
                <w:szCs w:val="18"/>
                <w:color w:val="auto"/>
                <w:w w:val="99"/>
              </w:rPr>
              <w:t>Director</w:t>
            </w:r>
          </w:p>
        </w:tc>
        <w:tc>
          <w:tcPr>
            <w:tcW w:w="1700" w:type="dxa"/>
            <w:vAlign w:val="bottom"/>
            <w:gridSpan w:val="3"/>
          </w:tcPr>
          <w:p>
            <w:pPr>
              <w:jc w:val="center"/>
              <w:ind w:left="630"/>
              <w:spacing w:after="0"/>
              <w:rPr>
                <w:sz w:val="20"/>
                <w:szCs w:val="20"/>
                <w:color w:val="auto"/>
              </w:rPr>
            </w:pPr>
            <w:r>
              <w:rPr>
                <w:rFonts w:ascii="Times New Roman" w:cs="Times New Roman" w:eastAsia="Times New Roman" w:hAnsi="Times New Roman"/>
                <w:sz w:val="18"/>
                <w:szCs w:val="18"/>
                <w:color w:val="auto"/>
              </w:rPr>
              <w:t>July 19, 2018</w:t>
            </w:r>
          </w:p>
        </w:tc>
      </w:tr>
      <w:tr>
        <w:trPr>
          <w:trHeight w:val="232"/>
        </w:trPr>
        <w:tc>
          <w:tcPr>
            <w:tcW w:w="4280" w:type="dxa"/>
            <w:vAlign w:val="bottom"/>
            <w:gridSpan w:val="3"/>
          </w:tcPr>
          <w:p>
            <w:pPr>
              <w:jc w:val="center"/>
              <w:spacing w:after="0"/>
              <w:rPr>
                <w:sz w:val="20"/>
                <w:szCs w:val="20"/>
                <w:color w:val="auto"/>
              </w:rPr>
            </w:pPr>
            <w:r>
              <w:rPr>
                <w:rFonts w:ascii="Times New Roman" w:cs="Times New Roman" w:eastAsia="Times New Roman" w:hAnsi="Times New Roman"/>
                <w:sz w:val="18"/>
                <w:szCs w:val="18"/>
                <w:b w:val="1"/>
                <w:bCs w:val="1"/>
                <w:color w:val="auto"/>
                <w:w w:val="99"/>
              </w:rPr>
              <w:t>Michael Strachan</w:t>
            </w:r>
          </w:p>
        </w:tc>
        <w:tc>
          <w:tcPr>
            <w:tcW w:w="25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2260" w:type="dxa"/>
            <w:vAlign w:val="bottom"/>
          </w:tcPr>
          <w:p>
            <w:pPr>
              <w:spacing w:after="0"/>
              <w:rPr>
                <w:sz w:val="20"/>
                <w:szCs w:val="20"/>
                <w:color w:val="auto"/>
              </w:rPr>
            </w:pPr>
          </w:p>
        </w:tc>
        <w:tc>
          <w:tcPr>
            <w:tcW w:w="10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340" w:type="dxa"/>
            <w:vAlign w:val="bottom"/>
          </w:tcPr>
          <w:p>
            <w:pPr>
              <w:spacing w:after="0"/>
              <w:rPr>
                <w:sz w:val="20"/>
                <w:szCs w:val="20"/>
                <w:color w:val="auto"/>
              </w:rPr>
            </w:pPr>
          </w:p>
        </w:tc>
      </w:tr>
      <w:tr>
        <w:trPr>
          <w:trHeight w:val="423"/>
        </w:trPr>
        <w:tc>
          <w:tcPr>
            <w:tcW w:w="2780" w:type="dxa"/>
            <w:vAlign w:val="bottom"/>
            <w:tcBorders>
              <w:bottom w:val="single" w:sz="8" w:color="auto"/>
            </w:tcBorders>
            <w:gridSpan w:val="2"/>
          </w:tcPr>
          <w:p>
            <w:pPr>
              <w:jc w:val="center"/>
              <w:ind w:left="1430"/>
              <w:spacing w:after="0"/>
              <w:rPr>
                <w:sz w:val="20"/>
                <w:szCs w:val="20"/>
                <w:color w:val="auto"/>
              </w:rPr>
            </w:pPr>
            <w:r>
              <w:rPr>
                <w:rFonts w:ascii="Times New Roman" w:cs="Times New Roman" w:eastAsia="Times New Roman" w:hAnsi="Times New Roman"/>
                <w:sz w:val="18"/>
                <w:szCs w:val="18"/>
                <w:color w:val="auto"/>
                <w:w w:val="99"/>
              </w:rPr>
              <w:t>**</w:t>
            </w:r>
          </w:p>
        </w:tc>
        <w:tc>
          <w:tcPr>
            <w:tcW w:w="1500" w:type="dxa"/>
            <w:vAlign w:val="bottom"/>
            <w:tcBorders>
              <w:bottom w:val="single" w:sz="8" w:color="auto"/>
            </w:tcBorders>
          </w:tcPr>
          <w:p>
            <w:pPr>
              <w:spacing w:after="0"/>
              <w:rPr>
                <w:sz w:val="24"/>
                <w:szCs w:val="24"/>
                <w:color w:val="auto"/>
              </w:rPr>
            </w:pPr>
          </w:p>
        </w:tc>
        <w:tc>
          <w:tcPr>
            <w:tcW w:w="5060" w:type="dxa"/>
            <w:vAlign w:val="bottom"/>
            <w:gridSpan w:val="3"/>
          </w:tcPr>
          <w:p>
            <w:pPr>
              <w:jc w:val="center"/>
              <w:ind w:left="130"/>
              <w:spacing w:after="0"/>
              <w:rPr>
                <w:sz w:val="20"/>
                <w:szCs w:val="20"/>
                <w:color w:val="auto"/>
              </w:rPr>
            </w:pPr>
            <w:r>
              <w:rPr>
                <w:rFonts w:ascii="Times New Roman" w:cs="Times New Roman" w:eastAsia="Times New Roman" w:hAnsi="Times New Roman"/>
                <w:sz w:val="18"/>
                <w:szCs w:val="18"/>
                <w:color w:val="auto"/>
                <w:w w:val="99"/>
              </w:rPr>
              <w:t>Director</w:t>
            </w:r>
          </w:p>
        </w:tc>
        <w:tc>
          <w:tcPr>
            <w:tcW w:w="1700" w:type="dxa"/>
            <w:vAlign w:val="bottom"/>
            <w:gridSpan w:val="3"/>
          </w:tcPr>
          <w:p>
            <w:pPr>
              <w:jc w:val="center"/>
              <w:ind w:left="630"/>
              <w:spacing w:after="0"/>
              <w:rPr>
                <w:sz w:val="20"/>
                <w:szCs w:val="20"/>
                <w:color w:val="auto"/>
              </w:rPr>
            </w:pPr>
            <w:r>
              <w:rPr>
                <w:rFonts w:ascii="Times New Roman" w:cs="Times New Roman" w:eastAsia="Times New Roman" w:hAnsi="Times New Roman"/>
                <w:sz w:val="18"/>
                <w:szCs w:val="18"/>
                <w:color w:val="auto"/>
              </w:rPr>
              <w:t>July 19, 2018</w:t>
            </w:r>
          </w:p>
        </w:tc>
      </w:tr>
      <w:tr>
        <w:trPr>
          <w:trHeight w:val="232"/>
        </w:trPr>
        <w:tc>
          <w:tcPr>
            <w:tcW w:w="1500" w:type="dxa"/>
            <w:vAlign w:val="bottom"/>
          </w:tcPr>
          <w:p>
            <w:pPr>
              <w:spacing w:after="0"/>
              <w:rPr>
                <w:sz w:val="20"/>
                <w:szCs w:val="20"/>
                <w:color w:val="auto"/>
              </w:rPr>
            </w:pPr>
          </w:p>
        </w:tc>
        <w:tc>
          <w:tcPr>
            <w:tcW w:w="2780" w:type="dxa"/>
            <w:vAlign w:val="bottom"/>
            <w:gridSpan w:val="2"/>
          </w:tcPr>
          <w:p>
            <w:pPr>
              <w:jc w:val="center"/>
              <w:ind w:right="1500"/>
              <w:spacing w:after="0"/>
              <w:rPr>
                <w:sz w:val="20"/>
                <w:szCs w:val="20"/>
                <w:color w:val="auto"/>
              </w:rPr>
            </w:pPr>
            <w:r>
              <w:rPr>
                <w:rFonts w:ascii="Times New Roman" w:cs="Times New Roman" w:eastAsia="Times New Roman" w:hAnsi="Times New Roman"/>
                <w:sz w:val="18"/>
                <w:szCs w:val="18"/>
                <w:b w:val="1"/>
                <w:bCs w:val="1"/>
                <w:color w:val="auto"/>
                <w:w w:val="98"/>
              </w:rPr>
              <w:t>Robert E. Switz</w:t>
            </w:r>
          </w:p>
        </w:tc>
        <w:tc>
          <w:tcPr>
            <w:tcW w:w="25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2260" w:type="dxa"/>
            <w:vAlign w:val="bottom"/>
          </w:tcPr>
          <w:p>
            <w:pPr>
              <w:spacing w:after="0"/>
              <w:rPr>
                <w:sz w:val="20"/>
                <w:szCs w:val="20"/>
                <w:color w:val="auto"/>
              </w:rPr>
            </w:pPr>
          </w:p>
        </w:tc>
        <w:tc>
          <w:tcPr>
            <w:tcW w:w="10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340" w:type="dxa"/>
            <w:vAlign w:val="bottom"/>
          </w:tcPr>
          <w:p>
            <w:pPr>
              <w:spacing w:after="0"/>
              <w:rPr>
                <w:sz w:val="20"/>
                <w:szCs w:val="20"/>
                <w:color w:val="auto"/>
              </w:rPr>
            </w:pPr>
          </w:p>
        </w:tc>
      </w:tr>
    </w:tbl>
    <w:p>
      <w:pPr>
        <w:sectPr>
          <w:pgSz w:w="11900" w:h="16838" w:orient="portrait"/>
          <w:cols w:equalWidth="0" w:num="1">
            <w:col w:w="11300"/>
          </w:cols>
          <w:pgMar w:left="240" w:top="266" w:right="359" w:bottom="1440" w:gutter="0" w:footer="0" w:header="0"/>
        </w:sectPr>
      </w:pPr>
    </w:p>
    <w:bookmarkStart w:id="21" w:name="page22"/>
    <w:bookmarkEnd w:id="21"/>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tbl>
      <w:tblPr>
        <w:tblLayout w:type="fixed"/>
        <w:tblInd w:w="0" w:type="dxa"/>
        <w:tblCellMar>
          <w:top w:w="0" w:type="dxa"/>
          <w:left w:w="0" w:type="dxa"/>
          <w:bottom w:w="0" w:type="dxa"/>
          <w:right w:w="0" w:type="dxa"/>
        </w:tblCellMar>
      </w:tblPr>
      <w:tr>
        <w:trPr>
          <w:trHeight w:val="234"/>
        </w:trPr>
        <w:tc>
          <w:tcPr>
            <w:tcW w:w="580" w:type="dxa"/>
            <w:vAlign w:val="bottom"/>
            <w:tcBorders>
              <w:bottom w:val="single" w:sz="8" w:color="auto"/>
            </w:tcBorders>
          </w:tcPr>
          <w:p>
            <w:pPr>
              <w:spacing w:after="0"/>
              <w:rPr>
                <w:sz w:val="20"/>
                <w:szCs w:val="20"/>
                <w:color w:val="auto"/>
              </w:rPr>
            </w:pPr>
          </w:p>
        </w:tc>
        <w:tc>
          <w:tcPr>
            <w:tcW w:w="3700" w:type="dxa"/>
            <w:vAlign w:val="bottom"/>
            <w:tcBorders>
              <w:bottom w:val="single" w:sz="8" w:color="auto"/>
            </w:tcBorders>
          </w:tcPr>
          <w:p>
            <w:pPr>
              <w:jc w:val="center"/>
              <w:ind w:right="490"/>
              <w:spacing w:after="0"/>
              <w:rPr>
                <w:sz w:val="20"/>
                <w:szCs w:val="20"/>
                <w:color w:val="auto"/>
              </w:rPr>
            </w:pPr>
            <w:r>
              <w:rPr>
                <w:rFonts w:ascii="Times New Roman" w:cs="Times New Roman" w:eastAsia="Times New Roman" w:hAnsi="Times New Roman"/>
                <w:sz w:val="18"/>
                <w:szCs w:val="18"/>
                <w:color w:val="auto"/>
                <w:w w:val="99"/>
              </w:rPr>
              <w:t>/s/ SYED B. ALI</w:t>
            </w:r>
          </w:p>
        </w:tc>
        <w:tc>
          <w:tcPr>
            <w:tcW w:w="200" w:type="dxa"/>
            <w:vAlign w:val="bottom"/>
          </w:tcPr>
          <w:p>
            <w:pPr>
              <w:spacing w:after="0"/>
              <w:rPr>
                <w:sz w:val="20"/>
                <w:szCs w:val="20"/>
                <w:color w:val="auto"/>
              </w:rPr>
            </w:pPr>
          </w:p>
        </w:tc>
        <w:tc>
          <w:tcPr>
            <w:tcW w:w="4160" w:type="dxa"/>
            <w:vAlign w:val="bottom"/>
          </w:tcPr>
          <w:p>
            <w:pPr>
              <w:ind w:left="2140"/>
              <w:spacing w:after="0"/>
              <w:rPr>
                <w:sz w:val="20"/>
                <w:szCs w:val="20"/>
                <w:color w:val="auto"/>
              </w:rPr>
            </w:pPr>
            <w:r>
              <w:rPr>
                <w:rFonts w:ascii="Times New Roman" w:cs="Times New Roman" w:eastAsia="Times New Roman" w:hAnsi="Times New Roman"/>
                <w:sz w:val="18"/>
                <w:szCs w:val="18"/>
                <w:color w:val="auto"/>
              </w:rPr>
              <w:t>Director</w:t>
            </w:r>
          </w:p>
        </w:tc>
        <w:tc>
          <w:tcPr>
            <w:tcW w:w="2400" w:type="dxa"/>
            <w:vAlign w:val="bottom"/>
          </w:tcPr>
          <w:p>
            <w:pPr>
              <w:ind w:left="1420"/>
              <w:spacing w:after="0"/>
              <w:rPr>
                <w:sz w:val="20"/>
                <w:szCs w:val="20"/>
                <w:color w:val="auto"/>
              </w:rPr>
            </w:pPr>
            <w:r>
              <w:rPr>
                <w:rFonts w:ascii="Times New Roman" w:cs="Times New Roman" w:eastAsia="Times New Roman" w:hAnsi="Times New Roman"/>
                <w:sz w:val="18"/>
                <w:szCs w:val="18"/>
                <w:color w:val="auto"/>
                <w:w w:val="98"/>
              </w:rPr>
              <w:t>July 19, 2018</w:t>
            </w:r>
          </w:p>
        </w:tc>
      </w:tr>
      <w:tr>
        <w:trPr>
          <w:trHeight w:val="232"/>
        </w:trPr>
        <w:tc>
          <w:tcPr>
            <w:tcW w:w="580" w:type="dxa"/>
            <w:vAlign w:val="bottom"/>
          </w:tcPr>
          <w:p>
            <w:pPr>
              <w:spacing w:after="0"/>
              <w:rPr>
                <w:sz w:val="20"/>
                <w:szCs w:val="20"/>
                <w:color w:val="auto"/>
              </w:rPr>
            </w:pPr>
          </w:p>
        </w:tc>
        <w:tc>
          <w:tcPr>
            <w:tcW w:w="3700" w:type="dxa"/>
            <w:vAlign w:val="bottom"/>
          </w:tcPr>
          <w:p>
            <w:pPr>
              <w:jc w:val="center"/>
              <w:ind w:right="490"/>
              <w:spacing w:after="0"/>
              <w:rPr>
                <w:sz w:val="20"/>
                <w:szCs w:val="20"/>
                <w:color w:val="auto"/>
              </w:rPr>
            </w:pPr>
            <w:r>
              <w:rPr>
                <w:rFonts w:ascii="Times New Roman" w:cs="Times New Roman" w:eastAsia="Times New Roman" w:hAnsi="Times New Roman"/>
                <w:sz w:val="18"/>
                <w:szCs w:val="18"/>
                <w:b w:val="1"/>
                <w:bCs w:val="1"/>
                <w:color w:val="auto"/>
                <w:w w:val="98"/>
              </w:rPr>
              <w:t>Syed B. Ali</w:t>
            </w:r>
          </w:p>
        </w:tc>
        <w:tc>
          <w:tcPr>
            <w:tcW w:w="200" w:type="dxa"/>
            <w:vAlign w:val="bottom"/>
          </w:tcPr>
          <w:p>
            <w:pPr>
              <w:spacing w:after="0"/>
              <w:rPr>
                <w:sz w:val="20"/>
                <w:szCs w:val="20"/>
                <w:color w:val="auto"/>
              </w:rPr>
            </w:pPr>
          </w:p>
        </w:tc>
        <w:tc>
          <w:tcPr>
            <w:tcW w:w="4160" w:type="dxa"/>
            <w:vAlign w:val="bottom"/>
          </w:tcPr>
          <w:p>
            <w:pPr>
              <w:spacing w:after="0"/>
              <w:rPr>
                <w:sz w:val="20"/>
                <w:szCs w:val="20"/>
                <w:color w:val="auto"/>
              </w:rPr>
            </w:pPr>
          </w:p>
        </w:tc>
        <w:tc>
          <w:tcPr>
            <w:tcW w:w="2400" w:type="dxa"/>
            <w:vAlign w:val="bottom"/>
          </w:tcPr>
          <w:p>
            <w:pPr>
              <w:spacing w:after="0"/>
              <w:rPr>
                <w:sz w:val="20"/>
                <w:szCs w:val="20"/>
                <w:color w:val="auto"/>
              </w:rPr>
            </w:pPr>
          </w:p>
        </w:tc>
      </w:tr>
      <w:tr>
        <w:trPr>
          <w:trHeight w:val="423"/>
        </w:trPr>
        <w:tc>
          <w:tcPr>
            <w:tcW w:w="580" w:type="dxa"/>
            <w:vAlign w:val="bottom"/>
            <w:tcBorders>
              <w:bottom w:val="single" w:sz="8" w:color="auto"/>
            </w:tcBorders>
          </w:tcPr>
          <w:p>
            <w:pPr>
              <w:spacing w:after="0"/>
              <w:rPr>
                <w:sz w:val="24"/>
                <w:szCs w:val="24"/>
                <w:color w:val="auto"/>
              </w:rPr>
            </w:pPr>
          </w:p>
        </w:tc>
        <w:tc>
          <w:tcPr>
            <w:tcW w:w="3700" w:type="dxa"/>
            <w:vAlign w:val="bottom"/>
            <w:tcBorders>
              <w:bottom w:val="single" w:sz="8" w:color="auto"/>
            </w:tcBorders>
          </w:tcPr>
          <w:p>
            <w:pPr>
              <w:jc w:val="center"/>
              <w:ind w:right="490"/>
              <w:spacing w:after="0"/>
              <w:rPr>
                <w:sz w:val="20"/>
                <w:szCs w:val="20"/>
                <w:color w:val="auto"/>
              </w:rPr>
            </w:pPr>
            <w:r>
              <w:rPr>
                <w:rFonts w:ascii="Times New Roman" w:cs="Times New Roman" w:eastAsia="Times New Roman" w:hAnsi="Times New Roman"/>
                <w:sz w:val="18"/>
                <w:szCs w:val="18"/>
                <w:color w:val="auto"/>
                <w:w w:val="97"/>
              </w:rPr>
              <w:t>/s/ BRAD W. BUSS</w:t>
            </w:r>
          </w:p>
        </w:tc>
        <w:tc>
          <w:tcPr>
            <w:tcW w:w="200" w:type="dxa"/>
            <w:vAlign w:val="bottom"/>
          </w:tcPr>
          <w:p>
            <w:pPr>
              <w:spacing w:after="0"/>
              <w:rPr>
                <w:sz w:val="24"/>
                <w:szCs w:val="24"/>
                <w:color w:val="auto"/>
              </w:rPr>
            </w:pPr>
          </w:p>
        </w:tc>
        <w:tc>
          <w:tcPr>
            <w:tcW w:w="4160" w:type="dxa"/>
            <w:vAlign w:val="bottom"/>
          </w:tcPr>
          <w:p>
            <w:pPr>
              <w:ind w:left="2140"/>
              <w:spacing w:after="0"/>
              <w:rPr>
                <w:sz w:val="20"/>
                <w:szCs w:val="20"/>
                <w:color w:val="auto"/>
              </w:rPr>
            </w:pPr>
            <w:r>
              <w:rPr>
                <w:rFonts w:ascii="Times New Roman" w:cs="Times New Roman" w:eastAsia="Times New Roman" w:hAnsi="Times New Roman"/>
                <w:sz w:val="18"/>
                <w:szCs w:val="18"/>
                <w:color w:val="auto"/>
              </w:rPr>
              <w:t>Director</w:t>
            </w:r>
          </w:p>
        </w:tc>
        <w:tc>
          <w:tcPr>
            <w:tcW w:w="2400" w:type="dxa"/>
            <w:vAlign w:val="bottom"/>
          </w:tcPr>
          <w:p>
            <w:pPr>
              <w:ind w:left="1420"/>
              <w:spacing w:after="0"/>
              <w:rPr>
                <w:sz w:val="20"/>
                <w:szCs w:val="20"/>
                <w:color w:val="auto"/>
              </w:rPr>
            </w:pPr>
            <w:r>
              <w:rPr>
                <w:rFonts w:ascii="Times New Roman" w:cs="Times New Roman" w:eastAsia="Times New Roman" w:hAnsi="Times New Roman"/>
                <w:sz w:val="18"/>
                <w:szCs w:val="18"/>
                <w:color w:val="auto"/>
                <w:w w:val="98"/>
              </w:rPr>
              <w:t>July 19, 2018</w:t>
            </w:r>
          </w:p>
        </w:tc>
      </w:tr>
      <w:tr>
        <w:trPr>
          <w:trHeight w:val="232"/>
        </w:trPr>
        <w:tc>
          <w:tcPr>
            <w:tcW w:w="580" w:type="dxa"/>
            <w:vAlign w:val="bottom"/>
          </w:tcPr>
          <w:p>
            <w:pPr>
              <w:spacing w:after="0"/>
              <w:rPr>
                <w:sz w:val="20"/>
                <w:szCs w:val="20"/>
                <w:color w:val="auto"/>
              </w:rPr>
            </w:pPr>
          </w:p>
        </w:tc>
        <w:tc>
          <w:tcPr>
            <w:tcW w:w="3700" w:type="dxa"/>
            <w:vAlign w:val="bottom"/>
          </w:tcPr>
          <w:p>
            <w:pPr>
              <w:jc w:val="center"/>
              <w:ind w:right="490"/>
              <w:spacing w:after="0"/>
              <w:rPr>
                <w:sz w:val="20"/>
                <w:szCs w:val="20"/>
                <w:color w:val="auto"/>
              </w:rPr>
            </w:pPr>
            <w:r>
              <w:rPr>
                <w:rFonts w:ascii="Times New Roman" w:cs="Times New Roman" w:eastAsia="Times New Roman" w:hAnsi="Times New Roman"/>
                <w:sz w:val="18"/>
                <w:szCs w:val="18"/>
                <w:b w:val="1"/>
                <w:bCs w:val="1"/>
                <w:color w:val="auto"/>
                <w:w w:val="97"/>
              </w:rPr>
              <w:t>Brad W. Buss</w:t>
            </w:r>
          </w:p>
        </w:tc>
        <w:tc>
          <w:tcPr>
            <w:tcW w:w="200" w:type="dxa"/>
            <w:vAlign w:val="bottom"/>
          </w:tcPr>
          <w:p>
            <w:pPr>
              <w:spacing w:after="0"/>
              <w:rPr>
                <w:sz w:val="20"/>
                <w:szCs w:val="20"/>
                <w:color w:val="auto"/>
              </w:rPr>
            </w:pPr>
          </w:p>
        </w:tc>
        <w:tc>
          <w:tcPr>
            <w:tcW w:w="4160" w:type="dxa"/>
            <w:vAlign w:val="bottom"/>
          </w:tcPr>
          <w:p>
            <w:pPr>
              <w:spacing w:after="0"/>
              <w:rPr>
                <w:sz w:val="20"/>
                <w:szCs w:val="20"/>
                <w:color w:val="auto"/>
              </w:rPr>
            </w:pPr>
          </w:p>
        </w:tc>
        <w:tc>
          <w:tcPr>
            <w:tcW w:w="2400" w:type="dxa"/>
            <w:vAlign w:val="bottom"/>
          </w:tcPr>
          <w:p>
            <w:pPr>
              <w:spacing w:after="0"/>
              <w:rPr>
                <w:sz w:val="20"/>
                <w:szCs w:val="20"/>
                <w:color w:val="auto"/>
              </w:rPr>
            </w:pPr>
          </w:p>
        </w:tc>
      </w:tr>
      <w:tr>
        <w:trPr>
          <w:trHeight w:val="423"/>
        </w:trPr>
        <w:tc>
          <w:tcPr>
            <w:tcW w:w="580" w:type="dxa"/>
            <w:vAlign w:val="bottom"/>
            <w:tcBorders>
              <w:bottom w:val="single" w:sz="8" w:color="auto"/>
            </w:tcBorders>
          </w:tcPr>
          <w:p>
            <w:pPr>
              <w:spacing w:after="0"/>
              <w:rPr>
                <w:sz w:val="24"/>
                <w:szCs w:val="24"/>
                <w:color w:val="auto"/>
              </w:rPr>
            </w:pPr>
          </w:p>
        </w:tc>
        <w:tc>
          <w:tcPr>
            <w:tcW w:w="3700" w:type="dxa"/>
            <w:vAlign w:val="bottom"/>
            <w:tcBorders>
              <w:bottom w:val="single" w:sz="8" w:color="auto"/>
            </w:tcBorders>
          </w:tcPr>
          <w:p>
            <w:pPr>
              <w:spacing w:after="0"/>
              <w:rPr>
                <w:sz w:val="24"/>
                <w:szCs w:val="24"/>
                <w:color w:val="auto"/>
              </w:rPr>
            </w:pPr>
          </w:p>
        </w:tc>
        <w:tc>
          <w:tcPr>
            <w:tcW w:w="200" w:type="dxa"/>
            <w:vAlign w:val="bottom"/>
          </w:tcPr>
          <w:p>
            <w:pPr>
              <w:spacing w:after="0"/>
              <w:rPr>
                <w:sz w:val="24"/>
                <w:szCs w:val="24"/>
                <w:color w:val="auto"/>
              </w:rPr>
            </w:pPr>
          </w:p>
        </w:tc>
        <w:tc>
          <w:tcPr>
            <w:tcW w:w="4160" w:type="dxa"/>
            <w:vAlign w:val="bottom"/>
          </w:tcPr>
          <w:p>
            <w:pPr>
              <w:ind w:left="2140"/>
              <w:spacing w:after="0"/>
              <w:rPr>
                <w:sz w:val="20"/>
                <w:szCs w:val="20"/>
                <w:color w:val="auto"/>
              </w:rPr>
            </w:pPr>
            <w:r>
              <w:rPr>
                <w:rFonts w:ascii="Times New Roman" w:cs="Times New Roman" w:eastAsia="Times New Roman" w:hAnsi="Times New Roman"/>
                <w:sz w:val="18"/>
                <w:szCs w:val="18"/>
                <w:color w:val="auto"/>
              </w:rPr>
              <w:t>Director</w:t>
            </w:r>
          </w:p>
        </w:tc>
        <w:tc>
          <w:tcPr>
            <w:tcW w:w="2400" w:type="dxa"/>
            <w:vAlign w:val="bottom"/>
          </w:tcPr>
          <w:p>
            <w:pPr>
              <w:ind w:left="1420"/>
              <w:spacing w:after="0"/>
              <w:rPr>
                <w:sz w:val="20"/>
                <w:szCs w:val="20"/>
                <w:color w:val="auto"/>
              </w:rPr>
            </w:pPr>
            <w:r>
              <w:rPr>
                <w:rFonts w:ascii="Times New Roman" w:cs="Times New Roman" w:eastAsia="Times New Roman" w:hAnsi="Times New Roman"/>
                <w:sz w:val="18"/>
                <w:szCs w:val="18"/>
                <w:color w:val="auto"/>
                <w:w w:val="98"/>
              </w:rPr>
              <w:t>July 19, 2018</w:t>
            </w:r>
          </w:p>
        </w:tc>
      </w:tr>
      <w:tr>
        <w:trPr>
          <w:trHeight w:val="232"/>
        </w:trPr>
        <w:tc>
          <w:tcPr>
            <w:tcW w:w="580" w:type="dxa"/>
            <w:vAlign w:val="bottom"/>
          </w:tcPr>
          <w:p>
            <w:pPr>
              <w:spacing w:after="0"/>
              <w:rPr>
                <w:sz w:val="20"/>
                <w:szCs w:val="20"/>
                <w:color w:val="auto"/>
              </w:rPr>
            </w:pPr>
          </w:p>
        </w:tc>
        <w:tc>
          <w:tcPr>
            <w:tcW w:w="3700" w:type="dxa"/>
            <w:vAlign w:val="bottom"/>
          </w:tcPr>
          <w:p>
            <w:pPr>
              <w:jc w:val="center"/>
              <w:ind w:right="490"/>
              <w:spacing w:after="0"/>
              <w:rPr>
                <w:sz w:val="20"/>
                <w:szCs w:val="20"/>
                <w:color w:val="auto"/>
              </w:rPr>
            </w:pPr>
            <w:r>
              <w:rPr>
                <w:rFonts w:ascii="Times New Roman" w:cs="Times New Roman" w:eastAsia="Times New Roman" w:hAnsi="Times New Roman"/>
                <w:sz w:val="18"/>
                <w:szCs w:val="18"/>
                <w:b w:val="1"/>
                <w:bCs w:val="1"/>
                <w:color w:val="auto"/>
                <w:w w:val="98"/>
              </w:rPr>
              <w:t>Edward H. Frank</w:t>
            </w:r>
          </w:p>
        </w:tc>
        <w:tc>
          <w:tcPr>
            <w:tcW w:w="200" w:type="dxa"/>
            <w:vAlign w:val="bottom"/>
          </w:tcPr>
          <w:p>
            <w:pPr>
              <w:spacing w:after="0"/>
              <w:rPr>
                <w:sz w:val="20"/>
                <w:szCs w:val="20"/>
                <w:color w:val="auto"/>
              </w:rPr>
            </w:pPr>
          </w:p>
        </w:tc>
        <w:tc>
          <w:tcPr>
            <w:tcW w:w="4160" w:type="dxa"/>
            <w:vAlign w:val="bottom"/>
          </w:tcPr>
          <w:p>
            <w:pPr>
              <w:spacing w:after="0"/>
              <w:rPr>
                <w:sz w:val="20"/>
                <w:szCs w:val="20"/>
                <w:color w:val="auto"/>
              </w:rPr>
            </w:pPr>
          </w:p>
        </w:tc>
        <w:tc>
          <w:tcPr>
            <w:tcW w:w="2400" w:type="dxa"/>
            <w:vAlign w:val="bottom"/>
          </w:tcPr>
          <w:p>
            <w:pPr>
              <w:spacing w:after="0"/>
              <w:rPr>
                <w:sz w:val="20"/>
                <w:szCs w:val="20"/>
                <w:color w:val="auto"/>
              </w:rPr>
            </w:pPr>
          </w:p>
        </w:tc>
      </w:tr>
      <w:tr>
        <w:trPr>
          <w:trHeight w:val="450"/>
        </w:trPr>
        <w:tc>
          <w:tcPr>
            <w:tcW w:w="42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**By:   /s/ Jean Hu</w:t>
            </w:r>
          </w:p>
        </w:tc>
        <w:tc>
          <w:tcPr>
            <w:tcW w:w="200" w:type="dxa"/>
            <w:vAlign w:val="bottom"/>
          </w:tcPr>
          <w:p>
            <w:pPr>
              <w:spacing w:after="0"/>
              <w:rPr>
                <w:sz w:val="24"/>
                <w:szCs w:val="24"/>
                <w:color w:val="auto"/>
              </w:rPr>
            </w:pPr>
          </w:p>
        </w:tc>
        <w:tc>
          <w:tcPr>
            <w:tcW w:w="4160" w:type="dxa"/>
            <w:vAlign w:val="bottom"/>
          </w:tcPr>
          <w:p>
            <w:pPr>
              <w:spacing w:after="0"/>
              <w:rPr>
                <w:sz w:val="24"/>
                <w:szCs w:val="24"/>
                <w:color w:val="auto"/>
              </w:rPr>
            </w:pPr>
          </w:p>
        </w:tc>
        <w:tc>
          <w:tcPr>
            <w:tcW w:w="2400" w:type="dxa"/>
            <w:vAlign w:val="bottom"/>
          </w:tcPr>
          <w:p>
            <w:pPr>
              <w:spacing w:after="0"/>
              <w:rPr>
                <w:sz w:val="24"/>
                <w:szCs w:val="24"/>
                <w:color w:val="auto"/>
              </w:rPr>
            </w:pPr>
          </w:p>
        </w:tc>
      </w:tr>
      <w:tr>
        <w:trPr>
          <w:trHeight w:val="228"/>
        </w:trPr>
        <w:tc>
          <w:tcPr>
            <w:tcW w:w="580" w:type="dxa"/>
            <w:vAlign w:val="bottom"/>
          </w:tcPr>
          <w:p>
            <w:pPr>
              <w:spacing w:after="0"/>
              <w:rPr>
                <w:sz w:val="19"/>
                <w:szCs w:val="19"/>
                <w:color w:val="auto"/>
              </w:rPr>
            </w:pPr>
          </w:p>
        </w:tc>
        <w:tc>
          <w:tcPr>
            <w:tcW w:w="3700" w:type="dxa"/>
            <w:vAlign w:val="bottom"/>
            <w:tcBorders>
              <w:top w:val="single" w:sz="8" w:color="auto"/>
            </w:tcBorders>
          </w:tcPr>
          <w:p>
            <w:pPr>
              <w:ind w:left="140"/>
              <w:spacing w:after="0"/>
              <w:rPr>
                <w:sz w:val="20"/>
                <w:szCs w:val="20"/>
                <w:color w:val="auto"/>
              </w:rPr>
            </w:pPr>
            <w:r>
              <w:rPr>
                <w:rFonts w:ascii="Times New Roman" w:cs="Times New Roman" w:eastAsia="Times New Roman" w:hAnsi="Times New Roman"/>
                <w:sz w:val="18"/>
                <w:szCs w:val="18"/>
                <w:color w:val="auto"/>
              </w:rPr>
              <w:t>Attorney-in-fact</w:t>
            </w:r>
          </w:p>
        </w:tc>
        <w:tc>
          <w:tcPr>
            <w:tcW w:w="200" w:type="dxa"/>
            <w:vAlign w:val="bottom"/>
            <w:tcBorders>
              <w:top w:val="single" w:sz="8" w:color="auto"/>
            </w:tcBorders>
          </w:tcPr>
          <w:p>
            <w:pPr>
              <w:spacing w:after="0"/>
              <w:rPr>
                <w:sz w:val="19"/>
                <w:szCs w:val="19"/>
                <w:color w:val="auto"/>
              </w:rPr>
            </w:pPr>
          </w:p>
        </w:tc>
        <w:tc>
          <w:tcPr>
            <w:tcW w:w="4160" w:type="dxa"/>
            <w:vAlign w:val="bottom"/>
          </w:tcPr>
          <w:p>
            <w:pPr>
              <w:spacing w:after="0"/>
              <w:rPr>
                <w:sz w:val="19"/>
                <w:szCs w:val="19"/>
                <w:color w:val="auto"/>
              </w:rPr>
            </w:pPr>
          </w:p>
        </w:tc>
        <w:tc>
          <w:tcPr>
            <w:tcW w:w="2400" w:type="dxa"/>
            <w:vAlign w:val="bottom"/>
          </w:tcPr>
          <w:p>
            <w:pPr>
              <w:spacing w:after="0"/>
              <w:rPr>
                <w:sz w:val="19"/>
                <w:szCs w:val="19"/>
                <w:color w:val="auto"/>
              </w:rPr>
            </w:pPr>
          </w:p>
        </w:tc>
      </w:tr>
    </w:tbl>
    <w:p>
      <w:pPr>
        <w:spacing w:after="0" w:line="206" w:lineRule="exact"/>
        <w:rPr>
          <w:sz w:val="20"/>
          <w:szCs w:val="20"/>
          <w:color w:val="auto"/>
        </w:rPr>
      </w:pPr>
    </w:p>
    <w:p>
      <w:pPr>
        <w:ind w:left="460" w:hanging="452"/>
        <w:spacing w:after="0"/>
        <w:tabs>
          <w:tab w:leader="none" w:pos="460" w:val="left"/>
        </w:tabs>
        <w:numPr>
          <w:ilvl w:val="0"/>
          <w:numId w:val="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Signatures included with Power of Attorney in the Registration Statement on Form S-4 filed with the SEC on December 21, 2017.</w:t>
      </w:r>
    </w:p>
    <w:p>
      <w:pPr>
        <w:sectPr>
          <w:pgSz w:w="11900" w:h="16838" w:orient="portrait"/>
          <w:cols w:equalWidth="0" w:num="1">
            <w:col w:w="11040"/>
          </w:cols>
          <w:pgMar w:left="240" w:top="486" w:right="619" w:bottom="1440" w:gutter="0" w:footer="0" w:header="0"/>
        </w:sectPr>
      </w:pPr>
    </w:p>
    <w:bookmarkStart w:id="22" w:name="page23"/>
    <w:bookmarkEnd w:id="2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5"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3"/>
          <w:szCs w:val="13"/>
          <w:color w:val="auto"/>
        </w:rPr>
        <w:t>Bermuda Office</w:t>
      </w:r>
    </w:p>
    <w:p>
      <w:pPr>
        <w:spacing w:after="0" w:line="67"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3"/>
          <w:szCs w:val="13"/>
          <w:color w:val="auto"/>
        </w:rPr>
        <w:t>Appleby (Bermuda) Limited</w:t>
      </w:r>
    </w:p>
    <w:p>
      <w:pPr>
        <w:spacing w:after="0" w:line="67"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3"/>
          <w:szCs w:val="13"/>
          <w:color w:val="auto"/>
        </w:rPr>
        <w:t>Canon’s Court</w:t>
      </w:r>
    </w:p>
    <w:p>
      <w:pPr>
        <w:spacing w:after="0" w:line="67"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3"/>
          <w:szCs w:val="13"/>
          <w:color w:val="auto"/>
        </w:rPr>
        <w:t>22 Victoria Street</w:t>
      </w:r>
    </w:p>
    <w:p>
      <w:pPr>
        <w:spacing w:after="0" w:line="67"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3"/>
          <w:szCs w:val="13"/>
          <w:color w:val="auto"/>
        </w:rPr>
        <w:t>PO Box HM 1179</w:t>
      </w:r>
    </w:p>
    <w:p>
      <w:pPr>
        <w:spacing w:after="0" w:line="67"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3"/>
          <w:szCs w:val="13"/>
          <w:color w:val="auto"/>
        </w:rPr>
        <w:t>Hamilton HM EX</w:t>
      </w:r>
    </w:p>
    <w:p>
      <w:pPr>
        <w:spacing w:after="0" w:line="67"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3"/>
          <w:szCs w:val="13"/>
          <w:color w:val="auto"/>
        </w:rPr>
        <w:t>Bermuda</w:t>
      </w:r>
    </w:p>
    <w:p>
      <w:pPr>
        <w:spacing w:after="0" w:line="67"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3"/>
          <w:szCs w:val="13"/>
          <w:color w:val="auto"/>
        </w:rPr>
        <w:t>Tel +1 441 295 2244</w:t>
      </w:r>
    </w:p>
    <w:p>
      <w:pPr>
        <w:spacing w:after="0" w:line="283"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3"/>
          <w:szCs w:val="13"/>
          <w:color w:val="auto"/>
        </w:rPr>
        <w:t>applebyglobal.com</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4" w:lineRule="exact"/>
        <w:rPr>
          <w:sz w:val="20"/>
          <w:szCs w:val="20"/>
          <w:color w:val="auto"/>
        </w:rPr>
      </w:pPr>
    </w:p>
    <w:p>
      <w:pPr>
        <w:jc w:val="right"/>
        <w:spacing w:after="0" w:line="222" w:lineRule="auto"/>
        <w:rPr>
          <w:sz w:val="20"/>
          <w:szCs w:val="20"/>
          <w:color w:val="auto"/>
        </w:rPr>
      </w:pPr>
      <w:r>
        <w:rPr>
          <w:rFonts w:ascii="Times New Roman" w:cs="Times New Roman" w:eastAsia="Times New Roman" w:hAnsi="Times New Roman"/>
          <w:sz w:val="13"/>
          <w:szCs w:val="13"/>
          <w:color w:val="auto"/>
        </w:rPr>
        <w:t>Appleby (Bermuda) Limited (the Legal Practice) is a limited liability company incorporated in Bermuda and approved and recognised under the Bermuda Bar (Professional Companies) Rules 2009. “Partner” is a title referring to a director, shareholder or an employee of the Legal Practice. A list of such persons can be obtained from your relationship partner.</w:t>
      </w:r>
    </w:p>
    <w:p>
      <w:pPr>
        <w:spacing w:after="0" w:line="20" w:lineRule="exact"/>
        <w:rPr>
          <w:sz w:val="20"/>
          <w:szCs w:val="20"/>
          <w:color w:val="auto"/>
        </w:rPr>
      </w:pPr>
      <w:r>
        <w:rPr>
          <w:sz w:val="20"/>
          <w:szCs w:val="20"/>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38"/>
        </w:trPr>
        <w:tc>
          <w:tcPr>
            <w:tcW w:w="4520" w:type="dxa"/>
            <w:vAlign w:val="bottom"/>
          </w:tcPr>
          <w:p>
            <w:pPr>
              <w:spacing w:after="0"/>
              <w:rPr>
                <w:sz w:val="20"/>
                <w:szCs w:val="20"/>
                <w:color w:val="auto"/>
              </w:rPr>
            </w:pPr>
          </w:p>
        </w:tc>
        <w:tc>
          <w:tcPr>
            <w:tcW w:w="4060" w:type="dxa"/>
            <w:vAlign w:val="bottom"/>
          </w:tcPr>
          <w:p>
            <w:pPr>
              <w:jc w:val="right"/>
              <w:spacing w:after="0"/>
              <w:rPr>
                <w:sz w:val="20"/>
                <w:szCs w:val="20"/>
                <w:color w:val="auto"/>
              </w:rPr>
            </w:pPr>
            <w:r>
              <w:rPr>
                <w:rFonts w:ascii="Times New Roman" w:cs="Times New Roman" w:eastAsia="Times New Roman" w:hAnsi="Times New Roman"/>
                <w:sz w:val="18"/>
                <w:szCs w:val="18"/>
                <w:b w:val="1"/>
                <w:bCs w:val="1"/>
                <w:color w:val="auto"/>
              </w:rPr>
              <w:t>Exhibit 5.1</w:t>
            </w:r>
          </w:p>
        </w:tc>
        <w:tc>
          <w:tcPr>
            <w:tcW w:w="0" w:type="dxa"/>
            <w:vAlign w:val="bottom"/>
          </w:tcPr>
          <w:p>
            <w:pPr>
              <w:spacing w:after="0"/>
              <w:rPr>
                <w:sz w:val="1"/>
                <w:szCs w:val="1"/>
                <w:color w:val="auto"/>
              </w:rPr>
            </w:pPr>
          </w:p>
        </w:tc>
      </w:tr>
      <w:tr>
        <w:trPr>
          <w:trHeight w:val="558"/>
        </w:trPr>
        <w:tc>
          <w:tcPr>
            <w:tcW w:w="452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Board of Directors</w:t>
            </w:r>
          </w:p>
        </w:tc>
        <w:tc>
          <w:tcPr>
            <w:tcW w:w="4060" w:type="dxa"/>
            <w:vAlign w:val="bottom"/>
          </w:tcPr>
          <w:p>
            <w:pPr>
              <w:jc w:val="right"/>
              <w:spacing w:after="0"/>
              <w:rPr>
                <w:sz w:val="20"/>
                <w:szCs w:val="20"/>
                <w:color w:val="auto"/>
              </w:rPr>
            </w:pPr>
            <w:r>
              <w:rPr>
                <w:rFonts w:ascii="Times New Roman" w:cs="Times New Roman" w:eastAsia="Times New Roman" w:hAnsi="Times New Roman"/>
                <w:sz w:val="18"/>
                <w:szCs w:val="18"/>
                <w:b w:val="1"/>
                <w:bCs w:val="1"/>
                <w:color w:val="auto"/>
              </w:rPr>
              <w:t xml:space="preserve">Email  </w:t>
            </w:r>
            <w:r>
              <w:rPr>
                <w:rFonts w:ascii="Times New Roman" w:cs="Times New Roman" w:eastAsia="Times New Roman" w:hAnsi="Times New Roman"/>
                <w:sz w:val="18"/>
                <w:szCs w:val="18"/>
                <w:color w:val="auto"/>
              </w:rPr>
              <w:t>MEBrewer@applebyglobal.com</w:t>
            </w:r>
          </w:p>
        </w:tc>
        <w:tc>
          <w:tcPr>
            <w:tcW w:w="0" w:type="dxa"/>
            <w:vAlign w:val="bottom"/>
          </w:tcPr>
          <w:p>
            <w:pPr>
              <w:spacing w:after="0"/>
              <w:rPr>
                <w:sz w:val="1"/>
                <w:szCs w:val="1"/>
                <w:color w:val="auto"/>
              </w:rPr>
            </w:pPr>
          </w:p>
        </w:tc>
      </w:tr>
      <w:tr>
        <w:trPr>
          <w:trHeight w:val="238"/>
        </w:trPr>
        <w:tc>
          <w:tcPr>
            <w:tcW w:w="452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tc>
        <w:tc>
          <w:tcPr>
            <w:tcW w:w="4060" w:type="dxa"/>
            <w:vAlign w:val="bottom"/>
            <w:vMerge w:val="restart"/>
          </w:tcPr>
          <w:p>
            <w:pPr>
              <w:jc w:val="right"/>
              <w:spacing w:after="0"/>
              <w:rPr>
                <w:sz w:val="20"/>
                <w:szCs w:val="20"/>
                <w:color w:val="auto"/>
              </w:rPr>
            </w:pPr>
            <w:r>
              <w:rPr>
                <w:rFonts w:ascii="Times New Roman" w:cs="Times New Roman" w:eastAsia="Times New Roman" w:hAnsi="Times New Roman"/>
                <w:sz w:val="18"/>
                <w:szCs w:val="18"/>
                <w:b w:val="1"/>
                <w:bCs w:val="1"/>
                <w:color w:val="auto"/>
              </w:rPr>
              <w:t xml:space="preserve">Direct Dial  </w:t>
            </w:r>
            <w:r>
              <w:rPr>
                <w:rFonts w:ascii="Times New Roman" w:cs="Times New Roman" w:eastAsia="Times New Roman" w:hAnsi="Times New Roman"/>
                <w:sz w:val="18"/>
                <w:szCs w:val="18"/>
                <w:color w:val="auto"/>
              </w:rPr>
              <w:t>+1 441 298 3226</w:t>
            </w:r>
          </w:p>
        </w:tc>
        <w:tc>
          <w:tcPr>
            <w:tcW w:w="0" w:type="dxa"/>
            <w:vAlign w:val="bottom"/>
          </w:tcPr>
          <w:p>
            <w:pPr>
              <w:spacing w:after="0"/>
              <w:rPr>
                <w:sz w:val="1"/>
                <w:szCs w:val="1"/>
                <w:color w:val="auto"/>
              </w:rPr>
            </w:pPr>
          </w:p>
        </w:tc>
      </w:tr>
      <w:tr>
        <w:trPr>
          <w:trHeight w:val="122"/>
        </w:trPr>
        <w:tc>
          <w:tcPr>
            <w:tcW w:w="4520" w:type="dxa"/>
            <w:vAlign w:val="bottom"/>
          </w:tcPr>
          <w:p>
            <w:pPr>
              <w:spacing w:after="0"/>
              <w:rPr>
                <w:sz w:val="10"/>
                <w:szCs w:val="10"/>
                <w:color w:val="auto"/>
              </w:rPr>
            </w:pPr>
          </w:p>
        </w:tc>
        <w:tc>
          <w:tcPr>
            <w:tcW w:w="406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315"/>
        </w:trPr>
        <w:tc>
          <w:tcPr>
            <w:tcW w:w="4520" w:type="dxa"/>
            <w:vAlign w:val="bottom"/>
          </w:tcPr>
          <w:p>
            <w:pPr>
              <w:spacing w:after="0"/>
              <w:rPr>
                <w:sz w:val="24"/>
                <w:szCs w:val="24"/>
                <w:color w:val="auto"/>
              </w:rPr>
            </w:pPr>
          </w:p>
        </w:tc>
        <w:tc>
          <w:tcPr>
            <w:tcW w:w="4060" w:type="dxa"/>
            <w:vAlign w:val="bottom"/>
          </w:tcPr>
          <w:p>
            <w:pPr>
              <w:jc w:val="right"/>
              <w:spacing w:after="0"/>
              <w:rPr>
                <w:sz w:val="20"/>
                <w:szCs w:val="20"/>
                <w:color w:val="auto"/>
              </w:rPr>
            </w:pPr>
            <w:r>
              <w:rPr>
                <w:rFonts w:ascii="Times New Roman" w:cs="Times New Roman" w:eastAsia="Times New Roman" w:hAnsi="Times New Roman"/>
                <w:sz w:val="18"/>
                <w:szCs w:val="18"/>
                <w:b w:val="1"/>
                <w:bCs w:val="1"/>
                <w:color w:val="auto"/>
              </w:rPr>
              <w:t xml:space="preserve">Tel  </w:t>
            </w:r>
            <w:r>
              <w:rPr>
                <w:rFonts w:ascii="Times New Roman" w:cs="Times New Roman" w:eastAsia="Times New Roman" w:hAnsi="Times New Roman"/>
                <w:sz w:val="18"/>
                <w:szCs w:val="18"/>
                <w:color w:val="auto"/>
              </w:rPr>
              <w:t>+1 441 295 2244</w:t>
            </w:r>
          </w:p>
        </w:tc>
        <w:tc>
          <w:tcPr>
            <w:tcW w:w="0" w:type="dxa"/>
            <w:vAlign w:val="bottom"/>
          </w:tcPr>
          <w:p>
            <w:pPr>
              <w:spacing w:after="0"/>
              <w:rPr>
                <w:sz w:val="1"/>
                <w:szCs w:val="1"/>
                <w:color w:val="auto"/>
              </w:rPr>
            </w:pPr>
          </w:p>
        </w:tc>
      </w:tr>
      <w:tr>
        <w:trPr>
          <w:trHeight w:val="238"/>
        </w:trPr>
        <w:tc>
          <w:tcPr>
            <w:tcW w:w="4520" w:type="dxa"/>
            <w:vAlign w:val="bottom"/>
          </w:tcPr>
          <w:p>
            <w:pPr>
              <w:spacing w:after="0"/>
              <w:rPr>
                <w:sz w:val="20"/>
                <w:szCs w:val="20"/>
                <w:color w:val="auto"/>
              </w:rPr>
            </w:pPr>
          </w:p>
        </w:tc>
        <w:tc>
          <w:tcPr>
            <w:tcW w:w="4060" w:type="dxa"/>
            <w:vAlign w:val="bottom"/>
          </w:tcPr>
          <w:p>
            <w:pPr>
              <w:jc w:val="right"/>
              <w:spacing w:after="0"/>
              <w:rPr>
                <w:sz w:val="20"/>
                <w:szCs w:val="20"/>
                <w:color w:val="auto"/>
              </w:rPr>
            </w:pPr>
            <w:r>
              <w:rPr>
                <w:rFonts w:ascii="Times New Roman" w:cs="Times New Roman" w:eastAsia="Times New Roman" w:hAnsi="Times New Roman"/>
                <w:sz w:val="18"/>
                <w:szCs w:val="18"/>
                <w:b w:val="1"/>
                <w:bCs w:val="1"/>
                <w:color w:val="auto"/>
              </w:rPr>
              <w:t xml:space="preserve">Fax  </w:t>
            </w:r>
            <w:r>
              <w:rPr>
                <w:rFonts w:ascii="Times New Roman" w:cs="Times New Roman" w:eastAsia="Times New Roman" w:hAnsi="Times New Roman"/>
                <w:sz w:val="18"/>
                <w:szCs w:val="18"/>
                <w:color w:val="auto"/>
              </w:rPr>
              <w:t>+1 441 292 8666</w:t>
            </w:r>
          </w:p>
        </w:tc>
        <w:tc>
          <w:tcPr>
            <w:tcW w:w="0" w:type="dxa"/>
            <w:vAlign w:val="bottom"/>
          </w:tcPr>
          <w:p>
            <w:pPr>
              <w:spacing w:after="0"/>
              <w:rPr>
                <w:sz w:val="1"/>
                <w:szCs w:val="1"/>
                <w:color w:val="auto"/>
              </w:rPr>
            </w:pPr>
          </w:p>
        </w:tc>
      </w:tr>
      <w:tr>
        <w:trPr>
          <w:trHeight w:val="338"/>
        </w:trPr>
        <w:tc>
          <w:tcPr>
            <w:tcW w:w="4520" w:type="dxa"/>
            <w:vAlign w:val="bottom"/>
          </w:tcPr>
          <w:p>
            <w:pPr>
              <w:spacing w:after="0"/>
              <w:rPr>
                <w:sz w:val="24"/>
                <w:szCs w:val="24"/>
                <w:color w:val="auto"/>
              </w:rPr>
            </w:pPr>
          </w:p>
        </w:tc>
        <w:tc>
          <w:tcPr>
            <w:tcW w:w="4060" w:type="dxa"/>
            <w:vAlign w:val="bottom"/>
          </w:tcPr>
          <w:p>
            <w:pPr>
              <w:jc w:val="right"/>
              <w:spacing w:after="0"/>
              <w:rPr>
                <w:sz w:val="20"/>
                <w:szCs w:val="20"/>
                <w:color w:val="auto"/>
              </w:rPr>
            </w:pPr>
            <w:r>
              <w:rPr>
                <w:rFonts w:ascii="Times New Roman" w:cs="Times New Roman" w:eastAsia="Times New Roman" w:hAnsi="Times New Roman"/>
                <w:sz w:val="18"/>
                <w:szCs w:val="18"/>
                <w:b w:val="1"/>
                <w:bCs w:val="1"/>
                <w:color w:val="auto"/>
              </w:rPr>
              <w:t>Your Ref</w:t>
            </w:r>
          </w:p>
        </w:tc>
        <w:tc>
          <w:tcPr>
            <w:tcW w:w="0" w:type="dxa"/>
            <w:vAlign w:val="bottom"/>
          </w:tcPr>
          <w:p>
            <w:pPr>
              <w:spacing w:after="0"/>
              <w:rPr>
                <w:sz w:val="1"/>
                <w:szCs w:val="1"/>
                <w:color w:val="auto"/>
              </w:rPr>
            </w:pPr>
          </w:p>
        </w:tc>
      </w:tr>
      <w:tr>
        <w:trPr>
          <w:trHeight w:val="338"/>
        </w:trPr>
        <w:tc>
          <w:tcPr>
            <w:tcW w:w="4520" w:type="dxa"/>
            <w:vAlign w:val="bottom"/>
          </w:tcPr>
          <w:p>
            <w:pPr>
              <w:spacing w:after="0"/>
              <w:rPr>
                <w:sz w:val="24"/>
                <w:szCs w:val="24"/>
                <w:color w:val="auto"/>
              </w:rPr>
            </w:pPr>
          </w:p>
        </w:tc>
        <w:tc>
          <w:tcPr>
            <w:tcW w:w="4060" w:type="dxa"/>
            <w:vAlign w:val="bottom"/>
          </w:tcPr>
          <w:p>
            <w:pPr>
              <w:jc w:val="right"/>
              <w:spacing w:after="0"/>
              <w:rPr>
                <w:sz w:val="20"/>
                <w:szCs w:val="20"/>
                <w:color w:val="auto"/>
              </w:rPr>
            </w:pPr>
            <w:r>
              <w:rPr>
                <w:rFonts w:ascii="Times New Roman" w:cs="Times New Roman" w:eastAsia="Times New Roman" w:hAnsi="Times New Roman"/>
                <w:sz w:val="18"/>
                <w:szCs w:val="18"/>
                <w:b w:val="1"/>
                <w:bCs w:val="1"/>
                <w:color w:val="auto"/>
              </w:rPr>
              <w:t xml:space="preserve">Appleby Ref  </w:t>
            </w:r>
            <w:r>
              <w:rPr>
                <w:rFonts w:ascii="Times New Roman" w:cs="Times New Roman" w:eastAsia="Times New Roman" w:hAnsi="Times New Roman"/>
                <w:sz w:val="18"/>
                <w:szCs w:val="18"/>
                <w:color w:val="auto"/>
              </w:rPr>
              <w:t>124194.0045/ME/SS</w:t>
            </w:r>
          </w:p>
        </w:tc>
        <w:tc>
          <w:tcPr>
            <w:tcW w:w="0" w:type="dxa"/>
            <w:vAlign w:val="bottom"/>
          </w:tcPr>
          <w:p>
            <w:pPr>
              <w:spacing w:after="0"/>
              <w:rPr>
                <w:sz w:val="1"/>
                <w:szCs w:val="1"/>
                <w:color w:val="auto"/>
              </w:rPr>
            </w:pPr>
          </w:p>
        </w:tc>
      </w:tr>
      <w:tr>
        <w:trPr>
          <w:trHeight w:val="459"/>
        </w:trPr>
        <w:tc>
          <w:tcPr>
            <w:tcW w:w="4520" w:type="dxa"/>
            <w:vAlign w:val="bottom"/>
          </w:tcPr>
          <w:p>
            <w:pPr>
              <w:spacing w:after="0"/>
              <w:rPr>
                <w:sz w:val="24"/>
                <w:szCs w:val="24"/>
                <w:color w:val="auto"/>
              </w:rPr>
            </w:pPr>
          </w:p>
        </w:tc>
        <w:tc>
          <w:tcPr>
            <w:tcW w:w="40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 July 2018</w:t>
            </w:r>
          </w:p>
        </w:tc>
        <w:tc>
          <w:tcPr>
            <w:tcW w:w="0" w:type="dxa"/>
            <w:vAlign w:val="bottom"/>
          </w:tcPr>
          <w:p>
            <w:pPr>
              <w:spacing w:after="0"/>
              <w:rPr>
                <w:sz w:val="1"/>
                <w:szCs w:val="1"/>
                <w:color w:val="auto"/>
              </w:rPr>
            </w:pPr>
          </w:p>
        </w:tc>
      </w:tr>
      <w:tr>
        <w:trPr>
          <w:trHeight w:val="729"/>
        </w:trPr>
        <w:tc>
          <w:tcPr>
            <w:tcW w:w="45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Dear Sirs</w:t>
            </w:r>
          </w:p>
        </w:tc>
        <w:tc>
          <w:tcPr>
            <w:tcW w:w="40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16"/>
        </w:trPr>
        <w:tc>
          <w:tcPr>
            <w:tcW w:w="4520" w:type="dxa"/>
            <w:vAlign w:val="bottom"/>
          </w:tcPr>
          <w:p>
            <w:pPr>
              <w:ind w:left="40"/>
              <w:spacing w:after="0"/>
              <w:rPr>
                <w:sz w:val="20"/>
                <w:szCs w:val="20"/>
                <w:color w:val="auto"/>
              </w:rPr>
            </w:pPr>
            <w:r>
              <w:rPr>
                <w:rFonts w:ascii="Times New Roman" w:cs="Times New Roman" w:eastAsia="Times New Roman" w:hAnsi="Times New Roman"/>
                <w:sz w:val="18"/>
                <w:szCs w:val="18"/>
                <w:b w:val="1"/>
                <w:bCs w:val="1"/>
                <w:color w:val="auto"/>
              </w:rPr>
              <w:t>Marvell Technology Group Ltd. (Company)</w:t>
            </w:r>
          </w:p>
        </w:tc>
        <w:tc>
          <w:tcPr>
            <w:tcW w:w="40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77" w:lineRule="exact"/>
        <w:rPr>
          <w:sz w:val="20"/>
          <w:szCs w:val="20"/>
          <w:color w:val="auto"/>
        </w:rPr>
      </w:pPr>
    </w:p>
    <w:p>
      <w:pPr>
        <w:ind w:left="40"/>
        <w:spacing w:after="0"/>
        <w:rPr>
          <w:sz w:val="20"/>
          <w:szCs w:val="20"/>
          <w:color w:val="auto"/>
        </w:rPr>
      </w:pPr>
      <w:r>
        <w:rPr>
          <w:rFonts w:ascii="Times New Roman" w:cs="Times New Roman" w:eastAsia="Times New Roman" w:hAnsi="Times New Roman"/>
          <w:sz w:val="18"/>
          <w:szCs w:val="18"/>
          <w:b w:val="1"/>
          <w:bCs w:val="1"/>
          <w:color w:val="auto"/>
        </w:rPr>
        <w:t>INTRODUCTION</w:t>
      </w:r>
    </w:p>
    <w:p>
      <w:pPr>
        <w:spacing w:after="0" w:line="135" w:lineRule="exact"/>
        <w:rPr>
          <w:sz w:val="20"/>
          <w:szCs w:val="20"/>
          <w:color w:val="auto"/>
        </w:rPr>
      </w:pPr>
    </w:p>
    <w:p>
      <w:pPr>
        <w:ind w:left="40" w:right="20"/>
        <w:spacing w:after="0" w:line="258" w:lineRule="auto"/>
        <w:rPr>
          <w:sz w:val="20"/>
          <w:szCs w:val="20"/>
          <w:color w:val="auto"/>
        </w:rPr>
      </w:pPr>
      <w:r>
        <w:rPr>
          <w:rFonts w:ascii="Times New Roman" w:cs="Times New Roman" w:eastAsia="Times New Roman" w:hAnsi="Times New Roman"/>
          <w:sz w:val="18"/>
          <w:szCs w:val="18"/>
          <w:color w:val="auto"/>
        </w:rPr>
        <w:t>This opinion as to Bermuda law is addressed to you in connection with the filing by the Company with the Securities and Exchange Commission under the Securities Act of 1933, as amended (</w:t>
      </w:r>
      <w:r>
        <w:rPr>
          <w:rFonts w:ascii="Times New Roman" w:cs="Times New Roman" w:eastAsia="Times New Roman" w:hAnsi="Times New Roman"/>
          <w:sz w:val="18"/>
          <w:szCs w:val="18"/>
          <w:b w:val="1"/>
          <w:bCs w:val="1"/>
          <w:color w:val="auto"/>
        </w:rPr>
        <w:t>Securities Act</w:t>
      </w:r>
      <w:r>
        <w:rPr>
          <w:rFonts w:ascii="Times New Roman" w:cs="Times New Roman" w:eastAsia="Times New Roman" w:hAnsi="Times New Roman"/>
          <w:sz w:val="18"/>
          <w:szCs w:val="18"/>
          <w:color w:val="auto"/>
        </w:rPr>
        <w:t>) of a Registration Statement in relation to a Post-Effective Amendment No. 2 on Form S-3 to Form S-4 (</w:t>
      </w:r>
      <w:r>
        <w:rPr>
          <w:rFonts w:ascii="Times New Roman" w:cs="Times New Roman" w:eastAsia="Times New Roman" w:hAnsi="Times New Roman"/>
          <w:sz w:val="18"/>
          <w:szCs w:val="18"/>
          <w:b w:val="1"/>
          <w:bCs w:val="1"/>
          <w:color w:val="auto"/>
        </w:rPr>
        <w:t>Registration Statement</w:t>
      </w:r>
      <w:r>
        <w:rPr>
          <w:rFonts w:ascii="Times New Roman" w:cs="Times New Roman" w:eastAsia="Times New Roman" w:hAnsi="Times New Roman"/>
          <w:sz w:val="18"/>
          <w:szCs w:val="18"/>
          <w:color w:val="auto"/>
        </w:rPr>
        <w:t>) with respect to the issue by the Company of Common Shares (</w:t>
      </w:r>
      <w:r>
        <w:rPr>
          <w:rFonts w:ascii="Times New Roman" w:cs="Times New Roman" w:eastAsia="Times New Roman" w:hAnsi="Times New Roman"/>
          <w:sz w:val="18"/>
          <w:szCs w:val="18"/>
          <w:b w:val="1"/>
          <w:bCs w:val="1"/>
          <w:color w:val="auto"/>
        </w:rPr>
        <w:t>Shares</w:t>
      </w:r>
      <w:r>
        <w:rPr>
          <w:rFonts w:ascii="Times New Roman" w:cs="Times New Roman" w:eastAsia="Times New Roman" w:hAnsi="Times New Roman"/>
          <w:sz w:val="18"/>
          <w:szCs w:val="18"/>
          <w:color w:val="auto"/>
        </w:rPr>
        <w:t xml:space="preserve">) (as described in the Registration Statement, and collectively referred to as </w:t>
      </w:r>
      <w:r>
        <w:rPr>
          <w:rFonts w:ascii="Times New Roman" w:cs="Times New Roman" w:eastAsia="Times New Roman" w:hAnsi="Times New Roman"/>
          <w:sz w:val="18"/>
          <w:szCs w:val="18"/>
          <w:b w:val="1"/>
          <w:bCs w:val="1"/>
          <w:color w:val="auto"/>
        </w:rPr>
        <w:t>Shares Offerings</w:t>
      </w:r>
      <w:r>
        <w:rPr>
          <w:rFonts w:ascii="Times New Roman" w:cs="Times New Roman" w:eastAsia="Times New Roman" w:hAnsi="Times New Roman"/>
          <w:sz w:val="18"/>
          <w:szCs w:val="18"/>
          <w:color w:val="auto"/>
        </w:rPr>
        <w:t>).</w:t>
      </w:r>
    </w:p>
    <w:p>
      <w:pPr>
        <w:spacing w:after="0" w:line="329" w:lineRule="exact"/>
        <w:rPr>
          <w:sz w:val="20"/>
          <w:szCs w:val="20"/>
          <w:color w:val="auto"/>
        </w:rPr>
      </w:pPr>
    </w:p>
    <w:p>
      <w:pPr>
        <w:ind w:left="40"/>
        <w:spacing w:after="0"/>
        <w:rPr>
          <w:sz w:val="20"/>
          <w:szCs w:val="20"/>
          <w:color w:val="auto"/>
        </w:rPr>
      </w:pPr>
      <w:r>
        <w:rPr>
          <w:rFonts w:ascii="Times New Roman" w:cs="Times New Roman" w:eastAsia="Times New Roman" w:hAnsi="Times New Roman"/>
          <w:sz w:val="18"/>
          <w:szCs w:val="18"/>
          <w:b w:val="1"/>
          <w:bCs w:val="1"/>
          <w:color w:val="auto"/>
        </w:rPr>
        <w:t>OUR REVIEW</w:t>
      </w:r>
    </w:p>
    <w:p>
      <w:pPr>
        <w:spacing w:after="0" w:line="135" w:lineRule="exact"/>
        <w:rPr>
          <w:sz w:val="20"/>
          <w:szCs w:val="20"/>
          <w:color w:val="auto"/>
        </w:rPr>
      </w:pPr>
    </w:p>
    <w:p>
      <w:pPr>
        <w:ind w:left="40" w:right="220"/>
        <w:spacing w:after="0" w:line="266" w:lineRule="auto"/>
        <w:rPr>
          <w:sz w:val="20"/>
          <w:szCs w:val="20"/>
          <w:color w:val="auto"/>
        </w:rPr>
      </w:pPr>
      <w:r>
        <w:rPr>
          <w:rFonts w:ascii="Times New Roman" w:cs="Times New Roman" w:eastAsia="Times New Roman" w:hAnsi="Times New Roman"/>
          <w:sz w:val="18"/>
          <w:szCs w:val="18"/>
          <w:color w:val="auto"/>
        </w:rPr>
        <w:t>For the purposes of giving this opinion we have examined and relied upon the Registration Statement and the documents listed in Part 2 of Schedule 1 to this opinion (</w:t>
      </w:r>
      <w:r>
        <w:rPr>
          <w:rFonts w:ascii="Times New Roman" w:cs="Times New Roman" w:eastAsia="Times New Roman" w:hAnsi="Times New Roman"/>
          <w:sz w:val="18"/>
          <w:szCs w:val="18"/>
          <w:b w:val="1"/>
          <w:bCs w:val="1"/>
          <w:color w:val="auto"/>
        </w:rPr>
        <w:t>Documents</w:t>
      </w:r>
      <w:r>
        <w:rPr>
          <w:rFonts w:ascii="Times New Roman" w:cs="Times New Roman" w:eastAsia="Times New Roman" w:hAnsi="Times New Roman"/>
          <w:sz w:val="18"/>
          <w:szCs w:val="18"/>
          <w:color w:val="auto"/>
        </w:rPr>
        <w:t>). We have not examined any other documents, even if they are referred to in the Documents.</w:t>
      </w:r>
    </w:p>
    <w:p>
      <w:pPr>
        <w:spacing w:after="0" w:line="203" w:lineRule="exact"/>
        <w:rPr>
          <w:sz w:val="20"/>
          <w:szCs w:val="20"/>
          <w:color w:val="auto"/>
        </w:rPr>
      </w:pPr>
    </w:p>
    <w:p>
      <w:pPr>
        <w:ind w:left="40" w:right="160"/>
        <w:spacing w:after="0" w:line="282" w:lineRule="auto"/>
        <w:rPr>
          <w:sz w:val="20"/>
          <w:szCs w:val="20"/>
          <w:color w:val="auto"/>
        </w:rPr>
      </w:pPr>
      <w:r>
        <w:rPr>
          <w:rFonts w:ascii="Times New Roman" w:cs="Times New Roman" w:eastAsia="Times New Roman" w:hAnsi="Times New Roman"/>
          <w:sz w:val="18"/>
          <w:szCs w:val="18"/>
          <w:color w:val="auto"/>
        </w:rPr>
        <w:t>For the purposes of giving this opinion we have carried out the Company Search and the Litigation Search described in Part 3 of Schedule 1.</w:t>
      </w:r>
    </w:p>
    <w:p>
      <w:pPr>
        <w:spacing w:after="0" w:line="189" w:lineRule="exact"/>
        <w:rPr>
          <w:sz w:val="20"/>
          <w:szCs w:val="20"/>
          <w:color w:val="auto"/>
        </w:rPr>
      </w:pPr>
    </w:p>
    <w:p>
      <w:pPr>
        <w:ind w:left="40" w:right="80"/>
        <w:spacing w:after="0" w:line="266" w:lineRule="auto"/>
        <w:rPr>
          <w:sz w:val="20"/>
          <w:szCs w:val="20"/>
          <w:color w:val="auto"/>
        </w:rPr>
      </w:pPr>
      <w:r>
        <w:rPr>
          <w:rFonts w:ascii="Times New Roman" w:cs="Times New Roman" w:eastAsia="Times New Roman" w:hAnsi="Times New Roman"/>
          <w:sz w:val="18"/>
          <w:szCs w:val="18"/>
          <w:color w:val="auto"/>
        </w:rPr>
        <w:t>We have not made any other enquiries concerning the Company and in particular we have not investigated or verified any matter of fact or representation (whether set out in any of the Registration Statement or elsewhere) other than as expressly stated in this opinion.</w:t>
      </w:r>
    </w:p>
    <w:p>
      <w:pPr>
        <w:spacing w:after="0" w:line="203" w:lineRule="exact"/>
        <w:rPr>
          <w:sz w:val="20"/>
          <w:szCs w:val="20"/>
          <w:color w:val="auto"/>
        </w:rPr>
      </w:pPr>
    </w:p>
    <w:p>
      <w:pPr>
        <w:ind w:left="40"/>
        <w:spacing w:after="0"/>
        <w:rPr>
          <w:sz w:val="20"/>
          <w:szCs w:val="20"/>
          <w:color w:val="auto"/>
        </w:rPr>
      </w:pPr>
      <w:r>
        <w:rPr>
          <w:rFonts w:ascii="Times New Roman" w:cs="Times New Roman" w:eastAsia="Times New Roman" w:hAnsi="Times New Roman"/>
          <w:sz w:val="18"/>
          <w:szCs w:val="18"/>
          <w:color w:val="auto"/>
        </w:rPr>
        <w:t>Unless otherwise defined herein, capitalised terms have the meanings assigned to them in the Registration Statement.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6" w:lineRule="exact"/>
        <w:rPr>
          <w:sz w:val="20"/>
          <w:szCs w:val="20"/>
          <w:color w:val="auto"/>
        </w:rPr>
      </w:pPr>
    </w:p>
    <w:p>
      <w:pPr>
        <w:ind w:left="1240"/>
        <w:spacing w:after="0"/>
        <w:rPr>
          <w:sz w:val="20"/>
          <w:szCs w:val="20"/>
          <w:color w:val="auto"/>
        </w:rPr>
      </w:pPr>
      <w:r>
        <w:rPr>
          <w:rFonts w:ascii="Times New Roman" w:cs="Times New Roman" w:eastAsia="Times New Roman" w:hAnsi="Times New Roman"/>
          <w:sz w:val="13"/>
          <w:szCs w:val="13"/>
          <w:color w:val="auto"/>
        </w:rPr>
        <w:t>Bermuda • British Virgin Islands • Cayman Islands • Guernsey • Hong Kong • Isle of Man • Jersey • Mauritius • Seychelles • Shanghai</w:t>
      </w:r>
    </w:p>
    <w:p>
      <w:pPr>
        <w:sectPr>
          <w:pgSz w:w="11900" w:h="16838" w:orient="portrait"/>
          <w:cols w:equalWidth="0" w:num="2">
            <w:col w:w="2180" w:space="540"/>
            <w:col w:w="8580"/>
          </w:cols>
          <w:pgMar w:left="360" w:top="117" w:right="239" w:bottom="1440" w:gutter="0" w:footer="0" w:header="0"/>
        </w:sectPr>
      </w:pPr>
    </w:p>
    <w:bookmarkStart w:id="23" w:name="page24"/>
    <w:bookmarkEnd w:id="23"/>
    <w:p>
      <w:pPr>
        <w:ind w:left="1780"/>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LIMITATIONS</w:t>
      </w:r>
    </w:p>
    <w:p>
      <w:pPr>
        <w:spacing w:after="0" w:line="121" w:lineRule="exact"/>
        <w:rPr>
          <w:sz w:val="20"/>
          <w:szCs w:val="20"/>
          <w:color w:val="auto"/>
        </w:rPr>
      </w:pPr>
    </w:p>
    <w:p>
      <w:pPr>
        <w:ind w:left="1780" w:right="560"/>
        <w:spacing w:after="0" w:line="282" w:lineRule="auto"/>
        <w:rPr>
          <w:sz w:val="20"/>
          <w:szCs w:val="20"/>
          <w:color w:val="auto"/>
        </w:rPr>
      </w:pPr>
      <w:r>
        <w:rPr>
          <w:rFonts w:ascii="Times New Roman" w:cs="Times New Roman" w:eastAsia="Times New Roman" w:hAnsi="Times New Roman"/>
          <w:sz w:val="18"/>
          <w:szCs w:val="18"/>
          <w:color w:val="auto"/>
        </w:rPr>
        <w:t>Our opinion is limited to, and should be construed in accordance with, the laws of Bermuda at the date of this opinion. We express no opinion on the laws of any other jurisdiction.</w:t>
      </w:r>
    </w:p>
    <w:p>
      <w:pPr>
        <w:spacing w:after="0" w:line="162" w:lineRule="exact"/>
        <w:rPr>
          <w:sz w:val="20"/>
          <w:szCs w:val="20"/>
          <w:color w:val="auto"/>
        </w:rPr>
      </w:pPr>
    </w:p>
    <w:p>
      <w:pPr>
        <w:ind w:left="1780" w:right="540"/>
        <w:spacing w:after="0" w:line="266" w:lineRule="auto"/>
        <w:rPr>
          <w:sz w:val="20"/>
          <w:szCs w:val="20"/>
          <w:color w:val="auto"/>
        </w:rPr>
      </w:pPr>
      <w:r>
        <w:rPr>
          <w:rFonts w:ascii="Times New Roman" w:cs="Times New Roman" w:eastAsia="Times New Roman" w:hAnsi="Times New Roman"/>
          <w:sz w:val="18"/>
          <w:szCs w:val="18"/>
          <w:color w:val="auto"/>
        </w:rPr>
        <w:t>This opinion is strictly limited to the matters stated in it and does not extend to, and is not to be extended by implication, to any other matters. We express no opinion on the commercial implications of the Documents or whether they give effect to the commercial intentions of the parties.</w:t>
      </w:r>
    </w:p>
    <w:p>
      <w:pPr>
        <w:spacing w:after="0" w:line="176" w:lineRule="exact"/>
        <w:rPr>
          <w:sz w:val="20"/>
          <w:szCs w:val="20"/>
          <w:color w:val="auto"/>
        </w:rPr>
      </w:pPr>
    </w:p>
    <w:p>
      <w:pPr>
        <w:ind w:left="1780" w:right="120"/>
        <w:spacing w:after="0" w:line="266" w:lineRule="auto"/>
        <w:rPr>
          <w:sz w:val="20"/>
          <w:szCs w:val="20"/>
          <w:color w:val="auto"/>
        </w:rPr>
      </w:pPr>
      <w:r>
        <w:rPr>
          <w:rFonts w:ascii="Times New Roman" w:cs="Times New Roman" w:eastAsia="Times New Roman" w:hAnsi="Times New Roman"/>
          <w:sz w:val="18"/>
          <w:szCs w:val="18"/>
          <w:color w:val="auto"/>
        </w:rPr>
        <w:t>This opinion is given solely for the benefit of the addressee(s) in connection with the matters referred to herein and, except with our prior written consent, it may not be transmitted or disclosed to or used or relied upon by any other person or be relied upon for any other purpose whatsoever, save as, and to the extent provided, below.</w:t>
      </w:r>
    </w:p>
    <w:p>
      <w:pPr>
        <w:spacing w:after="0" w:line="176" w:lineRule="exact"/>
        <w:rPr>
          <w:sz w:val="20"/>
          <w:szCs w:val="20"/>
          <w:color w:val="auto"/>
        </w:rPr>
      </w:pPr>
    </w:p>
    <w:p>
      <w:pPr>
        <w:ind w:left="1780" w:right="60"/>
        <w:spacing w:after="0" w:line="256" w:lineRule="auto"/>
        <w:rPr>
          <w:sz w:val="20"/>
          <w:szCs w:val="20"/>
          <w:color w:val="auto"/>
        </w:rPr>
      </w:pPr>
      <w:r>
        <w:rPr>
          <w:rFonts w:ascii="Times New Roman" w:cs="Times New Roman" w:eastAsia="Times New Roman" w:hAnsi="Times New Roman"/>
          <w:sz w:val="18"/>
          <w:szCs w:val="18"/>
          <w:color w:val="auto"/>
        </w:rPr>
        <w:t>We consent to the inclusion of this opinion as Exhibit 5.1 to the Registration Statement but it is not to be made available, or relied on by any other person or entity, or for any other purpose, nor quoted or referred to in any public document nor filed with any governmental agency or person (other than the SEC in connection with the Registration Statement), without our prior written consent except as may be required by law or regulatory authority. As Bermuda attorneys, however, we are not qualified to opine on matters of law of any jurisdiction other than Bermuda, and accordingly do not admit to being an expert within the meaning of the Securities Act.</w:t>
      </w:r>
    </w:p>
    <w:p>
      <w:pPr>
        <w:spacing w:after="0" w:line="292" w:lineRule="exact"/>
        <w:rPr>
          <w:sz w:val="20"/>
          <w:szCs w:val="20"/>
          <w:color w:val="auto"/>
        </w:rPr>
      </w:pPr>
    </w:p>
    <w:p>
      <w:pPr>
        <w:ind w:left="1780"/>
        <w:spacing w:after="0"/>
        <w:rPr>
          <w:sz w:val="20"/>
          <w:szCs w:val="20"/>
          <w:color w:val="auto"/>
        </w:rPr>
      </w:pPr>
      <w:r>
        <w:rPr>
          <w:rFonts w:ascii="Times New Roman" w:cs="Times New Roman" w:eastAsia="Times New Roman" w:hAnsi="Times New Roman"/>
          <w:sz w:val="18"/>
          <w:szCs w:val="18"/>
          <w:b w:val="1"/>
          <w:bCs w:val="1"/>
          <w:color w:val="auto"/>
        </w:rPr>
        <w:t>ASSUMPTIONS AND RESERVATIONS</w:t>
      </w:r>
    </w:p>
    <w:p>
      <w:pPr>
        <w:spacing w:after="0" w:line="117" w:lineRule="exact"/>
        <w:rPr>
          <w:sz w:val="20"/>
          <w:szCs w:val="20"/>
          <w:color w:val="auto"/>
        </w:rPr>
      </w:pPr>
    </w:p>
    <w:p>
      <w:pPr>
        <w:ind w:left="1780" w:right="20"/>
        <w:spacing w:after="0" w:line="286" w:lineRule="auto"/>
        <w:rPr>
          <w:sz w:val="20"/>
          <w:szCs w:val="20"/>
          <w:color w:val="auto"/>
        </w:rPr>
      </w:pPr>
      <w:r>
        <w:rPr>
          <w:rFonts w:ascii="Times New Roman" w:cs="Times New Roman" w:eastAsia="Times New Roman" w:hAnsi="Times New Roman"/>
          <w:sz w:val="18"/>
          <w:szCs w:val="18"/>
          <w:color w:val="auto"/>
        </w:rPr>
        <w:t>We give the following opinions on the basis of the assumptions set out in Schedule 2 (</w:t>
      </w:r>
      <w:r>
        <w:rPr>
          <w:rFonts w:ascii="Times New Roman" w:cs="Times New Roman" w:eastAsia="Times New Roman" w:hAnsi="Times New Roman"/>
          <w:sz w:val="18"/>
          <w:szCs w:val="18"/>
          <w:b w:val="1"/>
          <w:bCs w:val="1"/>
          <w:color w:val="auto"/>
        </w:rPr>
        <w:t>Assumptions</w:t>
      </w:r>
      <w:r>
        <w:rPr>
          <w:rFonts w:ascii="Times New Roman" w:cs="Times New Roman" w:eastAsia="Times New Roman" w:hAnsi="Times New Roman"/>
          <w:sz w:val="18"/>
          <w:szCs w:val="18"/>
          <w:color w:val="auto"/>
        </w:rPr>
        <w:t>), which we have not verified, and subject to the reservations set out in Schedule 3 (</w:t>
      </w:r>
      <w:r>
        <w:rPr>
          <w:rFonts w:ascii="Times New Roman" w:cs="Times New Roman" w:eastAsia="Times New Roman" w:hAnsi="Times New Roman"/>
          <w:sz w:val="18"/>
          <w:szCs w:val="18"/>
          <w:b w:val="1"/>
          <w:bCs w:val="1"/>
          <w:color w:val="auto"/>
        </w:rPr>
        <w:t>Reservations</w:t>
      </w:r>
      <w:r>
        <w:rPr>
          <w:rFonts w:ascii="Times New Roman" w:cs="Times New Roman" w:eastAsia="Times New Roman" w:hAnsi="Times New Roman"/>
          <w:sz w:val="18"/>
          <w:szCs w:val="18"/>
          <w:color w:val="auto"/>
        </w:rPr>
        <w:t>).</w:t>
      </w:r>
    </w:p>
    <w:p>
      <w:pPr>
        <w:spacing w:after="0" w:line="263" w:lineRule="exact"/>
        <w:rPr>
          <w:sz w:val="20"/>
          <w:szCs w:val="20"/>
          <w:color w:val="auto"/>
        </w:rPr>
      </w:pPr>
    </w:p>
    <w:p>
      <w:pPr>
        <w:ind w:left="1780"/>
        <w:spacing w:after="0"/>
        <w:rPr>
          <w:sz w:val="20"/>
          <w:szCs w:val="20"/>
          <w:color w:val="auto"/>
        </w:rPr>
      </w:pPr>
      <w:r>
        <w:rPr>
          <w:rFonts w:ascii="Times New Roman" w:cs="Times New Roman" w:eastAsia="Times New Roman" w:hAnsi="Times New Roman"/>
          <w:sz w:val="18"/>
          <w:szCs w:val="18"/>
          <w:b w:val="1"/>
          <w:bCs w:val="1"/>
          <w:color w:val="auto"/>
        </w:rPr>
        <w:t>OPINIONS</w:t>
      </w:r>
    </w:p>
    <w:p>
      <w:pPr>
        <w:spacing w:after="0" w:line="131" w:lineRule="exact"/>
        <w:rPr>
          <w:sz w:val="20"/>
          <w:szCs w:val="20"/>
          <w:color w:val="auto"/>
        </w:rPr>
      </w:pPr>
    </w:p>
    <w:p>
      <w:pPr>
        <w:ind w:left="2340" w:right="100" w:hanging="574"/>
        <w:spacing w:after="0" w:line="268" w:lineRule="auto"/>
        <w:tabs>
          <w:tab w:leader="none" w:pos="2340" w:val="left"/>
        </w:tabs>
        <w:numPr>
          <w:ilvl w:val="0"/>
          <w:numId w:val="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Incorporation and Status</w:t>
      </w:r>
      <w:r>
        <w:rPr>
          <w:rFonts w:ascii="Times New Roman" w:cs="Times New Roman" w:eastAsia="Times New Roman" w:hAnsi="Times New Roman"/>
          <w:sz w:val="18"/>
          <w:szCs w:val="18"/>
          <w:color w:val="auto"/>
        </w:rPr>
        <w:t>: The Company is incorporated as an exempted company limited by shares and</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existing under the laws of Bermuda and is a separate legal entity. The Company is in good standing with the Registrar of Companies of Bermuda.</w:t>
      </w:r>
    </w:p>
    <w:p>
      <w:pPr>
        <w:spacing w:after="0" w:line="197" w:lineRule="exact"/>
        <w:rPr>
          <w:rFonts w:ascii="Times New Roman" w:cs="Times New Roman" w:eastAsia="Times New Roman" w:hAnsi="Times New Roman"/>
          <w:sz w:val="18"/>
          <w:szCs w:val="18"/>
          <w:color w:val="auto"/>
        </w:rPr>
      </w:pPr>
    </w:p>
    <w:p>
      <w:pPr>
        <w:ind w:left="2340" w:right="60" w:hanging="574"/>
        <w:spacing w:after="0" w:line="259" w:lineRule="auto"/>
        <w:tabs>
          <w:tab w:leader="none" w:pos="2340" w:val="left"/>
        </w:tabs>
        <w:numPr>
          <w:ilvl w:val="0"/>
          <w:numId w:val="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Shares</w:t>
      </w:r>
      <w:r>
        <w:rPr>
          <w:rFonts w:ascii="Times New Roman" w:cs="Times New Roman" w:eastAsia="Times New Roman" w:hAnsi="Times New Roman"/>
          <w:sz w:val="18"/>
          <w:szCs w:val="18"/>
          <w:color w:val="auto"/>
        </w:rPr>
        <w:t>: When duly authorised, allotted, issued and fully paid for pursuant to the terms of the Resolutions,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and any other requisite resolutions of the Board of Directors in respect of any Common Shares, and in accordance with the terms and conditions referred to or summarised in the Registration Statement and in any prospectus supplement issued pursuant to and as contemplated by the Registration Statement, the Common Shares will be validly issued, fully paid and non-assessable shares in the capital of the Company.</w:t>
      </w:r>
    </w:p>
    <w:p>
      <w:pPr>
        <w:spacing w:after="0" w:line="112"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4"/>
          <w:szCs w:val="14"/>
          <w:color w:val="auto"/>
        </w:rPr>
        <w:t>2</w:t>
      </w:r>
    </w:p>
    <w:p>
      <w:pPr>
        <w:spacing w:after="0" w:line="100"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3"/>
          <w:szCs w:val="13"/>
          <w:color w:val="auto"/>
        </w:rPr>
        <w:t>Bermuda • British Virgin Islands • Cayman Islands • Guernsey • Hong Kong • Isle of Man • Jersey • Mauritius • Seychelles • Shanghai</w:t>
      </w:r>
    </w:p>
    <w:p>
      <w:pPr>
        <w:sectPr>
          <w:pgSz w:w="11900" w:h="16838" w:orient="portrait"/>
          <w:cols w:equalWidth="0" w:num="1">
            <w:col w:w="10220"/>
          </w:cols>
          <w:pgMar w:left="1440" w:top="266" w:right="239" w:bottom="1440" w:gutter="0" w:footer="0" w:header="0"/>
        </w:sectPr>
      </w:pPr>
    </w:p>
    <w:bookmarkStart w:id="24" w:name="page25"/>
    <w:bookmarkEnd w:id="24"/>
    <w:p>
      <w:pPr>
        <w:ind w:left="2340" w:right="140" w:hanging="574"/>
        <w:spacing w:after="0" w:line="268" w:lineRule="auto"/>
        <w:tabs>
          <w:tab w:leader="none" w:pos="2340"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Shares Offerings</w:t>
      </w:r>
      <w:r>
        <w:rPr>
          <w:rFonts w:ascii="Times New Roman" w:cs="Times New Roman" w:eastAsia="Times New Roman" w:hAnsi="Times New Roman"/>
          <w:sz w:val="18"/>
          <w:szCs w:val="18"/>
          <w:color w:val="auto"/>
        </w:rPr>
        <w:t>: The Company has all the requisite corporate power to enter into, execute, deliver and</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perform its obligations under the Shares Offerings to which it may become a party and to take all actions as may be necessary to complete the transactions contemplated thereby.</w:t>
      </w:r>
    </w:p>
    <w:p>
      <w:pPr>
        <w:spacing w:after="0" w:line="201" w:lineRule="exact"/>
        <w:rPr>
          <w:rFonts w:ascii="Times New Roman" w:cs="Times New Roman" w:eastAsia="Times New Roman" w:hAnsi="Times New Roman"/>
          <w:sz w:val="18"/>
          <w:szCs w:val="18"/>
          <w:color w:val="auto"/>
        </w:rPr>
      </w:pPr>
    </w:p>
    <w:p>
      <w:pPr>
        <w:ind w:left="2340" w:right="100" w:hanging="574"/>
        <w:spacing w:after="0" w:line="256" w:lineRule="auto"/>
        <w:tabs>
          <w:tab w:leader="none" w:pos="2340"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By Notice to the Public published by the Bermuda Monetary Authority on 1 June 2005, general permission pursuant to the Exchange Control Act 1972 and the Exchange Control Regulations 1973 made thereunder was given by the Bermuda Monetary Authority for the issue and subsequent transfer of any securities of a Bermuda company from and/or to a non-resident, where any ‘Equity Securities’, as defined in the Exchange Control Notice, are listed on an appointed stock exchange, which includes the NASDAQ Global Select Market.</w:t>
      </w:r>
    </w:p>
    <w:p>
      <w:pPr>
        <w:spacing w:after="0" w:line="200" w:lineRule="exact"/>
        <w:rPr>
          <w:sz w:val="20"/>
          <w:szCs w:val="20"/>
          <w:color w:val="auto"/>
        </w:rPr>
      </w:pPr>
    </w:p>
    <w:p>
      <w:pPr>
        <w:spacing w:after="0" w:line="204" w:lineRule="exact"/>
        <w:rPr>
          <w:sz w:val="20"/>
          <w:szCs w:val="20"/>
          <w:color w:val="auto"/>
        </w:rPr>
      </w:pPr>
    </w:p>
    <w:p>
      <w:pPr>
        <w:ind w:left="1780"/>
        <w:spacing w:after="0"/>
        <w:rPr>
          <w:sz w:val="20"/>
          <w:szCs w:val="20"/>
          <w:color w:val="auto"/>
        </w:rPr>
      </w:pPr>
      <w:r>
        <w:rPr>
          <w:rFonts w:ascii="Times New Roman" w:cs="Times New Roman" w:eastAsia="Times New Roman" w:hAnsi="Times New Roman"/>
          <w:sz w:val="18"/>
          <w:szCs w:val="18"/>
          <w:color w:val="auto"/>
        </w:rPr>
        <w:t>Yours faithfully</w:t>
      </w:r>
    </w:p>
    <w:p>
      <w:pPr>
        <w:spacing w:after="0" w:line="200" w:lineRule="exact"/>
        <w:rPr>
          <w:sz w:val="20"/>
          <w:szCs w:val="20"/>
          <w:color w:val="auto"/>
        </w:rPr>
      </w:pPr>
    </w:p>
    <w:p>
      <w:pPr>
        <w:spacing w:after="0" w:line="241" w:lineRule="exact"/>
        <w:rPr>
          <w:sz w:val="20"/>
          <w:szCs w:val="20"/>
          <w:color w:val="auto"/>
        </w:rPr>
      </w:pPr>
    </w:p>
    <w:p>
      <w:pPr>
        <w:ind w:left="1780"/>
        <w:spacing w:after="0"/>
        <w:rPr>
          <w:sz w:val="20"/>
          <w:szCs w:val="20"/>
          <w:color w:val="auto"/>
        </w:rPr>
      </w:pPr>
      <w:r>
        <w:rPr>
          <w:rFonts w:ascii="Times New Roman" w:cs="Times New Roman" w:eastAsia="Times New Roman" w:hAnsi="Times New Roman"/>
          <w:sz w:val="18"/>
          <w:szCs w:val="18"/>
          <w:color w:val="auto"/>
        </w:rPr>
        <w:t>/s/ Appleby (Bermuda) Limited</w:t>
      </w:r>
    </w:p>
    <w:p>
      <w:pPr>
        <w:spacing w:after="0" w:line="27" w:lineRule="exact"/>
        <w:rPr>
          <w:sz w:val="20"/>
          <w:szCs w:val="20"/>
          <w:color w:val="auto"/>
        </w:rPr>
      </w:pPr>
    </w:p>
    <w:p>
      <w:pPr>
        <w:ind w:left="1780"/>
        <w:spacing w:after="0"/>
        <w:rPr>
          <w:sz w:val="20"/>
          <w:szCs w:val="20"/>
          <w:color w:val="auto"/>
        </w:rPr>
      </w:pPr>
      <w:r>
        <w:rPr>
          <w:rFonts w:ascii="Times New Roman" w:cs="Times New Roman" w:eastAsia="Times New Roman" w:hAnsi="Times New Roman"/>
          <w:sz w:val="18"/>
          <w:szCs w:val="18"/>
          <w:b w:val="1"/>
          <w:bCs w:val="1"/>
          <w:color w:val="auto"/>
        </w:rPr>
        <w:t>Appleby (Bermuda) Limited</w:t>
      </w:r>
    </w:p>
    <w:p>
      <w:pPr>
        <w:spacing w:after="0" w:line="135"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4"/>
          <w:szCs w:val="14"/>
          <w:color w:val="auto"/>
        </w:rPr>
        <w:t>3</w:t>
      </w:r>
    </w:p>
    <w:p>
      <w:pPr>
        <w:spacing w:after="0" w:line="100"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3"/>
          <w:szCs w:val="13"/>
          <w:color w:val="auto"/>
        </w:rPr>
        <w:t>Bermuda • British Virgin Islands • Cayman Islands • Guernsey • Hong Kong • Isle of Man • Jersey • Mauritius • Seychelles • Shanghai</w:t>
      </w:r>
    </w:p>
    <w:p>
      <w:pPr>
        <w:sectPr>
          <w:pgSz w:w="11900" w:h="16838" w:orient="portrait"/>
          <w:cols w:equalWidth="0" w:num="1">
            <w:col w:w="10220"/>
          </w:cols>
          <w:pgMar w:left="1440" w:top="266" w:right="239" w:bottom="1440" w:gutter="0" w:footer="0" w:header="0"/>
        </w:sectPr>
      </w:pPr>
    </w:p>
    <w:bookmarkStart w:id="25" w:name="page26"/>
    <w:bookmarkEnd w:id="25"/>
    <w:p>
      <w:pPr>
        <w:jc w:val="center"/>
        <w:ind w:left="2980"/>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SCHEDULE 1</w:t>
      </w:r>
    </w:p>
    <w:p>
      <w:pPr>
        <w:spacing w:after="0" w:line="117" w:lineRule="exact"/>
        <w:rPr>
          <w:sz w:val="20"/>
          <w:szCs w:val="20"/>
          <w:color w:val="auto"/>
        </w:rPr>
      </w:pPr>
    </w:p>
    <w:p>
      <w:pPr>
        <w:jc w:val="center"/>
        <w:ind w:left="2980"/>
        <w:spacing w:after="0"/>
        <w:rPr>
          <w:sz w:val="20"/>
          <w:szCs w:val="20"/>
          <w:color w:val="auto"/>
        </w:rPr>
      </w:pPr>
      <w:r>
        <w:rPr>
          <w:rFonts w:ascii="Times New Roman" w:cs="Times New Roman" w:eastAsia="Times New Roman" w:hAnsi="Times New Roman"/>
          <w:sz w:val="18"/>
          <w:szCs w:val="18"/>
          <w:b w:val="1"/>
          <w:bCs w:val="1"/>
          <w:color w:val="auto"/>
        </w:rPr>
        <w:t>Part 1</w:t>
      </w:r>
    </w:p>
    <w:p>
      <w:pPr>
        <w:spacing w:after="0" w:line="225" w:lineRule="exact"/>
        <w:rPr>
          <w:sz w:val="20"/>
          <w:szCs w:val="20"/>
          <w:color w:val="auto"/>
        </w:rPr>
      </w:pPr>
    </w:p>
    <w:p>
      <w:pPr>
        <w:ind w:left="4940"/>
        <w:spacing w:after="0"/>
        <w:rPr>
          <w:sz w:val="20"/>
          <w:szCs w:val="20"/>
          <w:color w:val="auto"/>
        </w:rPr>
      </w:pPr>
      <w:r>
        <w:rPr>
          <w:rFonts w:ascii="Times New Roman" w:cs="Times New Roman" w:eastAsia="Times New Roman" w:hAnsi="Times New Roman"/>
          <w:sz w:val="18"/>
          <w:szCs w:val="18"/>
          <w:b w:val="1"/>
          <w:bCs w:val="1"/>
          <w:color w:val="auto"/>
        </w:rPr>
        <w:t>The Registration Statement</w:t>
      </w:r>
    </w:p>
    <w:p>
      <w:pPr>
        <w:spacing w:after="0" w:line="256" w:lineRule="exact"/>
        <w:rPr>
          <w:sz w:val="20"/>
          <w:szCs w:val="20"/>
          <w:color w:val="auto"/>
        </w:rPr>
      </w:pPr>
    </w:p>
    <w:p>
      <w:pPr>
        <w:ind w:left="2340" w:right="400" w:hanging="574"/>
        <w:spacing w:after="0" w:line="282" w:lineRule="auto"/>
        <w:tabs>
          <w:tab w:leader="none" w:pos="2340" w:val="left"/>
        </w:tabs>
        <w:numPr>
          <w:ilvl w:val="0"/>
          <w:numId w:val="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copy, in PDF format of the final form of the Registration Statement dated 19 July 2018, excluding the documents incorporated by reference therein.</w:t>
      </w:r>
    </w:p>
    <w:p>
      <w:pPr>
        <w:spacing w:after="0" w:line="374" w:lineRule="exact"/>
        <w:rPr>
          <w:sz w:val="20"/>
          <w:szCs w:val="20"/>
          <w:color w:val="auto"/>
        </w:rPr>
      </w:pPr>
    </w:p>
    <w:p>
      <w:pPr>
        <w:jc w:val="center"/>
        <w:ind w:left="2980"/>
        <w:spacing w:after="0"/>
        <w:rPr>
          <w:sz w:val="20"/>
          <w:szCs w:val="20"/>
          <w:color w:val="auto"/>
        </w:rPr>
      </w:pPr>
      <w:r>
        <w:rPr>
          <w:rFonts w:ascii="Times New Roman" w:cs="Times New Roman" w:eastAsia="Times New Roman" w:hAnsi="Times New Roman"/>
          <w:sz w:val="18"/>
          <w:szCs w:val="18"/>
          <w:b w:val="1"/>
          <w:bCs w:val="1"/>
          <w:color w:val="auto"/>
        </w:rPr>
        <w:t>Part 2</w:t>
      </w:r>
    </w:p>
    <w:p>
      <w:pPr>
        <w:spacing w:after="0" w:line="225" w:lineRule="exact"/>
        <w:rPr>
          <w:sz w:val="20"/>
          <w:szCs w:val="20"/>
          <w:color w:val="auto"/>
        </w:rPr>
      </w:pPr>
    </w:p>
    <w:p>
      <w:pPr>
        <w:ind w:left="5160"/>
        <w:spacing w:after="0"/>
        <w:rPr>
          <w:sz w:val="20"/>
          <w:szCs w:val="20"/>
          <w:color w:val="auto"/>
        </w:rPr>
      </w:pPr>
      <w:r>
        <w:rPr>
          <w:rFonts w:ascii="Times New Roman" w:cs="Times New Roman" w:eastAsia="Times New Roman" w:hAnsi="Times New Roman"/>
          <w:sz w:val="18"/>
          <w:szCs w:val="18"/>
          <w:b w:val="1"/>
          <w:bCs w:val="1"/>
          <w:color w:val="auto"/>
        </w:rPr>
        <w:t>Documents Examined</w:t>
      </w:r>
    </w:p>
    <w:p>
      <w:pPr>
        <w:spacing w:after="0" w:line="252" w:lineRule="exact"/>
        <w:rPr>
          <w:sz w:val="20"/>
          <w:szCs w:val="20"/>
          <w:color w:val="auto"/>
        </w:rPr>
      </w:pPr>
    </w:p>
    <w:p>
      <w:pPr>
        <w:ind w:left="2340" w:right="300" w:hanging="574"/>
        <w:spacing w:after="0" w:line="286" w:lineRule="auto"/>
        <w:tabs>
          <w:tab w:leader="none" w:pos="2340" w:val="left"/>
        </w:tabs>
        <w:numPr>
          <w:ilvl w:val="0"/>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certified copy of the certificate of incorporation of the Company dated 11 January 1995 (</w:t>
      </w:r>
      <w:r>
        <w:rPr>
          <w:rFonts w:ascii="Times New Roman" w:cs="Times New Roman" w:eastAsia="Times New Roman" w:hAnsi="Times New Roman"/>
          <w:sz w:val="18"/>
          <w:szCs w:val="18"/>
          <w:b w:val="1"/>
          <w:bCs w:val="1"/>
          <w:color w:val="auto"/>
        </w:rPr>
        <w:t>Certificate of</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Incorporation</w:t>
      </w:r>
      <w:r>
        <w:rPr>
          <w:rFonts w:ascii="Times New Roman" w:cs="Times New Roman" w:eastAsia="Times New Roman" w:hAnsi="Times New Roman"/>
          <w:sz w:val="18"/>
          <w:szCs w:val="18"/>
          <w:color w:val="auto"/>
        </w:rPr>
        <w:t>).</w:t>
      </w:r>
    </w:p>
    <w:p>
      <w:pPr>
        <w:spacing w:after="0" w:line="185" w:lineRule="exact"/>
        <w:rPr>
          <w:rFonts w:ascii="Times New Roman" w:cs="Times New Roman" w:eastAsia="Times New Roman" w:hAnsi="Times New Roman"/>
          <w:sz w:val="18"/>
          <w:szCs w:val="18"/>
          <w:color w:val="auto"/>
        </w:rPr>
      </w:pPr>
    </w:p>
    <w:p>
      <w:pPr>
        <w:ind w:left="2340" w:right="360" w:hanging="574"/>
        <w:spacing w:after="0" w:line="258" w:lineRule="auto"/>
        <w:tabs>
          <w:tab w:leader="none" w:pos="2340" w:val="left"/>
        </w:tabs>
        <w:numPr>
          <w:ilvl w:val="0"/>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 copy of the memorandum of association, certificate of deposit of memorandum of reduction of share premium dated 8 August 2011, certificates of deposit of memorandum of increase of share capital respectively dated 29 June 2006, 7 June 2004, 25 April 2000, 16 July 1999, 22 July 1998, 26 September 1996, 10 March 1995 and bye-laws of the Company adopted on 8 November 2016 and certified as a true copy by the secretary on 19 July 2018 (together the </w:t>
      </w:r>
      <w:r>
        <w:rPr>
          <w:rFonts w:ascii="Times New Roman" w:cs="Times New Roman" w:eastAsia="Times New Roman" w:hAnsi="Times New Roman"/>
          <w:sz w:val="18"/>
          <w:szCs w:val="18"/>
          <w:b w:val="1"/>
          <w:bCs w:val="1"/>
          <w:color w:val="auto"/>
        </w:rPr>
        <w:t>Constitutional Documents</w:t>
      </w:r>
      <w:r>
        <w:rPr>
          <w:rFonts w:ascii="Times New Roman" w:cs="Times New Roman" w:eastAsia="Times New Roman" w:hAnsi="Times New Roman"/>
          <w:sz w:val="18"/>
          <w:szCs w:val="18"/>
          <w:color w:val="auto"/>
        </w:rPr>
        <w:t>).</w:t>
      </w:r>
    </w:p>
    <w:p>
      <w:pPr>
        <w:spacing w:after="0" w:line="210" w:lineRule="exact"/>
        <w:rPr>
          <w:rFonts w:ascii="Times New Roman" w:cs="Times New Roman" w:eastAsia="Times New Roman" w:hAnsi="Times New Roman"/>
          <w:sz w:val="18"/>
          <w:szCs w:val="18"/>
          <w:color w:val="auto"/>
        </w:rPr>
      </w:pPr>
    </w:p>
    <w:p>
      <w:pPr>
        <w:ind w:left="2340" w:right="440" w:hanging="574"/>
        <w:spacing w:after="0" w:line="282" w:lineRule="auto"/>
        <w:tabs>
          <w:tab w:leader="none" w:pos="2340" w:val="left"/>
        </w:tabs>
        <w:numPr>
          <w:ilvl w:val="0"/>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Certificate of Compliance, dated 19 July 2018 issued by the Registrar of Companies in respect of the Company. (</w:t>
      </w:r>
      <w:r>
        <w:rPr>
          <w:rFonts w:ascii="Times New Roman" w:cs="Times New Roman" w:eastAsia="Times New Roman" w:hAnsi="Times New Roman"/>
          <w:sz w:val="18"/>
          <w:szCs w:val="18"/>
          <w:b w:val="1"/>
          <w:bCs w:val="1"/>
          <w:color w:val="auto"/>
        </w:rPr>
        <w:t>Certificate of Compliance</w:t>
      </w:r>
      <w:r>
        <w:rPr>
          <w:rFonts w:ascii="Times New Roman" w:cs="Times New Roman" w:eastAsia="Times New Roman" w:hAnsi="Times New Roman"/>
          <w:sz w:val="18"/>
          <w:szCs w:val="18"/>
          <w:color w:val="auto"/>
        </w:rPr>
        <w:t>).</w:t>
      </w:r>
    </w:p>
    <w:p>
      <w:pPr>
        <w:spacing w:after="0" w:line="188" w:lineRule="exact"/>
        <w:rPr>
          <w:rFonts w:ascii="Times New Roman" w:cs="Times New Roman" w:eastAsia="Times New Roman" w:hAnsi="Times New Roman"/>
          <w:sz w:val="18"/>
          <w:szCs w:val="18"/>
          <w:color w:val="auto"/>
        </w:rPr>
      </w:pPr>
    </w:p>
    <w:p>
      <w:pPr>
        <w:ind w:left="2340" w:right="100" w:hanging="574"/>
        <w:spacing w:after="0" w:line="266" w:lineRule="auto"/>
        <w:tabs>
          <w:tab w:leader="none" w:pos="2340" w:val="left"/>
        </w:tabs>
        <w:numPr>
          <w:ilvl w:val="0"/>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 copy of the resolutions adopted by the board of directors of the Company at a meeting duly convened on 18 November 2017 certified respectively by Matthew J Murphy, a director, on 18 July 2018 and by Mitchell L. Gaynor, chief administration and legal officer and secretary, on 18 July 2018 (the </w:t>
      </w:r>
      <w:r>
        <w:rPr>
          <w:rFonts w:ascii="Times New Roman" w:cs="Times New Roman" w:eastAsia="Times New Roman" w:hAnsi="Times New Roman"/>
          <w:sz w:val="18"/>
          <w:szCs w:val="18"/>
          <w:b w:val="1"/>
          <w:bCs w:val="1"/>
          <w:color w:val="auto"/>
        </w:rPr>
        <w:t>Resolutions</w:t>
      </w:r>
      <w:r>
        <w:rPr>
          <w:rFonts w:ascii="Times New Roman" w:cs="Times New Roman" w:eastAsia="Times New Roman" w:hAnsi="Times New Roman"/>
          <w:sz w:val="18"/>
          <w:szCs w:val="18"/>
          <w:color w:val="auto"/>
        </w:rPr>
        <w:t>).</w:t>
      </w:r>
    </w:p>
    <w:p>
      <w:pPr>
        <w:spacing w:after="0" w:line="203" w:lineRule="exact"/>
        <w:rPr>
          <w:rFonts w:ascii="Times New Roman" w:cs="Times New Roman" w:eastAsia="Times New Roman" w:hAnsi="Times New Roman"/>
          <w:sz w:val="18"/>
          <w:szCs w:val="18"/>
          <w:color w:val="auto"/>
        </w:rPr>
      </w:pPr>
    </w:p>
    <w:p>
      <w:pPr>
        <w:ind w:left="2340" w:right="140" w:hanging="574"/>
        <w:spacing w:after="0" w:line="282" w:lineRule="auto"/>
        <w:tabs>
          <w:tab w:leader="none" w:pos="2340" w:val="left"/>
        </w:tabs>
        <w:numPr>
          <w:ilvl w:val="0"/>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copy of the Register of Directors and Officers of the Company certified as a true copy by the secretary of the Company on 19 July 2018 (</w:t>
      </w:r>
      <w:r>
        <w:rPr>
          <w:rFonts w:ascii="Times New Roman" w:cs="Times New Roman" w:eastAsia="Times New Roman" w:hAnsi="Times New Roman"/>
          <w:sz w:val="18"/>
          <w:szCs w:val="18"/>
          <w:b w:val="1"/>
          <w:bCs w:val="1"/>
          <w:color w:val="auto"/>
        </w:rPr>
        <w:t>Register of Directors and Officers</w:t>
      </w:r>
      <w:r>
        <w:rPr>
          <w:rFonts w:ascii="Times New Roman" w:cs="Times New Roman" w:eastAsia="Times New Roman" w:hAnsi="Times New Roman"/>
          <w:sz w:val="18"/>
          <w:szCs w:val="18"/>
          <w:color w:val="auto"/>
        </w:rPr>
        <w:t>).</w:t>
      </w:r>
    </w:p>
    <w:p>
      <w:pPr>
        <w:spacing w:after="0" w:line="184" w:lineRule="exact"/>
        <w:rPr>
          <w:rFonts w:ascii="Times New Roman" w:cs="Times New Roman" w:eastAsia="Times New Roman" w:hAnsi="Times New Roman"/>
          <w:sz w:val="18"/>
          <w:szCs w:val="18"/>
          <w:color w:val="auto"/>
        </w:rPr>
      </w:pPr>
    </w:p>
    <w:p>
      <w:pPr>
        <w:ind w:left="2340" w:right="400" w:hanging="574"/>
        <w:spacing w:after="0" w:line="286" w:lineRule="auto"/>
        <w:tabs>
          <w:tab w:leader="none" w:pos="2340" w:val="left"/>
        </w:tabs>
        <w:numPr>
          <w:ilvl w:val="0"/>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Secretary’s Certificate (</w:t>
      </w:r>
      <w:r>
        <w:rPr>
          <w:rFonts w:ascii="Times New Roman" w:cs="Times New Roman" w:eastAsia="Times New Roman" w:hAnsi="Times New Roman"/>
          <w:sz w:val="18"/>
          <w:szCs w:val="18"/>
          <w:b w:val="1"/>
          <w:bCs w:val="1"/>
          <w:color w:val="auto"/>
        </w:rPr>
        <w:t>Certificate</w:t>
      </w:r>
      <w:r>
        <w:rPr>
          <w:rFonts w:ascii="Times New Roman" w:cs="Times New Roman" w:eastAsia="Times New Roman" w:hAnsi="Times New Roman"/>
          <w:sz w:val="18"/>
          <w:szCs w:val="18"/>
          <w:color w:val="auto"/>
        </w:rPr>
        <w:t>) dated 28 March 2018 together with a bringdown certificate dated 19 July 2018.</w:t>
      </w:r>
    </w:p>
    <w:p>
      <w:pPr>
        <w:spacing w:after="0" w:line="185" w:lineRule="exact"/>
        <w:rPr>
          <w:rFonts w:ascii="Times New Roman" w:cs="Times New Roman" w:eastAsia="Times New Roman" w:hAnsi="Times New Roman"/>
          <w:sz w:val="18"/>
          <w:szCs w:val="18"/>
          <w:color w:val="auto"/>
        </w:rPr>
      </w:pPr>
    </w:p>
    <w:p>
      <w:pPr>
        <w:ind w:left="2340" w:hanging="574"/>
        <w:spacing w:after="0"/>
        <w:tabs>
          <w:tab w:leader="none" w:pos="2340" w:val="left"/>
        </w:tabs>
        <w:numPr>
          <w:ilvl w:val="0"/>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copy of the results of the Litigation Search.</w:t>
      </w:r>
    </w:p>
    <w:p>
      <w:pPr>
        <w:spacing w:after="0" w:line="252" w:lineRule="exact"/>
        <w:rPr>
          <w:rFonts w:ascii="Times New Roman" w:cs="Times New Roman" w:eastAsia="Times New Roman" w:hAnsi="Times New Roman"/>
          <w:sz w:val="18"/>
          <w:szCs w:val="18"/>
          <w:color w:val="auto"/>
        </w:rPr>
      </w:pPr>
    </w:p>
    <w:p>
      <w:pPr>
        <w:ind w:left="2340" w:hanging="574"/>
        <w:spacing w:after="0"/>
        <w:tabs>
          <w:tab w:leader="none" w:pos="2340" w:val="left"/>
        </w:tabs>
        <w:numPr>
          <w:ilvl w:val="0"/>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copy of the results of the Company Search.</w:t>
      </w:r>
    </w:p>
    <w:p>
      <w:pPr>
        <w:spacing w:after="0" w:line="252" w:lineRule="exact"/>
        <w:rPr>
          <w:rFonts w:ascii="Times New Roman" w:cs="Times New Roman" w:eastAsia="Times New Roman" w:hAnsi="Times New Roman"/>
          <w:sz w:val="18"/>
          <w:szCs w:val="18"/>
          <w:color w:val="auto"/>
        </w:rPr>
      </w:pPr>
    </w:p>
    <w:p>
      <w:pPr>
        <w:ind w:left="2340" w:right="460" w:hanging="574"/>
        <w:spacing w:after="0" w:line="282" w:lineRule="auto"/>
        <w:tabs>
          <w:tab w:leader="none" w:pos="2340" w:val="left"/>
        </w:tabs>
        <w:numPr>
          <w:ilvl w:val="0"/>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certified copy of the Foreign Exchange Letter, dated 29 May 2000, issued by the Bermuda Monetary Authority, Hamilton Bermuda in relation to the Company (</w:t>
      </w:r>
      <w:r>
        <w:rPr>
          <w:rFonts w:ascii="Times New Roman" w:cs="Times New Roman" w:eastAsia="Times New Roman" w:hAnsi="Times New Roman"/>
          <w:sz w:val="18"/>
          <w:szCs w:val="18"/>
          <w:b w:val="1"/>
          <w:bCs w:val="1"/>
          <w:color w:val="auto"/>
        </w:rPr>
        <w:t>Foreign Exchange Letter</w:t>
      </w:r>
      <w:r>
        <w:rPr>
          <w:rFonts w:ascii="Times New Roman" w:cs="Times New Roman" w:eastAsia="Times New Roman" w:hAnsi="Times New Roman"/>
          <w:sz w:val="18"/>
          <w:szCs w:val="18"/>
          <w:color w:val="auto"/>
        </w:rPr>
        <w:t>).</w:t>
      </w:r>
    </w:p>
    <w:p>
      <w:pPr>
        <w:spacing w:after="0" w:line="90"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4"/>
          <w:szCs w:val="14"/>
          <w:color w:val="auto"/>
        </w:rPr>
        <w:t>4</w:t>
      </w:r>
    </w:p>
    <w:p>
      <w:pPr>
        <w:spacing w:after="0" w:line="100"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3"/>
          <w:szCs w:val="13"/>
          <w:color w:val="auto"/>
        </w:rPr>
        <w:t>Bermuda • British Virgin Islands • Cayman Islands • Guernsey • Hong Kong • Isle of Man • Jersey • Mauritius • Seychelles • Shanghai</w:t>
      </w:r>
    </w:p>
    <w:p>
      <w:pPr>
        <w:sectPr>
          <w:pgSz w:w="11900" w:h="16838" w:orient="portrait"/>
          <w:cols w:equalWidth="0" w:num="1">
            <w:col w:w="10220"/>
          </w:cols>
          <w:pgMar w:left="1440" w:top="266" w:right="239" w:bottom="1440" w:gutter="0" w:footer="0" w:header="0"/>
        </w:sectPr>
      </w:pPr>
    </w:p>
    <w:bookmarkStart w:id="26" w:name="page27"/>
    <w:bookmarkEnd w:id="26"/>
    <w:p>
      <w:pPr>
        <w:ind w:left="2340" w:right="420" w:hanging="574"/>
        <w:spacing w:after="0" w:line="282" w:lineRule="auto"/>
        <w:tabs>
          <w:tab w:leader="none" w:pos="2340" w:val="left"/>
        </w:tabs>
        <w:numPr>
          <w:ilvl w:val="0"/>
          <w:numId w:val="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 certified copy of the Tax Assurance, dated 5 April 2012, issued by the Registrar of Companies for the Minister of Finance in relation to the Company (</w:t>
      </w:r>
      <w:r>
        <w:rPr>
          <w:rFonts w:ascii="Times New Roman" w:cs="Times New Roman" w:eastAsia="Times New Roman" w:hAnsi="Times New Roman"/>
          <w:sz w:val="18"/>
          <w:szCs w:val="18"/>
          <w:b w:val="1"/>
          <w:bCs w:val="1"/>
          <w:color w:val="auto"/>
        </w:rPr>
        <w:t>Tax Assurance</w:t>
      </w:r>
      <w:r>
        <w:rPr>
          <w:rFonts w:ascii="Times New Roman" w:cs="Times New Roman" w:eastAsia="Times New Roman" w:hAnsi="Times New Roman"/>
          <w:sz w:val="18"/>
          <w:szCs w:val="18"/>
          <w:color w:val="auto"/>
        </w:rPr>
        <w:t>).</w:t>
      </w:r>
    </w:p>
    <w:p>
      <w:pPr>
        <w:spacing w:after="0" w:line="188" w:lineRule="exact"/>
        <w:rPr>
          <w:rFonts w:ascii="Times New Roman" w:cs="Times New Roman" w:eastAsia="Times New Roman" w:hAnsi="Times New Roman"/>
          <w:sz w:val="18"/>
          <w:szCs w:val="18"/>
          <w:color w:val="auto"/>
        </w:rPr>
      </w:pPr>
    </w:p>
    <w:p>
      <w:pPr>
        <w:ind w:left="2340" w:hanging="574"/>
        <w:spacing w:after="0"/>
        <w:tabs>
          <w:tab w:leader="none" w:pos="2340" w:val="left"/>
        </w:tabs>
        <w:numPr>
          <w:ilvl w:val="0"/>
          <w:numId w:val="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PDF copy of the Notice to the Public issued by the Bermuda Monetary Authority on 1 June 2005.</w:t>
      </w:r>
    </w:p>
    <w:p>
      <w:pPr>
        <w:spacing w:after="0" w:line="200" w:lineRule="exact"/>
        <w:rPr>
          <w:sz w:val="20"/>
          <w:szCs w:val="20"/>
          <w:color w:val="auto"/>
        </w:rPr>
      </w:pPr>
    </w:p>
    <w:p>
      <w:pPr>
        <w:spacing w:after="0" w:line="237" w:lineRule="exact"/>
        <w:rPr>
          <w:sz w:val="20"/>
          <w:szCs w:val="20"/>
          <w:color w:val="auto"/>
        </w:rPr>
      </w:pPr>
    </w:p>
    <w:p>
      <w:pPr>
        <w:jc w:val="center"/>
        <w:ind w:left="2980"/>
        <w:spacing w:after="0"/>
        <w:rPr>
          <w:sz w:val="20"/>
          <w:szCs w:val="20"/>
          <w:color w:val="auto"/>
        </w:rPr>
      </w:pPr>
      <w:r>
        <w:rPr>
          <w:rFonts w:ascii="Times New Roman" w:cs="Times New Roman" w:eastAsia="Times New Roman" w:hAnsi="Times New Roman"/>
          <w:sz w:val="18"/>
          <w:szCs w:val="18"/>
          <w:b w:val="1"/>
          <w:bCs w:val="1"/>
          <w:color w:val="auto"/>
        </w:rPr>
        <w:t>Part 3</w:t>
      </w:r>
    </w:p>
    <w:p>
      <w:pPr>
        <w:spacing w:after="0" w:line="225" w:lineRule="exact"/>
        <w:rPr>
          <w:sz w:val="20"/>
          <w:szCs w:val="20"/>
          <w:color w:val="auto"/>
        </w:rPr>
      </w:pPr>
    </w:p>
    <w:p>
      <w:pPr>
        <w:ind w:left="5660"/>
        <w:spacing w:after="0"/>
        <w:rPr>
          <w:sz w:val="20"/>
          <w:szCs w:val="20"/>
          <w:color w:val="auto"/>
        </w:rPr>
      </w:pPr>
      <w:r>
        <w:rPr>
          <w:rFonts w:ascii="Times New Roman" w:cs="Times New Roman" w:eastAsia="Times New Roman" w:hAnsi="Times New Roman"/>
          <w:sz w:val="18"/>
          <w:szCs w:val="18"/>
          <w:b w:val="1"/>
          <w:bCs w:val="1"/>
          <w:color w:val="auto"/>
        </w:rPr>
        <w:t>Searches</w:t>
      </w:r>
    </w:p>
    <w:p>
      <w:pPr>
        <w:spacing w:after="0" w:line="256" w:lineRule="exact"/>
        <w:rPr>
          <w:sz w:val="20"/>
          <w:szCs w:val="20"/>
          <w:color w:val="auto"/>
        </w:rPr>
      </w:pPr>
    </w:p>
    <w:p>
      <w:pPr>
        <w:ind w:left="2340" w:right="20" w:hanging="574"/>
        <w:spacing w:after="0" w:line="261" w:lineRule="auto"/>
        <w:tabs>
          <w:tab w:leader="none" w:pos="2340" w:val="left"/>
        </w:tabs>
        <w:numPr>
          <w:ilvl w:val="0"/>
          <w:numId w:val="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search of the entries and filings shown and available for inspection in respect of the Company in the register of charges and on the file of the Company maintained in the register of companies at the office of the Registrar of Companies in Hamilton, Bermuda, as revealed by a search conducted on 19 July 2018 (</w:t>
      </w:r>
      <w:r>
        <w:rPr>
          <w:rFonts w:ascii="Times New Roman" w:cs="Times New Roman" w:eastAsia="Times New Roman" w:hAnsi="Times New Roman"/>
          <w:sz w:val="18"/>
          <w:szCs w:val="18"/>
          <w:b w:val="1"/>
          <w:bCs w:val="1"/>
          <w:color w:val="auto"/>
        </w:rPr>
        <w:t>Company Search</w:t>
      </w:r>
      <w:r>
        <w:rPr>
          <w:rFonts w:ascii="Times New Roman" w:cs="Times New Roman" w:eastAsia="Times New Roman" w:hAnsi="Times New Roman"/>
          <w:sz w:val="18"/>
          <w:szCs w:val="18"/>
          <w:color w:val="auto"/>
        </w:rPr>
        <w:t>).</w:t>
      </w:r>
    </w:p>
    <w:p>
      <w:pPr>
        <w:spacing w:after="0" w:line="207" w:lineRule="exact"/>
        <w:rPr>
          <w:rFonts w:ascii="Times New Roman" w:cs="Times New Roman" w:eastAsia="Times New Roman" w:hAnsi="Times New Roman"/>
          <w:sz w:val="18"/>
          <w:szCs w:val="18"/>
          <w:color w:val="auto"/>
        </w:rPr>
      </w:pPr>
    </w:p>
    <w:p>
      <w:pPr>
        <w:ind w:left="2340" w:right="20" w:hanging="574"/>
        <w:spacing w:after="0" w:line="266" w:lineRule="auto"/>
        <w:tabs>
          <w:tab w:leader="none" w:pos="2340" w:val="left"/>
        </w:tabs>
        <w:numPr>
          <w:ilvl w:val="0"/>
          <w:numId w:val="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search of the entries and filings shown and available for inspection in respect of the Company in the Cause and Judgement Book of the Supreme Court maintained at the Registry of the Supreme Court in Hamilton, Bermuda, as revealed by a search conducted on 19 July 2018 (</w:t>
      </w:r>
      <w:r>
        <w:rPr>
          <w:rFonts w:ascii="Times New Roman" w:cs="Times New Roman" w:eastAsia="Times New Roman" w:hAnsi="Times New Roman"/>
          <w:sz w:val="18"/>
          <w:szCs w:val="18"/>
          <w:b w:val="1"/>
          <w:bCs w:val="1"/>
          <w:color w:val="auto"/>
        </w:rPr>
        <w:t>Litigation Search</w:t>
      </w:r>
      <w:r>
        <w:rPr>
          <w:rFonts w:ascii="Times New Roman" w:cs="Times New Roman" w:eastAsia="Times New Roman" w:hAnsi="Times New Roman"/>
          <w:sz w:val="18"/>
          <w:szCs w:val="18"/>
          <w:color w:val="auto"/>
        </w:rPr>
        <w:t>).</w:t>
      </w:r>
    </w:p>
    <w:p>
      <w:pPr>
        <w:spacing w:after="0" w:line="104"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4"/>
          <w:szCs w:val="14"/>
          <w:color w:val="auto"/>
        </w:rPr>
        <w:t>5</w:t>
      </w:r>
    </w:p>
    <w:p>
      <w:pPr>
        <w:spacing w:after="0" w:line="100"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3"/>
          <w:szCs w:val="13"/>
          <w:color w:val="auto"/>
        </w:rPr>
        <w:t>Bermuda • British Virgin Islands • Cayman Islands • Guernsey • Hong Kong • Isle of Man • Jersey • Mauritius • Seychelles • Shanghai</w:t>
      </w:r>
    </w:p>
    <w:p>
      <w:pPr>
        <w:sectPr>
          <w:pgSz w:w="11900" w:h="16838" w:orient="portrait"/>
          <w:cols w:equalWidth="0" w:num="1">
            <w:col w:w="10220"/>
          </w:cols>
          <w:pgMar w:left="1440" w:top="270" w:right="239" w:bottom="1440" w:gutter="0" w:footer="0" w:header="0"/>
        </w:sectPr>
      </w:pPr>
    </w:p>
    <w:bookmarkStart w:id="27" w:name="page28"/>
    <w:bookmarkEnd w:id="27"/>
    <w:p>
      <w:pPr>
        <w:jc w:val="center"/>
        <w:ind w:left="2980"/>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SCHEDULE 2</w:t>
      </w:r>
    </w:p>
    <w:p>
      <w:pPr>
        <w:spacing w:after="0" w:line="225" w:lineRule="exact"/>
        <w:rPr>
          <w:sz w:val="20"/>
          <w:szCs w:val="20"/>
          <w:color w:val="auto"/>
        </w:rPr>
      </w:pPr>
    </w:p>
    <w:p>
      <w:pPr>
        <w:ind w:left="5500"/>
        <w:spacing w:after="0"/>
        <w:rPr>
          <w:sz w:val="20"/>
          <w:szCs w:val="20"/>
          <w:color w:val="auto"/>
        </w:rPr>
      </w:pPr>
      <w:r>
        <w:rPr>
          <w:rFonts w:ascii="Times New Roman" w:cs="Times New Roman" w:eastAsia="Times New Roman" w:hAnsi="Times New Roman"/>
          <w:sz w:val="18"/>
          <w:szCs w:val="18"/>
          <w:b w:val="1"/>
          <w:bCs w:val="1"/>
          <w:color w:val="auto"/>
        </w:rPr>
        <w:t>Assumptions</w:t>
      </w:r>
    </w:p>
    <w:p>
      <w:pPr>
        <w:spacing w:after="0" w:line="229" w:lineRule="exact"/>
        <w:rPr>
          <w:sz w:val="20"/>
          <w:szCs w:val="20"/>
          <w:color w:val="auto"/>
        </w:rPr>
      </w:pPr>
    </w:p>
    <w:p>
      <w:pPr>
        <w:ind w:left="1780"/>
        <w:spacing w:after="0"/>
        <w:rPr>
          <w:sz w:val="20"/>
          <w:szCs w:val="20"/>
          <w:color w:val="auto"/>
        </w:rPr>
      </w:pPr>
      <w:r>
        <w:rPr>
          <w:rFonts w:ascii="Times New Roman" w:cs="Times New Roman" w:eastAsia="Times New Roman" w:hAnsi="Times New Roman"/>
          <w:sz w:val="18"/>
          <w:szCs w:val="18"/>
          <w:color w:val="auto"/>
        </w:rPr>
        <w:t>We have assumed:</w:t>
      </w:r>
    </w:p>
    <w:p>
      <w:pPr>
        <w:spacing w:after="0" w:line="131" w:lineRule="exact"/>
        <w:rPr>
          <w:sz w:val="20"/>
          <w:szCs w:val="20"/>
          <w:color w:val="auto"/>
        </w:rPr>
      </w:pPr>
    </w:p>
    <w:p>
      <w:pPr>
        <w:ind w:left="2340" w:right="220" w:hanging="574"/>
        <w:spacing w:after="0" w:line="266" w:lineRule="auto"/>
        <w:tabs>
          <w:tab w:leader="none" w:pos="2340" w:val="left"/>
        </w:tabs>
        <w:numPr>
          <w:ilvl w:val="0"/>
          <w:numId w:val="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 that the originals of all documents examined in connection with this opinion are authentic, accurate and complete; and (ii) the authenticity, accuracy completeness and conformity to original documents of all documents submitted to us as copies;</w:t>
      </w:r>
    </w:p>
    <w:p>
      <w:pPr>
        <w:spacing w:after="0" w:line="203" w:lineRule="exact"/>
        <w:rPr>
          <w:rFonts w:ascii="Times New Roman" w:cs="Times New Roman" w:eastAsia="Times New Roman" w:hAnsi="Times New Roman"/>
          <w:sz w:val="18"/>
          <w:szCs w:val="18"/>
          <w:color w:val="auto"/>
        </w:rPr>
      </w:pPr>
    </w:p>
    <w:p>
      <w:pPr>
        <w:ind w:left="2340" w:right="720" w:hanging="574"/>
        <w:spacing w:after="0" w:line="282" w:lineRule="auto"/>
        <w:tabs>
          <w:tab w:leader="none" w:pos="2340" w:val="left"/>
        </w:tabs>
        <w:numPr>
          <w:ilvl w:val="0"/>
          <w:numId w:val="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the Registration Statement and other documentation which was received by electronic means is complete, intact and in conformity with the transmission as sent;</w:t>
      </w:r>
    </w:p>
    <w:p>
      <w:pPr>
        <w:spacing w:after="0" w:line="188" w:lineRule="exact"/>
        <w:rPr>
          <w:rFonts w:ascii="Times New Roman" w:cs="Times New Roman" w:eastAsia="Times New Roman" w:hAnsi="Times New Roman"/>
          <w:sz w:val="18"/>
          <w:szCs w:val="18"/>
          <w:color w:val="auto"/>
        </w:rPr>
      </w:pPr>
    </w:p>
    <w:p>
      <w:pPr>
        <w:ind w:left="2340" w:right="560" w:hanging="574"/>
        <w:spacing w:after="0" w:line="282" w:lineRule="auto"/>
        <w:tabs>
          <w:tab w:leader="none" w:pos="2340" w:val="left"/>
        </w:tabs>
        <w:numPr>
          <w:ilvl w:val="0"/>
          <w:numId w:val="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there has been no change to the information contained in the Certificate of Incorporation or to the Constitutional Documents;</w:t>
      </w:r>
    </w:p>
    <w:p>
      <w:pPr>
        <w:spacing w:after="0" w:line="188" w:lineRule="exact"/>
        <w:rPr>
          <w:rFonts w:ascii="Times New Roman" w:cs="Times New Roman" w:eastAsia="Times New Roman" w:hAnsi="Times New Roman"/>
          <w:sz w:val="18"/>
          <w:szCs w:val="18"/>
          <w:color w:val="auto"/>
        </w:rPr>
      </w:pPr>
    </w:p>
    <w:p>
      <w:pPr>
        <w:ind w:left="2340" w:right="100" w:hanging="574"/>
        <w:spacing w:after="0" w:line="266" w:lineRule="auto"/>
        <w:tabs>
          <w:tab w:leader="none" w:pos="2340" w:val="left"/>
        </w:tabs>
        <w:numPr>
          <w:ilvl w:val="0"/>
          <w:numId w:val="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the signatures and seals on all documents and certificates submitted to us as originals or copies of executed originals are genuine and authentic, and the signatures on all documents executed by the Company are the signatures of the persons authorised to execute the documents by the Company;</w:t>
      </w:r>
    </w:p>
    <w:p>
      <w:pPr>
        <w:spacing w:after="0" w:line="203" w:lineRule="exact"/>
        <w:rPr>
          <w:rFonts w:ascii="Times New Roman" w:cs="Times New Roman" w:eastAsia="Times New Roman" w:hAnsi="Times New Roman"/>
          <w:sz w:val="18"/>
          <w:szCs w:val="18"/>
          <w:color w:val="auto"/>
        </w:rPr>
      </w:pPr>
    </w:p>
    <w:p>
      <w:pPr>
        <w:ind w:left="2340" w:right="100" w:hanging="574"/>
        <w:spacing w:after="0" w:line="266" w:lineRule="auto"/>
        <w:tabs>
          <w:tab w:leader="none" w:pos="2340" w:val="left"/>
        </w:tabs>
        <w:numPr>
          <w:ilvl w:val="0"/>
          <w:numId w:val="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truth, accuracy and completeness of all representations and warranties or statements of fact or law (other than as to the laws of Bermuda in respect of matters upon which we have expressly opined) made in the Registration Statement and any correspondence submitted to us;</w:t>
      </w:r>
    </w:p>
    <w:p>
      <w:pPr>
        <w:spacing w:after="0" w:line="203" w:lineRule="exact"/>
        <w:rPr>
          <w:rFonts w:ascii="Times New Roman" w:cs="Times New Roman" w:eastAsia="Times New Roman" w:hAnsi="Times New Roman"/>
          <w:sz w:val="18"/>
          <w:szCs w:val="18"/>
          <w:color w:val="auto"/>
        </w:rPr>
      </w:pPr>
    </w:p>
    <w:p>
      <w:pPr>
        <w:ind w:left="2340" w:right="20" w:hanging="574"/>
        <w:spacing w:after="0" w:line="255" w:lineRule="auto"/>
        <w:tabs>
          <w:tab w:leader="none" w:pos="2340" w:val="left"/>
        </w:tabs>
        <w:numPr>
          <w:ilvl w:val="0"/>
          <w:numId w:val="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(i) the Registration Statement is in the form of the documents approved in the Resolutions; (ii) any meetings at which Resolutions were passed were duly convened and had a duly constituted quorum present and voting throughout; (iii) all interests of the directors on the subject matter of the Resolutions, if any, were declared and disclosed in accordance with the law and Constitutional Documents; and (iv) the Resolutions have not been revoked, amended or superseded, in whole or in part, and remain in full force and effect at the date of this opinion; and (v) the directors of the Company have concluded that the entry by the Company into the Registration Statement and such other documents approved by the Resolutions and the transactions contemplated thereby are bona fide in the best interests of the Company;</w:t>
      </w:r>
    </w:p>
    <w:p>
      <w:pPr>
        <w:spacing w:after="0" w:line="212" w:lineRule="exact"/>
        <w:rPr>
          <w:rFonts w:ascii="Times New Roman" w:cs="Times New Roman" w:eastAsia="Times New Roman" w:hAnsi="Times New Roman"/>
          <w:sz w:val="18"/>
          <w:szCs w:val="18"/>
          <w:color w:val="auto"/>
        </w:rPr>
      </w:pPr>
    </w:p>
    <w:p>
      <w:pPr>
        <w:ind w:left="2340" w:right="240" w:hanging="574"/>
        <w:spacing w:after="0" w:line="266" w:lineRule="auto"/>
        <w:tabs>
          <w:tab w:leader="none" w:pos="2340" w:val="left"/>
        </w:tabs>
        <w:numPr>
          <w:ilvl w:val="0"/>
          <w:numId w:val="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there is no matter affecting the authority of the directors issue the Registration Statement including breach of duty or lack of good faith which would have any adverse implications in relation to the opinions expressed in this opinion;</w:t>
      </w:r>
    </w:p>
    <w:p>
      <w:pPr>
        <w:spacing w:after="0" w:line="104"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4"/>
          <w:szCs w:val="14"/>
          <w:color w:val="auto"/>
        </w:rPr>
        <w:t>6</w:t>
      </w:r>
    </w:p>
    <w:p>
      <w:pPr>
        <w:spacing w:after="0" w:line="100"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3"/>
          <w:szCs w:val="13"/>
          <w:color w:val="auto"/>
        </w:rPr>
        <w:t>Bermuda • British Virgin Islands • Cayman Islands • Guernsey • Hong Kong • Isle of Man • Jersey • Mauritius • Seychelles • Shanghai</w:t>
      </w:r>
    </w:p>
    <w:p>
      <w:pPr>
        <w:sectPr>
          <w:pgSz w:w="11900" w:h="16838" w:orient="portrait"/>
          <w:cols w:equalWidth="0" w:num="1">
            <w:col w:w="10220"/>
          </w:cols>
          <w:pgMar w:left="1440" w:top="266" w:right="239" w:bottom="1440" w:gutter="0" w:footer="0" w:header="0"/>
        </w:sectPr>
      </w:pPr>
    </w:p>
    <w:bookmarkStart w:id="28" w:name="page29"/>
    <w:bookmarkEnd w:id="28"/>
    <w:p>
      <w:pPr>
        <w:ind w:left="2340" w:right="40" w:hanging="574"/>
        <w:spacing w:after="0" w:line="266" w:lineRule="auto"/>
        <w:tabs>
          <w:tab w:leader="none" w:pos="2340" w:val="left"/>
        </w:tabs>
        <w:numPr>
          <w:ilvl w:val="0"/>
          <w:numId w:val="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that the Company has entered into its obligations under the Registration Statement in good faith for the purpose of carrying on its business and that, at the time it did so, there were reasonable grounds for believing that the transactions contemplated by the Registration Statement would benefit the Company; and</w:t>
      </w:r>
    </w:p>
    <w:p>
      <w:pPr>
        <w:spacing w:after="0" w:line="203" w:lineRule="exact"/>
        <w:rPr>
          <w:rFonts w:ascii="Times New Roman" w:cs="Times New Roman" w:eastAsia="Times New Roman" w:hAnsi="Times New Roman"/>
          <w:sz w:val="18"/>
          <w:szCs w:val="18"/>
          <w:color w:val="auto"/>
        </w:rPr>
      </w:pPr>
    </w:p>
    <w:p>
      <w:pPr>
        <w:ind w:left="2340" w:right="80" w:hanging="574"/>
        <w:spacing w:after="0" w:line="266" w:lineRule="auto"/>
        <w:tabs>
          <w:tab w:leader="none" w:pos="2340" w:val="left"/>
        </w:tabs>
        <w:numPr>
          <w:ilvl w:val="0"/>
          <w:numId w:val="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at the time of any issue and sale of any Shares, such Shares will be listed on an “appointed stock exchange” as understood under Bermuda law, or permission will have otherwise been given by the Bermuda Monetary Authority for the issue and if necessary, transfer of the relevant Shares;</w:t>
      </w:r>
    </w:p>
    <w:p>
      <w:pPr>
        <w:spacing w:after="0" w:line="203" w:lineRule="exact"/>
        <w:rPr>
          <w:rFonts w:ascii="Times New Roman" w:cs="Times New Roman" w:eastAsia="Times New Roman" w:hAnsi="Times New Roman"/>
          <w:sz w:val="18"/>
          <w:szCs w:val="18"/>
          <w:color w:val="auto"/>
        </w:rPr>
      </w:pPr>
    </w:p>
    <w:p>
      <w:pPr>
        <w:ind w:left="2340" w:hanging="574"/>
        <w:spacing w:after="0" w:line="261" w:lineRule="auto"/>
        <w:tabs>
          <w:tab w:leader="none" w:pos="2340" w:val="left"/>
        </w:tabs>
        <w:numPr>
          <w:ilvl w:val="0"/>
          <w:numId w:val="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at the time of the issue of any shares of the Company which are comprised in the Shares, the Company will have sufficient authorised and unissued share capital and will hold any relevant necessary permissions or directions of the Bermuda Monetary Authority, the Registrar of Companies and/or the Minister of Finance, or such ministry’s successor (as applicable) for such issue and sale;</w:t>
      </w:r>
    </w:p>
    <w:p>
      <w:pPr>
        <w:spacing w:after="0" w:line="207" w:lineRule="exact"/>
        <w:rPr>
          <w:rFonts w:ascii="Times New Roman" w:cs="Times New Roman" w:eastAsia="Times New Roman" w:hAnsi="Times New Roman"/>
          <w:sz w:val="18"/>
          <w:szCs w:val="18"/>
          <w:color w:val="auto"/>
        </w:rPr>
      </w:pPr>
    </w:p>
    <w:p>
      <w:pPr>
        <w:jc w:val="both"/>
        <w:ind w:left="2340" w:right="220" w:hanging="574"/>
        <w:spacing w:after="0" w:line="261" w:lineRule="auto"/>
        <w:tabs>
          <w:tab w:leader="none" w:pos="2340" w:val="left"/>
        </w:tabs>
        <w:numPr>
          <w:ilvl w:val="0"/>
          <w:numId w:val="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any supplemental prospectus prepared in relation to the offer of any of the Shares, as contemplated by the Registration Statement, will have been duly authorised by the Board of Directors of the Company and will comply with and have been prepared in accordance with all relevant legislation and the Constitutional Documents; and</w:t>
      </w:r>
    </w:p>
    <w:p>
      <w:pPr>
        <w:spacing w:after="0" w:line="207" w:lineRule="exact"/>
        <w:rPr>
          <w:rFonts w:ascii="Times New Roman" w:cs="Times New Roman" w:eastAsia="Times New Roman" w:hAnsi="Times New Roman"/>
          <w:sz w:val="18"/>
          <w:szCs w:val="18"/>
          <w:color w:val="auto"/>
        </w:rPr>
      </w:pPr>
    </w:p>
    <w:p>
      <w:pPr>
        <w:ind w:left="2340" w:right="100" w:hanging="574"/>
        <w:spacing w:after="0" w:line="258" w:lineRule="auto"/>
        <w:tabs>
          <w:tab w:leader="none" w:pos="2340" w:val="left"/>
        </w:tabs>
        <w:numPr>
          <w:ilvl w:val="0"/>
          <w:numId w:val="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any contracts or instruments, including but not limited to indentures and warrant instruments, prepared in relation to the offer and creation of any of the Shares, as contemplated by the Registration Statement, will comply with and have been prepared in accordance with all relevant legislation and the Constitutional Documents, and will constitute legal, valid and binding obligations of each of the parties therefore, enforceable in accordance with their terms, under the laws by which they are governed.</w:t>
      </w:r>
    </w:p>
    <w:p>
      <w:pPr>
        <w:spacing w:after="0" w:line="112"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4"/>
          <w:szCs w:val="14"/>
          <w:color w:val="auto"/>
        </w:rPr>
        <w:t>7</w:t>
      </w:r>
    </w:p>
    <w:p>
      <w:pPr>
        <w:spacing w:after="0" w:line="100"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3"/>
          <w:szCs w:val="13"/>
          <w:color w:val="auto"/>
        </w:rPr>
        <w:t>Bermuda • British Virgin Islands • Cayman Islands • Guernsey • Hong Kong • Isle of Man • Jersey • Mauritius • Seychelles • Shanghai</w:t>
      </w:r>
    </w:p>
    <w:p>
      <w:pPr>
        <w:sectPr>
          <w:pgSz w:w="11900" w:h="16838" w:orient="portrait"/>
          <w:cols w:equalWidth="0" w:num="1">
            <w:col w:w="10220"/>
          </w:cols>
          <w:pgMar w:left="1440" w:top="270" w:right="239" w:bottom="1440" w:gutter="0" w:footer="0" w:header="0"/>
        </w:sectPr>
      </w:pPr>
    </w:p>
    <w:bookmarkStart w:id="29" w:name="page30"/>
    <w:bookmarkEnd w:id="29"/>
    <w:p>
      <w:pPr>
        <w:jc w:val="center"/>
        <w:ind w:left="2980"/>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6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SCHEDULE 3</w:t>
      </w:r>
    </w:p>
    <w:p>
      <w:pPr>
        <w:spacing w:after="0" w:line="225" w:lineRule="exact"/>
        <w:rPr>
          <w:sz w:val="20"/>
          <w:szCs w:val="20"/>
          <w:color w:val="auto"/>
        </w:rPr>
      </w:pPr>
    </w:p>
    <w:p>
      <w:pPr>
        <w:ind w:left="5500"/>
        <w:spacing w:after="0"/>
        <w:rPr>
          <w:sz w:val="20"/>
          <w:szCs w:val="20"/>
          <w:color w:val="auto"/>
        </w:rPr>
      </w:pPr>
      <w:r>
        <w:rPr>
          <w:rFonts w:ascii="Times New Roman" w:cs="Times New Roman" w:eastAsia="Times New Roman" w:hAnsi="Times New Roman"/>
          <w:sz w:val="18"/>
          <w:szCs w:val="18"/>
          <w:b w:val="1"/>
          <w:bCs w:val="1"/>
          <w:color w:val="auto"/>
        </w:rPr>
        <w:t>Reservations</w:t>
      </w:r>
    </w:p>
    <w:p>
      <w:pPr>
        <w:spacing w:after="0" w:line="229" w:lineRule="exact"/>
        <w:rPr>
          <w:sz w:val="20"/>
          <w:szCs w:val="20"/>
          <w:color w:val="auto"/>
        </w:rPr>
      </w:pPr>
    </w:p>
    <w:p>
      <w:pPr>
        <w:ind w:left="1780"/>
        <w:spacing w:after="0"/>
        <w:rPr>
          <w:sz w:val="20"/>
          <w:szCs w:val="20"/>
          <w:color w:val="auto"/>
        </w:rPr>
      </w:pPr>
      <w:r>
        <w:rPr>
          <w:rFonts w:ascii="Times New Roman" w:cs="Times New Roman" w:eastAsia="Times New Roman" w:hAnsi="Times New Roman"/>
          <w:sz w:val="18"/>
          <w:szCs w:val="18"/>
          <w:color w:val="auto"/>
        </w:rPr>
        <w:t>Our opinion is subject to the following:</w:t>
      </w:r>
    </w:p>
    <w:p>
      <w:pPr>
        <w:spacing w:after="0" w:line="127" w:lineRule="exact"/>
        <w:rPr>
          <w:sz w:val="20"/>
          <w:szCs w:val="20"/>
          <w:color w:val="auto"/>
        </w:rPr>
      </w:pPr>
    </w:p>
    <w:p>
      <w:pPr>
        <w:ind w:left="2340" w:right="300" w:hanging="574"/>
        <w:spacing w:after="0" w:line="291" w:lineRule="auto"/>
        <w:tabs>
          <w:tab w:leader="none" w:pos="2340" w:val="left"/>
        </w:tabs>
        <w:numPr>
          <w:ilvl w:val="0"/>
          <w:numId w:val="28"/>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b w:val="1"/>
          <w:bCs w:val="1"/>
          <w:color w:val="auto"/>
        </w:rPr>
        <w:t>Bermuda Law</w:t>
      </w:r>
      <w:r>
        <w:rPr>
          <w:rFonts w:ascii="Times New Roman" w:cs="Times New Roman" w:eastAsia="Times New Roman" w:hAnsi="Times New Roman"/>
          <w:sz w:val="17"/>
          <w:szCs w:val="17"/>
          <w:color w:val="auto"/>
        </w:rPr>
        <w:t>: We express no opinion as to any law other than Bermuda law and none of the opinions</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expressed herein relates to compliance with or matters governed by the laws of any jurisdiction except Bermuda. This opinion is limited to Bermuda law as applied by the Courts of Bermuda at the date hereof.</w:t>
      </w:r>
    </w:p>
    <w:p>
      <w:pPr>
        <w:spacing w:after="0" w:line="180" w:lineRule="exact"/>
        <w:rPr>
          <w:rFonts w:ascii="Times New Roman" w:cs="Times New Roman" w:eastAsia="Times New Roman" w:hAnsi="Times New Roman"/>
          <w:sz w:val="17"/>
          <w:szCs w:val="17"/>
          <w:color w:val="auto"/>
        </w:rPr>
      </w:pPr>
    </w:p>
    <w:p>
      <w:pPr>
        <w:ind w:left="2340" w:right="160" w:hanging="574"/>
        <w:spacing w:after="0" w:line="268" w:lineRule="auto"/>
        <w:tabs>
          <w:tab w:leader="none" w:pos="2340" w:val="left"/>
        </w:tabs>
        <w:numPr>
          <w:ilvl w:val="0"/>
          <w:numId w:val="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Enforcement</w:t>
      </w:r>
      <w:r>
        <w:rPr>
          <w:rFonts w:ascii="Times New Roman" w:cs="Times New Roman" w:eastAsia="Times New Roman" w:hAnsi="Times New Roman"/>
          <w:sz w:val="18"/>
          <w:szCs w:val="18"/>
          <w:color w:val="auto"/>
        </w:rPr>
        <w:t>: Where an obligation is to be performed in a jurisdiction other than Bermuda, the courts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Bermuda may refuse to enforce it to the extent that such performance would be illegal under the laws of, or contrary to public policy of, such other jurisdiction.</w:t>
      </w:r>
    </w:p>
    <w:p>
      <w:pPr>
        <w:spacing w:after="0" w:line="197" w:lineRule="exact"/>
        <w:rPr>
          <w:rFonts w:ascii="Times New Roman" w:cs="Times New Roman" w:eastAsia="Times New Roman" w:hAnsi="Times New Roman"/>
          <w:sz w:val="18"/>
          <w:szCs w:val="18"/>
          <w:color w:val="auto"/>
        </w:rPr>
      </w:pPr>
    </w:p>
    <w:p>
      <w:pPr>
        <w:ind w:left="2340" w:right="860" w:hanging="574"/>
        <w:spacing w:after="0" w:line="286" w:lineRule="auto"/>
        <w:tabs>
          <w:tab w:leader="none" w:pos="2340" w:val="left"/>
        </w:tabs>
        <w:numPr>
          <w:ilvl w:val="0"/>
          <w:numId w:val="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Good Standing</w:t>
      </w:r>
      <w:r>
        <w:rPr>
          <w:rFonts w:ascii="Times New Roman" w:cs="Times New Roman" w:eastAsia="Times New Roman" w:hAnsi="Times New Roman"/>
          <w:sz w:val="18"/>
          <w:szCs w:val="18"/>
          <w:color w:val="auto"/>
        </w:rPr>
        <w:t>: The term “good standing” means that the Company has received a Certificate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Compliance from the Registrar of Companies.</w:t>
      </w:r>
    </w:p>
    <w:p>
      <w:pPr>
        <w:spacing w:after="0" w:line="181" w:lineRule="exact"/>
        <w:rPr>
          <w:rFonts w:ascii="Times New Roman" w:cs="Times New Roman" w:eastAsia="Times New Roman" w:hAnsi="Times New Roman"/>
          <w:sz w:val="18"/>
          <w:szCs w:val="18"/>
          <w:color w:val="auto"/>
        </w:rPr>
      </w:pPr>
    </w:p>
    <w:p>
      <w:pPr>
        <w:ind w:left="2340" w:right="40" w:hanging="574"/>
        <w:spacing w:after="0" w:line="255" w:lineRule="auto"/>
        <w:tabs>
          <w:tab w:leader="none" w:pos="2340" w:val="left"/>
        </w:tabs>
        <w:numPr>
          <w:ilvl w:val="0"/>
          <w:numId w:val="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Non-assessable</w:t>
      </w:r>
      <w:r>
        <w:rPr>
          <w:rFonts w:ascii="Times New Roman" w:cs="Times New Roman" w:eastAsia="Times New Roman" w:hAnsi="Times New Roman"/>
          <w:sz w:val="18"/>
          <w:szCs w:val="18"/>
          <w:color w:val="auto"/>
        </w:rPr>
        <w:t>: Any reference in this opinion to shares being “non-assessable” shall mean, in relation to</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fully-paid shares of the Company and subject to any contrary provision in any agreement in writing between such company and the holder of shares, that: no shareholder shall be obliged to contribute further amounts to the capital of the Company, either in order to complete payment for their shares, to satisfy claims of creditors of the Company, or otherwise; and no shareholder shall be bound by an alteration of the Memorandum of Association or Bye-Laws of the Company after the date on which he became a shareholder, if and so far as the alteration requires him to take, or subscribe for additional shares, or in any way increases his liability to contribute to the share capital of, or otherwise to pay money to, the Company.</w:t>
      </w:r>
    </w:p>
    <w:p>
      <w:pPr>
        <w:spacing w:after="0" w:line="117"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4"/>
          <w:szCs w:val="14"/>
          <w:color w:val="auto"/>
        </w:rPr>
        <w:t>8</w:t>
      </w:r>
    </w:p>
    <w:p>
      <w:pPr>
        <w:spacing w:after="0" w:line="100"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3"/>
          <w:szCs w:val="13"/>
          <w:color w:val="auto"/>
        </w:rPr>
        <w:t>Bermuda • British Virgin Islands • Cayman Islands • Guernsey • Hong Kong • Isle of Man • Jersey • Mauritius • Seychelles • Shanghai</w:t>
      </w:r>
    </w:p>
    <w:p>
      <w:pPr>
        <w:sectPr>
          <w:pgSz w:w="11900" w:h="16838" w:orient="portrait"/>
          <w:cols w:equalWidth="0" w:num="1">
            <w:col w:w="10220"/>
          </w:cols>
          <w:pgMar w:left="1440" w:top="266" w:right="239" w:bottom="1440" w:gutter="0" w:footer="0" w:header="0"/>
        </w:sectPr>
      </w:pPr>
    </w:p>
    <w:bookmarkStart w:id="30" w:name="page31"/>
    <w:bookmarkEnd w:id="30"/>
    <w:p>
      <w:pPr>
        <w:jc w:val="right"/>
        <w:spacing w:after="0"/>
        <w:rPr>
          <w:sz w:val="20"/>
          <w:szCs w:val="20"/>
          <w:color w:val="auto"/>
        </w:rPr>
      </w:pPr>
      <w:r>
        <w:rPr>
          <w:rFonts w:ascii="Times New Roman" w:cs="Times New Roman" w:eastAsia="Times New Roman" w:hAnsi="Times New Roman"/>
          <w:sz w:val="18"/>
          <w:szCs w:val="18"/>
          <w:b w:val="1"/>
          <w:bCs w:val="1"/>
          <w:color w:val="auto"/>
        </w:rPr>
        <w:t>Exhibit 23.1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251460</wp:posOffset>
            </wp:positionV>
            <wp:extent cx="1132205" cy="21463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61">
                      <a:extLst>
                        <a:ext uri="{28A0092B-C50C-407E-A947-70E740481C1C}"/>
                      </a:extLst>
                    </a:blip>
                    <a:srcRect/>
                    <a:stretch>
                      <a:fillRect/>
                    </a:stretch>
                  </pic:blipFill>
                  <pic:spPr bwMode="auto">
                    <a:xfrm>
                      <a:off x="0" y="0"/>
                      <a:ext cx="1132205" cy="21463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CONSENT OF INDEPENDENT REGISTERED PUBLIC ACCOUNTING FIRM</w:t>
      </w:r>
    </w:p>
    <w:p>
      <w:pPr>
        <w:spacing w:after="0" w:line="229" w:lineRule="exact"/>
        <w:rPr>
          <w:sz w:val="20"/>
          <w:szCs w:val="20"/>
          <w:color w:val="auto"/>
        </w:rPr>
      </w:pPr>
    </w:p>
    <w:p>
      <w:pPr>
        <w:ind w:right="20"/>
        <w:spacing w:after="0" w:line="281" w:lineRule="auto"/>
        <w:rPr>
          <w:sz w:val="20"/>
          <w:szCs w:val="20"/>
          <w:color w:val="auto"/>
        </w:rPr>
      </w:pPr>
      <w:r>
        <w:rPr>
          <w:rFonts w:ascii="Times New Roman" w:cs="Times New Roman" w:eastAsia="Times New Roman" w:hAnsi="Times New Roman"/>
          <w:sz w:val="17"/>
          <w:szCs w:val="17"/>
          <w:color w:val="auto"/>
        </w:rPr>
        <w:t>We consent to the incorporation by reference in this Registration Statement Amendment No. 2 on Form S-3 to Form S-4 of our reports dated March 29, 2018, relating to the consolidated financial statements and financial statement schedule of Marvell Technology Group Ltd. and subsidiaries (the “Company”), and the effectiveness of the Company’s internal control over financial reporting, appearing in the Annual Report on Form 10-K of Marvell Technology Group Ltd. for the year ended February 3, 2018, and to the reference to us under the heading “Experts” in the Prospectus, which is part of this Registration Statement.</w:t>
      </w:r>
    </w:p>
    <w:p>
      <w:pPr>
        <w:spacing w:after="0" w:line="37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 xml:space="preserve">/s/ </w:t>
      </w:r>
      <w:r>
        <w:rPr>
          <w:rFonts w:ascii="Times New Roman" w:cs="Times New Roman" w:eastAsia="Times New Roman" w:hAnsi="Times New Roman"/>
          <w:sz w:val="18"/>
          <w:szCs w:val="18"/>
          <w:color w:val="auto"/>
        </w:rPr>
        <w:t>Deloitte &amp; Touche LLP</w:t>
      </w:r>
    </w:p>
    <w:p>
      <w:pPr>
        <w:spacing w:after="0" w:line="2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San Jose, California</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July 19, 2018</w:t>
      </w:r>
    </w:p>
    <w:p>
      <w:pPr>
        <w:sectPr>
          <w:pgSz w:w="11900" w:h="16838" w:orient="portrait"/>
          <w:cols w:equalWidth="0" w:num="1">
            <w:col w:w="11420"/>
          </w:cols>
          <w:pgMar w:left="240" w:top="117" w:right="239" w:bottom="1440" w:gutter="0" w:footer="0" w:header="0"/>
        </w:sectPr>
      </w:pPr>
    </w:p>
    <w:bookmarkStart w:id="31" w:name="page32"/>
    <w:bookmarkEnd w:id="31"/>
    <w:p>
      <w:pPr>
        <w:jc w:val="right"/>
        <w:spacing w:after="0"/>
        <w:rPr>
          <w:sz w:val="20"/>
          <w:szCs w:val="20"/>
          <w:color w:val="auto"/>
        </w:rPr>
      </w:pPr>
      <w:r>
        <w:rPr>
          <w:rFonts w:ascii="Times New Roman" w:cs="Times New Roman" w:eastAsia="Times New Roman" w:hAnsi="Times New Roman"/>
          <w:sz w:val="18"/>
          <w:szCs w:val="18"/>
          <w:b w:val="1"/>
          <w:bCs w:val="1"/>
          <w:color w:val="auto"/>
        </w:rPr>
        <w:t>Exhibit 23.2</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CONSENT OF INDEPENDENT REGISTERED PUBLIC ACCOUNTING FIRM</w:t>
      </w:r>
    </w:p>
    <w:p>
      <w:pPr>
        <w:spacing w:after="0" w:line="2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We hereby consent to the incorporation by reference in this Post-Effective Amendment No. 2 on Form S-3 to Registration Statement on Form S-4</w:t>
      </w:r>
    </w:p>
    <w:p>
      <w:pPr>
        <w:spacing w:after="0" w:line="27" w:lineRule="exact"/>
        <w:rPr>
          <w:sz w:val="20"/>
          <w:szCs w:val="20"/>
          <w:color w:val="auto"/>
        </w:rPr>
      </w:pPr>
    </w:p>
    <w:p>
      <w:pPr>
        <w:jc w:val="both"/>
        <w:ind w:right="120"/>
        <w:spacing w:after="0" w:line="255" w:lineRule="auto"/>
        <w:rPr>
          <w:sz w:val="20"/>
          <w:szCs w:val="20"/>
          <w:color w:val="auto"/>
        </w:rPr>
      </w:pPr>
      <w:r>
        <w:rPr>
          <w:rFonts w:ascii="Times New Roman" w:cs="Times New Roman" w:eastAsia="Times New Roman" w:hAnsi="Times New Roman"/>
          <w:sz w:val="18"/>
          <w:szCs w:val="18"/>
          <w:color w:val="auto"/>
        </w:rPr>
        <w:t>(No. 333-222235) of Marvell Technology Group Ltd. of our report dated March 1, 2018 relating to the financial statements, financial statement schedule and the effectiveness of internal control over financial reporting, which appears in Marvell Technology Group Ltd.‘s Current Report on Form 8-K dated June 13, 2018. We also consent to the reference to us under the heading “Experts” in such Registration Statement.</w:t>
      </w:r>
    </w:p>
    <w:p>
      <w:pPr>
        <w:spacing w:after="0" w:line="29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 PricewaterhouseCoopers LLP</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San Jose, California</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July 19, 2018</w:t>
      </w:r>
    </w:p>
    <w:sectPr>
      <w:pgSz w:w="11900" w:h="16838" w:orient="portrait"/>
      <w:cols w:equalWidth="0" w:num="1">
        <w:col w:w="11420"/>
      </w:cols>
      <w:pgMar w:left="240" w:top="117"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FDCC233"/>
    <w:multiLevelType w:val="hybridMultilevel"/>
    <w:lvl w:ilvl="0">
      <w:lvlJc w:val="left"/>
      <w:lvlText w:val="(%1)"/>
      <w:numFmt w:val="decimal"/>
      <w:start w:val="1"/>
    </w:lvl>
  </w:abstractNum>
  <w:abstractNum w:abstractNumId="1">
    <w:nsid w:val="1BEFD79F"/>
    <w:multiLevelType w:val="hybridMultilevel"/>
    <w:lvl w:ilvl="0">
      <w:lvlJc w:val="left"/>
      <w:lvlText w:val="•"/>
      <w:numFmt w:val="bullet"/>
      <w:start w:val="1"/>
    </w:lvl>
  </w:abstractNum>
  <w:abstractNum w:abstractNumId="2">
    <w:nsid w:val="41A7C4C9"/>
    <w:multiLevelType w:val="hybridMultilevel"/>
    <w:lvl w:ilvl="0">
      <w:lvlJc w:val="left"/>
      <w:lvlText w:val="(%1)"/>
      <w:numFmt w:val="decimal"/>
      <w:start w:val="408"/>
    </w:lvl>
  </w:abstractNum>
  <w:abstractNum w:abstractNumId="3">
    <w:nsid w:val="6B68079A"/>
    <w:multiLevelType w:val="hybridMultilevel"/>
    <w:lvl w:ilvl="0">
      <w:lvlJc w:val="left"/>
      <w:lvlText w:val="•"/>
      <w:numFmt w:val="bullet"/>
      <w:start w:val="1"/>
    </w:lvl>
  </w:abstractNum>
  <w:abstractNum w:abstractNumId="4">
    <w:nsid w:val="4E6AFB66"/>
    <w:multiLevelType w:val="hybridMultilevel"/>
    <w:lvl w:ilvl="0">
      <w:lvlJc w:val="left"/>
      <w:lvlText w:val="•"/>
      <w:numFmt w:val="bullet"/>
      <w:start w:val="1"/>
    </w:lvl>
  </w:abstractNum>
  <w:abstractNum w:abstractNumId="5">
    <w:nsid w:val="25E45D32"/>
    <w:multiLevelType w:val="hybridMultilevel"/>
    <w:lvl w:ilvl="0">
      <w:lvlJc w:val="left"/>
      <w:lvlText w:val="•"/>
      <w:numFmt w:val="bullet"/>
      <w:start w:val="1"/>
    </w:lvl>
  </w:abstractNum>
  <w:abstractNum w:abstractNumId="6">
    <w:nsid w:val="519B500D"/>
    <w:multiLevelType w:val="hybridMultilevel"/>
    <w:lvl w:ilvl="0">
      <w:lvlJc w:val="left"/>
      <w:lvlText w:val="•"/>
      <w:numFmt w:val="bullet"/>
      <w:start w:val="1"/>
    </w:lvl>
  </w:abstractNum>
  <w:abstractNum w:abstractNumId="7">
    <w:nsid w:val="431BD7B7"/>
    <w:multiLevelType w:val="hybridMultilevel"/>
    <w:lvl w:ilvl="0">
      <w:lvlJc w:val="left"/>
      <w:lvlText w:val="•"/>
      <w:numFmt w:val="bullet"/>
      <w:start w:val="1"/>
    </w:lvl>
  </w:abstractNum>
  <w:abstractNum w:abstractNumId="8">
    <w:nsid w:val="3F2DBA31"/>
    <w:multiLevelType w:val="hybridMultilevel"/>
    <w:lvl w:ilvl="0">
      <w:lvlJc w:val="left"/>
      <w:lvlText w:val="•"/>
      <w:numFmt w:val="bullet"/>
      <w:start w:val="1"/>
    </w:lvl>
  </w:abstractNum>
  <w:abstractNum w:abstractNumId="9">
    <w:nsid w:val="7C83E458"/>
    <w:multiLevelType w:val="hybridMultilevel"/>
    <w:lvl w:ilvl="0">
      <w:lvlJc w:val="left"/>
      <w:lvlText w:val="•"/>
      <w:numFmt w:val="bullet"/>
      <w:start w:val="1"/>
    </w:lvl>
  </w:abstractNum>
  <w:abstractNum w:abstractNumId="10">
    <w:nsid w:val="257130A3"/>
    <w:multiLevelType w:val="hybridMultilevel"/>
    <w:lvl w:ilvl="0">
      <w:lvlJc w:val="left"/>
      <w:lvlText w:val="*"/>
      <w:numFmt w:val="bullet"/>
      <w:start w:val="1"/>
    </w:lvl>
  </w:abstractNum>
  <w:abstractNum w:abstractNumId="11">
    <w:nsid w:val="62BBD95A"/>
    <w:multiLevelType w:val="hybridMultilevel"/>
    <w:lvl w:ilvl="0">
      <w:lvlJc w:val="left"/>
      <w:lvlText w:val="(%1)"/>
      <w:numFmt w:val="lowerLetter"/>
      <w:start w:val="1"/>
    </w:lvl>
    <w:lvl w:ilvl="1">
      <w:lvlJc w:val="left"/>
      <w:lvlText w:val="(%2)"/>
      <w:numFmt w:val="decimal"/>
      <w:start w:val="1"/>
    </w:lvl>
    <w:lvl w:ilvl="2">
      <w:lvlJc w:val="left"/>
      <w:lvlText w:val="(%3)"/>
      <w:numFmt w:val="lowerRoman"/>
      <w:start w:val="1"/>
    </w:lvl>
  </w:abstractNum>
  <w:abstractNum w:abstractNumId="12">
    <w:nsid w:val="436C6125"/>
    <w:multiLevelType w:val="hybridMultilevel"/>
    <w:lvl w:ilvl="0">
      <w:lvlJc w:val="left"/>
      <w:lvlText w:val="(%1)"/>
      <w:numFmt w:val="decimal"/>
      <w:start w:val="2"/>
    </w:lvl>
    <w:lvl w:ilvl="1">
      <w:lvlJc w:val="left"/>
      <w:lvlText w:val="(%2)"/>
      <w:numFmt w:val="lowerRoman"/>
      <w:start w:val="1"/>
    </w:lvl>
  </w:abstractNum>
  <w:abstractNum w:abstractNumId="13">
    <w:nsid w:val="628C895D"/>
    <w:multiLevelType w:val="hybridMultilevel"/>
    <w:lvl w:ilvl="0">
      <w:lvlJc w:val="left"/>
      <w:lvlText w:val="%1"/>
      <w:numFmt w:val="decimal"/>
      <w:start w:val="1"/>
    </w:lvl>
    <w:lvl w:ilvl="1">
      <w:lvlJc w:val="left"/>
      <w:lvlText w:val="(%2)"/>
      <w:numFmt w:val="lowerRoman"/>
      <w:start w:val="2"/>
    </w:lvl>
  </w:abstractNum>
  <w:abstractNum w:abstractNumId="14">
    <w:nsid w:val="333AB105"/>
    <w:multiLevelType w:val="hybridMultilevel"/>
    <w:lvl w:ilvl="0">
      <w:lvlJc w:val="left"/>
      <w:lvlText w:val="(%1)"/>
      <w:numFmt w:val="decimal"/>
      <w:start w:val="5"/>
    </w:lvl>
    <w:lvl w:ilvl="1">
      <w:lvlJc w:val="left"/>
      <w:lvlText w:val="(%2)"/>
      <w:numFmt w:val="lowerRoman"/>
      <w:start w:val="1"/>
    </w:lvl>
  </w:abstractNum>
  <w:abstractNum w:abstractNumId="15">
    <w:nsid w:val="721DA317"/>
    <w:multiLevelType w:val="hybridMultilevel"/>
    <w:lvl w:ilvl="0">
      <w:lvlJc w:val="left"/>
      <w:lvlText w:val="(%1)"/>
      <w:numFmt w:val="lowerLetter"/>
      <w:start w:val="2"/>
    </w:lvl>
  </w:abstractNum>
  <w:abstractNum w:abstractNumId="16">
    <w:nsid w:val="2443A858"/>
    <w:multiLevelType w:val="hybridMultilevel"/>
    <w:lvl w:ilvl="0">
      <w:lvlJc w:val="left"/>
      <w:lvlText w:val="*"/>
      <w:numFmt w:val="bullet"/>
      <w:start w:val="1"/>
    </w:lvl>
  </w:abstractNum>
  <w:abstractNum w:abstractNumId="17">
    <w:nsid w:val="2D1D5AE9"/>
    <w:multiLevelType w:val="hybridMultilevel"/>
    <w:lvl w:ilvl="0">
      <w:lvlJc w:val="left"/>
      <w:lvlText w:val="**"/>
      <w:numFmt w:val="bullet"/>
      <w:start w:val="1"/>
    </w:lvl>
  </w:abstractNum>
  <w:abstractNum w:abstractNumId="18">
    <w:nsid w:val="6763845E"/>
    <w:multiLevelType w:val="hybridMultilevel"/>
    <w:lvl w:ilvl="0">
      <w:lvlJc w:val="left"/>
      <w:lvlText w:val="**"/>
      <w:numFmt w:val="bullet"/>
      <w:start w:val="1"/>
    </w:lvl>
  </w:abstractNum>
  <w:abstractNum w:abstractNumId="19">
    <w:nsid w:val="75A2A8D4"/>
    <w:multiLevelType w:val="hybridMultilevel"/>
    <w:lvl w:ilvl="0">
      <w:lvlJc w:val="left"/>
      <w:lvlText w:val="%1."/>
      <w:numFmt w:val="decimal"/>
      <w:start w:val="1"/>
    </w:lvl>
  </w:abstractNum>
  <w:abstractNum w:abstractNumId="20">
    <w:nsid w:val="8EDBDAB"/>
    <w:multiLevelType w:val="hybridMultilevel"/>
    <w:lvl w:ilvl="0">
      <w:lvlJc w:val="left"/>
      <w:lvlText w:val="%1."/>
      <w:numFmt w:val="decimal"/>
      <w:start w:val="3"/>
    </w:lvl>
  </w:abstractNum>
  <w:abstractNum w:abstractNumId="21">
    <w:nsid w:val="79838CB2"/>
    <w:multiLevelType w:val="hybridMultilevel"/>
    <w:lvl w:ilvl="0">
      <w:lvlJc w:val="left"/>
      <w:lvlText w:val="%1."/>
      <w:numFmt w:val="decimal"/>
      <w:start w:val="1"/>
    </w:lvl>
  </w:abstractNum>
  <w:abstractNum w:abstractNumId="22">
    <w:nsid w:val="4353D0CD"/>
    <w:multiLevelType w:val="hybridMultilevel"/>
    <w:lvl w:ilvl="0">
      <w:lvlJc w:val="left"/>
      <w:lvlText w:val="%1."/>
      <w:numFmt w:val="decimal"/>
      <w:start w:val="1"/>
    </w:lvl>
  </w:abstractNum>
  <w:abstractNum w:abstractNumId="23">
    <w:nsid w:val="B03E0C6"/>
    <w:multiLevelType w:val="hybridMultilevel"/>
    <w:lvl w:ilvl="0">
      <w:lvlJc w:val="left"/>
      <w:lvlText w:val="%1."/>
      <w:numFmt w:val="decimal"/>
      <w:start w:val="10"/>
    </w:lvl>
  </w:abstractNum>
  <w:abstractNum w:abstractNumId="24">
    <w:nsid w:val="189A769B"/>
    <w:multiLevelType w:val="hybridMultilevel"/>
    <w:lvl w:ilvl="0">
      <w:lvlJc w:val="left"/>
      <w:lvlText w:val="%1."/>
      <w:numFmt w:val="decimal"/>
      <w:start w:val="1"/>
    </w:lvl>
  </w:abstractNum>
  <w:abstractNum w:abstractNumId="25">
    <w:nsid w:val="54E49EB4"/>
    <w:multiLevelType w:val="hybridMultilevel"/>
    <w:lvl w:ilvl="0">
      <w:lvlJc w:val="left"/>
      <w:lvlText w:val="%1."/>
      <w:numFmt w:val="decimal"/>
      <w:start w:val="1"/>
    </w:lvl>
  </w:abstractNum>
  <w:abstractNum w:abstractNumId="26">
    <w:nsid w:val="71F32454"/>
    <w:multiLevelType w:val="hybridMultilevel"/>
    <w:lvl w:ilvl="0">
      <w:lvlJc w:val="left"/>
      <w:lvlText w:val="%1."/>
      <w:numFmt w:val="decimal"/>
      <w:start w:val="8"/>
    </w:lvl>
  </w:abstractNum>
  <w:abstractNum w:abstractNumId="27">
    <w:nsid w:val="2CA88611"/>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jpe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9" Type="http://schemas.openxmlformats.org/officeDocument/2006/relationships/image" Target="media/image34.png"/><Relationship Id="rId50" Type="http://schemas.openxmlformats.org/officeDocument/2006/relationships/image" Target="media/image35.png"/><Relationship Id="rId51" Type="http://schemas.openxmlformats.org/officeDocument/2006/relationships/image" Target="media/image36.png"/><Relationship Id="rId52" Type="http://schemas.openxmlformats.org/officeDocument/2006/relationships/image" Target="media/image37.png"/><Relationship Id="rId53" Type="http://schemas.openxmlformats.org/officeDocument/2006/relationships/image" Target="media/image38.png"/><Relationship Id="rId54" Type="http://schemas.openxmlformats.org/officeDocument/2006/relationships/image" Target="media/image39.png"/><Relationship Id="rId55" Type="http://schemas.openxmlformats.org/officeDocument/2006/relationships/image" Target="media/image40.png"/><Relationship Id="rId56" Type="http://schemas.openxmlformats.org/officeDocument/2006/relationships/image" Target="media/image41.png"/><Relationship Id="rId57" Type="http://schemas.openxmlformats.org/officeDocument/2006/relationships/image" Target="media/image42.png"/><Relationship Id="rId58" Type="http://schemas.openxmlformats.org/officeDocument/2006/relationships/image" Target="media/image43.png"/><Relationship Id="rId59" Type="http://schemas.openxmlformats.org/officeDocument/2006/relationships/image" Target="media/image44.png"/><Relationship Id="rId60" Type="http://schemas.openxmlformats.org/officeDocument/2006/relationships/image" Target="media/image45.png"/><Relationship Id="rId61" Type="http://schemas.openxmlformats.org/officeDocument/2006/relationships/image" Target="media/image46.jpeg"/><Relationship Id="rId41" Type="http://schemas.openxmlformats.org/officeDocument/2006/relationships/hyperlink" Target="http://www.sec.gov/Archives/edgar/data/1058057/000105805718000015/q11910q05052018exhibit32.htm" TargetMode="External"/><Relationship Id="rId42" Type="http://schemas.openxmlformats.org/officeDocument/2006/relationships/hyperlink" Target="http://www.sec.gov/Archives/edgar/data/1058057/000105805718000009/mrvl203201810kexhibit31.htm" TargetMode="External"/><Relationship Id="rId43" Type="http://schemas.openxmlformats.org/officeDocument/2006/relationships/hyperlink" Target="http://www.sec.gov/Archives/edgar/data/1058057/000105805718000015/q11910q05052018exhibit34.htm" TargetMode="External"/><Relationship Id="rId44" Type="http://schemas.openxmlformats.org/officeDocument/2006/relationships/hyperlink" Target="http://www.sec.gov/Archives/edgar/data/1058057/000105805718000015/q11910q05052018exhibit35.htm" TargetMode="External"/><Relationship Id="rId45" Type="http://schemas.openxmlformats.org/officeDocument/2006/relationships/hyperlink" Target="http://www.sec.gov/Archives/edgar/data/1058057/000119312516765958/d278571dex31.htm" TargetMode="External"/><Relationship Id="rId46" Type="http://schemas.openxmlformats.org/officeDocument/2006/relationships/hyperlink" Target="http://www.sec.gov/Archives/edgar/data/1058057/000119312518213832/d897604dex41.htm" TargetMode="External"/><Relationship Id="rId47" Type="http://schemas.openxmlformats.org/officeDocument/2006/relationships/hyperlink" Target="http://www.sec.gov/Archives/edgar/data/1058057/000119312518213832/d897604dex42.htm" TargetMode="External"/><Relationship Id="rId48" Type="http://schemas.openxmlformats.org/officeDocument/2006/relationships/hyperlink" Target="http://www.sec.gov/Archives/edgar/data/1058057/000119312517376641/d451897ds4.htm#sig"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2019-12-06T11:32:00Z</dcterms:created>
  <dcterms:modified xsi:type="dcterms:W3CDTF">2019-12-06T11:32:00Z</dcterms:modified>
</cp:coreProperties>
</file>